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4B163">
      <w:pPr>
        <w:widowControl/>
        <w:tabs>
          <w:tab w:val="center" w:pos="4153"/>
        </w:tabs>
        <w:spacing w:line="440" w:lineRule="exact"/>
        <w:jc w:val="center"/>
        <w:rPr>
          <w:rFonts w:hint="eastAsia" w:ascii="宋体" w:hAnsi="宋体" w:eastAsia="仿宋"/>
          <w:sz w:val="36"/>
          <w:szCs w:val="36"/>
        </w:rPr>
      </w:pPr>
    </w:p>
    <w:p w14:paraId="05A5D3AC">
      <w:pPr>
        <w:widowControl/>
        <w:tabs>
          <w:tab w:val="center" w:pos="4153"/>
        </w:tabs>
        <w:spacing w:line="440" w:lineRule="exact"/>
        <w:jc w:val="center"/>
        <w:rPr>
          <w:rFonts w:hint="eastAsia" w:ascii="宋体" w:hAnsi="宋体" w:eastAsia="仿宋"/>
          <w:sz w:val="36"/>
          <w:szCs w:val="36"/>
        </w:rPr>
      </w:pPr>
    </w:p>
    <w:p w14:paraId="45B62382">
      <w:pPr>
        <w:widowControl/>
        <w:spacing w:line="360" w:lineRule="auto"/>
        <w:jc w:val="center"/>
        <w:rPr>
          <w:rFonts w:eastAsia="仿宋"/>
          <w:b/>
          <w:sz w:val="44"/>
          <w:szCs w:val="44"/>
        </w:rPr>
      </w:pPr>
      <w:r>
        <w:rPr>
          <w:rFonts w:hint="eastAsia" w:eastAsia="仿宋"/>
          <w:b/>
          <w:sz w:val="44"/>
          <w:szCs w:val="44"/>
        </w:rPr>
        <w:t>安徽省公共卫生临床中心（安徽省传染病医院）</w:t>
      </w:r>
    </w:p>
    <w:p w14:paraId="777D0AA4">
      <w:pPr>
        <w:widowControl/>
        <w:spacing w:line="360" w:lineRule="auto"/>
        <w:jc w:val="center"/>
        <w:rPr>
          <w:rFonts w:hint="eastAsia" w:ascii="宋体" w:hAnsi="宋体" w:eastAsia="仿宋"/>
          <w:b/>
          <w:sz w:val="44"/>
          <w:szCs w:val="44"/>
        </w:rPr>
      </w:pPr>
      <w:r>
        <w:rPr>
          <w:rFonts w:hint="eastAsia" w:eastAsia="仿宋"/>
          <w:b/>
          <w:sz w:val="44"/>
          <w:szCs w:val="44"/>
        </w:rPr>
        <w:t>X线计算机断层扫描仪及单光子发射断层成像装置全维保服务项目</w:t>
      </w:r>
      <w:r>
        <w:rPr>
          <w:rFonts w:hint="eastAsia" w:eastAsia="仿宋"/>
          <w:b/>
          <w:sz w:val="44"/>
          <w:szCs w:val="44"/>
          <w:lang w:eastAsia="zh-CN"/>
        </w:rPr>
        <w:t>（</w:t>
      </w:r>
      <w:r>
        <w:rPr>
          <w:rFonts w:hint="eastAsia" w:eastAsia="仿宋"/>
          <w:b/>
          <w:sz w:val="44"/>
          <w:szCs w:val="44"/>
          <w:lang w:val="en-US" w:eastAsia="zh-CN"/>
        </w:rPr>
        <w:t>二次</w:t>
      </w:r>
      <w:r>
        <w:rPr>
          <w:rFonts w:hint="eastAsia" w:eastAsia="仿宋"/>
          <w:b/>
          <w:sz w:val="44"/>
          <w:szCs w:val="44"/>
          <w:lang w:eastAsia="zh-CN"/>
        </w:rPr>
        <w:t>）</w:t>
      </w:r>
      <w:r>
        <w:rPr>
          <w:rFonts w:hint="eastAsia" w:eastAsia="仿宋"/>
          <w:b/>
          <w:sz w:val="44"/>
          <w:szCs w:val="44"/>
        </w:rPr>
        <w:t>单一来源采购</w:t>
      </w:r>
      <w:r>
        <w:rPr>
          <w:rFonts w:hint="eastAsia" w:ascii="宋体" w:hAnsi="宋体" w:eastAsia="仿宋"/>
          <w:b/>
          <w:sz w:val="44"/>
          <w:szCs w:val="44"/>
        </w:rPr>
        <w:t>文件</w:t>
      </w:r>
    </w:p>
    <w:p w14:paraId="130E1C4F">
      <w:pPr>
        <w:widowControl/>
        <w:spacing w:line="360" w:lineRule="auto"/>
        <w:jc w:val="center"/>
        <w:rPr>
          <w:rFonts w:hint="eastAsia" w:ascii="宋体" w:hAnsi="宋体" w:eastAsia="仿宋"/>
          <w:b/>
          <w:sz w:val="44"/>
          <w:szCs w:val="44"/>
        </w:rPr>
      </w:pPr>
      <w:r>
        <w:rPr>
          <w:rFonts w:hint="eastAsia" w:ascii="宋体" w:hAnsi="宋体" w:eastAsia="仿宋"/>
          <w:b/>
          <w:sz w:val="44"/>
          <w:szCs w:val="44"/>
        </w:rPr>
        <w:t>(服务类)</w:t>
      </w:r>
    </w:p>
    <w:p w14:paraId="1F60B760">
      <w:pPr>
        <w:widowControl/>
        <w:spacing w:line="360" w:lineRule="auto"/>
        <w:jc w:val="center"/>
        <w:rPr>
          <w:rFonts w:hint="eastAsia" w:ascii="宋体" w:hAnsi="宋体" w:eastAsia="仿宋"/>
          <w:b/>
          <w:sz w:val="28"/>
          <w:szCs w:val="28"/>
          <w:lang w:eastAsia="zh-CN"/>
        </w:rPr>
      </w:pPr>
      <w:r>
        <w:rPr>
          <w:rFonts w:hint="eastAsia" w:ascii="宋体" w:hAnsi="宋体" w:eastAsia="仿宋"/>
          <w:b/>
          <w:sz w:val="28"/>
          <w:szCs w:val="28"/>
        </w:rPr>
        <w:t>项目编号：</w:t>
      </w:r>
      <w:r>
        <w:rPr>
          <w:rFonts w:hint="eastAsia" w:ascii="宋体" w:hAnsi="宋体" w:eastAsia="仿宋"/>
          <w:b/>
          <w:sz w:val="28"/>
          <w:szCs w:val="28"/>
          <w:lang w:eastAsia="zh-CN"/>
        </w:rPr>
        <w:t>ZF2026-36-0413</w:t>
      </w:r>
    </w:p>
    <w:p w14:paraId="5C67ABF3">
      <w:pPr>
        <w:widowControl/>
        <w:tabs>
          <w:tab w:val="center" w:pos="4153"/>
        </w:tabs>
        <w:spacing w:line="480" w:lineRule="auto"/>
        <w:ind w:firstLine="1486" w:firstLineChars="531"/>
        <w:rPr>
          <w:rFonts w:hint="eastAsia" w:ascii="宋体" w:hAnsi="宋体" w:eastAsia="仿宋"/>
          <w:sz w:val="28"/>
          <w:szCs w:val="32"/>
        </w:rPr>
      </w:pPr>
    </w:p>
    <w:p w14:paraId="103C6D76">
      <w:pPr>
        <w:widowControl/>
        <w:tabs>
          <w:tab w:val="center" w:pos="4153"/>
        </w:tabs>
        <w:spacing w:line="480" w:lineRule="auto"/>
        <w:ind w:firstLine="1486" w:firstLineChars="531"/>
        <w:rPr>
          <w:rFonts w:hint="eastAsia" w:ascii="宋体" w:hAnsi="宋体" w:eastAsia="仿宋"/>
          <w:sz w:val="28"/>
          <w:szCs w:val="32"/>
        </w:rPr>
      </w:pPr>
    </w:p>
    <w:p w14:paraId="793FF5B8">
      <w:pPr>
        <w:widowControl/>
        <w:tabs>
          <w:tab w:val="center" w:pos="4153"/>
        </w:tabs>
        <w:spacing w:line="480" w:lineRule="auto"/>
        <w:ind w:firstLine="1486" w:firstLineChars="531"/>
        <w:rPr>
          <w:rFonts w:hint="eastAsia" w:ascii="宋体" w:hAnsi="宋体" w:eastAsia="仿宋"/>
          <w:sz w:val="28"/>
          <w:szCs w:val="32"/>
        </w:rPr>
      </w:pPr>
    </w:p>
    <w:p w14:paraId="25C29A58">
      <w:pPr>
        <w:widowControl/>
        <w:tabs>
          <w:tab w:val="center" w:pos="4153"/>
        </w:tabs>
        <w:spacing w:line="480" w:lineRule="auto"/>
        <w:ind w:firstLine="1486" w:firstLineChars="531"/>
        <w:rPr>
          <w:rFonts w:hint="eastAsia" w:ascii="宋体" w:hAnsi="宋体" w:eastAsia="仿宋"/>
          <w:sz w:val="28"/>
          <w:szCs w:val="32"/>
        </w:rPr>
      </w:pPr>
    </w:p>
    <w:p w14:paraId="35A7D73E">
      <w:pPr>
        <w:widowControl/>
        <w:tabs>
          <w:tab w:val="center" w:pos="4153"/>
        </w:tabs>
        <w:spacing w:line="480" w:lineRule="auto"/>
        <w:ind w:firstLine="1486" w:firstLineChars="531"/>
        <w:rPr>
          <w:rFonts w:hint="eastAsia" w:ascii="宋体" w:hAnsi="宋体" w:eastAsia="仿宋"/>
          <w:sz w:val="28"/>
          <w:szCs w:val="32"/>
        </w:rPr>
      </w:pPr>
    </w:p>
    <w:p w14:paraId="02F944FC">
      <w:pPr>
        <w:widowControl/>
        <w:tabs>
          <w:tab w:val="center" w:pos="4153"/>
        </w:tabs>
        <w:spacing w:line="480" w:lineRule="auto"/>
        <w:ind w:firstLine="1486" w:firstLineChars="531"/>
        <w:rPr>
          <w:rFonts w:hint="eastAsia" w:ascii="宋体" w:hAnsi="宋体" w:eastAsia="仿宋"/>
          <w:sz w:val="28"/>
          <w:szCs w:val="32"/>
        </w:rPr>
      </w:pPr>
    </w:p>
    <w:p w14:paraId="2FD83AC2">
      <w:pPr>
        <w:widowControl/>
        <w:tabs>
          <w:tab w:val="center" w:pos="4153"/>
        </w:tabs>
        <w:spacing w:line="480" w:lineRule="auto"/>
        <w:ind w:firstLine="1486" w:firstLineChars="531"/>
        <w:rPr>
          <w:rFonts w:hint="eastAsia" w:ascii="宋体" w:hAnsi="宋体" w:eastAsia="仿宋"/>
          <w:sz w:val="28"/>
          <w:szCs w:val="32"/>
        </w:rPr>
      </w:pPr>
    </w:p>
    <w:p w14:paraId="1552FBB3">
      <w:pPr>
        <w:widowControl/>
        <w:tabs>
          <w:tab w:val="center" w:pos="4153"/>
        </w:tabs>
        <w:spacing w:line="480" w:lineRule="auto"/>
        <w:ind w:firstLine="1486" w:firstLineChars="531"/>
        <w:rPr>
          <w:rFonts w:hint="eastAsia" w:ascii="宋体" w:hAnsi="宋体" w:eastAsia="仿宋"/>
          <w:sz w:val="28"/>
          <w:szCs w:val="32"/>
        </w:rPr>
      </w:pPr>
    </w:p>
    <w:p w14:paraId="2B8EB6A1">
      <w:pPr>
        <w:widowControl/>
        <w:tabs>
          <w:tab w:val="center" w:pos="4153"/>
        </w:tabs>
        <w:spacing w:line="480" w:lineRule="auto"/>
        <w:ind w:firstLine="1486" w:firstLineChars="531"/>
        <w:rPr>
          <w:rFonts w:hint="eastAsia" w:ascii="宋体" w:hAnsi="宋体" w:eastAsia="仿宋"/>
          <w:sz w:val="28"/>
          <w:szCs w:val="32"/>
        </w:rPr>
      </w:pPr>
      <w:r>
        <w:rPr>
          <w:rFonts w:hint="eastAsia" w:ascii="宋体" w:hAnsi="宋体" w:eastAsia="仿宋"/>
          <w:sz w:val="28"/>
          <w:szCs w:val="32"/>
        </w:rPr>
        <w:t>采   购   人：安徽省公共卫生临床中心（安徽省传染病医院）</w:t>
      </w:r>
    </w:p>
    <w:p w14:paraId="1D010599">
      <w:pPr>
        <w:widowControl/>
        <w:tabs>
          <w:tab w:val="center" w:pos="4153"/>
        </w:tabs>
        <w:spacing w:line="480" w:lineRule="auto"/>
        <w:ind w:firstLine="1486" w:firstLineChars="531"/>
        <w:rPr>
          <w:rFonts w:hint="eastAsia" w:ascii="宋体" w:hAnsi="宋体" w:eastAsia="仿宋"/>
          <w:sz w:val="28"/>
          <w:szCs w:val="32"/>
        </w:rPr>
      </w:pPr>
      <w:r>
        <w:rPr>
          <w:rFonts w:hint="eastAsia" w:ascii="宋体" w:hAnsi="宋体" w:eastAsia="仿宋"/>
          <w:sz w:val="28"/>
          <w:szCs w:val="32"/>
        </w:rPr>
        <w:t>采购代理机构：安徽省招标集团股份有限公司</w:t>
      </w:r>
    </w:p>
    <w:p w14:paraId="4B408085">
      <w:pPr>
        <w:widowControl/>
        <w:tabs>
          <w:tab w:val="center" w:pos="4153"/>
        </w:tabs>
        <w:spacing w:line="480" w:lineRule="auto"/>
        <w:ind w:firstLine="755" w:firstLineChars="236"/>
        <w:jc w:val="center"/>
        <w:rPr>
          <w:rFonts w:hint="eastAsia" w:ascii="宋体" w:hAnsi="宋体" w:eastAsia="仿宋"/>
          <w:sz w:val="32"/>
          <w:szCs w:val="32"/>
        </w:rPr>
      </w:pPr>
      <w:r>
        <w:rPr>
          <w:rFonts w:hint="eastAsia" w:ascii="宋体" w:hAnsi="宋体" w:eastAsia="仿宋"/>
          <w:sz w:val="32"/>
          <w:szCs w:val="32"/>
        </w:rPr>
        <w:t>2026年3月</w:t>
      </w:r>
    </w:p>
    <w:p w14:paraId="048F422A">
      <w:pPr>
        <w:widowControl/>
        <w:tabs>
          <w:tab w:val="center" w:pos="4153"/>
        </w:tabs>
        <w:spacing w:line="480" w:lineRule="auto"/>
        <w:ind w:firstLine="849" w:firstLineChars="236"/>
        <w:rPr>
          <w:rFonts w:hint="eastAsia" w:ascii="宋体" w:hAnsi="宋体" w:eastAsia="仿宋"/>
          <w:sz w:val="36"/>
          <w:szCs w:val="36"/>
        </w:rPr>
        <w:sectPr>
          <w:footerReference r:id="rId3"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06EA028E">
      <w:pPr>
        <w:widowControl/>
        <w:tabs>
          <w:tab w:val="center" w:pos="4153"/>
        </w:tabs>
        <w:spacing w:line="480" w:lineRule="auto"/>
        <w:jc w:val="center"/>
        <w:outlineLvl w:val="0"/>
        <w:rPr>
          <w:rFonts w:hint="eastAsia" w:ascii="宋体" w:hAnsi="宋体" w:eastAsia="仿宋"/>
          <w:sz w:val="44"/>
          <w:szCs w:val="52"/>
        </w:rPr>
      </w:pPr>
      <w:bookmarkStart w:id="0" w:name="_Toc18639"/>
      <w:bookmarkStart w:id="1" w:name="_Toc30054"/>
      <w:r>
        <w:rPr>
          <w:rFonts w:hint="eastAsia" w:ascii="宋体" w:hAnsi="宋体" w:eastAsia="仿宋"/>
          <w:sz w:val="44"/>
          <w:szCs w:val="52"/>
        </w:rPr>
        <w:t>目  录</w:t>
      </w:r>
      <w:bookmarkEnd w:id="0"/>
      <w:bookmarkEnd w:id="1"/>
    </w:p>
    <w:p w14:paraId="5A70A507">
      <w:pPr>
        <w:pStyle w:val="31"/>
        <w:tabs>
          <w:tab w:val="right" w:leader="dot" w:pos="9638"/>
        </w:tabs>
        <w:rPr>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TOC \o "1-1" \h \z \u </w:instrText>
      </w:r>
      <w:r>
        <w:rPr>
          <w:rFonts w:ascii="Times New Roman" w:hAnsi="Times New Roman" w:eastAsia="仿宋"/>
          <w:sz w:val="28"/>
          <w:szCs w:val="28"/>
        </w:rPr>
        <w:fldChar w:fldCharType="separate"/>
      </w:r>
      <w:r>
        <w:fldChar w:fldCharType="begin"/>
      </w:r>
      <w:r>
        <w:instrText xml:space="preserve"> HYPERLINK \l "_Toc13162" </w:instrText>
      </w:r>
      <w:r>
        <w:fldChar w:fldCharType="separate"/>
      </w:r>
      <w:r>
        <w:rPr>
          <w:rFonts w:hint="eastAsia" w:ascii="宋体" w:hAnsi="宋体" w:eastAsia="仿宋"/>
          <w:sz w:val="28"/>
          <w:szCs w:val="28"/>
        </w:rPr>
        <w:t>第一章  采购邀请书</w:t>
      </w:r>
      <w:r>
        <w:rPr>
          <w:sz w:val="28"/>
          <w:szCs w:val="28"/>
        </w:rPr>
        <w:tab/>
      </w:r>
      <w:r>
        <w:rPr>
          <w:sz w:val="28"/>
          <w:szCs w:val="28"/>
        </w:rPr>
        <w:fldChar w:fldCharType="begin"/>
      </w:r>
      <w:r>
        <w:rPr>
          <w:sz w:val="28"/>
          <w:szCs w:val="28"/>
        </w:rPr>
        <w:instrText xml:space="preserve"> PAGEREF _Toc13162 \h </w:instrText>
      </w:r>
      <w:r>
        <w:rPr>
          <w:sz w:val="28"/>
          <w:szCs w:val="28"/>
        </w:rPr>
        <w:fldChar w:fldCharType="separate"/>
      </w:r>
      <w:r>
        <w:rPr>
          <w:sz w:val="28"/>
          <w:szCs w:val="28"/>
        </w:rPr>
        <w:t>3</w:t>
      </w:r>
      <w:r>
        <w:rPr>
          <w:sz w:val="28"/>
          <w:szCs w:val="28"/>
        </w:rPr>
        <w:fldChar w:fldCharType="end"/>
      </w:r>
      <w:r>
        <w:rPr>
          <w:sz w:val="28"/>
          <w:szCs w:val="28"/>
        </w:rPr>
        <w:fldChar w:fldCharType="end"/>
      </w:r>
    </w:p>
    <w:p w14:paraId="2E77D429">
      <w:pPr>
        <w:pStyle w:val="31"/>
        <w:tabs>
          <w:tab w:val="right" w:leader="dot" w:pos="9638"/>
        </w:tabs>
        <w:rPr>
          <w:sz w:val="28"/>
          <w:szCs w:val="28"/>
        </w:rPr>
      </w:pPr>
      <w:r>
        <w:fldChar w:fldCharType="begin"/>
      </w:r>
      <w:r>
        <w:instrText xml:space="preserve"> HYPERLINK \l "_Toc25458" </w:instrText>
      </w:r>
      <w:r>
        <w:fldChar w:fldCharType="separate"/>
      </w:r>
      <w:r>
        <w:rPr>
          <w:rFonts w:hint="eastAsia" w:ascii="宋体" w:hAnsi="宋体" w:eastAsia="仿宋"/>
          <w:sz w:val="28"/>
          <w:szCs w:val="28"/>
        </w:rPr>
        <w:t>第二章</w:t>
      </w:r>
      <w:r>
        <w:rPr>
          <w:rFonts w:ascii="宋体" w:hAnsi="宋体" w:eastAsia="仿宋"/>
          <w:sz w:val="28"/>
          <w:szCs w:val="28"/>
        </w:rPr>
        <w:t xml:space="preserve"> </w:t>
      </w:r>
      <w:r>
        <w:rPr>
          <w:rFonts w:hint="eastAsia" w:ascii="宋体" w:hAnsi="宋体" w:eastAsia="仿宋"/>
          <w:sz w:val="28"/>
          <w:szCs w:val="28"/>
        </w:rPr>
        <w:t xml:space="preserve"> 供应商须知</w:t>
      </w:r>
      <w:r>
        <w:rPr>
          <w:sz w:val="28"/>
          <w:szCs w:val="28"/>
        </w:rPr>
        <w:tab/>
      </w:r>
      <w:r>
        <w:rPr>
          <w:sz w:val="28"/>
          <w:szCs w:val="28"/>
        </w:rPr>
        <w:fldChar w:fldCharType="begin"/>
      </w:r>
      <w:r>
        <w:rPr>
          <w:sz w:val="28"/>
          <w:szCs w:val="28"/>
        </w:rPr>
        <w:instrText xml:space="preserve"> PAGEREF _Toc25458 \h </w:instrText>
      </w:r>
      <w:r>
        <w:rPr>
          <w:sz w:val="28"/>
          <w:szCs w:val="28"/>
        </w:rPr>
        <w:fldChar w:fldCharType="separate"/>
      </w:r>
      <w:r>
        <w:rPr>
          <w:sz w:val="28"/>
          <w:szCs w:val="28"/>
        </w:rPr>
        <w:t>6</w:t>
      </w:r>
      <w:r>
        <w:rPr>
          <w:sz w:val="28"/>
          <w:szCs w:val="28"/>
        </w:rPr>
        <w:fldChar w:fldCharType="end"/>
      </w:r>
      <w:r>
        <w:rPr>
          <w:sz w:val="28"/>
          <w:szCs w:val="28"/>
        </w:rPr>
        <w:fldChar w:fldCharType="end"/>
      </w:r>
    </w:p>
    <w:p w14:paraId="461301D6">
      <w:pPr>
        <w:pStyle w:val="31"/>
        <w:tabs>
          <w:tab w:val="right" w:leader="dot" w:pos="9638"/>
        </w:tabs>
        <w:rPr>
          <w:sz w:val="28"/>
          <w:szCs w:val="28"/>
        </w:rPr>
      </w:pPr>
      <w:r>
        <w:fldChar w:fldCharType="begin"/>
      </w:r>
      <w:r>
        <w:instrText xml:space="preserve"> HYPERLINK \l "_Toc6481" </w:instrText>
      </w:r>
      <w:r>
        <w:fldChar w:fldCharType="separate"/>
      </w:r>
      <w:r>
        <w:rPr>
          <w:rFonts w:hint="eastAsia" w:ascii="宋体" w:hAnsi="宋体" w:eastAsia="仿宋"/>
          <w:sz w:val="28"/>
          <w:szCs w:val="28"/>
        </w:rPr>
        <w:t>第三章  采购需求</w:t>
      </w:r>
      <w:r>
        <w:rPr>
          <w:sz w:val="28"/>
          <w:szCs w:val="28"/>
        </w:rPr>
        <w:tab/>
      </w:r>
      <w:r>
        <w:rPr>
          <w:sz w:val="28"/>
          <w:szCs w:val="28"/>
        </w:rPr>
        <w:fldChar w:fldCharType="begin"/>
      </w:r>
      <w:r>
        <w:rPr>
          <w:sz w:val="28"/>
          <w:szCs w:val="28"/>
        </w:rPr>
        <w:instrText xml:space="preserve"> PAGEREF _Toc6481 \h </w:instrText>
      </w:r>
      <w:r>
        <w:rPr>
          <w:sz w:val="28"/>
          <w:szCs w:val="28"/>
        </w:rPr>
        <w:fldChar w:fldCharType="separate"/>
      </w:r>
      <w:r>
        <w:rPr>
          <w:sz w:val="28"/>
          <w:szCs w:val="28"/>
        </w:rPr>
        <w:t>27</w:t>
      </w:r>
      <w:r>
        <w:rPr>
          <w:sz w:val="28"/>
          <w:szCs w:val="28"/>
        </w:rPr>
        <w:fldChar w:fldCharType="end"/>
      </w:r>
      <w:r>
        <w:rPr>
          <w:sz w:val="28"/>
          <w:szCs w:val="28"/>
        </w:rPr>
        <w:fldChar w:fldCharType="end"/>
      </w:r>
    </w:p>
    <w:p w14:paraId="623A3985">
      <w:pPr>
        <w:pStyle w:val="31"/>
        <w:tabs>
          <w:tab w:val="right" w:leader="dot" w:pos="9638"/>
        </w:tabs>
        <w:rPr>
          <w:sz w:val="28"/>
          <w:szCs w:val="28"/>
        </w:rPr>
      </w:pPr>
      <w:r>
        <w:fldChar w:fldCharType="begin"/>
      </w:r>
      <w:r>
        <w:instrText xml:space="preserve"> HYPERLINK \l "_Toc22848" </w:instrText>
      </w:r>
      <w:r>
        <w:fldChar w:fldCharType="separate"/>
      </w:r>
      <w:r>
        <w:rPr>
          <w:rFonts w:hint="eastAsia" w:ascii="宋体" w:hAnsi="宋体" w:eastAsia="仿宋"/>
          <w:sz w:val="28"/>
          <w:szCs w:val="28"/>
        </w:rPr>
        <w:t xml:space="preserve">第四章  </w:t>
      </w:r>
      <w:r>
        <w:rPr>
          <w:rFonts w:hint="eastAsia" w:eastAsia="仿宋"/>
          <w:sz w:val="28"/>
          <w:szCs w:val="28"/>
        </w:rPr>
        <w:t>协商程序</w:t>
      </w:r>
      <w:r>
        <w:rPr>
          <w:sz w:val="28"/>
          <w:szCs w:val="28"/>
        </w:rPr>
        <w:tab/>
      </w:r>
      <w:r>
        <w:rPr>
          <w:sz w:val="28"/>
          <w:szCs w:val="28"/>
        </w:rPr>
        <w:fldChar w:fldCharType="begin"/>
      </w:r>
      <w:r>
        <w:rPr>
          <w:sz w:val="28"/>
          <w:szCs w:val="28"/>
        </w:rPr>
        <w:instrText xml:space="preserve"> PAGEREF _Toc22848 \h </w:instrText>
      </w:r>
      <w:r>
        <w:rPr>
          <w:sz w:val="28"/>
          <w:szCs w:val="28"/>
        </w:rPr>
        <w:fldChar w:fldCharType="separate"/>
      </w:r>
      <w:r>
        <w:rPr>
          <w:sz w:val="28"/>
          <w:szCs w:val="28"/>
        </w:rPr>
        <w:t>27</w:t>
      </w:r>
      <w:r>
        <w:rPr>
          <w:sz w:val="28"/>
          <w:szCs w:val="28"/>
        </w:rPr>
        <w:fldChar w:fldCharType="end"/>
      </w:r>
      <w:r>
        <w:rPr>
          <w:sz w:val="28"/>
          <w:szCs w:val="28"/>
        </w:rPr>
        <w:fldChar w:fldCharType="end"/>
      </w:r>
    </w:p>
    <w:p w14:paraId="6EBD87CB">
      <w:pPr>
        <w:pStyle w:val="31"/>
        <w:tabs>
          <w:tab w:val="right" w:leader="dot" w:pos="9638"/>
        </w:tabs>
        <w:rPr>
          <w:sz w:val="28"/>
          <w:szCs w:val="28"/>
        </w:rPr>
      </w:pPr>
      <w:r>
        <w:fldChar w:fldCharType="begin"/>
      </w:r>
      <w:r>
        <w:instrText xml:space="preserve"> HYPERLINK \l "_Toc6780" </w:instrText>
      </w:r>
      <w:r>
        <w:fldChar w:fldCharType="separate"/>
      </w:r>
      <w:r>
        <w:rPr>
          <w:rFonts w:hint="eastAsia" w:ascii="宋体" w:hAnsi="宋体" w:eastAsia="仿宋"/>
          <w:sz w:val="28"/>
          <w:szCs w:val="28"/>
        </w:rPr>
        <w:t>第五章  合同条款及格式</w:t>
      </w:r>
      <w:r>
        <w:rPr>
          <w:sz w:val="28"/>
          <w:szCs w:val="28"/>
        </w:rPr>
        <w:tab/>
      </w:r>
      <w:r>
        <w:rPr>
          <w:sz w:val="28"/>
          <w:szCs w:val="28"/>
        </w:rPr>
        <w:fldChar w:fldCharType="begin"/>
      </w:r>
      <w:r>
        <w:rPr>
          <w:sz w:val="28"/>
          <w:szCs w:val="28"/>
        </w:rPr>
        <w:instrText xml:space="preserve"> PAGEREF _Toc6780 \h </w:instrText>
      </w:r>
      <w:r>
        <w:rPr>
          <w:sz w:val="28"/>
          <w:szCs w:val="28"/>
        </w:rPr>
        <w:fldChar w:fldCharType="separate"/>
      </w:r>
      <w:r>
        <w:rPr>
          <w:sz w:val="28"/>
          <w:szCs w:val="28"/>
        </w:rPr>
        <w:t>33</w:t>
      </w:r>
      <w:r>
        <w:rPr>
          <w:sz w:val="28"/>
          <w:szCs w:val="28"/>
        </w:rPr>
        <w:fldChar w:fldCharType="end"/>
      </w:r>
      <w:r>
        <w:rPr>
          <w:sz w:val="28"/>
          <w:szCs w:val="28"/>
        </w:rPr>
        <w:fldChar w:fldCharType="end"/>
      </w:r>
    </w:p>
    <w:p w14:paraId="780F66D6">
      <w:pPr>
        <w:pStyle w:val="31"/>
        <w:tabs>
          <w:tab w:val="right" w:leader="dot" w:pos="9638"/>
        </w:tabs>
        <w:rPr>
          <w:sz w:val="28"/>
          <w:szCs w:val="28"/>
        </w:rPr>
      </w:pPr>
      <w:r>
        <w:fldChar w:fldCharType="begin"/>
      </w:r>
      <w:r>
        <w:instrText xml:space="preserve"> HYPERLINK \l "_Toc8866" </w:instrText>
      </w:r>
      <w:r>
        <w:fldChar w:fldCharType="separate"/>
      </w:r>
      <w:r>
        <w:rPr>
          <w:rFonts w:hint="eastAsia" w:ascii="楷体_GB2312" w:hAnsi="楷体_GB2312" w:eastAsia="仿宋"/>
          <w:sz w:val="28"/>
          <w:szCs w:val="28"/>
        </w:rPr>
        <w:t>第六章  响应文件格式</w:t>
      </w:r>
      <w:r>
        <w:rPr>
          <w:sz w:val="28"/>
          <w:szCs w:val="28"/>
        </w:rPr>
        <w:tab/>
      </w:r>
      <w:r>
        <w:rPr>
          <w:sz w:val="28"/>
          <w:szCs w:val="28"/>
        </w:rPr>
        <w:fldChar w:fldCharType="begin"/>
      </w:r>
      <w:r>
        <w:rPr>
          <w:sz w:val="28"/>
          <w:szCs w:val="28"/>
        </w:rPr>
        <w:instrText xml:space="preserve"> PAGEREF _Toc8866 \h </w:instrText>
      </w:r>
      <w:r>
        <w:rPr>
          <w:sz w:val="28"/>
          <w:szCs w:val="28"/>
        </w:rPr>
        <w:fldChar w:fldCharType="separate"/>
      </w:r>
      <w:r>
        <w:rPr>
          <w:sz w:val="28"/>
          <w:szCs w:val="28"/>
        </w:rPr>
        <w:t>46</w:t>
      </w:r>
      <w:r>
        <w:rPr>
          <w:sz w:val="28"/>
          <w:szCs w:val="28"/>
        </w:rPr>
        <w:fldChar w:fldCharType="end"/>
      </w:r>
      <w:r>
        <w:rPr>
          <w:sz w:val="28"/>
          <w:szCs w:val="28"/>
        </w:rPr>
        <w:fldChar w:fldCharType="end"/>
      </w:r>
    </w:p>
    <w:p w14:paraId="01E915C2">
      <w:pPr>
        <w:widowControl/>
        <w:spacing w:line="360" w:lineRule="auto"/>
        <w:rPr>
          <w:rFonts w:hint="eastAsia" w:ascii="宋体" w:hAnsi="宋体" w:eastAsia="仿宋"/>
          <w:sz w:val="52"/>
          <w:szCs w:val="52"/>
        </w:rPr>
      </w:pPr>
      <w:r>
        <w:rPr>
          <w:rFonts w:eastAsia="仿宋"/>
          <w:sz w:val="28"/>
          <w:szCs w:val="28"/>
        </w:rPr>
        <w:fldChar w:fldCharType="end"/>
      </w:r>
    </w:p>
    <w:p w14:paraId="65F46A3F">
      <w:pPr>
        <w:widowControl/>
        <w:tabs>
          <w:tab w:val="center" w:pos="4153"/>
        </w:tabs>
        <w:spacing w:line="480" w:lineRule="auto"/>
        <w:jc w:val="center"/>
        <w:rPr>
          <w:rFonts w:hint="eastAsia" w:ascii="宋体" w:hAnsi="宋体" w:eastAsia="仿宋"/>
          <w:sz w:val="52"/>
          <w:szCs w:val="52"/>
        </w:rPr>
        <w:sectPr>
          <w:headerReference r:id="rId4" w:type="first"/>
          <w:footerReference r:id="rId6" w:type="first"/>
          <w:footerReference r:id="rId5"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6C9CEA9F">
      <w:pPr>
        <w:pStyle w:val="2"/>
        <w:widowControl/>
        <w:spacing w:before="0" w:after="0" w:line="240" w:lineRule="auto"/>
        <w:jc w:val="center"/>
        <w:rPr>
          <w:rFonts w:hint="eastAsia" w:ascii="宋体" w:hAnsi="宋体" w:eastAsia="仿宋"/>
          <w:bCs w:val="0"/>
          <w:kern w:val="2"/>
          <w:sz w:val="28"/>
          <w:szCs w:val="28"/>
        </w:rPr>
      </w:pPr>
      <w:bookmarkStart w:id="2" w:name="_Toc466024489"/>
      <w:bookmarkStart w:id="3" w:name="_Toc54454121"/>
      <w:bookmarkStart w:id="4" w:name="_Toc13162"/>
      <w:bookmarkStart w:id="5" w:name="_Toc466024497"/>
      <w:bookmarkStart w:id="6" w:name="_Toc241459614"/>
      <w:bookmarkStart w:id="7" w:name="_Toc445554685"/>
      <w:bookmarkStart w:id="8" w:name="_Toc371415919"/>
      <w:bookmarkStart w:id="9" w:name="_Toc342297617"/>
      <w:bookmarkStart w:id="10" w:name="_Toc333587477"/>
      <w:bookmarkStart w:id="11" w:name="_Toc342296160"/>
      <w:r>
        <w:rPr>
          <w:rFonts w:hint="eastAsia" w:ascii="宋体" w:hAnsi="宋体" w:eastAsia="仿宋"/>
        </w:rPr>
        <w:t xml:space="preserve">第一章  </w:t>
      </w:r>
      <w:bookmarkEnd w:id="2"/>
      <w:r>
        <w:rPr>
          <w:rFonts w:hint="eastAsia" w:ascii="宋体" w:hAnsi="宋体" w:eastAsia="仿宋"/>
        </w:rPr>
        <w:t>采购邀请书</w:t>
      </w:r>
      <w:bookmarkEnd w:id="3"/>
      <w:bookmarkEnd w:id="4"/>
    </w:p>
    <w:p w14:paraId="5AE1D0A5">
      <w:pPr>
        <w:widowControl/>
        <w:spacing w:before="120" w:beforeLines="50" w:after="120" w:afterLines="50" w:line="560" w:lineRule="exact"/>
        <w:jc w:val="center"/>
        <w:rPr>
          <w:rFonts w:hint="eastAsia" w:ascii="宋体" w:hAnsi="宋体" w:eastAsia="仿宋"/>
          <w:sz w:val="28"/>
          <w:szCs w:val="28"/>
        </w:rPr>
      </w:pPr>
      <w:bookmarkStart w:id="12" w:name="OLE_LINK1"/>
      <w:r>
        <w:rPr>
          <w:rFonts w:hint="eastAsia" w:ascii="华文中宋" w:hAnsi="华文中宋" w:eastAsia="华文中宋" w:cs="华文中宋"/>
          <w:b/>
          <w:bCs/>
          <w:sz w:val="44"/>
          <w:szCs w:val="44"/>
          <w:lang w:eastAsia="zh-CN"/>
        </w:rPr>
        <w:t>安徽省公共卫生临床中心（安徽省传染病医院）X线计算机断层扫描仪及单光子发射断层成像装置全维保服务项目（</w:t>
      </w:r>
      <w:r>
        <w:rPr>
          <w:rFonts w:hint="eastAsia" w:ascii="华文中宋" w:hAnsi="华文中宋" w:eastAsia="华文中宋" w:cs="华文中宋"/>
          <w:b/>
          <w:bCs/>
          <w:sz w:val="44"/>
          <w:szCs w:val="44"/>
          <w:lang w:val="en-US" w:eastAsia="zh-CN"/>
        </w:rPr>
        <w:t>二次</w:t>
      </w:r>
      <w:r>
        <w:rPr>
          <w:rFonts w:hint="eastAsia" w:ascii="华文中宋" w:hAnsi="华文中宋" w:eastAsia="华文中宋" w:cs="华文中宋"/>
          <w:b/>
          <w:bCs/>
          <w:sz w:val="44"/>
          <w:szCs w:val="44"/>
          <w:lang w:eastAsia="zh-CN"/>
        </w:rPr>
        <w:t>）</w:t>
      </w:r>
      <w:r>
        <w:rPr>
          <w:rFonts w:hint="eastAsia" w:ascii="华文中宋" w:hAnsi="华文中宋" w:eastAsia="华文中宋" w:cs="华文中宋"/>
          <w:b/>
          <w:bCs/>
          <w:sz w:val="44"/>
          <w:szCs w:val="44"/>
        </w:rPr>
        <w:t>单一来源采购项目采购邀请书</w:t>
      </w:r>
    </w:p>
    <w:p w14:paraId="240E1F96">
      <w:pPr>
        <w:widowControl/>
        <w:spacing w:before="120" w:beforeLines="50" w:after="120" w:afterLines="50" w:line="400" w:lineRule="exact"/>
        <w:jc w:val="center"/>
        <w:rPr>
          <w:rFonts w:hint="eastAsia" w:ascii="宋体" w:hAnsi="宋体" w:eastAsia="仿宋"/>
          <w:sz w:val="28"/>
          <w:szCs w:val="28"/>
        </w:rPr>
      </w:pPr>
    </w:p>
    <w:p w14:paraId="4CDE8892">
      <w:pPr>
        <w:adjustRightInd w:val="0"/>
        <w:snapToGrid w:val="0"/>
        <w:spacing w:line="360" w:lineRule="auto"/>
        <w:rPr>
          <w:rFonts w:hint="eastAsia" w:ascii="黑体" w:hAnsi="黑体" w:eastAsia="黑体"/>
          <w:sz w:val="28"/>
          <w:szCs w:val="28"/>
        </w:rPr>
      </w:pPr>
      <w:r>
        <w:rPr>
          <w:rFonts w:hint="eastAsia" w:ascii="黑体" w:hAnsi="黑体" w:eastAsia="黑体"/>
          <w:sz w:val="28"/>
          <w:szCs w:val="28"/>
          <w:u w:val="single"/>
        </w:rPr>
        <w:t>通用电气医疗系统贸易发展（上海）有限公司：</w:t>
      </w:r>
    </w:p>
    <w:p w14:paraId="102A2308">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安徽省招标集团股份有限公司受安徽省公共卫生临床中心（安徽省传染病医院）委托，就</w:t>
      </w:r>
      <w:r>
        <w:rPr>
          <w:rFonts w:hint="eastAsia" w:ascii="宋体" w:hAnsi="宋体" w:eastAsia="仿宋"/>
          <w:sz w:val="28"/>
          <w:szCs w:val="28"/>
          <w:lang w:eastAsia="zh-CN"/>
        </w:rPr>
        <w:t>安徽省公共卫生临床中心（安徽省传染病医院）X线计算机断层扫描仪及单光子发射断层成像装置全维保服务项目（</w:t>
      </w:r>
      <w:r>
        <w:rPr>
          <w:rFonts w:hint="eastAsia" w:ascii="宋体" w:hAnsi="宋体" w:eastAsia="仿宋"/>
          <w:sz w:val="28"/>
          <w:szCs w:val="28"/>
          <w:lang w:val="en-US" w:eastAsia="zh-CN"/>
        </w:rPr>
        <w:t>二次</w:t>
      </w:r>
      <w:r>
        <w:rPr>
          <w:rFonts w:hint="eastAsia" w:ascii="宋体" w:hAnsi="宋体" w:eastAsia="仿宋"/>
          <w:sz w:val="28"/>
          <w:szCs w:val="28"/>
          <w:lang w:eastAsia="zh-CN"/>
        </w:rPr>
        <w:t>）</w:t>
      </w:r>
      <w:r>
        <w:rPr>
          <w:rFonts w:hint="eastAsia" w:ascii="宋体" w:hAnsi="宋体" w:eastAsia="仿宋"/>
          <w:sz w:val="28"/>
          <w:szCs w:val="28"/>
        </w:rPr>
        <w:t>单一来源采购项目进行采购。现邀请贵单位参与本项目采购活动。</w:t>
      </w:r>
    </w:p>
    <w:p w14:paraId="3B8EA327">
      <w:pPr>
        <w:pStyle w:val="3"/>
        <w:widowControl/>
        <w:adjustRightInd w:val="0"/>
        <w:snapToGrid w:val="0"/>
        <w:spacing w:before="48" w:beforeLines="20" w:after="48" w:afterLines="20" w:line="360" w:lineRule="auto"/>
        <w:ind w:firstLine="560" w:firstLineChars="200"/>
        <w:rPr>
          <w:rStyle w:val="102"/>
          <w:rFonts w:hint="eastAsia" w:hAnsi="宋体"/>
          <w:b w:val="0"/>
          <w:bCs w:val="0"/>
          <w:sz w:val="28"/>
          <w:szCs w:val="28"/>
        </w:rPr>
      </w:pPr>
      <w:bookmarkStart w:id="13" w:name="_Toc35393790"/>
      <w:bookmarkStart w:id="14" w:name="_Toc35393621"/>
      <w:bookmarkStart w:id="15" w:name="_Toc28359079"/>
      <w:bookmarkStart w:id="16" w:name="_Toc28359002"/>
      <w:bookmarkStart w:id="17" w:name="_Hlk24379207"/>
      <w:r>
        <w:rPr>
          <w:rStyle w:val="102"/>
          <w:rFonts w:hint="eastAsia" w:hAnsi="宋体"/>
          <w:b w:val="0"/>
          <w:bCs w:val="0"/>
          <w:sz w:val="28"/>
          <w:szCs w:val="28"/>
        </w:rPr>
        <w:t>一、项目基本情况</w:t>
      </w:r>
      <w:bookmarkEnd w:id="13"/>
      <w:bookmarkEnd w:id="14"/>
      <w:bookmarkEnd w:id="15"/>
      <w:bookmarkEnd w:id="16"/>
    </w:p>
    <w:p w14:paraId="6A15E050">
      <w:pPr>
        <w:adjustRightInd w:val="0"/>
        <w:snapToGrid w:val="0"/>
        <w:spacing w:line="360" w:lineRule="auto"/>
        <w:ind w:firstLine="560" w:firstLineChars="200"/>
        <w:rPr>
          <w:rFonts w:hint="eastAsia" w:ascii="宋体" w:hAnsi="宋体" w:eastAsia="仿宋"/>
          <w:sz w:val="28"/>
          <w:szCs w:val="28"/>
          <w:u w:val="single"/>
          <w:lang w:eastAsia="zh-CN"/>
        </w:rPr>
      </w:pPr>
      <w:r>
        <w:rPr>
          <w:rFonts w:hint="eastAsia" w:ascii="宋体" w:hAnsi="宋体" w:eastAsia="仿宋"/>
          <w:sz w:val="28"/>
          <w:szCs w:val="28"/>
        </w:rPr>
        <w:t>项目编号：</w:t>
      </w:r>
      <w:r>
        <w:rPr>
          <w:rFonts w:hint="eastAsia" w:ascii="宋体" w:hAnsi="宋体" w:eastAsia="仿宋"/>
          <w:sz w:val="28"/>
          <w:szCs w:val="28"/>
          <w:lang w:eastAsia="zh-CN"/>
        </w:rPr>
        <w:t>ZF2026-36-0413</w:t>
      </w:r>
    </w:p>
    <w:p w14:paraId="644B5266">
      <w:pPr>
        <w:adjustRightInd w:val="0"/>
        <w:snapToGrid w:val="0"/>
        <w:spacing w:line="360" w:lineRule="auto"/>
        <w:ind w:firstLine="560" w:firstLineChars="200"/>
        <w:rPr>
          <w:rFonts w:hint="eastAsia" w:ascii="宋体" w:hAnsi="宋体" w:eastAsia="仿宋"/>
          <w:sz w:val="28"/>
          <w:szCs w:val="28"/>
          <w:u w:val="single"/>
        </w:rPr>
      </w:pPr>
      <w:r>
        <w:rPr>
          <w:rFonts w:hint="eastAsia" w:ascii="宋体" w:hAnsi="宋体" w:eastAsia="仿宋"/>
          <w:sz w:val="28"/>
          <w:szCs w:val="28"/>
        </w:rPr>
        <w:t>项目名称：</w:t>
      </w:r>
      <w:r>
        <w:rPr>
          <w:rFonts w:hint="eastAsia" w:ascii="宋体" w:hAnsi="宋体" w:eastAsia="仿宋"/>
          <w:sz w:val="28"/>
          <w:szCs w:val="28"/>
          <w:lang w:eastAsia="zh-CN"/>
        </w:rPr>
        <w:t>安徽省公共卫生临床中心（安徽省传染病医院）X线计算机断层扫描仪及单光子发射断层成像装置全维保服务项目（</w:t>
      </w:r>
      <w:r>
        <w:rPr>
          <w:rFonts w:hint="eastAsia" w:ascii="宋体" w:hAnsi="宋体" w:eastAsia="仿宋"/>
          <w:sz w:val="28"/>
          <w:szCs w:val="28"/>
          <w:lang w:val="en-US" w:eastAsia="zh-CN"/>
        </w:rPr>
        <w:t>二次</w:t>
      </w:r>
      <w:r>
        <w:rPr>
          <w:rFonts w:hint="eastAsia" w:ascii="宋体" w:hAnsi="宋体" w:eastAsia="仿宋"/>
          <w:sz w:val="28"/>
          <w:szCs w:val="28"/>
          <w:lang w:eastAsia="zh-CN"/>
        </w:rPr>
        <w:t>）</w:t>
      </w:r>
      <w:r>
        <w:rPr>
          <w:rFonts w:hint="eastAsia" w:ascii="宋体" w:hAnsi="宋体" w:eastAsia="仿宋"/>
          <w:sz w:val="28"/>
          <w:szCs w:val="28"/>
        </w:rPr>
        <w:t>单一来源采购项目</w:t>
      </w:r>
    </w:p>
    <w:bookmarkEnd w:id="17"/>
    <w:p w14:paraId="38A4FE21">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采购需求：</w:t>
      </w:r>
      <w:r>
        <w:rPr>
          <w:rFonts w:hint="eastAsia" w:ascii="宋体" w:hAnsi="宋体" w:eastAsia="仿宋"/>
          <w:sz w:val="28"/>
          <w:szCs w:val="28"/>
          <w:lang w:eastAsia="zh-CN"/>
        </w:rPr>
        <w:t>安徽省公共卫生临床中心（安徽省传染病医院）X线计算机断层扫描仪及单光子发射断层成像装置全维保服务项目</w:t>
      </w:r>
    </w:p>
    <w:p w14:paraId="2CB6011F">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项目预算/控制价：</w:t>
      </w:r>
      <w:r>
        <w:rPr>
          <w:rFonts w:hint="eastAsia" w:ascii="仿宋" w:hAnsi="仿宋" w:eastAsia="仿宋" w:cs="仿宋"/>
          <w:color w:val="000000"/>
          <w:kern w:val="0"/>
          <w:sz w:val="28"/>
          <w:szCs w:val="28"/>
          <w:shd w:val="clear" w:color="auto" w:fill="FFFFFF"/>
          <w:lang w:bidi="ar"/>
        </w:rPr>
        <w:t>106万元/年</w:t>
      </w:r>
    </w:p>
    <w:p w14:paraId="5D55C087">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服务期限：</w:t>
      </w:r>
      <w:r>
        <w:rPr>
          <w:rFonts w:hint="eastAsia" w:ascii="仿宋" w:hAnsi="仿宋" w:eastAsia="仿宋" w:cs="仿宋"/>
          <w:color w:val="000000"/>
          <w:kern w:val="0"/>
          <w:sz w:val="28"/>
          <w:szCs w:val="28"/>
          <w:shd w:val="clear" w:color="auto" w:fill="FFFFFF"/>
          <w:lang w:bidi="ar"/>
        </w:rPr>
        <w:t>3年</w:t>
      </w:r>
    </w:p>
    <w:p w14:paraId="3DC7D2B6">
      <w:pPr>
        <w:pStyle w:val="3"/>
        <w:widowControl/>
        <w:adjustRightInd w:val="0"/>
        <w:snapToGrid w:val="0"/>
        <w:spacing w:before="48" w:beforeLines="20" w:after="48" w:afterLines="20" w:line="360" w:lineRule="auto"/>
        <w:ind w:firstLine="560" w:firstLineChars="200"/>
        <w:rPr>
          <w:rStyle w:val="102"/>
          <w:rFonts w:hint="eastAsia" w:hAnsi="宋体"/>
          <w:b w:val="0"/>
          <w:bCs w:val="0"/>
          <w:sz w:val="28"/>
          <w:szCs w:val="28"/>
        </w:rPr>
      </w:pPr>
      <w:bookmarkStart w:id="18" w:name="_Toc28359004"/>
      <w:bookmarkStart w:id="19" w:name="_Toc28359081"/>
      <w:bookmarkStart w:id="20" w:name="_Toc35393623"/>
      <w:bookmarkStart w:id="21" w:name="_Toc35393792"/>
      <w:r>
        <w:rPr>
          <w:rStyle w:val="102"/>
          <w:rFonts w:hint="eastAsia" w:hAnsi="宋体"/>
          <w:b w:val="0"/>
          <w:bCs w:val="0"/>
          <w:sz w:val="28"/>
          <w:szCs w:val="28"/>
        </w:rPr>
        <w:t>二、获取</w:t>
      </w:r>
      <w:bookmarkEnd w:id="18"/>
      <w:bookmarkEnd w:id="19"/>
      <w:bookmarkEnd w:id="20"/>
      <w:bookmarkEnd w:id="21"/>
      <w:r>
        <w:rPr>
          <w:rStyle w:val="102"/>
          <w:rFonts w:hint="eastAsia" w:hAnsi="宋体"/>
          <w:b w:val="0"/>
          <w:bCs w:val="0"/>
          <w:sz w:val="28"/>
          <w:szCs w:val="28"/>
        </w:rPr>
        <w:t>采购文件</w:t>
      </w:r>
    </w:p>
    <w:p w14:paraId="35EB5786">
      <w:pPr>
        <w:adjustRightInd w:val="0"/>
        <w:snapToGrid w:val="0"/>
        <w:spacing w:line="360" w:lineRule="auto"/>
        <w:ind w:firstLine="560" w:firstLineChars="200"/>
        <w:rPr>
          <w:rFonts w:hint="eastAsia" w:ascii="宋体" w:hAnsi="宋体" w:eastAsia="仿宋" w:cs="宋体"/>
          <w:sz w:val="28"/>
          <w:szCs w:val="28"/>
        </w:rPr>
      </w:pPr>
      <w:r>
        <w:rPr>
          <w:rFonts w:hint="eastAsia" w:ascii="宋体" w:hAnsi="宋体" w:eastAsia="仿宋" w:cs="宋体"/>
          <w:sz w:val="28"/>
          <w:szCs w:val="28"/>
        </w:rPr>
        <w:t>时间：2026年0</w:t>
      </w:r>
      <w:r>
        <w:rPr>
          <w:rFonts w:hint="eastAsia" w:ascii="宋体" w:hAnsi="宋体" w:eastAsia="仿宋" w:cs="宋体"/>
          <w:sz w:val="28"/>
          <w:szCs w:val="28"/>
          <w:lang w:val="en-US" w:eastAsia="zh-CN"/>
        </w:rPr>
        <w:t>5</w:t>
      </w:r>
      <w:r>
        <w:rPr>
          <w:rFonts w:hint="eastAsia" w:ascii="宋体" w:hAnsi="宋体" w:eastAsia="仿宋" w:cs="宋体"/>
          <w:sz w:val="28"/>
          <w:szCs w:val="28"/>
        </w:rPr>
        <w:t>月</w:t>
      </w:r>
      <w:r>
        <w:rPr>
          <w:rFonts w:hint="eastAsia" w:ascii="宋体" w:hAnsi="宋体" w:eastAsia="仿宋" w:cs="宋体"/>
          <w:sz w:val="28"/>
          <w:szCs w:val="28"/>
          <w:lang w:val="en-US" w:eastAsia="zh-CN"/>
        </w:rPr>
        <w:t>06</w:t>
      </w:r>
      <w:r>
        <w:rPr>
          <w:rFonts w:hint="eastAsia" w:ascii="宋体" w:hAnsi="宋体" w:eastAsia="仿宋" w:cs="宋体"/>
          <w:sz w:val="28"/>
          <w:szCs w:val="28"/>
        </w:rPr>
        <w:t>日至2026年0</w:t>
      </w:r>
      <w:r>
        <w:rPr>
          <w:rFonts w:hint="eastAsia" w:ascii="宋体" w:hAnsi="宋体" w:eastAsia="仿宋" w:cs="宋体"/>
          <w:sz w:val="28"/>
          <w:szCs w:val="28"/>
          <w:lang w:val="en-US" w:eastAsia="zh-CN"/>
        </w:rPr>
        <w:t>5</w:t>
      </w:r>
      <w:r>
        <w:rPr>
          <w:rFonts w:hint="eastAsia" w:ascii="宋体" w:hAnsi="宋体" w:eastAsia="仿宋" w:cs="宋体"/>
          <w:sz w:val="28"/>
          <w:szCs w:val="28"/>
        </w:rPr>
        <w:t>月</w:t>
      </w:r>
      <w:r>
        <w:rPr>
          <w:rFonts w:hint="eastAsia" w:ascii="宋体" w:hAnsi="宋体" w:eastAsia="仿宋" w:cs="宋体"/>
          <w:sz w:val="28"/>
          <w:szCs w:val="28"/>
          <w:lang w:val="en-US" w:eastAsia="zh-CN"/>
        </w:rPr>
        <w:t>09</w:t>
      </w:r>
      <w:r>
        <w:rPr>
          <w:rFonts w:hint="eastAsia" w:ascii="宋体" w:hAnsi="宋体" w:eastAsia="仿宋" w:cs="宋体"/>
          <w:sz w:val="28"/>
          <w:szCs w:val="28"/>
        </w:rPr>
        <w:t>日9：30止(北京时间，下同)。</w:t>
      </w:r>
    </w:p>
    <w:p w14:paraId="20898D7E">
      <w:pPr>
        <w:adjustRightInd w:val="0"/>
        <w:snapToGrid w:val="0"/>
        <w:spacing w:line="360" w:lineRule="auto"/>
        <w:ind w:firstLine="560" w:firstLineChars="200"/>
        <w:rPr>
          <w:rFonts w:eastAsia="仿宋"/>
          <w:sz w:val="28"/>
          <w:szCs w:val="28"/>
        </w:rPr>
      </w:pPr>
      <w:r>
        <w:rPr>
          <w:rFonts w:hint="eastAsia" w:eastAsia="仿宋"/>
          <w:sz w:val="28"/>
          <w:szCs w:val="28"/>
        </w:rPr>
        <w:t xml:space="preserve">地点：“优质采云采购平台”（http://www.youzhicai.com/） </w:t>
      </w:r>
    </w:p>
    <w:p w14:paraId="5805DE22">
      <w:pPr>
        <w:adjustRightInd w:val="0"/>
        <w:snapToGrid w:val="0"/>
        <w:spacing w:line="360" w:lineRule="auto"/>
        <w:ind w:firstLine="560" w:firstLineChars="200"/>
        <w:rPr>
          <w:rFonts w:hint="eastAsia" w:ascii="宋体" w:hAnsi="宋体" w:eastAsia="仿宋" w:cs="宋体"/>
          <w:sz w:val="28"/>
          <w:szCs w:val="28"/>
        </w:rPr>
      </w:pPr>
      <w:r>
        <w:rPr>
          <w:rFonts w:hint="eastAsia" w:ascii="宋体" w:hAnsi="宋体" w:eastAsia="仿宋" w:cs="宋体"/>
          <w:sz w:val="28"/>
          <w:szCs w:val="28"/>
        </w:rPr>
        <w:t>方式：</w:t>
      </w:r>
      <w:r>
        <w:rPr>
          <w:rFonts w:hint="eastAsia" w:eastAsia="仿宋"/>
          <w:sz w:val="28"/>
          <w:szCs w:val="28"/>
        </w:rPr>
        <w:t xml:space="preserve">在线下载，售价0元。  </w:t>
      </w:r>
      <w:r>
        <w:rPr>
          <w:rFonts w:hint="eastAsia" w:ascii="宋体" w:hAnsi="宋体" w:eastAsia="仿宋" w:cs="宋体"/>
          <w:sz w:val="28"/>
          <w:szCs w:val="28"/>
        </w:rPr>
        <w:t xml:space="preserve">  </w:t>
      </w:r>
    </w:p>
    <w:p w14:paraId="7427A380">
      <w:pPr>
        <w:pStyle w:val="3"/>
        <w:widowControl/>
        <w:adjustRightInd w:val="0"/>
        <w:snapToGrid w:val="0"/>
        <w:spacing w:before="48" w:beforeLines="20" w:after="48" w:afterLines="20" w:line="360" w:lineRule="auto"/>
        <w:ind w:firstLine="560" w:firstLineChars="200"/>
        <w:rPr>
          <w:rStyle w:val="102"/>
          <w:rFonts w:hint="eastAsia" w:hAnsi="宋体"/>
          <w:b w:val="0"/>
          <w:bCs w:val="0"/>
          <w:sz w:val="28"/>
          <w:szCs w:val="28"/>
        </w:rPr>
      </w:pPr>
      <w:bookmarkStart w:id="22" w:name="_Toc28359005"/>
      <w:bookmarkStart w:id="23" w:name="_Toc28359082"/>
      <w:bookmarkStart w:id="24" w:name="_Toc35393793"/>
      <w:bookmarkStart w:id="25" w:name="_Toc35393624"/>
      <w:r>
        <w:rPr>
          <w:rStyle w:val="102"/>
          <w:rFonts w:hint="eastAsia" w:hAnsi="宋体"/>
          <w:b w:val="0"/>
          <w:bCs w:val="0"/>
          <w:sz w:val="28"/>
          <w:szCs w:val="28"/>
        </w:rPr>
        <w:t>三、</w:t>
      </w:r>
      <w:bookmarkEnd w:id="22"/>
      <w:bookmarkEnd w:id="23"/>
      <w:bookmarkEnd w:id="24"/>
      <w:bookmarkEnd w:id="25"/>
      <w:r>
        <w:rPr>
          <w:rStyle w:val="102"/>
          <w:rFonts w:hint="eastAsia" w:hAnsi="宋体"/>
          <w:b w:val="0"/>
          <w:bCs w:val="0"/>
          <w:sz w:val="28"/>
          <w:szCs w:val="28"/>
        </w:rPr>
        <w:t>响应文件提交</w:t>
      </w:r>
    </w:p>
    <w:p w14:paraId="2FB86DF2">
      <w:pPr>
        <w:adjustRightInd w:val="0"/>
        <w:snapToGrid w:val="0"/>
        <w:spacing w:line="360" w:lineRule="auto"/>
        <w:ind w:firstLine="560" w:firstLineChars="200"/>
        <w:rPr>
          <w:rFonts w:hint="eastAsia" w:ascii="楷体" w:hAnsi="楷体" w:eastAsia="仿宋"/>
          <w:sz w:val="28"/>
          <w:szCs w:val="28"/>
          <w:u w:val="single"/>
        </w:rPr>
      </w:pPr>
      <w:r>
        <w:rPr>
          <w:rFonts w:hint="eastAsia" w:ascii="宋体" w:hAnsi="宋体" w:eastAsia="仿宋"/>
          <w:bCs/>
          <w:sz w:val="28"/>
          <w:szCs w:val="28"/>
        </w:rPr>
        <w:t>截止时间：</w:t>
      </w:r>
      <w:r>
        <w:rPr>
          <w:rFonts w:hint="eastAsia" w:ascii="宋体" w:hAnsi="宋体" w:eastAsia="仿宋" w:cs="宋体"/>
          <w:sz w:val="28"/>
          <w:szCs w:val="28"/>
        </w:rPr>
        <w:t>2026年0</w:t>
      </w:r>
      <w:r>
        <w:rPr>
          <w:rFonts w:hint="eastAsia" w:ascii="宋体" w:hAnsi="宋体" w:eastAsia="仿宋" w:cs="宋体"/>
          <w:sz w:val="28"/>
          <w:szCs w:val="28"/>
          <w:lang w:val="en-US" w:eastAsia="zh-CN"/>
        </w:rPr>
        <w:t>5</w:t>
      </w:r>
      <w:r>
        <w:rPr>
          <w:rFonts w:hint="eastAsia" w:ascii="宋体" w:hAnsi="宋体" w:eastAsia="仿宋" w:cs="宋体"/>
          <w:sz w:val="28"/>
          <w:szCs w:val="28"/>
        </w:rPr>
        <w:t>月</w:t>
      </w:r>
      <w:r>
        <w:rPr>
          <w:rFonts w:hint="eastAsia" w:ascii="宋体" w:hAnsi="宋体" w:eastAsia="仿宋" w:cs="宋体"/>
          <w:sz w:val="28"/>
          <w:szCs w:val="28"/>
          <w:lang w:val="en-US" w:eastAsia="zh-CN"/>
        </w:rPr>
        <w:t>0</w:t>
      </w:r>
      <w:bookmarkStart w:id="661" w:name="_GoBack"/>
      <w:bookmarkEnd w:id="661"/>
      <w:r>
        <w:rPr>
          <w:rFonts w:hint="eastAsia" w:ascii="宋体" w:hAnsi="宋体" w:eastAsia="仿宋" w:cs="宋体"/>
          <w:sz w:val="28"/>
          <w:szCs w:val="28"/>
          <w:lang w:val="en-US" w:eastAsia="zh-CN"/>
        </w:rPr>
        <w:t>9</w:t>
      </w:r>
      <w:r>
        <w:rPr>
          <w:rFonts w:hint="eastAsia" w:ascii="宋体" w:hAnsi="宋体" w:eastAsia="仿宋" w:cs="宋体"/>
          <w:sz w:val="28"/>
          <w:szCs w:val="28"/>
        </w:rPr>
        <w:t>日9：30（北京时间）</w:t>
      </w:r>
    </w:p>
    <w:p w14:paraId="515EADE9">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地点：</w:t>
      </w:r>
      <w:bookmarkStart w:id="26" w:name="_Hlk44253880"/>
      <w:r>
        <w:rPr>
          <w:rFonts w:hint="eastAsia" w:ascii="楷体" w:hAnsi="楷体" w:eastAsia="仿宋"/>
          <w:sz w:val="28"/>
          <w:szCs w:val="28"/>
        </w:rPr>
        <w:t>电子响应文件线上提交方式：“优质采云采购平台”（http://www.youzhicai.com/）</w:t>
      </w:r>
      <w:bookmarkEnd w:id="26"/>
    </w:p>
    <w:p w14:paraId="3842AB0C">
      <w:pPr>
        <w:pStyle w:val="3"/>
        <w:widowControl/>
        <w:adjustRightInd w:val="0"/>
        <w:snapToGrid w:val="0"/>
        <w:spacing w:before="48" w:beforeLines="20" w:after="48" w:afterLines="20" w:line="360" w:lineRule="auto"/>
        <w:ind w:firstLine="560" w:firstLineChars="200"/>
        <w:rPr>
          <w:rStyle w:val="102"/>
          <w:rFonts w:hint="eastAsia" w:hAnsi="宋体"/>
          <w:b w:val="0"/>
          <w:bCs w:val="0"/>
          <w:sz w:val="28"/>
          <w:szCs w:val="28"/>
        </w:rPr>
      </w:pPr>
      <w:bookmarkStart w:id="27" w:name="_Toc28359084"/>
      <w:bookmarkStart w:id="28" w:name="_Toc28359007"/>
      <w:bookmarkStart w:id="29" w:name="_Toc35393794"/>
      <w:bookmarkStart w:id="30" w:name="_Toc35393625"/>
      <w:r>
        <w:rPr>
          <w:rStyle w:val="102"/>
          <w:rFonts w:hint="eastAsia" w:hAnsi="宋体"/>
          <w:b w:val="0"/>
          <w:bCs w:val="0"/>
          <w:sz w:val="28"/>
          <w:szCs w:val="28"/>
        </w:rPr>
        <w:t>四、协商开始时间和地点</w:t>
      </w:r>
    </w:p>
    <w:p w14:paraId="70A8B84F">
      <w:pPr>
        <w:adjustRightInd w:val="0"/>
        <w:snapToGrid w:val="0"/>
        <w:spacing w:line="360" w:lineRule="auto"/>
        <w:ind w:firstLine="560" w:firstLineChars="200"/>
        <w:rPr>
          <w:rFonts w:hint="eastAsia" w:ascii="宋体" w:hAnsi="宋体" w:eastAsia="仿宋"/>
          <w:bCs/>
          <w:sz w:val="28"/>
          <w:szCs w:val="28"/>
          <w:u w:val="single"/>
        </w:rPr>
      </w:pPr>
      <w:r>
        <w:rPr>
          <w:rFonts w:hint="eastAsia" w:ascii="宋体" w:hAnsi="宋体" w:eastAsia="仿宋"/>
          <w:sz w:val="28"/>
          <w:szCs w:val="28"/>
        </w:rPr>
        <w:t>时间：</w:t>
      </w:r>
      <w:r>
        <w:rPr>
          <w:rFonts w:hint="eastAsia" w:ascii="宋体" w:hAnsi="宋体" w:eastAsia="仿宋" w:cs="宋体"/>
          <w:sz w:val="28"/>
          <w:szCs w:val="28"/>
        </w:rPr>
        <w:t>2026年0</w:t>
      </w:r>
      <w:r>
        <w:rPr>
          <w:rFonts w:hint="eastAsia" w:ascii="宋体" w:hAnsi="宋体" w:eastAsia="仿宋" w:cs="宋体"/>
          <w:sz w:val="28"/>
          <w:szCs w:val="28"/>
          <w:lang w:val="en-US" w:eastAsia="zh-CN"/>
        </w:rPr>
        <w:t>5</w:t>
      </w:r>
      <w:r>
        <w:rPr>
          <w:rFonts w:hint="eastAsia" w:ascii="宋体" w:hAnsi="宋体" w:eastAsia="仿宋" w:cs="宋体"/>
          <w:sz w:val="28"/>
          <w:szCs w:val="28"/>
        </w:rPr>
        <w:t>月</w:t>
      </w:r>
      <w:r>
        <w:rPr>
          <w:rFonts w:hint="eastAsia" w:ascii="宋体" w:hAnsi="宋体" w:eastAsia="仿宋" w:cs="宋体"/>
          <w:sz w:val="28"/>
          <w:szCs w:val="28"/>
          <w:lang w:val="en-US" w:eastAsia="zh-CN"/>
        </w:rPr>
        <w:t>09</w:t>
      </w:r>
      <w:r>
        <w:rPr>
          <w:rFonts w:hint="eastAsia" w:ascii="宋体" w:hAnsi="宋体" w:eastAsia="仿宋" w:cs="宋体"/>
          <w:sz w:val="28"/>
          <w:szCs w:val="28"/>
        </w:rPr>
        <w:t>日9：30（北京时间）</w:t>
      </w:r>
    </w:p>
    <w:p w14:paraId="13B39D72">
      <w:pPr>
        <w:adjustRightInd w:val="0"/>
        <w:snapToGrid w:val="0"/>
        <w:spacing w:line="360" w:lineRule="auto"/>
        <w:ind w:firstLine="560" w:firstLineChars="200"/>
        <w:rPr>
          <w:rFonts w:hint="eastAsia" w:ascii="宋体" w:hAnsi="宋体" w:eastAsia="仿宋"/>
          <w:sz w:val="28"/>
          <w:szCs w:val="28"/>
        </w:rPr>
      </w:pPr>
      <w:r>
        <w:rPr>
          <w:rFonts w:hint="eastAsia" w:ascii="宋体" w:hAnsi="宋体" w:eastAsia="仿宋"/>
          <w:sz w:val="28"/>
          <w:szCs w:val="28"/>
        </w:rPr>
        <w:t>地点：</w:t>
      </w:r>
      <w:r>
        <w:rPr>
          <w:rFonts w:hint="eastAsia" w:ascii="楷体" w:hAnsi="楷体" w:eastAsia="仿宋"/>
          <w:sz w:val="28"/>
          <w:szCs w:val="28"/>
        </w:rPr>
        <w:t>优质采云采购平台（http://www.youzhicai.com/）</w:t>
      </w:r>
    </w:p>
    <w:bookmarkEnd w:id="27"/>
    <w:bookmarkEnd w:id="28"/>
    <w:bookmarkEnd w:id="29"/>
    <w:bookmarkEnd w:id="30"/>
    <w:p w14:paraId="6CABE3DF">
      <w:pPr>
        <w:pStyle w:val="3"/>
        <w:widowControl/>
        <w:adjustRightInd w:val="0"/>
        <w:snapToGrid w:val="0"/>
        <w:spacing w:before="48" w:beforeLines="20" w:after="48" w:afterLines="20" w:line="360" w:lineRule="auto"/>
        <w:ind w:firstLine="560" w:firstLineChars="200"/>
        <w:rPr>
          <w:rStyle w:val="102"/>
          <w:rFonts w:hint="eastAsia" w:hAnsi="宋体"/>
          <w:b w:val="0"/>
          <w:bCs w:val="0"/>
          <w:sz w:val="28"/>
          <w:szCs w:val="28"/>
        </w:rPr>
      </w:pPr>
      <w:bookmarkStart w:id="31" w:name="_Toc35393795"/>
      <w:bookmarkStart w:id="32" w:name="_Toc35393626"/>
      <w:r>
        <w:rPr>
          <w:rStyle w:val="102"/>
          <w:rFonts w:hint="eastAsia" w:hAnsi="宋体"/>
          <w:b w:val="0"/>
          <w:bCs w:val="0"/>
          <w:sz w:val="28"/>
          <w:szCs w:val="28"/>
        </w:rPr>
        <w:t>五、其他补充事宜</w:t>
      </w:r>
      <w:bookmarkEnd w:id="31"/>
      <w:bookmarkEnd w:id="32"/>
    </w:p>
    <w:p w14:paraId="1951CA77">
      <w:pPr>
        <w:pStyle w:val="127"/>
        <w:adjustRightInd w:val="0"/>
        <w:snapToGrid w:val="0"/>
        <w:spacing w:line="360" w:lineRule="auto"/>
        <w:ind w:firstLine="560"/>
        <w:rPr>
          <w:rFonts w:hint="eastAsia" w:ascii="宋体" w:hAnsi="宋体" w:eastAsia="仿宋"/>
          <w:sz w:val="28"/>
          <w:szCs w:val="28"/>
        </w:rPr>
      </w:pPr>
      <w:r>
        <w:rPr>
          <w:rFonts w:hint="eastAsia" w:ascii="宋体" w:hAnsi="宋体" w:eastAsia="仿宋"/>
          <w:sz w:val="28"/>
          <w:szCs w:val="28"/>
        </w:rPr>
        <w:t>1. 本项目相关信息同时在“中国招标投标公共服务平台（www.cebpubservice.com）、安徽省招标投标信息网（www.ahtba.org.cn）、优质采云采购平台（网址：www.youzhicai.com）、优质采招标采购平台（www.yzczb.com）”等媒介上发布；</w:t>
      </w:r>
    </w:p>
    <w:p w14:paraId="71D0F2CC">
      <w:pPr>
        <w:pStyle w:val="127"/>
        <w:adjustRightInd w:val="0"/>
        <w:snapToGrid w:val="0"/>
        <w:spacing w:line="360" w:lineRule="auto"/>
        <w:ind w:firstLine="560"/>
        <w:rPr>
          <w:rFonts w:hint="eastAsia" w:ascii="宋体" w:hAnsi="宋体" w:eastAsia="仿宋"/>
          <w:sz w:val="28"/>
          <w:szCs w:val="28"/>
        </w:rPr>
      </w:pPr>
      <w:r>
        <w:rPr>
          <w:rFonts w:hint="eastAsia" w:ascii="宋体" w:hAnsi="宋体" w:eastAsia="仿宋"/>
          <w:sz w:val="28"/>
          <w:szCs w:val="28"/>
        </w:rPr>
        <w:t>2. 电子化交易要求：</w:t>
      </w:r>
    </w:p>
    <w:p w14:paraId="77FF6575">
      <w:pPr>
        <w:widowControl/>
        <w:wordWrap w:val="0"/>
        <w:topLinePunct/>
        <w:spacing w:line="360" w:lineRule="auto"/>
        <w:ind w:firstLine="560" w:firstLineChars="200"/>
        <w:rPr>
          <w:rFonts w:hint="eastAsia" w:ascii="宋体" w:hAnsi="宋体" w:eastAsia="仿宋"/>
          <w:sz w:val="28"/>
          <w:szCs w:val="28"/>
        </w:rPr>
      </w:pPr>
      <w:r>
        <w:rPr>
          <w:rFonts w:hint="eastAsia" w:ascii="宋体" w:hAnsi="宋体" w:eastAsia="仿宋"/>
          <w:sz w:val="28"/>
          <w:szCs w:val="28"/>
        </w:rPr>
        <w:t>（1）潜在供应商须登录“优质采云采购平台”（网址：</w:t>
      </w:r>
      <w:r>
        <w:rPr>
          <w:rFonts w:ascii="宋体" w:hAnsi="宋体" w:eastAsia="仿宋"/>
          <w:sz w:val="28"/>
          <w:szCs w:val="28"/>
        </w:rPr>
        <w:fldChar w:fldCharType="begin"/>
      </w:r>
      <w:r>
        <w:rPr>
          <w:rFonts w:ascii="宋体" w:hAnsi="宋体" w:eastAsia="仿宋"/>
          <w:sz w:val="28"/>
          <w:szCs w:val="28"/>
        </w:rPr>
        <w:instrText xml:space="preserve"> HYPERLINK "http://www.youzhicai.com" </w:instrText>
      </w:r>
      <w:r>
        <w:rPr>
          <w:rFonts w:ascii="宋体" w:hAnsi="宋体" w:eastAsia="仿宋"/>
          <w:sz w:val="28"/>
          <w:szCs w:val="28"/>
        </w:rPr>
        <w:fldChar w:fldCharType="separate"/>
      </w:r>
      <w:r>
        <w:rPr>
          <w:rFonts w:hint="eastAsia" w:ascii="宋体" w:hAnsi="宋体" w:eastAsia="仿宋"/>
          <w:sz w:val="28"/>
          <w:szCs w:val="28"/>
        </w:rPr>
        <w:t>www.youzhicai.com</w:t>
      </w:r>
      <w:r>
        <w:rPr>
          <w:rFonts w:ascii="宋体" w:hAnsi="宋体" w:eastAsia="仿宋"/>
          <w:sz w:val="28"/>
          <w:szCs w:val="28"/>
        </w:rPr>
        <w:fldChar w:fldCharType="end"/>
      </w:r>
      <w:r>
        <w:rPr>
          <w:rFonts w:hint="eastAsia" w:ascii="宋体" w:hAnsi="宋体" w:eastAsia="仿宋"/>
          <w:sz w:val="28"/>
          <w:szCs w:val="28"/>
        </w:rPr>
        <w:t>，以下称“优质采平台”）参与本项目采购活动。首次登录须办理注册手续，请务必选择注册为“投标人角色”类型。注册流程见优质采平台“用户注册”栏目，咨询电话：400-0099-555。因未及时办理注册手续影响参加采购活动的，责任自负。</w:t>
      </w:r>
    </w:p>
    <w:p w14:paraId="1BE42255">
      <w:pPr>
        <w:widowControl/>
        <w:wordWrap w:val="0"/>
        <w:topLinePunct/>
        <w:spacing w:line="360" w:lineRule="auto"/>
        <w:ind w:firstLine="560" w:firstLineChars="200"/>
        <w:rPr>
          <w:rFonts w:hint="eastAsia" w:ascii="宋体" w:hAnsi="宋体" w:eastAsia="仿宋"/>
          <w:sz w:val="28"/>
          <w:szCs w:val="28"/>
        </w:rPr>
      </w:pPr>
      <w:r>
        <w:rPr>
          <w:rFonts w:hint="eastAsia" w:ascii="宋体" w:hAnsi="宋体" w:eastAsia="仿宋"/>
          <w:sz w:val="28"/>
          <w:szCs w:val="28"/>
        </w:rPr>
        <w:t>（2）本项目的采购文件及其他资料（含澄清、答疑及相关补充文件）通过优质采平台发布，采购人/代理机构不再另行书面通知，潜在供应商应及时关注、查阅优质采平台。因未及时查看导致不利后果的，责任自负。</w:t>
      </w:r>
    </w:p>
    <w:p w14:paraId="1A05CEDA">
      <w:pPr>
        <w:widowControl/>
        <w:wordWrap w:val="0"/>
        <w:topLinePunct/>
        <w:spacing w:line="360" w:lineRule="auto"/>
        <w:ind w:firstLine="560" w:firstLineChars="200"/>
        <w:rPr>
          <w:rFonts w:hint="eastAsia" w:ascii="宋体" w:hAnsi="宋体" w:eastAsia="仿宋"/>
          <w:sz w:val="28"/>
          <w:szCs w:val="28"/>
        </w:rPr>
      </w:pPr>
      <w:r>
        <w:rPr>
          <w:rFonts w:hint="eastAsia" w:ascii="宋体" w:hAnsi="宋体" w:eastAsia="仿宋"/>
          <w:sz w:val="28"/>
          <w:szCs w:val="28"/>
        </w:rPr>
        <w:t>（3）已注册的潜在供应商若注册信息发生变更（如：与初始注册信息不一致），应及时网上提交变更申请。因未及时变更导致不利后果的，责任自负。</w:t>
      </w:r>
    </w:p>
    <w:p w14:paraId="6BDD4EF8">
      <w:pPr>
        <w:widowControl/>
        <w:wordWrap w:val="0"/>
        <w:topLinePunct/>
        <w:spacing w:line="360" w:lineRule="auto"/>
        <w:ind w:firstLine="560" w:firstLineChars="200"/>
        <w:rPr>
          <w:rFonts w:hint="eastAsia" w:ascii="宋体" w:hAnsi="宋体" w:eastAsia="仿宋"/>
          <w:sz w:val="28"/>
          <w:szCs w:val="28"/>
        </w:rPr>
      </w:pPr>
      <w:r>
        <w:rPr>
          <w:rFonts w:hint="eastAsia" w:ascii="宋体" w:hAnsi="宋体" w:eastAsia="仿宋"/>
          <w:sz w:val="28"/>
          <w:szCs w:val="28"/>
        </w:rPr>
        <w:t>（4）本项目采用全流程电子化采购方式，潜在供应商须办理CA数字证书（以下简称CA），CA用于电子响应文件的签章及上传（上传响应文件需使用CA进行加密）；CA办理详见《关于优质采平台数字证书办理的须知》（http://www.youzhicai.com/nd/a_8f80a7ec-911f-4c4d-a123-f8849880f045.html）；咨询热线：400-0099-555。</w:t>
      </w:r>
    </w:p>
    <w:p w14:paraId="242B6EC4">
      <w:pPr>
        <w:widowControl/>
        <w:wordWrap w:val="0"/>
        <w:topLinePunct/>
        <w:spacing w:line="360" w:lineRule="auto"/>
        <w:ind w:firstLine="560" w:firstLineChars="200"/>
        <w:rPr>
          <w:rFonts w:hint="eastAsia" w:ascii="宋体" w:hAnsi="宋体" w:eastAsia="仿宋"/>
          <w:sz w:val="28"/>
          <w:szCs w:val="28"/>
        </w:rPr>
      </w:pPr>
      <w:r>
        <w:rPr>
          <w:rFonts w:hint="eastAsia" w:ascii="宋体" w:hAnsi="宋体" w:eastAsia="仿宋"/>
          <w:sz w:val="28"/>
          <w:szCs w:val="28"/>
        </w:rPr>
        <w:t>（5）电子投标/响应文件必须使用“优质采投标文件制作工具”制作生成并上传。下载地址：http://toolcdn.youzhicai.com/tools/BidderTools.zip，使用说明书及视频教程下载地址: http://file.youzhicai.com/files/BidderHelp.rar。</w:t>
      </w:r>
    </w:p>
    <w:bookmarkEnd w:id="12"/>
    <w:p w14:paraId="3145139F">
      <w:pPr>
        <w:pStyle w:val="2"/>
        <w:widowControl/>
        <w:spacing w:before="0" w:after="0" w:line="240" w:lineRule="auto"/>
        <w:jc w:val="center"/>
        <w:rPr>
          <w:rFonts w:hint="eastAsia" w:ascii="宋体" w:hAnsi="宋体" w:eastAsia="仿宋"/>
        </w:rPr>
      </w:pPr>
      <w:r>
        <w:rPr>
          <w:rFonts w:ascii="宋体" w:hAnsi="宋体" w:eastAsia="仿宋"/>
          <w:sz w:val="24"/>
          <w:szCs w:val="24"/>
        </w:rPr>
        <w:br w:type="page"/>
      </w:r>
      <w:bookmarkStart w:id="33" w:name="_Toc25458"/>
      <w:r>
        <w:rPr>
          <w:rFonts w:hint="eastAsia" w:ascii="宋体" w:hAnsi="宋体" w:eastAsia="仿宋"/>
        </w:rPr>
        <w:t>第二章</w:t>
      </w:r>
      <w:r>
        <w:rPr>
          <w:rFonts w:ascii="宋体" w:hAnsi="宋体" w:eastAsia="仿宋"/>
        </w:rPr>
        <w:t xml:space="preserve"> </w:t>
      </w:r>
      <w:r>
        <w:rPr>
          <w:rFonts w:hint="eastAsia" w:ascii="宋体" w:hAnsi="宋体" w:eastAsia="仿宋"/>
        </w:rPr>
        <w:t xml:space="preserve"> 供应商须知</w:t>
      </w:r>
      <w:bookmarkEnd w:id="5"/>
      <w:bookmarkEnd w:id="6"/>
      <w:bookmarkEnd w:id="7"/>
      <w:bookmarkEnd w:id="33"/>
    </w:p>
    <w:p w14:paraId="420E7A00">
      <w:pPr>
        <w:pStyle w:val="3"/>
        <w:widowControl/>
        <w:spacing w:before="120" w:after="120" w:line="240" w:lineRule="auto"/>
        <w:jc w:val="center"/>
        <w:rPr>
          <w:rStyle w:val="102"/>
          <w:rFonts w:hint="eastAsia" w:ascii="仿宋" w:hAnsi="仿宋" w:eastAsia="仿宋" w:cs="仿宋"/>
          <w:b/>
          <w:bCs w:val="0"/>
          <w:sz w:val="28"/>
          <w:szCs w:val="28"/>
        </w:rPr>
      </w:pPr>
      <w:bookmarkStart w:id="34" w:name="_Toc466024498"/>
      <w:bookmarkStart w:id="35" w:name="_Toc445554686"/>
      <w:r>
        <w:rPr>
          <w:rStyle w:val="102"/>
          <w:rFonts w:hint="eastAsia" w:ascii="仿宋" w:hAnsi="仿宋" w:eastAsia="仿宋" w:cs="仿宋"/>
          <w:b/>
          <w:bCs w:val="0"/>
          <w:sz w:val="28"/>
          <w:szCs w:val="28"/>
        </w:rPr>
        <w:t>供应商须知前附表</w:t>
      </w:r>
      <w:bookmarkEnd w:id="34"/>
      <w:bookmarkEnd w:id="35"/>
    </w:p>
    <w:p w14:paraId="406B3787">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宋体" w:hAnsi="宋体" w:eastAsia="仿宋"/>
          <w:b/>
          <w:bCs/>
          <w:sz w:val="24"/>
        </w:rPr>
        <w:t>本《供应商须知前附表》是对本章《供应商须知》的具体补充和修改，如有不一致，以本《供应商须知前附表》为准。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811"/>
        <w:gridCol w:w="6999"/>
      </w:tblGrid>
      <w:tr w14:paraId="6EDC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vAlign w:val="center"/>
          </w:tcPr>
          <w:p w14:paraId="6C3E149A">
            <w:pPr>
              <w:widowControl/>
              <w:adjustRightInd w:val="0"/>
              <w:snapToGrid w:val="0"/>
              <w:spacing w:line="288" w:lineRule="auto"/>
              <w:jc w:val="center"/>
              <w:rPr>
                <w:rFonts w:hint="eastAsia" w:ascii="宋体" w:hAnsi="宋体" w:cs="Calibri"/>
                <w:b/>
                <w:sz w:val="24"/>
              </w:rPr>
            </w:pPr>
            <w:r>
              <w:rPr>
                <w:rFonts w:hint="eastAsia" w:ascii="宋体" w:hAnsi="宋体" w:eastAsia="仿宋" w:cs="Calibri"/>
                <w:b/>
                <w:sz w:val="24"/>
              </w:rPr>
              <w:t>条款号</w:t>
            </w:r>
          </w:p>
        </w:tc>
        <w:tc>
          <w:tcPr>
            <w:tcW w:w="1811" w:type="dxa"/>
            <w:vAlign w:val="center"/>
          </w:tcPr>
          <w:p w14:paraId="24A93AA1">
            <w:pPr>
              <w:widowControl/>
              <w:adjustRightInd w:val="0"/>
              <w:snapToGrid w:val="0"/>
              <w:spacing w:line="288" w:lineRule="auto"/>
              <w:jc w:val="center"/>
              <w:rPr>
                <w:rFonts w:hint="eastAsia" w:ascii="宋体" w:hAnsi="宋体" w:cs="Calibri"/>
                <w:b/>
                <w:sz w:val="24"/>
              </w:rPr>
            </w:pPr>
            <w:r>
              <w:rPr>
                <w:rFonts w:hint="eastAsia" w:ascii="宋体" w:hAnsi="宋体" w:eastAsia="仿宋" w:cs="Calibri"/>
                <w:b/>
                <w:sz w:val="24"/>
              </w:rPr>
              <w:t>条款名称</w:t>
            </w:r>
          </w:p>
        </w:tc>
        <w:tc>
          <w:tcPr>
            <w:tcW w:w="6999" w:type="dxa"/>
            <w:vAlign w:val="center"/>
          </w:tcPr>
          <w:p w14:paraId="0B3AEE82">
            <w:pPr>
              <w:widowControl/>
              <w:adjustRightInd w:val="0"/>
              <w:snapToGrid w:val="0"/>
              <w:spacing w:line="288" w:lineRule="auto"/>
              <w:jc w:val="center"/>
              <w:rPr>
                <w:rFonts w:hint="eastAsia" w:ascii="宋体" w:hAnsi="宋体" w:cs="Calibri"/>
                <w:b/>
                <w:sz w:val="24"/>
              </w:rPr>
            </w:pPr>
            <w:r>
              <w:rPr>
                <w:rFonts w:hint="eastAsia" w:ascii="宋体" w:hAnsi="宋体" w:eastAsia="仿宋" w:cs="Calibri"/>
                <w:b/>
                <w:sz w:val="24"/>
              </w:rPr>
              <w:t>编</w:t>
            </w:r>
            <w:r>
              <w:rPr>
                <w:rFonts w:ascii="宋体" w:hAnsi="宋体" w:eastAsia="仿宋" w:cs="Calibri"/>
                <w:b/>
                <w:sz w:val="24"/>
              </w:rPr>
              <w:t xml:space="preserve">  </w:t>
            </w:r>
            <w:r>
              <w:rPr>
                <w:rFonts w:hint="eastAsia" w:ascii="宋体" w:hAnsi="宋体" w:eastAsia="仿宋" w:cs="Calibri"/>
                <w:b/>
                <w:sz w:val="24"/>
              </w:rPr>
              <w:t>列</w:t>
            </w:r>
            <w:r>
              <w:rPr>
                <w:rFonts w:ascii="宋体" w:hAnsi="宋体" w:eastAsia="仿宋" w:cs="Calibri"/>
                <w:b/>
                <w:sz w:val="24"/>
              </w:rPr>
              <w:t xml:space="preserve">  </w:t>
            </w:r>
            <w:r>
              <w:rPr>
                <w:rFonts w:hint="eastAsia" w:ascii="宋体" w:hAnsi="宋体" w:eastAsia="仿宋" w:cs="Calibri"/>
                <w:b/>
                <w:sz w:val="24"/>
              </w:rPr>
              <w:t>内</w:t>
            </w:r>
            <w:r>
              <w:rPr>
                <w:rFonts w:ascii="宋体" w:hAnsi="宋体" w:eastAsia="仿宋" w:cs="Calibri"/>
                <w:b/>
                <w:sz w:val="24"/>
              </w:rPr>
              <w:t xml:space="preserve">  </w:t>
            </w:r>
            <w:r>
              <w:rPr>
                <w:rFonts w:hint="eastAsia" w:ascii="宋体" w:hAnsi="宋体" w:eastAsia="仿宋" w:cs="Calibri"/>
                <w:b/>
                <w:sz w:val="24"/>
              </w:rPr>
              <w:t>容</w:t>
            </w:r>
          </w:p>
        </w:tc>
      </w:tr>
      <w:tr w14:paraId="3476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47E9E58">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1.1.2</w:t>
            </w:r>
          </w:p>
        </w:tc>
        <w:tc>
          <w:tcPr>
            <w:tcW w:w="1811" w:type="dxa"/>
            <w:vAlign w:val="center"/>
          </w:tcPr>
          <w:p w14:paraId="288D689E">
            <w:pPr>
              <w:adjustRightInd w:val="0"/>
              <w:snapToGrid w:val="0"/>
              <w:spacing w:line="288" w:lineRule="auto"/>
              <w:jc w:val="center"/>
              <w:rPr>
                <w:rFonts w:hint="eastAsia" w:ascii="宋体" w:hAnsi="宋体"/>
                <w:sz w:val="24"/>
              </w:rPr>
            </w:pPr>
            <w:r>
              <w:rPr>
                <w:rFonts w:hint="eastAsia" w:ascii="宋体" w:hAnsi="宋体" w:eastAsia="仿宋"/>
                <w:sz w:val="24"/>
              </w:rPr>
              <w:t>采购人</w:t>
            </w:r>
          </w:p>
        </w:tc>
        <w:tc>
          <w:tcPr>
            <w:tcW w:w="6999" w:type="dxa"/>
            <w:vAlign w:val="center"/>
          </w:tcPr>
          <w:p w14:paraId="53F33649">
            <w:pPr>
              <w:adjustRightInd w:val="0"/>
              <w:snapToGrid w:val="0"/>
              <w:spacing w:line="288" w:lineRule="auto"/>
              <w:rPr>
                <w:rFonts w:hint="eastAsia" w:ascii="宋体" w:hAnsi="宋体" w:eastAsia="仿宋"/>
                <w:sz w:val="24"/>
              </w:rPr>
            </w:pPr>
            <w:r>
              <w:rPr>
                <w:rFonts w:hint="eastAsia" w:ascii="宋体" w:hAnsi="宋体" w:eastAsia="仿宋"/>
                <w:sz w:val="24"/>
              </w:rPr>
              <w:t>见采购邀请书</w:t>
            </w:r>
          </w:p>
        </w:tc>
      </w:tr>
      <w:tr w14:paraId="6F3E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F490F2E">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1.1.3</w:t>
            </w:r>
          </w:p>
        </w:tc>
        <w:tc>
          <w:tcPr>
            <w:tcW w:w="1811" w:type="dxa"/>
            <w:vAlign w:val="center"/>
          </w:tcPr>
          <w:p w14:paraId="70D81C45">
            <w:pPr>
              <w:adjustRightInd w:val="0"/>
              <w:snapToGrid w:val="0"/>
              <w:spacing w:line="288" w:lineRule="auto"/>
              <w:jc w:val="center"/>
              <w:rPr>
                <w:rFonts w:hint="eastAsia" w:ascii="宋体" w:hAnsi="宋体"/>
                <w:sz w:val="24"/>
              </w:rPr>
            </w:pPr>
            <w:r>
              <w:rPr>
                <w:rFonts w:hint="eastAsia" w:ascii="宋体" w:hAnsi="宋体" w:eastAsia="仿宋"/>
                <w:sz w:val="24"/>
              </w:rPr>
              <w:t>采购代理机构</w:t>
            </w:r>
          </w:p>
        </w:tc>
        <w:tc>
          <w:tcPr>
            <w:tcW w:w="6999" w:type="dxa"/>
            <w:vAlign w:val="center"/>
          </w:tcPr>
          <w:p w14:paraId="2DC164A0">
            <w:pPr>
              <w:adjustRightInd w:val="0"/>
              <w:snapToGrid w:val="0"/>
              <w:spacing w:line="288" w:lineRule="auto"/>
              <w:rPr>
                <w:rFonts w:hint="eastAsia" w:ascii="宋体" w:hAnsi="宋体" w:eastAsia="仿宋"/>
                <w:sz w:val="24"/>
              </w:rPr>
            </w:pPr>
            <w:r>
              <w:rPr>
                <w:rFonts w:hint="eastAsia" w:ascii="宋体" w:hAnsi="宋体" w:eastAsia="仿宋"/>
                <w:sz w:val="24"/>
              </w:rPr>
              <w:t>见采购邀请书</w:t>
            </w:r>
          </w:p>
        </w:tc>
      </w:tr>
      <w:tr w14:paraId="523C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BB02183">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1.1.4</w:t>
            </w:r>
          </w:p>
        </w:tc>
        <w:tc>
          <w:tcPr>
            <w:tcW w:w="1811" w:type="dxa"/>
            <w:vAlign w:val="center"/>
          </w:tcPr>
          <w:p w14:paraId="6F0264F2">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采购项目名称</w:t>
            </w:r>
          </w:p>
        </w:tc>
        <w:tc>
          <w:tcPr>
            <w:tcW w:w="6999" w:type="dxa"/>
            <w:vAlign w:val="center"/>
          </w:tcPr>
          <w:p w14:paraId="49E78742">
            <w:pPr>
              <w:widowControl/>
              <w:adjustRightInd w:val="0"/>
              <w:snapToGrid w:val="0"/>
              <w:spacing w:line="288" w:lineRule="auto"/>
              <w:rPr>
                <w:rFonts w:hint="eastAsia" w:ascii="宋体" w:hAnsi="宋体" w:eastAsia="仿宋" w:cs="Calibri"/>
                <w:sz w:val="24"/>
              </w:rPr>
            </w:pPr>
            <w:r>
              <w:rPr>
                <w:rFonts w:hint="eastAsia" w:ascii="宋体" w:hAnsi="宋体" w:eastAsia="仿宋"/>
                <w:sz w:val="24"/>
              </w:rPr>
              <w:t>见采购邀请书</w:t>
            </w:r>
          </w:p>
        </w:tc>
      </w:tr>
      <w:tr w14:paraId="4A3E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07DD0C6">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1.1.5</w:t>
            </w:r>
          </w:p>
        </w:tc>
        <w:tc>
          <w:tcPr>
            <w:tcW w:w="1811" w:type="dxa"/>
            <w:vAlign w:val="center"/>
          </w:tcPr>
          <w:p w14:paraId="75BEFA58">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采购包划分</w:t>
            </w:r>
          </w:p>
        </w:tc>
        <w:tc>
          <w:tcPr>
            <w:tcW w:w="6999" w:type="dxa"/>
            <w:vAlign w:val="center"/>
          </w:tcPr>
          <w:p w14:paraId="3A96E793">
            <w:pPr>
              <w:widowControl/>
              <w:adjustRightInd w:val="0"/>
              <w:snapToGrid w:val="0"/>
              <w:spacing w:line="288" w:lineRule="auto"/>
              <w:rPr>
                <w:rFonts w:hint="eastAsia" w:ascii="宋体" w:hAnsi="宋体" w:eastAsia="楷体" w:cs="Calibri"/>
                <w:sz w:val="24"/>
              </w:rPr>
            </w:pPr>
            <w:r>
              <w:rPr>
                <w:rFonts w:hint="eastAsia" w:ascii="仿宋" w:hAnsi="仿宋" w:eastAsia="仿宋" w:cs="仿宋"/>
                <w:iCs/>
                <w:sz w:val="24"/>
              </w:rPr>
              <w:t>/</w:t>
            </w:r>
          </w:p>
        </w:tc>
      </w:tr>
      <w:tr w14:paraId="3D9C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3E99251">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1.1.6</w:t>
            </w:r>
          </w:p>
        </w:tc>
        <w:tc>
          <w:tcPr>
            <w:tcW w:w="1811" w:type="dxa"/>
            <w:vAlign w:val="center"/>
          </w:tcPr>
          <w:p w14:paraId="129F21A5">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采购预算</w:t>
            </w:r>
          </w:p>
        </w:tc>
        <w:tc>
          <w:tcPr>
            <w:tcW w:w="6999" w:type="dxa"/>
            <w:vAlign w:val="center"/>
          </w:tcPr>
          <w:p w14:paraId="7DDA5FD9">
            <w:pPr>
              <w:widowControl/>
              <w:adjustRightInd w:val="0"/>
              <w:snapToGrid w:val="0"/>
              <w:spacing w:line="288" w:lineRule="auto"/>
              <w:rPr>
                <w:rFonts w:hint="eastAsia" w:ascii="宋体" w:hAnsi="宋体" w:eastAsia="仿宋" w:cs="Calibri"/>
                <w:sz w:val="24"/>
              </w:rPr>
            </w:pPr>
            <w:r>
              <w:rPr>
                <w:rFonts w:hint="eastAsia" w:ascii="宋体" w:hAnsi="宋体" w:eastAsia="仿宋"/>
                <w:sz w:val="24"/>
              </w:rPr>
              <w:t>见采购邀请书</w:t>
            </w:r>
          </w:p>
        </w:tc>
      </w:tr>
      <w:tr w14:paraId="696A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6EFC761">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1.2.1</w:t>
            </w:r>
          </w:p>
        </w:tc>
        <w:tc>
          <w:tcPr>
            <w:tcW w:w="1811" w:type="dxa"/>
            <w:vAlign w:val="center"/>
          </w:tcPr>
          <w:p w14:paraId="57C09AF8">
            <w:pPr>
              <w:widowControl/>
              <w:adjustRightInd w:val="0"/>
              <w:snapToGrid w:val="0"/>
              <w:spacing w:line="288" w:lineRule="auto"/>
              <w:jc w:val="center"/>
              <w:rPr>
                <w:rFonts w:hint="eastAsia" w:ascii="宋体" w:hAnsi="宋体" w:eastAsia="仿宋"/>
                <w:sz w:val="24"/>
              </w:rPr>
            </w:pPr>
            <w:r>
              <w:rPr>
                <w:rFonts w:hint="eastAsia" w:ascii="宋体" w:hAnsi="宋体" w:eastAsia="仿宋" w:cs="仿宋"/>
                <w:sz w:val="24"/>
                <w:lang w:bidi="ar"/>
              </w:rPr>
              <w:t>资金来源及比例</w:t>
            </w:r>
          </w:p>
        </w:tc>
        <w:tc>
          <w:tcPr>
            <w:tcW w:w="6999" w:type="dxa"/>
            <w:vAlign w:val="center"/>
          </w:tcPr>
          <w:p w14:paraId="130607EB">
            <w:pPr>
              <w:widowControl/>
              <w:adjustRightInd w:val="0"/>
              <w:snapToGrid w:val="0"/>
              <w:spacing w:line="288" w:lineRule="auto"/>
              <w:rPr>
                <w:rFonts w:hint="eastAsia" w:ascii="仿宋" w:hAnsi="仿宋" w:eastAsia="仿宋" w:cs="仿宋"/>
                <w:iCs/>
                <w:sz w:val="24"/>
              </w:rPr>
            </w:pPr>
            <w:r>
              <w:rPr>
                <w:rFonts w:hint="eastAsia" w:ascii="宋体" w:hAnsi="宋体" w:eastAsia="仿宋"/>
                <w:sz w:val="24"/>
              </w:rPr>
              <w:t>财政性资金 100%</w:t>
            </w:r>
          </w:p>
        </w:tc>
      </w:tr>
      <w:tr w14:paraId="36FC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6685E49">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1.3.1</w:t>
            </w:r>
          </w:p>
        </w:tc>
        <w:tc>
          <w:tcPr>
            <w:tcW w:w="1811" w:type="dxa"/>
            <w:vAlign w:val="center"/>
          </w:tcPr>
          <w:p w14:paraId="5CF5F1EE">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资格要求</w:t>
            </w:r>
          </w:p>
        </w:tc>
        <w:tc>
          <w:tcPr>
            <w:tcW w:w="6999" w:type="dxa"/>
            <w:vAlign w:val="center"/>
          </w:tcPr>
          <w:p w14:paraId="624F2860">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1CCE0D1">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2.落实政府采购政策需满足的资格要求：无；</w:t>
            </w:r>
          </w:p>
          <w:p w14:paraId="7BD961A7">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3.本项目的特定资格要求：信誉要求</w:t>
            </w:r>
          </w:p>
          <w:p w14:paraId="5D84388E">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截至提交投标文件截止时间，投标人（含其不具有独立法人资格的分支机构）存在下列有效情形之一的，其投标文件按无效处理。</w:t>
            </w:r>
          </w:p>
          <w:p w14:paraId="347A8736">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①供应商被人民法院列入失信被执行人的。</w:t>
            </w:r>
          </w:p>
          <w:p w14:paraId="5BA20479">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②供应商被市场监督管理部门列入企业经营异常名录的。</w:t>
            </w:r>
          </w:p>
          <w:p w14:paraId="71927856">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③供应商被税务部门列入重大税收违法案件当事人名单的。</w:t>
            </w:r>
          </w:p>
          <w:p w14:paraId="1B1F680A">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④供应商被市场监督管理部门列入严重违法失信企业名单（黑名单）信息的。</w:t>
            </w:r>
          </w:p>
          <w:p w14:paraId="1EE71795">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⑤近三年内（2023年1月1日以后），供应商或其法定代表人或拟派项目负责人（项目负责人）被人民检察院列入行贿犯罪档案的。。</w:t>
            </w:r>
          </w:p>
          <w:p w14:paraId="228081B4">
            <w:pPr>
              <w:widowControl/>
              <w:adjustRightInd w:val="0"/>
              <w:snapToGrid w:val="0"/>
              <w:spacing w:line="288" w:lineRule="auto"/>
              <w:rPr>
                <w:rFonts w:hint="eastAsia" w:ascii="宋体" w:hAnsi="宋体" w:eastAsia="仿宋" w:cs="Calibri"/>
                <w:sz w:val="24"/>
              </w:rPr>
            </w:pPr>
            <w:r>
              <w:rPr>
                <w:rFonts w:hint="eastAsia" w:ascii="仿宋" w:hAnsi="仿宋" w:eastAsia="仿宋" w:cs="仿宋"/>
                <w:sz w:val="24"/>
              </w:rPr>
              <w:t>注：“有效”是指“情形”规定的程度、起止期间处于有效状态。投标人为联合体的，对投标人的要求视同对联合体成员的要求。</w:t>
            </w:r>
          </w:p>
        </w:tc>
      </w:tr>
      <w:tr w14:paraId="54C1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2391034">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1.3.2</w:t>
            </w:r>
          </w:p>
        </w:tc>
        <w:tc>
          <w:tcPr>
            <w:tcW w:w="1811" w:type="dxa"/>
            <w:vAlign w:val="center"/>
          </w:tcPr>
          <w:p w14:paraId="322F44C7">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付款方式</w:t>
            </w:r>
          </w:p>
        </w:tc>
        <w:tc>
          <w:tcPr>
            <w:tcW w:w="6999" w:type="dxa"/>
            <w:vAlign w:val="center"/>
          </w:tcPr>
          <w:p w14:paraId="5A6E4E5F">
            <w:pPr>
              <w:widowControl/>
              <w:adjustRightInd w:val="0"/>
              <w:snapToGrid w:val="0"/>
              <w:spacing w:line="288" w:lineRule="auto"/>
              <w:rPr>
                <w:rFonts w:hint="eastAsia" w:ascii="宋体" w:hAnsi="宋体" w:eastAsia="仿宋"/>
                <w:sz w:val="24"/>
              </w:rPr>
            </w:pPr>
            <w:r>
              <w:rPr>
                <w:rFonts w:hint="eastAsia" w:ascii="仿宋" w:hAnsi="仿宋" w:eastAsia="仿宋" w:cs="仿宋"/>
                <w:sz w:val="24"/>
              </w:rPr>
              <w:t>每半年支付一次，维保合同生效后第一个月内支付当期款项。具体详见合同约定。</w:t>
            </w:r>
          </w:p>
        </w:tc>
      </w:tr>
      <w:tr w14:paraId="1693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FA5197C">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1.3.3</w:t>
            </w:r>
          </w:p>
        </w:tc>
        <w:tc>
          <w:tcPr>
            <w:tcW w:w="1811" w:type="dxa"/>
            <w:vAlign w:val="center"/>
          </w:tcPr>
          <w:p w14:paraId="1BCF6C36">
            <w:pPr>
              <w:widowControl/>
              <w:adjustRightInd w:val="0"/>
              <w:snapToGrid w:val="0"/>
              <w:spacing w:line="288" w:lineRule="auto"/>
              <w:jc w:val="center"/>
              <w:rPr>
                <w:rFonts w:hint="eastAsia" w:ascii="仿宋" w:hAnsi="仿宋" w:eastAsia="仿宋" w:cs="仿宋"/>
                <w:sz w:val="24"/>
              </w:rPr>
            </w:pPr>
            <w:r>
              <w:rPr>
                <w:rFonts w:hint="eastAsia" w:ascii="仿宋" w:hAnsi="仿宋" w:eastAsia="仿宋" w:cs="仿宋"/>
                <w:sz w:val="24"/>
              </w:rPr>
              <w:t>联合体响应的其他要求</w:t>
            </w:r>
          </w:p>
        </w:tc>
        <w:tc>
          <w:tcPr>
            <w:tcW w:w="6999" w:type="dxa"/>
            <w:vAlign w:val="center"/>
          </w:tcPr>
          <w:p w14:paraId="7F771600">
            <w:pPr>
              <w:widowControl/>
              <w:adjustRightInd w:val="0"/>
              <w:snapToGrid w:val="0"/>
              <w:spacing w:line="288" w:lineRule="auto"/>
              <w:rPr>
                <w:rFonts w:hint="eastAsia" w:ascii="仿宋" w:hAnsi="仿宋" w:eastAsia="仿宋" w:cs="仿宋"/>
                <w:sz w:val="24"/>
              </w:rPr>
            </w:pPr>
            <w:r>
              <w:rPr>
                <w:rFonts w:hint="eastAsia" w:ascii="仿宋" w:hAnsi="仿宋" w:eastAsia="仿宋" w:cs="仿宋"/>
                <w:sz w:val="24"/>
              </w:rPr>
              <w:t>不接受联合体响应</w:t>
            </w:r>
          </w:p>
        </w:tc>
      </w:tr>
      <w:tr w14:paraId="7CDD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62A2709">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1.3.4</w:t>
            </w:r>
          </w:p>
        </w:tc>
        <w:tc>
          <w:tcPr>
            <w:tcW w:w="1811" w:type="dxa"/>
            <w:vAlign w:val="center"/>
          </w:tcPr>
          <w:p w14:paraId="5A28574A">
            <w:pPr>
              <w:widowControl/>
              <w:adjustRightInd w:val="0"/>
              <w:snapToGrid w:val="0"/>
              <w:spacing w:line="288" w:lineRule="auto"/>
              <w:rPr>
                <w:rFonts w:hint="eastAsia" w:ascii="仿宋" w:hAnsi="仿宋" w:eastAsia="仿宋" w:cs="仿宋"/>
                <w:iCs/>
                <w:sz w:val="24"/>
              </w:rPr>
            </w:pPr>
            <w:r>
              <w:rPr>
                <w:rFonts w:hint="eastAsia" w:ascii="仿宋" w:hAnsi="仿宋" w:eastAsia="仿宋" w:cs="仿宋"/>
                <w:sz w:val="24"/>
              </w:rPr>
              <w:t>供应商不得存在的其他情形</w:t>
            </w:r>
          </w:p>
        </w:tc>
        <w:tc>
          <w:tcPr>
            <w:tcW w:w="6999" w:type="dxa"/>
            <w:vAlign w:val="center"/>
          </w:tcPr>
          <w:p w14:paraId="58A9959C">
            <w:pPr>
              <w:widowControl/>
              <w:adjustRightInd w:val="0"/>
              <w:snapToGrid w:val="0"/>
              <w:spacing w:line="288" w:lineRule="auto"/>
              <w:rPr>
                <w:rFonts w:hint="eastAsia" w:ascii="仿宋" w:hAnsi="仿宋" w:eastAsia="仿宋" w:cs="仿宋"/>
                <w:iCs/>
                <w:sz w:val="24"/>
              </w:rPr>
            </w:pPr>
            <w:r>
              <w:rPr>
                <w:rFonts w:hint="eastAsia" w:ascii="仿宋" w:hAnsi="仿宋" w:eastAsia="仿宋" w:cs="仿宋"/>
                <w:iCs/>
                <w:sz w:val="24"/>
              </w:rPr>
              <w:t>/</w:t>
            </w:r>
          </w:p>
        </w:tc>
      </w:tr>
      <w:tr w14:paraId="112D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7706FB2">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1.8.1</w:t>
            </w:r>
          </w:p>
        </w:tc>
        <w:tc>
          <w:tcPr>
            <w:tcW w:w="1811" w:type="dxa"/>
            <w:vAlign w:val="center"/>
          </w:tcPr>
          <w:p w14:paraId="0F79D90F">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是否组织现场考察</w:t>
            </w:r>
          </w:p>
        </w:tc>
        <w:tc>
          <w:tcPr>
            <w:tcW w:w="6999" w:type="dxa"/>
            <w:vAlign w:val="center"/>
          </w:tcPr>
          <w:p w14:paraId="5088BC4F">
            <w:pPr>
              <w:widowControl/>
              <w:topLinePunct/>
              <w:adjustRightInd w:val="0"/>
              <w:snapToGrid w:val="0"/>
              <w:spacing w:line="288" w:lineRule="auto"/>
              <w:ind w:left="187" w:hanging="187" w:hangingChars="78"/>
              <w:rPr>
                <w:rFonts w:hint="eastAsia" w:ascii="宋体" w:hAnsi="宋体" w:eastAsia="仿宋" w:cs="Calibri"/>
                <w:sz w:val="24"/>
              </w:rPr>
            </w:pPr>
            <w:r>
              <w:rPr>
                <w:rFonts w:hint="eastAsia" w:ascii="宋体" w:hAnsi="宋体" w:eastAsia="仿宋"/>
                <w:bCs/>
                <w:sz w:val="24"/>
              </w:rPr>
              <w:sym w:font="Wingdings" w:char="F0FE"/>
            </w:r>
            <w:r>
              <w:rPr>
                <w:rFonts w:hint="eastAsia" w:ascii="宋体" w:hAnsi="宋体" w:eastAsia="仿宋" w:cs="Calibri"/>
                <w:sz w:val="24"/>
              </w:rPr>
              <w:t>不组织，</w:t>
            </w:r>
            <w:r>
              <w:rPr>
                <w:rFonts w:hint="eastAsia" w:ascii="宋体" w:hAnsi="宋体" w:eastAsia="仿宋"/>
                <w:sz w:val="24"/>
              </w:rPr>
              <w:t>由供应商自行考察现场。</w:t>
            </w:r>
          </w:p>
          <w:p w14:paraId="28AD14D1">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□组织，时间：</w:t>
            </w:r>
          </w:p>
          <w:p w14:paraId="130461E8">
            <w:pPr>
              <w:widowControl/>
              <w:topLinePunct/>
              <w:adjustRightInd w:val="0"/>
              <w:snapToGrid w:val="0"/>
              <w:spacing w:line="288" w:lineRule="auto"/>
              <w:ind w:firstLine="840" w:firstLineChars="350"/>
              <w:rPr>
                <w:rFonts w:hint="eastAsia" w:ascii="宋体" w:hAnsi="宋体" w:eastAsia="仿宋" w:cs="Calibri"/>
                <w:sz w:val="24"/>
                <w:u w:val="single"/>
              </w:rPr>
            </w:pPr>
            <w:r>
              <w:rPr>
                <w:rFonts w:hint="eastAsia" w:ascii="宋体" w:hAnsi="宋体" w:eastAsia="仿宋" w:cs="Calibri"/>
                <w:sz w:val="24"/>
              </w:rPr>
              <w:t xml:space="preserve"> 集中地点：</w:t>
            </w:r>
          </w:p>
          <w:p w14:paraId="2A2CBBCD">
            <w:pPr>
              <w:widowControl/>
              <w:topLinePunct/>
              <w:adjustRightInd w:val="0"/>
              <w:snapToGrid w:val="0"/>
              <w:spacing w:line="288" w:lineRule="auto"/>
              <w:ind w:firstLine="840" w:firstLineChars="350"/>
              <w:rPr>
                <w:rFonts w:hint="eastAsia" w:ascii="宋体" w:hAnsi="宋体" w:cs="Calibri"/>
                <w:sz w:val="24"/>
              </w:rPr>
            </w:pPr>
            <w:r>
              <w:rPr>
                <w:rFonts w:hint="eastAsia" w:ascii="宋体" w:hAnsi="宋体" w:eastAsia="仿宋" w:cs="Calibri"/>
                <w:sz w:val="24"/>
              </w:rPr>
              <w:t xml:space="preserve"> 联系方式：</w:t>
            </w:r>
          </w:p>
        </w:tc>
      </w:tr>
      <w:tr w14:paraId="743D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8FA94EB">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1.9</w:t>
            </w:r>
          </w:p>
        </w:tc>
        <w:tc>
          <w:tcPr>
            <w:tcW w:w="1811" w:type="dxa"/>
            <w:vAlign w:val="center"/>
          </w:tcPr>
          <w:p w14:paraId="602FC673">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协商前答疑会</w:t>
            </w:r>
          </w:p>
        </w:tc>
        <w:tc>
          <w:tcPr>
            <w:tcW w:w="6999" w:type="dxa"/>
            <w:vAlign w:val="center"/>
          </w:tcPr>
          <w:p w14:paraId="23DD03C5">
            <w:pPr>
              <w:widowControl/>
              <w:topLinePunct/>
              <w:adjustRightInd w:val="0"/>
              <w:snapToGrid w:val="0"/>
              <w:spacing w:line="288" w:lineRule="auto"/>
              <w:ind w:left="187" w:hanging="187" w:hangingChars="78"/>
              <w:rPr>
                <w:rFonts w:hint="eastAsia" w:ascii="宋体" w:hAnsi="宋体" w:eastAsia="仿宋" w:cs="Calibri"/>
                <w:sz w:val="24"/>
              </w:rPr>
            </w:pPr>
            <w:r>
              <w:rPr>
                <w:rFonts w:hint="eastAsia" w:ascii="宋体" w:hAnsi="宋体" w:eastAsia="仿宋"/>
                <w:bCs/>
                <w:sz w:val="24"/>
              </w:rPr>
              <w:sym w:font="Wingdings" w:char="F0FE"/>
            </w:r>
            <w:r>
              <w:rPr>
                <w:rFonts w:hint="eastAsia" w:ascii="宋体" w:hAnsi="宋体" w:eastAsia="仿宋" w:cs="Calibri"/>
                <w:sz w:val="24"/>
              </w:rPr>
              <w:t>不召开</w:t>
            </w:r>
          </w:p>
          <w:p w14:paraId="70E655CF">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□召开，召开时间：</w:t>
            </w:r>
          </w:p>
          <w:p w14:paraId="4F76DDB6">
            <w:pPr>
              <w:widowControl/>
              <w:adjustRightInd w:val="0"/>
              <w:snapToGrid w:val="0"/>
              <w:spacing w:line="288" w:lineRule="auto"/>
              <w:ind w:firstLine="960" w:firstLineChars="400"/>
              <w:rPr>
                <w:rFonts w:hint="eastAsia" w:ascii="宋体" w:hAnsi="宋体" w:eastAsia="仿宋" w:cs="Calibri"/>
                <w:sz w:val="24"/>
                <w:u w:val="single"/>
              </w:rPr>
            </w:pPr>
            <w:r>
              <w:rPr>
                <w:rFonts w:hint="eastAsia" w:ascii="宋体" w:hAnsi="宋体" w:eastAsia="仿宋" w:cs="Calibri"/>
                <w:sz w:val="24"/>
              </w:rPr>
              <w:t>召开地点：</w:t>
            </w:r>
          </w:p>
          <w:p w14:paraId="1E245E2B">
            <w:pPr>
              <w:widowControl/>
              <w:adjustRightInd w:val="0"/>
              <w:snapToGrid w:val="0"/>
              <w:spacing w:line="288" w:lineRule="auto"/>
              <w:ind w:firstLine="960" w:firstLineChars="400"/>
              <w:rPr>
                <w:rFonts w:hint="eastAsia" w:ascii="宋体" w:hAnsi="宋体" w:cs="Calibri"/>
                <w:sz w:val="24"/>
              </w:rPr>
            </w:pPr>
            <w:r>
              <w:rPr>
                <w:rFonts w:hint="eastAsia" w:ascii="宋体" w:hAnsi="宋体" w:eastAsia="仿宋" w:cs="Calibri"/>
                <w:sz w:val="24"/>
              </w:rPr>
              <w:t>联系方式：</w:t>
            </w:r>
          </w:p>
        </w:tc>
      </w:tr>
      <w:tr w14:paraId="426E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21745FB">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2.2.2</w:t>
            </w:r>
          </w:p>
        </w:tc>
        <w:tc>
          <w:tcPr>
            <w:tcW w:w="1811" w:type="dxa"/>
            <w:vAlign w:val="center"/>
          </w:tcPr>
          <w:p w14:paraId="01E49344">
            <w:pPr>
              <w:widowControl/>
              <w:adjustRightInd w:val="0"/>
              <w:snapToGrid w:val="0"/>
              <w:spacing w:line="300" w:lineRule="auto"/>
              <w:jc w:val="center"/>
              <w:rPr>
                <w:rFonts w:ascii="Calibri" w:hAnsi="Calibri" w:eastAsia="仿宋"/>
                <w:sz w:val="24"/>
              </w:rPr>
            </w:pPr>
            <w:r>
              <w:rPr>
                <w:rFonts w:hint="eastAsia" w:ascii="宋体" w:hAnsi="宋体" w:eastAsia="仿宋" w:cs="Calibri"/>
                <w:sz w:val="24"/>
              </w:rPr>
              <w:t>单一来源采购文件澄清发出的形式</w:t>
            </w:r>
          </w:p>
        </w:tc>
        <w:tc>
          <w:tcPr>
            <w:tcW w:w="6999" w:type="dxa"/>
            <w:vAlign w:val="center"/>
          </w:tcPr>
          <w:p w14:paraId="38F24C87">
            <w:pPr>
              <w:widowControl/>
              <w:adjustRightInd w:val="0"/>
              <w:snapToGrid w:val="0"/>
              <w:spacing w:line="300" w:lineRule="auto"/>
              <w:rPr>
                <w:rFonts w:hint="eastAsia" w:ascii="宋体" w:hAnsi="宋体" w:eastAsia="仿宋" w:cs="Calibri"/>
                <w:sz w:val="24"/>
              </w:rPr>
            </w:pPr>
            <w:r>
              <w:rPr>
                <w:rFonts w:hint="eastAsia" w:ascii="宋体" w:hAnsi="宋体" w:eastAsia="仿宋"/>
                <w:sz w:val="24"/>
              </w:rPr>
              <w:t>发出形式：在优质采云采购平台发布，供应商自行查看、下载，无需确认。</w:t>
            </w:r>
          </w:p>
        </w:tc>
      </w:tr>
      <w:tr w14:paraId="57DA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BD81307">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3.1.1</w:t>
            </w:r>
          </w:p>
        </w:tc>
        <w:tc>
          <w:tcPr>
            <w:tcW w:w="1811" w:type="dxa"/>
            <w:vAlign w:val="center"/>
          </w:tcPr>
          <w:p w14:paraId="1B5EBF73">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构成响应文件的其他资料</w:t>
            </w:r>
          </w:p>
        </w:tc>
        <w:tc>
          <w:tcPr>
            <w:tcW w:w="6999" w:type="dxa"/>
            <w:vAlign w:val="center"/>
          </w:tcPr>
          <w:p w14:paraId="1CE35255">
            <w:pPr>
              <w:adjustRightInd w:val="0"/>
              <w:snapToGrid w:val="0"/>
              <w:spacing w:line="288" w:lineRule="auto"/>
              <w:rPr>
                <w:rFonts w:ascii="Calibri" w:hAnsi="Calibri" w:eastAsia="楷体"/>
                <w:sz w:val="24"/>
              </w:rPr>
            </w:pPr>
            <w:r>
              <w:rPr>
                <w:rFonts w:hint="eastAsia" w:ascii="楷体" w:hAnsi="楷体" w:eastAsia="仿宋"/>
                <w:sz w:val="24"/>
              </w:rPr>
              <w:t>/</w:t>
            </w:r>
          </w:p>
        </w:tc>
      </w:tr>
      <w:tr w14:paraId="3DCB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9CF88CC">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3.2.1</w:t>
            </w:r>
          </w:p>
        </w:tc>
        <w:tc>
          <w:tcPr>
            <w:tcW w:w="1811" w:type="dxa"/>
            <w:vAlign w:val="center"/>
          </w:tcPr>
          <w:p w14:paraId="59BFEF12">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响应</w:t>
            </w:r>
            <w:r>
              <w:rPr>
                <w:rFonts w:hint="eastAsia" w:ascii="宋体" w:hAnsi="宋体" w:eastAsia="仿宋" w:cs="Calibri"/>
                <w:sz w:val="24"/>
              </w:rPr>
              <w:t>报价包括的内容</w:t>
            </w:r>
          </w:p>
        </w:tc>
        <w:tc>
          <w:tcPr>
            <w:tcW w:w="6999" w:type="dxa"/>
            <w:vAlign w:val="center"/>
          </w:tcPr>
          <w:p w14:paraId="33437422">
            <w:pPr>
              <w:widowControl/>
              <w:adjustRightInd w:val="0"/>
              <w:snapToGrid w:val="0"/>
              <w:spacing w:line="288" w:lineRule="auto"/>
              <w:rPr>
                <w:rFonts w:hint="eastAsia" w:ascii="楷体" w:hAnsi="楷体" w:eastAsia="楷体"/>
                <w:bCs/>
                <w:sz w:val="24"/>
              </w:rPr>
            </w:pPr>
            <w:r>
              <w:rPr>
                <w:rFonts w:hint="eastAsia" w:ascii="楷体" w:hAnsi="楷体" w:eastAsia="仿宋"/>
                <w:bCs/>
                <w:sz w:val="24"/>
              </w:rPr>
              <w:t>响应报价包括提供服务的一切成本和费用、管理费、利润和税金，以及采购合同中明示或暗示的所有责任、义务和风险。</w:t>
            </w:r>
          </w:p>
        </w:tc>
      </w:tr>
      <w:tr w14:paraId="71BF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3B4A0C0">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3.2.4</w:t>
            </w:r>
          </w:p>
        </w:tc>
        <w:tc>
          <w:tcPr>
            <w:tcW w:w="1811" w:type="dxa"/>
            <w:vAlign w:val="center"/>
          </w:tcPr>
          <w:p w14:paraId="3387A8A9">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响应</w:t>
            </w:r>
            <w:r>
              <w:rPr>
                <w:rFonts w:hint="eastAsia" w:ascii="宋体" w:hAnsi="宋体" w:eastAsia="仿宋" w:cs="Calibri"/>
                <w:sz w:val="24"/>
              </w:rPr>
              <w:t>报价的其他要求</w:t>
            </w:r>
          </w:p>
        </w:tc>
        <w:tc>
          <w:tcPr>
            <w:tcW w:w="6999" w:type="dxa"/>
            <w:vAlign w:val="center"/>
          </w:tcPr>
          <w:p w14:paraId="765E3D19">
            <w:pPr>
              <w:pStyle w:val="173"/>
              <w:tabs>
                <w:tab w:val="left" w:pos="2149"/>
              </w:tabs>
              <w:snapToGrid w:val="0"/>
              <w:spacing w:line="240" w:lineRule="auto"/>
              <w:rPr>
                <w:rFonts w:hint="eastAsia" w:ascii="楷体" w:hAnsi="楷体" w:eastAsia="仿宋"/>
                <w:b w:val="0"/>
                <w:bCs/>
                <w:color w:val="auto"/>
                <w:sz w:val="24"/>
                <w:szCs w:val="24"/>
              </w:rPr>
            </w:pPr>
            <w:r>
              <w:rPr>
                <w:rFonts w:hint="eastAsia" w:ascii="楷体" w:hAnsi="楷体" w:eastAsia="仿宋"/>
                <w:b w:val="0"/>
                <w:bCs/>
                <w:color w:val="auto"/>
                <w:sz w:val="24"/>
                <w:szCs w:val="24"/>
              </w:rPr>
              <w:t>□除单一来源采购文件另有规定外，成交单价在合同执行过程中固定不变,不得以任何理由予以变更。</w:t>
            </w:r>
          </w:p>
          <w:p w14:paraId="185AE2E4">
            <w:pPr>
              <w:pStyle w:val="173"/>
              <w:tabs>
                <w:tab w:val="left" w:pos="2149"/>
              </w:tabs>
              <w:snapToGrid w:val="0"/>
              <w:spacing w:line="240" w:lineRule="auto"/>
              <w:rPr>
                <w:rFonts w:hint="eastAsia" w:hAnsi="宋体"/>
                <w:bCs/>
                <w:color w:val="auto"/>
                <w:sz w:val="24"/>
                <w:szCs w:val="24"/>
              </w:rPr>
            </w:pPr>
            <w:r>
              <w:rPr>
                <w:rFonts w:hint="eastAsia" w:ascii="楷体" w:hAnsi="楷体" w:eastAsia="仿宋"/>
                <w:b w:val="0"/>
                <w:bCs/>
                <w:color w:val="auto"/>
                <w:sz w:val="24"/>
                <w:szCs w:val="24"/>
              </w:rPr>
              <w:t>☑除单一来源采购文件另有规定外，成交总价在合同执行过程中固定不变,不得以任何理由予以变更。</w:t>
            </w:r>
          </w:p>
        </w:tc>
      </w:tr>
      <w:tr w14:paraId="1D23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A5EEAEF">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3.3.1</w:t>
            </w:r>
          </w:p>
        </w:tc>
        <w:tc>
          <w:tcPr>
            <w:tcW w:w="1811" w:type="dxa"/>
            <w:vAlign w:val="center"/>
          </w:tcPr>
          <w:p w14:paraId="3667A878">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响应</w:t>
            </w:r>
            <w:r>
              <w:rPr>
                <w:rFonts w:hint="eastAsia" w:ascii="宋体" w:hAnsi="宋体" w:eastAsia="仿宋" w:cs="Calibri"/>
                <w:sz w:val="24"/>
              </w:rPr>
              <w:t>有效期</w:t>
            </w:r>
          </w:p>
        </w:tc>
        <w:tc>
          <w:tcPr>
            <w:tcW w:w="6999" w:type="dxa"/>
            <w:vAlign w:val="center"/>
          </w:tcPr>
          <w:p w14:paraId="41B6CEAC">
            <w:pPr>
              <w:widowControl/>
              <w:adjustRightInd w:val="0"/>
              <w:snapToGrid w:val="0"/>
              <w:spacing w:line="288" w:lineRule="auto"/>
              <w:rPr>
                <w:rFonts w:hint="eastAsia" w:ascii="宋体" w:hAnsi="宋体" w:cs="Calibri"/>
                <w:sz w:val="24"/>
              </w:rPr>
            </w:pPr>
            <w:r>
              <w:rPr>
                <w:rFonts w:hint="eastAsia" w:ascii="宋体" w:hAnsi="宋体" w:eastAsia="仿宋" w:cs="Calibri"/>
                <w:sz w:val="24"/>
              </w:rPr>
              <w:t>90日历天</w:t>
            </w:r>
            <w:r>
              <w:rPr>
                <w:rFonts w:hint="eastAsia" w:ascii="宋体" w:hAnsi="宋体" w:eastAsia="仿宋"/>
                <w:sz w:val="24"/>
              </w:rPr>
              <w:t>（从提交首次响应文件截止之日算起）</w:t>
            </w:r>
          </w:p>
        </w:tc>
      </w:tr>
      <w:tr w14:paraId="33FE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484DF90">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3.4</w:t>
            </w:r>
          </w:p>
        </w:tc>
        <w:tc>
          <w:tcPr>
            <w:tcW w:w="1811" w:type="dxa"/>
            <w:vAlign w:val="center"/>
          </w:tcPr>
          <w:p w14:paraId="28818ED3">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协商保证金</w:t>
            </w:r>
          </w:p>
        </w:tc>
        <w:tc>
          <w:tcPr>
            <w:tcW w:w="6999" w:type="dxa"/>
            <w:vAlign w:val="center"/>
          </w:tcPr>
          <w:p w14:paraId="0D5103B5">
            <w:pPr>
              <w:kinsoku w:val="0"/>
              <w:overflowPunct w:val="0"/>
              <w:autoSpaceDE w:val="0"/>
              <w:autoSpaceDN w:val="0"/>
              <w:adjustRightInd w:val="0"/>
              <w:snapToGrid w:val="0"/>
              <w:spacing w:line="288" w:lineRule="auto"/>
              <w:rPr>
                <w:rFonts w:ascii="Calibri" w:hAnsi="Calibri" w:eastAsia="仿宋"/>
                <w:sz w:val="24"/>
              </w:rPr>
            </w:pPr>
            <w:r>
              <w:rPr>
                <w:rFonts w:hint="eastAsia" w:ascii="Calibri" w:hAnsi="Calibri" w:eastAsia="仿宋"/>
                <w:sz w:val="24"/>
              </w:rPr>
              <w:t>是否要求供应商提交协商保证金：</w:t>
            </w:r>
          </w:p>
          <w:p w14:paraId="7807DC11">
            <w:pPr>
              <w:kinsoku w:val="0"/>
              <w:overflowPunct w:val="0"/>
              <w:autoSpaceDE w:val="0"/>
              <w:autoSpaceDN w:val="0"/>
              <w:adjustRightInd w:val="0"/>
              <w:snapToGrid w:val="0"/>
              <w:spacing w:line="288" w:lineRule="auto"/>
              <w:rPr>
                <w:rFonts w:hint="eastAsia" w:ascii="宋体" w:hAnsi="宋体" w:eastAsia="仿宋"/>
                <w:sz w:val="24"/>
              </w:rPr>
            </w:pPr>
            <w:r>
              <w:rPr>
                <w:rFonts w:hint="eastAsia" w:ascii="宋体" w:hAnsi="宋体" w:eastAsia="仿宋"/>
                <w:sz w:val="24"/>
              </w:rPr>
              <w:t>☑</w:t>
            </w:r>
            <w:r>
              <w:rPr>
                <w:rFonts w:hint="eastAsia" w:ascii="Calibri" w:hAnsi="Calibri" w:eastAsia="仿宋"/>
                <w:sz w:val="24"/>
              </w:rPr>
              <w:t>不要求。</w:t>
            </w:r>
          </w:p>
          <w:p w14:paraId="6092638C">
            <w:pPr>
              <w:kinsoku w:val="0"/>
              <w:overflowPunct w:val="0"/>
              <w:autoSpaceDE w:val="0"/>
              <w:autoSpaceDN w:val="0"/>
              <w:adjustRightInd w:val="0"/>
              <w:snapToGrid w:val="0"/>
              <w:spacing w:line="288" w:lineRule="auto"/>
              <w:rPr>
                <w:rFonts w:ascii="Calibri" w:hAnsi="Calibri" w:eastAsia="仿宋"/>
                <w:sz w:val="24"/>
              </w:rPr>
            </w:pPr>
            <w:r>
              <w:rPr>
                <w:rFonts w:hint="eastAsia" w:ascii="宋体" w:hAnsi="宋体" w:eastAsia="仿宋"/>
                <w:sz w:val="24"/>
              </w:rPr>
              <w:t>□</w:t>
            </w:r>
            <w:r>
              <w:rPr>
                <w:rFonts w:hint="eastAsia" w:ascii="Calibri" w:hAnsi="Calibri" w:eastAsia="仿宋"/>
                <w:sz w:val="24"/>
              </w:rPr>
              <w:t>要求，协商保证金的金额：</w:t>
            </w:r>
            <w:r>
              <w:rPr>
                <w:rFonts w:hint="eastAsia" w:ascii="Calibri" w:hAnsi="Calibri" w:eastAsia="仿宋"/>
                <w:sz w:val="24"/>
                <w:u w:val="single"/>
              </w:rPr>
              <w:t xml:space="preserve">0元 </w:t>
            </w:r>
            <w:r>
              <w:rPr>
                <w:rFonts w:hint="eastAsia" w:ascii="Calibri" w:hAnsi="Calibri" w:eastAsia="仿宋"/>
                <w:sz w:val="24"/>
              </w:rPr>
              <w:t>。</w:t>
            </w:r>
          </w:p>
          <w:p w14:paraId="6B01D6EF">
            <w:pPr>
              <w:kinsoku w:val="0"/>
              <w:overflowPunct w:val="0"/>
              <w:autoSpaceDE w:val="0"/>
              <w:autoSpaceDN w:val="0"/>
              <w:adjustRightInd w:val="0"/>
              <w:snapToGrid w:val="0"/>
              <w:spacing w:line="288" w:lineRule="auto"/>
              <w:rPr>
                <w:rFonts w:ascii="Calibri" w:hAnsi="Calibri" w:eastAsia="仿宋"/>
                <w:sz w:val="24"/>
              </w:rPr>
            </w:pPr>
            <w:r>
              <w:rPr>
                <w:rFonts w:hint="eastAsia" w:ascii="Calibri" w:hAnsi="Calibri" w:eastAsia="仿宋"/>
                <w:sz w:val="24"/>
              </w:rPr>
              <w:t>协商保证金的形式：</w:t>
            </w:r>
            <w:r>
              <w:rPr>
                <w:rFonts w:hint="eastAsia" w:ascii="宋体" w:hAnsi="宋体" w:eastAsia="仿宋"/>
                <w:sz w:val="24"/>
              </w:rPr>
              <w:t>☑</w:t>
            </w:r>
            <w:r>
              <w:rPr>
                <w:rFonts w:hint="eastAsia" w:ascii="Calibri" w:hAnsi="宋体" w:eastAsia="仿宋"/>
                <w:sz w:val="24"/>
              </w:rPr>
              <w:t>转账或电汇</w:t>
            </w:r>
          </w:p>
          <w:p w14:paraId="409F904D">
            <w:pPr>
              <w:widowControl/>
              <w:adjustRightInd w:val="0"/>
              <w:snapToGrid w:val="0"/>
              <w:spacing w:line="288" w:lineRule="auto"/>
              <w:rPr>
                <w:rFonts w:hint="eastAsia" w:ascii="Calibri" w:hAnsi="宋体" w:eastAsia="仿宋"/>
                <w:sz w:val="24"/>
              </w:rPr>
            </w:pPr>
            <w:r>
              <w:rPr>
                <w:rFonts w:hint="eastAsia" w:ascii="Calibri" w:hAnsi="Calibri" w:eastAsia="仿宋"/>
                <w:sz w:val="24"/>
              </w:rPr>
              <w:t>（1）协商保证金的提交截止时间（以到账时间为准）：同提交响应文件截止时间。</w:t>
            </w:r>
          </w:p>
          <w:p w14:paraId="446FAF04">
            <w:pPr>
              <w:snapToGrid w:val="0"/>
              <w:spacing w:line="288" w:lineRule="auto"/>
              <w:rPr>
                <w:rFonts w:hint="eastAsia" w:ascii="Calibri" w:hAnsi="宋体" w:eastAsia="仿宋"/>
                <w:sz w:val="24"/>
              </w:rPr>
            </w:pPr>
            <w:r>
              <w:rPr>
                <w:rFonts w:hint="eastAsia" w:ascii="Calibri" w:hAnsi="宋体" w:eastAsia="仿宋"/>
                <w:sz w:val="24"/>
              </w:rPr>
              <w:t>（2）接收协商保证金</w:t>
            </w:r>
            <w:r>
              <w:rPr>
                <w:rFonts w:ascii="Calibri" w:hAnsi="宋体" w:eastAsia="仿宋"/>
                <w:sz w:val="24"/>
              </w:rPr>
              <w:t>的</w:t>
            </w:r>
            <w:r>
              <w:rPr>
                <w:rFonts w:hint="eastAsia" w:ascii="Calibri" w:hAnsi="宋体" w:eastAsia="仿宋"/>
                <w:sz w:val="24"/>
              </w:rPr>
              <w:t>账户信息：</w:t>
            </w:r>
          </w:p>
          <w:p w14:paraId="0B9A0C84">
            <w:pPr>
              <w:snapToGrid w:val="0"/>
              <w:spacing w:line="288" w:lineRule="auto"/>
              <w:rPr>
                <w:rFonts w:hint="eastAsia" w:ascii="Calibri" w:hAnsi="宋体" w:eastAsia="仿宋"/>
                <w:sz w:val="24"/>
                <w:u w:val="single"/>
              </w:rPr>
            </w:pPr>
            <w:r>
              <w:rPr>
                <w:rFonts w:hint="eastAsia" w:ascii="Calibri" w:hAnsi="宋体" w:eastAsia="仿宋"/>
                <w:sz w:val="24"/>
              </w:rPr>
              <w:t>开户名称：</w:t>
            </w:r>
            <w:r>
              <w:rPr>
                <w:rFonts w:hint="eastAsia" w:ascii="宋体" w:hAnsi="宋体" w:eastAsia="仿宋" w:cs="Calibri"/>
                <w:kern w:val="0"/>
                <w:sz w:val="24"/>
              </w:rPr>
              <w:t>安徽省招标集团股份有限公司</w:t>
            </w:r>
          </w:p>
          <w:p w14:paraId="2FDED22F">
            <w:pPr>
              <w:snapToGrid w:val="0"/>
              <w:spacing w:line="288" w:lineRule="auto"/>
              <w:rPr>
                <w:rFonts w:hint="eastAsia" w:ascii="Calibri" w:hAnsi="宋体" w:eastAsia="仿宋"/>
                <w:sz w:val="24"/>
                <w:u w:val="single"/>
              </w:rPr>
            </w:pPr>
            <w:r>
              <w:rPr>
                <w:rFonts w:ascii="Calibri" w:hAnsi="宋体" w:eastAsia="仿宋"/>
                <w:sz w:val="24"/>
              </w:rPr>
              <w:t>开户银行</w:t>
            </w:r>
            <w:r>
              <w:rPr>
                <w:rFonts w:hint="eastAsia" w:ascii="Calibri" w:hAnsi="宋体" w:eastAsia="仿宋"/>
                <w:sz w:val="24"/>
              </w:rPr>
              <w:t>：平安银行股份有限公司合肥分行</w:t>
            </w:r>
          </w:p>
          <w:p w14:paraId="123231B0">
            <w:pPr>
              <w:snapToGrid w:val="0"/>
              <w:spacing w:line="288" w:lineRule="auto"/>
              <w:rPr>
                <w:rFonts w:hint="eastAsia" w:ascii="Calibri" w:hAnsi="宋体" w:eastAsia="仿宋"/>
                <w:sz w:val="24"/>
                <w:u w:val="single"/>
              </w:rPr>
            </w:pPr>
            <w:r>
              <w:rPr>
                <w:rFonts w:hint="eastAsia" w:ascii="Calibri" w:hAnsi="宋体" w:eastAsia="仿宋"/>
                <w:sz w:val="24"/>
              </w:rPr>
              <w:t>银行</w:t>
            </w:r>
            <w:r>
              <w:rPr>
                <w:rFonts w:ascii="Calibri" w:hAnsi="宋体" w:eastAsia="仿宋"/>
                <w:sz w:val="24"/>
              </w:rPr>
              <w:t>账号</w:t>
            </w:r>
            <w:r>
              <w:rPr>
                <w:rFonts w:hint="eastAsia" w:ascii="Calibri" w:hAnsi="宋体" w:eastAsia="仿宋"/>
                <w:sz w:val="24"/>
              </w:rPr>
              <w:t xml:space="preserve">： </w:t>
            </w:r>
          </w:p>
          <w:p w14:paraId="2AA8F3E5">
            <w:pPr>
              <w:snapToGrid w:val="0"/>
              <w:spacing w:line="288" w:lineRule="auto"/>
              <w:rPr>
                <w:rFonts w:hint="eastAsia" w:ascii="Calibri" w:hAnsi="宋体" w:eastAsia="仿宋"/>
                <w:sz w:val="24"/>
                <w:u w:val="single"/>
              </w:rPr>
            </w:pPr>
          </w:p>
          <w:p w14:paraId="2EA1728E">
            <w:pPr>
              <w:snapToGrid w:val="0"/>
              <w:spacing w:line="288" w:lineRule="auto"/>
              <w:rPr>
                <w:rFonts w:hint="eastAsia" w:ascii="Calibri" w:hAnsi="宋体" w:eastAsia="仿宋"/>
                <w:sz w:val="24"/>
                <w:u w:val="single"/>
              </w:rPr>
            </w:pPr>
            <w:r>
              <w:rPr>
                <w:rFonts w:hint="eastAsia" w:ascii="Calibri" w:hAnsi="宋体" w:eastAsia="仿宋"/>
                <w:sz w:val="24"/>
              </w:rPr>
              <w:t>开户名称：</w:t>
            </w:r>
            <w:r>
              <w:rPr>
                <w:rFonts w:hint="eastAsia" w:ascii="宋体" w:hAnsi="宋体" w:eastAsia="仿宋" w:cs="Calibri"/>
                <w:kern w:val="0"/>
                <w:sz w:val="24"/>
              </w:rPr>
              <w:t>安徽省招标集团股份有限公司</w:t>
            </w:r>
          </w:p>
          <w:p w14:paraId="02B48DAD">
            <w:pPr>
              <w:snapToGrid w:val="0"/>
              <w:spacing w:line="288" w:lineRule="auto"/>
              <w:rPr>
                <w:rFonts w:hint="eastAsia" w:ascii="Calibri" w:hAnsi="宋体" w:eastAsia="仿宋"/>
                <w:sz w:val="24"/>
                <w:u w:val="single"/>
              </w:rPr>
            </w:pPr>
            <w:r>
              <w:rPr>
                <w:rFonts w:ascii="Calibri" w:hAnsi="宋体" w:eastAsia="仿宋"/>
                <w:sz w:val="24"/>
              </w:rPr>
              <w:t>开户银行</w:t>
            </w:r>
            <w:r>
              <w:rPr>
                <w:rFonts w:hint="eastAsia" w:ascii="Calibri" w:hAnsi="宋体" w:eastAsia="仿宋"/>
                <w:sz w:val="24"/>
              </w:rPr>
              <w:t>：建行合肥市濉溪路支行</w:t>
            </w:r>
          </w:p>
          <w:p w14:paraId="63ABE263">
            <w:pPr>
              <w:snapToGrid w:val="0"/>
              <w:spacing w:line="288" w:lineRule="auto"/>
              <w:rPr>
                <w:rFonts w:hint="eastAsia" w:ascii="Calibri" w:hAnsi="宋体" w:eastAsia="仿宋"/>
                <w:sz w:val="24"/>
                <w:u w:val="single"/>
              </w:rPr>
            </w:pPr>
            <w:r>
              <w:rPr>
                <w:rFonts w:hint="eastAsia" w:ascii="Calibri" w:hAnsi="宋体" w:eastAsia="仿宋"/>
                <w:sz w:val="24"/>
              </w:rPr>
              <w:t>银行</w:t>
            </w:r>
            <w:r>
              <w:rPr>
                <w:rFonts w:ascii="Calibri" w:hAnsi="宋体" w:eastAsia="仿宋"/>
                <w:sz w:val="24"/>
              </w:rPr>
              <w:t>账号</w:t>
            </w:r>
            <w:r>
              <w:rPr>
                <w:rFonts w:hint="eastAsia" w:ascii="Calibri" w:hAnsi="宋体" w:eastAsia="仿宋"/>
                <w:sz w:val="24"/>
              </w:rPr>
              <w:t xml:space="preserve">：  </w:t>
            </w:r>
          </w:p>
          <w:p w14:paraId="5418E72D">
            <w:pPr>
              <w:snapToGrid w:val="0"/>
              <w:spacing w:line="288" w:lineRule="auto"/>
              <w:rPr>
                <w:rFonts w:hint="eastAsia" w:ascii="Calibri" w:hAnsi="宋体" w:eastAsia="仿宋"/>
                <w:sz w:val="24"/>
                <w:u w:val="single"/>
              </w:rPr>
            </w:pPr>
          </w:p>
          <w:p w14:paraId="5A6999D0">
            <w:pPr>
              <w:widowControl/>
              <w:adjustRightInd w:val="0"/>
              <w:snapToGrid w:val="0"/>
              <w:spacing w:line="288" w:lineRule="auto"/>
              <w:rPr>
                <w:rFonts w:hint="eastAsia" w:ascii="宋体" w:hAnsi="宋体" w:eastAsia="仿宋"/>
                <w:sz w:val="24"/>
              </w:rPr>
            </w:pPr>
            <w:r>
              <w:rPr>
                <w:rFonts w:hint="eastAsia" w:ascii="宋体" w:hAnsi="宋体" w:eastAsia="仿宋"/>
                <w:sz w:val="24"/>
              </w:rPr>
              <w:t>（3）协商保证金应从供应商单位账户（汇款单位与供应商名称一致）提交，以个人、供应商分公司、供应商子公司等账户提交，保证金账户与供应商名称不一致的，不符合要求。</w:t>
            </w:r>
          </w:p>
          <w:p w14:paraId="203EB30E">
            <w:pPr>
              <w:widowControl/>
              <w:adjustRightInd w:val="0"/>
              <w:snapToGrid w:val="0"/>
              <w:spacing w:line="288" w:lineRule="auto"/>
              <w:rPr>
                <w:rFonts w:ascii="Calibri" w:hAnsi="Calibri" w:eastAsia="仿宋"/>
                <w:sz w:val="24"/>
              </w:rPr>
            </w:pPr>
            <w:r>
              <w:rPr>
                <w:rFonts w:hint="eastAsia" w:ascii="Calibri" w:hAnsi="Calibri" w:eastAsia="仿宋"/>
                <w:sz w:val="24"/>
              </w:rPr>
              <w:t>（4）</w:t>
            </w:r>
            <w:r>
              <w:rPr>
                <w:rFonts w:ascii="Calibri" w:hAnsi="Calibri" w:eastAsia="仿宋"/>
                <w:sz w:val="24"/>
              </w:rPr>
              <w:t>为确保在规定截止时间前</w:t>
            </w:r>
            <w:r>
              <w:rPr>
                <w:rFonts w:hint="eastAsia" w:ascii="Calibri" w:hAnsi="Calibri" w:eastAsia="仿宋"/>
                <w:sz w:val="24"/>
              </w:rPr>
              <w:t>协商保证金</w:t>
            </w:r>
            <w:r>
              <w:rPr>
                <w:rFonts w:ascii="Calibri" w:hAnsi="Calibri" w:eastAsia="仿宋"/>
                <w:sz w:val="24"/>
              </w:rPr>
              <w:t>能到达指定账户，</w:t>
            </w:r>
            <w:r>
              <w:rPr>
                <w:rFonts w:hint="eastAsia" w:ascii="Calibri" w:hAnsi="Calibri" w:eastAsia="仿宋"/>
                <w:sz w:val="24"/>
              </w:rPr>
              <w:t>供应商</w:t>
            </w:r>
            <w:r>
              <w:rPr>
                <w:rFonts w:ascii="Calibri" w:hAnsi="Calibri" w:eastAsia="仿宋"/>
                <w:sz w:val="24"/>
              </w:rPr>
              <w:t>在汇款时须充分考虑银行汇款的时间误差风险，并及时核实，否则该风险所造成的后果</w:t>
            </w:r>
            <w:r>
              <w:rPr>
                <w:rFonts w:hint="eastAsia" w:ascii="Calibri" w:hAnsi="Calibri" w:eastAsia="仿宋"/>
                <w:sz w:val="24"/>
              </w:rPr>
              <w:t>由供应商</w:t>
            </w:r>
            <w:r>
              <w:rPr>
                <w:rFonts w:ascii="Calibri" w:hAnsi="Calibri" w:eastAsia="仿宋"/>
                <w:sz w:val="24"/>
              </w:rPr>
              <w:t>自行承担。</w:t>
            </w:r>
          </w:p>
          <w:p w14:paraId="2067E88B">
            <w:pPr>
              <w:widowControl/>
              <w:adjustRightInd w:val="0"/>
              <w:snapToGrid w:val="0"/>
              <w:spacing w:line="288" w:lineRule="auto"/>
              <w:jc w:val="left"/>
              <w:rPr>
                <w:rFonts w:ascii="Calibri" w:hAnsi="Calibri" w:eastAsia="仿宋"/>
                <w:sz w:val="24"/>
              </w:rPr>
            </w:pPr>
            <w:r>
              <w:rPr>
                <w:rFonts w:hint="eastAsia" w:ascii="宋体" w:hAnsi="宋体" w:eastAsia="仿宋" w:cs="Calibri"/>
                <w:sz w:val="24"/>
              </w:rPr>
              <w:t>（5）</w:t>
            </w:r>
            <w:r>
              <w:rPr>
                <w:rFonts w:hint="eastAsia" w:ascii="Calibri" w:hAnsi="Calibri" w:eastAsia="仿宋"/>
                <w:sz w:val="24"/>
              </w:rPr>
              <w:t>协商保证金有效期应不少于</w:t>
            </w:r>
            <w:r>
              <w:rPr>
                <w:rFonts w:hint="eastAsia" w:ascii="Calibri" w:hAnsi="Calibri" w:eastAsia="仿宋" w:cs="Arial Unicode MS"/>
                <w:sz w:val="24"/>
              </w:rPr>
              <w:t>响应</w:t>
            </w:r>
            <w:r>
              <w:rPr>
                <w:rFonts w:hint="eastAsia" w:ascii="Calibri" w:hAnsi="Calibri" w:eastAsia="仿宋"/>
                <w:sz w:val="24"/>
              </w:rPr>
              <w:t>有效期。</w:t>
            </w:r>
          </w:p>
          <w:p w14:paraId="4D50E8C6">
            <w:pPr>
              <w:widowControl/>
              <w:adjustRightInd w:val="0"/>
              <w:snapToGrid w:val="0"/>
              <w:spacing w:line="288" w:lineRule="auto"/>
              <w:jc w:val="left"/>
              <w:rPr>
                <w:rFonts w:ascii="Calibri" w:hAnsi="Calibri" w:eastAsia="仿宋"/>
                <w:sz w:val="24"/>
              </w:rPr>
            </w:pPr>
            <w:r>
              <w:rPr>
                <w:rFonts w:hint="eastAsia" w:ascii="Calibri" w:hAnsi="Calibri" w:eastAsia="仿宋"/>
                <w:sz w:val="24"/>
              </w:rPr>
              <w:t>协商保证金退还时间：自采购合同签订备案后5个工作日内退还成交供应商的协商保证金。</w:t>
            </w:r>
          </w:p>
        </w:tc>
      </w:tr>
      <w:tr w14:paraId="7A5D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0A49630">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3.6.4（1）</w:t>
            </w:r>
          </w:p>
        </w:tc>
        <w:tc>
          <w:tcPr>
            <w:tcW w:w="1811" w:type="dxa"/>
            <w:vAlign w:val="center"/>
          </w:tcPr>
          <w:p w14:paraId="55228694">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响应文件制作</w:t>
            </w:r>
          </w:p>
        </w:tc>
        <w:tc>
          <w:tcPr>
            <w:tcW w:w="6999" w:type="dxa"/>
            <w:vAlign w:val="center"/>
          </w:tcPr>
          <w:p w14:paraId="2891BF1F">
            <w:pPr>
              <w:widowControl/>
              <w:topLinePunct/>
              <w:adjustRightInd w:val="0"/>
              <w:snapToGrid w:val="0"/>
              <w:spacing w:line="288" w:lineRule="auto"/>
              <w:rPr>
                <w:rFonts w:hint="eastAsia" w:ascii="宋体" w:hAnsi="宋体" w:cs="Calibri"/>
                <w:sz w:val="24"/>
              </w:rPr>
            </w:pPr>
            <w:r>
              <w:rPr>
                <w:rFonts w:hint="eastAsia" w:ascii="楷体" w:hAnsi="楷体" w:eastAsia="仿宋" w:cs="Calibri"/>
                <w:sz w:val="24"/>
              </w:rPr>
              <w:t>见本章附件一《全流程电子招标采购具体要求》</w:t>
            </w:r>
          </w:p>
        </w:tc>
      </w:tr>
      <w:tr w14:paraId="22B6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DE31AAF">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3.6.4（3）</w:t>
            </w:r>
          </w:p>
        </w:tc>
        <w:tc>
          <w:tcPr>
            <w:tcW w:w="1811" w:type="dxa"/>
            <w:vAlign w:val="center"/>
          </w:tcPr>
          <w:p w14:paraId="0C83A962">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响应文件所附证书证件要求</w:t>
            </w:r>
          </w:p>
        </w:tc>
        <w:tc>
          <w:tcPr>
            <w:tcW w:w="6999" w:type="dxa"/>
            <w:vAlign w:val="center"/>
          </w:tcPr>
          <w:p w14:paraId="3205C72E">
            <w:pPr>
              <w:widowControl/>
              <w:topLinePunct/>
              <w:adjustRightInd w:val="0"/>
              <w:snapToGrid w:val="0"/>
              <w:spacing w:line="288" w:lineRule="auto"/>
              <w:rPr>
                <w:rFonts w:hint="eastAsia" w:ascii="楷体" w:hAnsi="楷体" w:eastAsia="仿宋"/>
                <w:bCs/>
                <w:sz w:val="24"/>
              </w:rPr>
            </w:pPr>
            <w:r>
              <w:rPr>
                <w:rFonts w:hint="eastAsia" w:ascii="楷体" w:hAnsi="楷体" w:eastAsia="仿宋" w:cs="Calibri"/>
                <w:sz w:val="24"/>
              </w:rPr>
              <w:t>电子响应文件所附证书证件均应为供应商证书证件的原件扫描件或电子证照。</w:t>
            </w:r>
          </w:p>
        </w:tc>
      </w:tr>
      <w:tr w14:paraId="5E5E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0B471E3">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3.6.4（5）</w:t>
            </w:r>
          </w:p>
        </w:tc>
        <w:tc>
          <w:tcPr>
            <w:tcW w:w="1811" w:type="dxa"/>
            <w:vAlign w:val="center"/>
          </w:tcPr>
          <w:p w14:paraId="05820190">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响应文件份数及其他要求</w:t>
            </w:r>
          </w:p>
        </w:tc>
        <w:tc>
          <w:tcPr>
            <w:tcW w:w="6999" w:type="dxa"/>
            <w:vAlign w:val="center"/>
          </w:tcPr>
          <w:p w14:paraId="67829A99">
            <w:pPr>
              <w:widowControl/>
              <w:topLinePunct/>
              <w:adjustRightInd w:val="0"/>
              <w:snapToGrid w:val="0"/>
              <w:spacing w:line="288" w:lineRule="auto"/>
              <w:rPr>
                <w:rFonts w:hint="eastAsia" w:ascii="宋体" w:hAnsi="宋体" w:eastAsia="仿宋" w:cs="Calibri"/>
                <w:sz w:val="24"/>
              </w:rPr>
            </w:pPr>
            <w:r>
              <w:rPr>
                <w:rFonts w:hint="eastAsia" w:ascii="宋体" w:hAnsi="宋体" w:eastAsia="仿宋" w:cs="Calibri"/>
                <w:sz w:val="24"/>
              </w:rPr>
              <w:t>供应商应提交的响应文件：</w:t>
            </w:r>
          </w:p>
          <w:p w14:paraId="1871BCA5">
            <w:pPr>
              <w:widowControl/>
              <w:topLinePunct/>
              <w:adjustRightInd w:val="0"/>
              <w:snapToGrid w:val="0"/>
              <w:spacing w:line="288" w:lineRule="auto"/>
              <w:rPr>
                <w:rFonts w:hint="eastAsia" w:ascii="楷体" w:hAnsi="楷体" w:eastAsia="楷体" w:cs="Calibri"/>
                <w:sz w:val="24"/>
              </w:rPr>
            </w:pPr>
            <w:r>
              <w:rPr>
                <w:rFonts w:hint="eastAsia" w:ascii="楷体" w:hAnsi="楷体" w:eastAsia="仿宋" w:cs="Calibri"/>
                <w:sz w:val="24"/>
              </w:rPr>
              <w:t>加密的电子响应文件：使用优质采云采购平台电子标书制作工具制作生成的加密响应文件，应在提交响应文件截止时间前通过</w:t>
            </w:r>
            <w:r>
              <w:rPr>
                <w:rFonts w:hint="eastAsia" w:ascii="楷体" w:hAnsi="楷体" w:eastAsia="仿宋" w:cs="Microsoft JhengHei"/>
                <w:kern w:val="0"/>
                <w:sz w:val="24"/>
              </w:rPr>
              <w:t>“优质采招标采购平台(www.yzczb.com)”或“优质采云采购平台(www.youzhicai.com)”</w:t>
            </w:r>
            <w:r>
              <w:rPr>
                <w:rFonts w:hint="eastAsia" w:ascii="楷体" w:hAnsi="楷体" w:eastAsia="仿宋" w:cs="Calibri"/>
                <w:sz w:val="24"/>
              </w:rPr>
              <w:t>上传；</w:t>
            </w:r>
          </w:p>
        </w:tc>
      </w:tr>
      <w:tr w14:paraId="1F68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66BA7F7">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4.1.1</w:t>
            </w:r>
          </w:p>
        </w:tc>
        <w:tc>
          <w:tcPr>
            <w:tcW w:w="1811" w:type="dxa"/>
            <w:vAlign w:val="center"/>
          </w:tcPr>
          <w:p w14:paraId="1B17B36E">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响应文件加密要求</w:t>
            </w:r>
          </w:p>
        </w:tc>
        <w:tc>
          <w:tcPr>
            <w:tcW w:w="6999" w:type="dxa"/>
            <w:vAlign w:val="center"/>
          </w:tcPr>
          <w:p w14:paraId="774B50CF">
            <w:pPr>
              <w:widowControl/>
              <w:wordWrap w:val="0"/>
              <w:adjustRightInd w:val="0"/>
              <w:snapToGrid w:val="0"/>
              <w:spacing w:line="288" w:lineRule="auto"/>
              <w:rPr>
                <w:rFonts w:hint="eastAsia" w:ascii="楷体" w:hAnsi="楷体" w:eastAsia="楷体" w:cs="Calibri"/>
                <w:sz w:val="24"/>
              </w:rPr>
            </w:pPr>
            <w:r>
              <w:rPr>
                <w:rFonts w:hint="eastAsia" w:ascii="楷体" w:hAnsi="楷体" w:eastAsia="仿宋" w:cs="Calibri"/>
                <w:sz w:val="24"/>
              </w:rPr>
              <w:t>见本章附件一《全流程电子招标采购具体要求》</w:t>
            </w:r>
          </w:p>
        </w:tc>
      </w:tr>
      <w:tr w14:paraId="0D51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5749479">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4.2.2</w:t>
            </w:r>
          </w:p>
        </w:tc>
        <w:tc>
          <w:tcPr>
            <w:tcW w:w="1811" w:type="dxa"/>
            <w:vAlign w:val="center"/>
          </w:tcPr>
          <w:p w14:paraId="1470D2E8">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递交响应文件的电子交易平台</w:t>
            </w:r>
          </w:p>
        </w:tc>
        <w:tc>
          <w:tcPr>
            <w:tcW w:w="6999" w:type="dxa"/>
            <w:vAlign w:val="center"/>
          </w:tcPr>
          <w:p w14:paraId="4757C5F4">
            <w:pPr>
              <w:widowControl/>
              <w:adjustRightInd w:val="0"/>
              <w:snapToGrid w:val="0"/>
              <w:spacing w:line="288" w:lineRule="auto"/>
              <w:rPr>
                <w:rFonts w:hint="eastAsia" w:ascii="宋体" w:hAnsi="宋体" w:cs="Calibri"/>
                <w:iCs/>
                <w:sz w:val="24"/>
              </w:rPr>
            </w:pPr>
            <w:r>
              <w:rPr>
                <w:rFonts w:hint="eastAsia" w:ascii="楷体" w:hAnsi="楷体" w:eastAsia="仿宋" w:cs="Microsoft JhengHei"/>
                <w:kern w:val="0"/>
                <w:sz w:val="24"/>
              </w:rPr>
              <w:t>优质采云采购平台（网址：https://www.youzhicai.com/）</w:t>
            </w:r>
          </w:p>
        </w:tc>
      </w:tr>
      <w:tr w14:paraId="1F26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CED1213">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4.2.3</w:t>
            </w:r>
          </w:p>
        </w:tc>
        <w:tc>
          <w:tcPr>
            <w:tcW w:w="1811" w:type="dxa"/>
            <w:vAlign w:val="center"/>
          </w:tcPr>
          <w:p w14:paraId="4DDB1FBE">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是否退还响应文件</w:t>
            </w:r>
          </w:p>
        </w:tc>
        <w:tc>
          <w:tcPr>
            <w:tcW w:w="6999" w:type="dxa"/>
            <w:vAlign w:val="center"/>
          </w:tcPr>
          <w:p w14:paraId="6A5DA8BE">
            <w:pPr>
              <w:widowControl/>
              <w:adjustRightInd w:val="0"/>
              <w:snapToGrid w:val="0"/>
              <w:spacing w:line="288" w:lineRule="auto"/>
              <w:rPr>
                <w:rFonts w:hint="eastAsia" w:ascii="宋体" w:hAnsi="宋体" w:eastAsia="仿宋" w:cs="Calibri"/>
                <w:sz w:val="24"/>
              </w:rPr>
            </w:pPr>
            <w:r>
              <w:rPr>
                <w:rFonts w:hint="eastAsia" w:ascii="宋体" w:hAnsi="宋体" w:eastAsia="仿宋"/>
                <w:b/>
                <w:bCs/>
                <w:sz w:val="24"/>
              </w:rPr>
              <w:sym w:font="Wingdings" w:char="F0FE"/>
            </w:r>
            <w:r>
              <w:rPr>
                <w:rFonts w:hint="eastAsia" w:ascii="宋体" w:hAnsi="宋体" w:eastAsia="仿宋" w:cs="Calibri"/>
                <w:sz w:val="24"/>
              </w:rPr>
              <w:t>否</w:t>
            </w:r>
          </w:p>
          <w:p w14:paraId="261F705E">
            <w:pPr>
              <w:widowControl/>
              <w:adjustRightInd w:val="0"/>
              <w:snapToGrid w:val="0"/>
              <w:spacing w:line="288" w:lineRule="auto"/>
              <w:rPr>
                <w:rFonts w:hint="eastAsia" w:ascii="宋体" w:hAnsi="宋体" w:cs="Calibri"/>
                <w:sz w:val="24"/>
              </w:rPr>
            </w:pPr>
            <w:r>
              <w:rPr>
                <w:rFonts w:hint="eastAsia" w:ascii="宋体" w:hAnsi="宋体" w:eastAsia="仿宋" w:cs="Calibri"/>
                <w:sz w:val="24"/>
              </w:rPr>
              <w:t>□是，退还安排：</w:t>
            </w:r>
            <w:r>
              <w:rPr>
                <w:rFonts w:ascii="宋体" w:hAnsi="宋体" w:eastAsia="仿宋" w:cs="Calibri"/>
                <w:sz w:val="24"/>
                <w:u w:val="single"/>
              </w:rPr>
              <w:t xml:space="preserve">                         </w:t>
            </w:r>
          </w:p>
        </w:tc>
      </w:tr>
      <w:tr w14:paraId="38F8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75BC404">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5.2.2</w:t>
            </w:r>
          </w:p>
        </w:tc>
        <w:tc>
          <w:tcPr>
            <w:tcW w:w="1811" w:type="dxa"/>
            <w:vAlign w:val="center"/>
          </w:tcPr>
          <w:p w14:paraId="067B941D">
            <w:pPr>
              <w:widowControl/>
              <w:adjustRightInd w:val="0"/>
              <w:snapToGrid w:val="0"/>
              <w:spacing w:line="288" w:lineRule="auto"/>
              <w:rPr>
                <w:rFonts w:ascii="Calibri" w:hAnsi="Calibri" w:eastAsia="仿宋" w:cs="Arial Unicode MS"/>
                <w:sz w:val="24"/>
              </w:rPr>
            </w:pPr>
            <w:r>
              <w:rPr>
                <w:rFonts w:hint="eastAsia" w:ascii="Calibri" w:hAnsi="Calibri" w:eastAsia="仿宋" w:cs="Arial Unicode MS"/>
                <w:sz w:val="24"/>
              </w:rPr>
              <w:t>可能变动的内容</w:t>
            </w:r>
          </w:p>
        </w:tc>
        <w:tc>
          <w:tcPr>
            <w:tcW w:w="6999" w:type="dxa"/>
            <w:vAlign w:val="center"/>
          </w:tcPr>
          <w:p w14:paraId="4DEDDB06">
            <w:pPr>
              <w:widowControl/>
              <w:adjustRightInd w:val="0"/>
              <w:snapToGrid w:val="0"/>
              <w:spacing w:line="288" w:lineRule="auto"/>
              <w:rPr>
                <w:rFonts w:hint="eastAsia" w:ascii="宋体" w:hAnsi="宋体" w:eastAsia="仿宋"/>
                <w:sz w:val="24"/>
              </w:rPr>
            </w:pPr>
            <w:r>
              <w:rPr>
                <w:rFonts w:hint="eastAsia" w:ascii="Calibri" w:hAnsi="Calibri" w:eastAsia="仿宋"/>
                <w:sz w:val="24"/>
              </w:rPr>
              <w:t>单一来源采购人员可以根据采购文件和协商情况，实质性变动采购需求中的技术、服务要求以及合同草案条款，但不得变动采购文件中的其他内容。</w:t>
            </w:r>
          </w:p>
        </w:tc>
      </w:tr>
      <w:tr w14:paraId="5F0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BCAE429">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6.1.1</w:t>
            </w:r>
          </w:p>
        </w:tc>
        <w:tc>
          <w:tcPr>
            <w:tcW w:w="1811" w:type="dxa"/>
            <w:vAlign w:val="center"/>
          </w:tcPr>
          <w:p w14:paraId="219FB178">
            <w:pPr>
              <w:widowControl/>
              <w:adjustRightInd w:val="0"/>
              <w:snapToGrid w:val="0"/>
              <w:spacing w:line="288" w:lineRule="auto"/>
              <w:jc w:val="center"/>
              <w:rPr>
                <w:rFonts w:hint="eastAsia" w:ascii="宋体" w:hAnsi="宋体" w:cs="Calibri"/>
                <w:sz w:val="24"/>
              </w:rPr>
            </w:pPr>
            <w:r>
              <w:rPr>
                <w:rFonts w:hint="eastAsia" w:ascii="Calibri" w:hAnsi="Calibri" w:eastAsia="仿宋" w:cs="Arial Unicode MS"/>
                <w:sz w:val="24"/>
              </w:rPr>
              <w:t>成交</w:t>
            </w:r>
            <w:r>
              <w:rPr>
                <w:rFonts w:hint="eastAsia" w:ascii="宋体" w:hAnsi="宋体" w:eastAsia="仿宋" w:cs="Calibri"/>
                <w:sz w:val="24"/>
              </w:rPr>
              <w:t>结果公告</w:t>
            </w:r>
          </w:p>
        </w:tc>
        <w:tc>
          <w:tcPr>
            <w:tcW w:w="6999" w:type="dxa"/>
            <w:vAlign w:val="center"/>
          </w:tcPr>
          <w:p w14:paraId="06680165">
            <w:pPr>
              <w:widowControl/>
              <w:adjustRightInd w:val="0"/>
              <w:snapToGrid w:val="0"/>
              <w:spacing w:line="288" w:lineRule="auto"/>
              <w:rPr>
                <w:rFonts w:hint="eastAsia" w:ascii="宋体" w:hAnsi="宋体"/>
                <w:sz w:val="24"/>
                <w:u w:val="single"/>
              </w:rPr>
            </w:pPr>
            <w:r>
              <w:rPr>
                <w:rFonts w:hint="eastAsia" w:ascii="宋体" w:hAnsi="宋体" w:eastAsia="仿宋"/>
                <w:sz w:val="24"/>
              </w:rPr>
              <w:t>公告方式：在采购文件发布平台发布本项目</w:t>
            </w:r>
            <w:r>
              <w:rPr>
                <w:rFonts w:hint="eastAsia" w:ascii="Calibri" w:hAnsi="Calibri" w:eastAsia="仿宋" w:cs="Arial Unicode MS"/>
                <w:sz w:val="24"/>
              </w:rPr>
              <w:t>成交</w:t>
            </w:r>
            <w:r>
              <w:rPr>
                <w:rFonts w:hint="eastAsia" w:ascii="宋体" w:hAnsi="宋体" w:eastAsia="仿宋"/>
                <w:sz w:val="24"/>
              </w:rPr>
              <w:t>候选人公示</w:t>
            </w:r>
          </w:p>
        </w:tc>
      </w:tr>
      <w:tr w14:paraId="2356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3881F3F">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6.1.2</w:t>
            </w:r>
          </w:p>
        </w:tc>
        <w:tc>
          <w:tcPr>
            <w:tcW w:w="1811" w:type="dxa"/>
            <w:vAlign w:val="center"/>
          </w:tcPr>
          <w:p w14:paraId="38237659">
            <w:pPr>
              <w:widowControl/>
              <w:adjustRightInd w:val="0"/>
              <w:snapToGrid w:val="0"/>
              <w:spacing w:line="288" w:lineRule="auto"/>
              <w:jc w:val="center"/>
              <w:rPr>
                <w:rFonts w:ascii="Calibri" w:hAnsi="Calibri" w:eastAsia="仿宋" w:cs="Arial Unicode MS"/>
                <w:sz w:val="24"/>
              </w:rPr>
            </w:pPr>
            <w:r>
              <w:rPr>
                <w:rFonts w:hint="eastAsia" w:ascii="仿宋" w:hAnsi="仿宋" w:eastAsia="仿宋" w:cs="仿宋"/>
                <w:sz w:val="24"/>
              </w:rPr>
              <w:t>采购代理服务费</w:t>
            </w:r>
          </w:p>
        </w:tc>
        <w:tc>
          <w:tcPr>
            <w:tcW w:w="6999" w:type="dxa"/>
            <w:vAlign w:val="center"/>
          </w:tcPr>
          <w:p w14:paraId="43801298">
            <w:pPr>
              <w:widowControl/>
              <w:adjustRightInd w:val="0"/>
              <w:snapToGrid w:val="0"/>
              <w:spacing w:line="288" w:lineRule="auto"/>
              <w:rPr>
                <w:rFonts w:hint="eastAsia" w:ascii="宋体" w:hAnsi="宋体" w:eastAsia="仿宋"/>
                <w:sz w:val="24"/>
              </w:rPr>
            </w:pPr>
            <w:r>
              <w:rPr>
                <w:rFonts w:hint="eastAsia" w:ascii="仿宋" w:hAnsi="仿宋" w:eastAsia="仿宋" w:cs="仿宋"/>
                <w:iCs/>
                <w:sz w:val="24"/>
              </w:rPr>
              <w:t>参照国家计价格[2002]1980号文件规定服务类收费的标准的60%收取采购代理服务费。</w:t>
            </w:r>
          </w:p>
        </w:tc>
      </w:tr>
      <w:tr w14:paraId="62CA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8E490F8">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6.2.1</w:t>
            </w:r>
          </w:p>
        </w:tc>
        <w:tc>
          <w:tcPr>
            <w:tcW w:w="1811" w:type="dxa"/>
            <w:vAlign w:val="center"/>
          </w:tcPr>
          <w:p w14:paraId="339A5E6C">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履约保证金</w:t>
            </w:r>
          </w:p>
        </w:tc>
        <w:tc>
          <w:tcPr>
            <w:tcW w:w="6999" w:type="dxa"/>
            <w:vAlign w:val="center"/>
          </w:tcPr>
          <w:p w14:paraId="44253764">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本项目不适用</w:t>
            </w:r>
          </w:p>
        </w:tc>
      </w:tr>
      <w:tr w14:paraId="789B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97C73A8">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6.3.1</w:t>
            </w:r>
          </w:p>
        </w:tc>
        <w:tc>
          <w:tcPr>
            <w:tcW w:w="1811" w:type="dxa"/>
            <w:vAlign w:val="center"/>
          </w:tcPr>
          <w:p w14:paraId="566DC57A">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合同签订时间</w:t>
            </w:r>
          </w:p>
        </w:tc>
        <w:tc>
          <w:tcPr>
            <w:tcW w:w="6999" w:type="dxa"/>
            <w:vAlign w:val="center"/>
          </w:tcPr>
          <w:p w14:paraId="4C3DC42B">
            <w:pPr>
              <w:pStyle w:val="23"/>
              <w:widowControl/>
              <w:adjustRightInd w:val="0"/>
              <w:snapToGrid w:val="0"/>
              <w:spacing w:line="288" w:lineRule="auto"/>
              <w:rPr>
                <w:rFonts w:hint="eastAsia" w:hAnsi="宋体"/>
                <w:sz w:val="24"/>
                <w:szCs w:val="24"/>
              </w:rPr>
            </w:pPr>
            <w:r>
              <w:rPr>
                <w:rFonts w:hint="eastAsia" w:ascii="楷体" w:hAnsi="楷体" w:eastAsia="仿宋" w:cs="楷体"/>
                <w:sz w:val="24"/>
                <w:szCs w:val="24"/>
              </w:rPr>
              <w:t>成交结果公告发布（成交通知书发出）之日起7个工作日内</w:t>
            </w:r>
          </w:p>
        </w:tc>
      </w:tr>
      <w:tr w14:paraId="24D7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0926240">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8.1.1</w:t>
            </w:r>
          </w:p>
        </w:tc>
        <w:tc>
          <w:tcPr>
            <w:tcW w:w="1811" w:type="dxa"/>
            <w:vAlign w:val="center"/>
          </w:tcPr>
          <w:p w14:paraId="0ACFE16F">
            <w:pPr>
              <w:widowControl/>
              <w:adjustRightInd w:val="0"/>
              <w:snapToGrid w:val="0"/>
              <w:spacing w:line="288" w:lineRule="auto"/>
              <w:jc w:val="center"/>
              <w:rPr>
                <w:rFonts w:hint="eastAsia" w:ascii="宋体" w:hAnsi="宋体" w:eastAsia="仿宋" w:cs="Calibri"/>
                <w:sz w:val="24"/>
              </w:rPr>
            </w:pPr>
            <w:r>
              <w:rPr>
                <w:rFonts w:hint="eastAsia" w:ascii="Calibri" w:hAnsi="Calibri" w:eastAsia="仿宋"/>
                <w:sz w:val="24"/>
              </w:rPr>
              <w:t>供应商提出询问</w:t>
            </w:r>
            <w:r>
              <w:rPr>
                <w:rFonts w:hint="eastAsia" w:ascii="宋体" w:hAnsi="宋体" w:eastAsia="仿宋" w:cs="Calibri"/>
                <w:sz w:val="24"/>
              </w:rPr>
              <w:t>的时间</w:t>
            </w:r>
          </w:p>
        </w:tc>
        <w:tc>
          <w:tcPr>
            <w:tcW w:w="6999" w:type="dxa"/>
            <w:vAlign w:val="center"/>
          </w:tcPr>
          <w:p w14:paraId="64080AEF">
            <w:pPr>
              <w:widowControl/>
              <w:adjustRightInd w:val="0"/>
              <w:snapToGrid w:val="0"/>
              <w:spacing w:line="288" w:lineRule="auto"/>
              <w:ind w:left="480" w:hanging="480" w:hangingChars="200"/>
              <w:rPr>
                <w:rFonts w:hint="eastAsia" w:ascii="宋体" w:hAnsi="宋体" w:eastAsia="仿宋" w:cs="Calibri"/>
                <w:sz w:val="24"/>
              </w:rPr>
            </w:pPr>
            <w:r>
              <w:rPr>
                <w:rFonts w:hint="eastAsia" w:ascii="Calibri" w:hAnsi="Calibri" w:eastAsia="仿宋"/>
                <w:sz w:val="24"/>
              </w:rPr>
              <w:t>提出</w:t>
            </w:r>
            <w:r>
              <w:rPr>
                <w:rFonts w:hint="eastAsia" w:ascii="宋体" w:hAnsi="宋体" w:eastAsia="仿宋" w:cs="Calibri"/>
                <w:sz w:val="24"/>
              </w:rPr>
              <w:t>时间：</w:t>
            </w:r>
            <w:r>
              <w:rPr>
                <w:rFonts w:ascii="楷体" w:hAnsi="楷体" w:eastAsia="仿宋"/>
                <w:sz w:val="24"/>
              </w:rPr>
              <w:t>在</w:t>
            </w:r>
            <w:r>
              <w:rPr>
                <w:rFonts w:hint="eastAsia" w:ascii="楷体" w:hAnsi="楷体" w:eastAsia="仿宋"/>
                <w:sz w:val="24"/>
              </w:rPr>
              <w:t>提交响应文件截止时间3日</w:t>
            </w:r>
            <w:r>
              <w:rPr>
                <w:rFonts w:ascii="楷体" w:hAnsi="楷体" w:eastAsia="仿宋"/>
                <w:sz w:val="24"/>
              </w:rPr>
              <w:t>前（以收到日期为准）</w:t>
            </w:r>
          </w:p>
          <w:p w14:paraId="23984D3A">
            <w:pPr>
              <w:widowControl/>
              <w:adjustRightInd w:val="0"/>
              <w:snapToGrid w:val="0"/>
              <w:spacing w:line="288" w:lineRule="auto"/>
              <w:rPr>
                <w:rFonts w:hint="eastAsia" w:ascii="楷体" w:hAnsi="楷体" w:eastAsia="仿宋"/>
                <w:sz w:val="24"/>
                <w:u w:val="single"/>
              </w:rPr>
            </w:pPr>
            <w:r>
              <w:rPr>
                <w:rFonts w:hint="eastAsia" w:ascii="宋体" w:hAnsi="宋体" w:eastAsia="仿宋"/>
                <w:sz w:val="24"/>
              </w:rPr>
              <w:t>询问函格式：见本章附件二</w:t>
            </w:r>
          </w:p>
        </w:tc>
      </w:tr>
      <w:tr w14:paraId="4C2A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8E9CA76">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8.2.1</w:t>
            </w:r>
          </w:p>
        </w:tc>
        <w:tc>
          <w:tcPr>
            <w:tcW w:w="1811" w:type="dxa"/>
            <w:vAlign w:val="center"/>
          </w:tcPr>
          <w:p w14:paraId="3C091963">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供应商提出质疑的时间</w:t>
            </w:r>
          </w:p>
        </w:tc>
        <w:tc>
          <w:tcPr>
            <w:tcW w:w="6999" w:type="dxa"/>
            <w:vAlign w:val="center"/>
          </w:tcPr>
          <w:p w14:paraId="441FC301">
            <w:pPr>
              <w:widowControl/>
              <w:adjustRightInd w:val="0"/>
              <w:snapToGrid w:val="0"/>
              <w:spacing w:line="288" w:lineRule="auto"/>
              <w:rPr>
                <w:rFonts w:hint="eastAsia" w:ascii="宋体" w:hAnsi="宋体" w:eastAsia="仿宋" w:cs="Calibri"/>
                <w:sz w:val="24"/>
                <w:u w:val="single"/>
              </w:rPr>
            </w:pPr>
            <w:r>
              <w:rPr>
                <w:rFonts w:hint="eastAsia" w:ascii="Calibri" w:hAnsi="Calibri" w:eastAsia="仿宋"/>
                <w:sz w:val="24"/>
              </w:rPr>
              <w:t>提出</w:t>
            </w:r>
            <w:r>
              <w:rPr>
                <w:rFonts w:hint="eastAsia" w:ascii="宋体" w:hAnsi="宋体" w:eastAsia="仿宋" w:cs="Calibri"/>
                <w:sz w:val="24"/>
              </w:rPr>
              <w:t>时间：</w:t>
            </w:r>
            <w:r>
              <w:rPr>
                <w:rFonts w:hint="eastAsia" w:ascii="楷体" w:hAnsi="楷体" w:eastAsia="仿宋" w:cs="Calibri"/>
                <w:sz w:val="24"/>
              </w:rPr>
              <w:t>获取单一来源采购文件后7个工作日内</w:t>
            </w:r>
          </w:p>
          <w:p w14:paraId="1188E79D">
            <w:pPr>
              <w:widowControl/>
              <w:adjustRightInd w:val="0"/>
              <w:snapToGrid w:val="0"/>
              <w:spacing w:line="288" w:lineRule="auto"/>
              <w:rPr>
                <w:rFonts w:hint="eastAsia" w:ascii="宋体" w:hAnsi="宋体" w:eastAsia="仿宋"/>
                <w:sz w:val="24"/>
              </w:rPr>
            </w:pPr>
            <w:r>
              <w:rPr>
                <w:rFonts w:hint="eastAsia" w:ascii="宋体" w:hAnsi="宋体" w:eastAsia="仿宋"/>
                <w:sz w:val="24"/>
              </w:rPr>
              <w:t>质疑函格式：见本章附件二</w:t>
            </w:r>
          </w:p>
        </w:tc>
      </w:tr>
      <w:tr w14:paraId="5F3A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B2F7EC3">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8.2.2</w:t>
            </w:r>
          </w:p>
        </w:tc>
        <w:tc>
          <w:tcPr>
            <w:tcW w:w="1811" w:type="dxa"/>
            <w:vAlign w:val="center"/>
          </w:tcPr>
          <w:p w14:paraId="381EAC06">
            <w:pPr>
              <w:widowControl/>
              <w:adjustRightInd w:val="0"/>
              <w:snapToGrid w:val="0"/>
              <w:spacing w:line="288" w:lineRule="auto"/>
              <w:jc w:val="center"/>
              <w:rPr>
                <w:rFonts w:hint="eastAsia" w:ascii="宋体" w:hAnsi="宋体" w:cs="Calibri"/>
                <w:sz w:val="24"/>
              </w:rPr>
            </w:pPr>
            <w:r>
              <w:rPr>
                <w:rFonts w:hint="eastAsia" w:ascii="宋体" w:hAnsi="宋体" w:eastAsia="仿宋"/>
                <w:sz w:val="24"/>
              </w:rPr>
              <w:t>接收质疑的联系方式</w:t>
            </w:r>
          </w:p>
        </w:tc>
        <w:tc>
          <w:tcPr>
            <w:tcW w:w="6999" w:type="dxa"/>
            <w:vAlign w:val="center"/>
          </w:tcPr>
          <w:p w14:paraId="0BBA29F7">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采购代理机构：安徽省招标集团股份有限公司</w:t>
            </w:r>
          </w:p>
          <w:p w14:paraId="7FE89CA7">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地址：安徽省合肥市包河区紫云路888号安徽省招标集团总部基地407室（法务办公室）</w:t>
            </w:r>
          </w:p>
          <w:p w14:paraId="19CEAE27">
            <w:pPr>
              <w:widowControl/>
              <w:adjustRightInd w:val="0"/>
              <w:snapToGrid w:val="0"/>
              <w:spacing w:line="288" w:lineRule="auto"/>
              <w:rPr>
                <w:rFonts w:hint="eastAsia" w:ascii="宋体" w:hAnsi="宋体" w:eastAsia="仿宋" w:cs="Calibri"/>
                <w:sz w:val="24"/>
              </w:rPr>
            </w:pPr>
            <w:r>
              <w:rPr>
                <w:rFonts w:hint="eastAsia" w:ascii="宋体" w:hAnsi="宋体" w:eastAsia="仿宋" w:cs="Calibri"/>
                <w:sz w:val="24"/>
              </w:rPr>
              <w:t>联系电话：0551-62220155</w:t>
            </w:r>
          </w:p>
          <w:p w14:paraId="28FBCED5">
            <w:pPr>
              <w:widowControl/>
              <w:adjustRightInd w:val="0"/>
              <w:snapToGrid w:val="0"/>
              <w:spacing w:line="288" w:lineRule="auto"/>
              <w:rPr>
                <w:rFonts w:hint="eastAsia" w:ascii="宋体" w:hAnsi="宋体" w:cs="Calibri"/>
                <w:sz w:val="24"/>
              </w:rPr>
            </w:pPr>
            <w:r>
              <w:rPr>
                <w:rFonts w:hint="eastAsia" w:ascii="宋体" w:hAnsi="宋体" w:eastAsia="仿宋" w:cs="Calibri"/>
                <w:sz w:val="24"/>
              </w:rPr>
              <w:t>联系人：张怀远</w:t>
            </w:r>
          </w:p>
        </w:tc>
      </w:tr>
      <w:tr w14:paraId="7A17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4FA352E">
            <w:pPr>
              <w:widowControl/>
              <w:adjustRightInd w:val="0"/>
              <w:snapToGrid w:val="0"/>
              <w:spacing w:line="288" w:lineRule="auto"/>
              <w:jc w:val="center"/>
              <w:rPr>
                <w:rFonts w:hint="eastAsia" w:ascii="宋体" w:hAnsi="宋体" w:eastAsia="仿宋" w:cs="Calibri"/>
                <w:b/>
                <w:sz w:val="24"/>
              </w:rPr>
            </w:pPr>
            <w:r>
              <w:rPr>
                <w:rFonts w:hint="eastAsia" w:ascii="宋体" w:hAnsi="宋体" w:eastAsia="仿宋" w:cs="Calibri"/>
                <w:b/>
                <w:sz w:val="24"/>
              </w:rPr>
              <w:t>10</w:t>
            </w:r>
          </w:p>
        </w:tc>
        <w:tc>
          <w:tcPr>
            <w:tcW w:w="1811" w:type="dxa"/>
            <w:vAlign w:val="center"/>
          </w:tcPr>
          <w:p w14:paraId="6DD70F82">
            <w:pPr>
              <w:widowControl/>
              <w:adjustRightInd w:val="0"/>
              <w:snapToGrid w:val="0"/>
              <w:spacing w:line="288" w:lineRule="auto"/>
              <w:jc w:val="center"/>
              <w:rPr>
                <w:rFonts w:hint="eastAsia" w:ascii="宋体" w:hAnsi="宋体" w:cs="Calibri"/>
                <w:b/>
                <w:sz w:val="24"/>
              </w:rPr>
            </w:pPr>
          </w:p>
        </w:tc>
        <w:tc>
          <w:tcPr>
            <w:tcW w:w="6999" w:type="dxa"/>
            <w:vAlign w:val="center"/>
          </w:tcPr>
          <w:p w14:paraId="6E7ADA58">
            <w:pPr>
              <w:widowControl/>
              <w:adjustRightInd w:val="0"/>
              <w:snapToGrid w:val="0"/>
              <w:spacing w:line="288" w:lineRule="auto"/>
              <w:jc w:val="center"/>
              <w:rPr>
                <w:rFonts w:hint="eastAsia" w:ascii="宋体" w:hAnsi="宋体"/>
                <w:b/>
                <w:sz w:val="24"/>
              </w:rPr>
            </w:pPr>
            <w:r>
              <w:rPr>
                <w:rFonts w:hint="eastAsia" w:ascii="宋体" w:hAnsi="宋体" w:eastAsia="仿宋" w:cs="Calibri"/>
                <w:b/>
                <w:sz w:val="24"/>
              </w:rPr>
              <w:t>需要补充的其他内容</w:t>
            </w:r>
          </w:p>
        </w:tc>
      </w:tr>
      <w:tr w14:paraId="162F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EBEFC7D">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10.1</w:t>
            </w:r>
          </w:p>
        </w:tc>
        <w:tc>
          <w:tcPr>
            <w:tcW w:w="1811" w:type="dxa"/>
            <w:vAlign w:val="center"/>
          </w:tcPr>
          <w:p w14:paraId="2FE9273F">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电子采购</w:t>
            </w:r>
          </w:p>
        </w:tc>
        <w:tc>
          <w:tcPr>
            <w:tcW w:w="6999" w:type="dxa"/>
          </w:tcPr>
          <w:p w14:paraId="1E935BA7">
            <w:pPr>
              <w:widowControl/>
              <w:snapToGrid w:val="0"/>
              <w:spacing w:line="288" w:lineRule="auto"/>
              <w:jc w:val="left"/>
              <w:rPr>
                <w:rFonts w:hint="eastAsia" w:ascii="宋体" w:hAnsi="宋体" w:cs="Calibri"/>
                <w:b/>
                <w:sz w:val="24"/>
              </w:rPr>
            </w:pPr>
            <w:r>
              <w:rPr>
                <w:rFonts w:hint="eastAsia" w:ascii="宋体" w:hAnsi="宋体" w:eastAsia="仿宋"/>
                <w:sz w:val="24"/>
              </w:rPr>
              <w:t>采用电子采购，</w:t>
            </w:r>
            <w:r>
              <w:rPr>
                <w:rFonts w:ascii="Calibri" w:hAnsi="Calibri" w:eastAsia="仿宋"/>
                <w:bCs/>
                <w:snapToGrid w:val="0"/>
                <w:kern w:val="0"/>
                <w:sz w:val="24"/>
              </w:rPr>
              <w:t>除</w:t>
            </w:r>
            <w:r>
              <w:rPr>
                <w:rFonts w:hint="eastAsia" w:ascii="Calibri" w:hAnsi="Calibri" w:eastAsia="仿宋"/>
                <w:bCs/>
                <w:snapToGrid w:val="0"/>
                <w:kern w:val="0"/>
                <w:sz w:val="24"/>
              </w:rPr>
              <w:t>单一来源采购文件</w:t>
            </w:r>
            <w:r>
              <w:rPr>
                <w:rFonts w:ascii="Calibri" w:hAnsi="Calibri" w:eastAsia="仿宋"/>
                <w:bCs/>
                <w:snapToGrid w:val="0"/>
                <w:kern w:val="0"/>
                <w:sz w:val="24"/>
              </w:rPr>
              <w:t>另有规定外，电子</w:t>
            </w:r>
            <w:r>
              <w:rPr>
                <w:rFonts w:hint="eastAsia" w:ascii="Calibri" w:hAnsi="Calibri" w:eastAsia="仿宋"/>
                <w:bCs/>
                <w:snapToGrid w:val="0"/>
                <w:kern w:val="0"/>
                <w:sz w:val="24"/>
              </w:rPr>
              <w:t>采购</w:t>
            </w:r>
            <w:r>
              <w:rPr>
                <w:rFonts w:ascii="Calibri" w:hAnsi="Calibri" w:eastAsia="仿宋"/>
                <w:bCs/>
                <w:snapToGrid w:val="0"/>
                <w:kern w:val="0"/>
                <w:sz w:val="24"/>
              </w:rPr>
              <w:t>操作要求详见本章附件《</w:t>
            </w:r>
            <w:r>
              <w:rPr>
                <w:rFonts w:hint="eastAsia" w:ascii="Calibri" w:hAnsi="Calibri" w:eastAsia="仿宋"/>
                <w:bCs/>
                <w:snapToGrid w:val="0"/>
                <w:kern w:val="0"/>
                <w:sz w:val="24"/>
              </w:rPr>
              <w:t>全流程电子招标采购具体要求</w:t>
            </w:r>
            <w:r>
              <w:rPr>
                <w:rFonts w:ascii="Calibri" w:hAnsi="Calibri" w:eastAsia="仿宋"/>
                <w:bCs/>
                <w:snapToGrid w:val="0"/>
                <w:kern w:val="0"/>
                <w:sz w:val="24"/>
              </w:rPr>
              <w:t>》</w:t>
            </w:r>
            <w:r>
              <w:rPr>
                <w:rFonts w:hint="eastAsia" w:ascii="Calibri" w:hAnsi="Calibri" w:eastAsia="仿宋"/>
                <w:bCs/>
                <w:snapToGrid w:val="0"/>
                <w:kern w:val="0"/>
                <w:sz w:val="24"/>
              </w:rPr>
              <w:t>。</w:t>
            </w:r>
          </w:p>
        </w:tc>
      </w:tr>
      <w:tr w14:paraId="7B13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5945BF6">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10.2</w:t>
            </w:r>
          </w:p>
        </w:tc>
        <w:tc>
          <w:tcPr>
            <w:tcW w:w="1811" w:type="dxa"/>
            <w:vAlign w:val="center"/>
          </w:tcPr>
          <w:p w14:paraId="6798D1AB">
            <w:pPr>
              <w:adjustRightInd w:val="0"/>
              <w:snapToGrid w:val="0"/>
              <w:spacing w:line="288" w:lineRule="auto"/>
              <w:jc w:val="center"/>
              <w:rPr>
                <w:rFonts w:hint="eastAsia" w:ascii="宋体" w:hAnsi="宋体"/>
                <w:sz w:val="24"/>
              </w:rPr>
            </w:pPr>
            <w:r>
              <w:rPr>
                <w:rFonts w:hint="eastAsia" w:ascii="宋体" w:hAnsi="宋体" w:eastAsia="仿宋"/>
                <w:sz w:val="24"/>
              </w:rPr>
              <w:t>原则规定与定义</w:t>
            </w:r>
          </w:p>
        </w:tc>
        <w:tc>
          <w:tcPr>
            <w:tcW w:w="6999" w:type="dxa"/>
            <w:vAlign w:val="center"/>
          </w:tcPr>
          <w:p w14:paraId="6CB07D23">
            <w:pPr>
              <w:adjustRightInd w:val="0"/>
              <w:snapToGrid w:val="0"/>
              <w:spacing w:line="288" w:lineRule="auto"/>
              <w:jc w:val="left"/>
              <w:rPr>
                <w:rFonts w:hint="eastAsia" w:ascii="宋体" w:hAnsi="宋体" w:eastAsia="仿宋"/>
                <w:sz w:val="24"/>
              </w:rPr>
            </w:pPr>
            <w:r>
              <w:rPr>
                <w:rFonts w:hint="eastAsia" w:ascii="宋体" w:hAnsi="宋体" w:eastAsia="仿宋"/>
                <w:sz w:val="24"/>
              </w:rPr>
              <w:t>（1）供应商</w:t>
            </w:r>
            <w:r>
              <w:rPr>
                <w:rFonts w:ascii="宋体" w:hAnsi="宋体" w:eastAsia="仿宋"/>
                <w:sz w:val="24"/>
              </w:rPr>
              <w:t>须知前附表是对</w:t>
            </w:r>
            <w:r>
              <w:rPr>
                <w:rFonts w:hint="eastAsia" w:ascii="宋体" w:hAnsi="宋体" w:eastAsia="仿宋"/>
                <w:sz w:val="24"/>
              </w:rPr>
              <w:t>供应商</w:t>
            </w:r>
            <w:r>
              <w:rPr>
                <w:rFonts w:ascii="宋体" w:hAnsi="宋体" w:eastAsia="仿宋"/>
                <w:sz w:val="24"/>
              </w:rPr>
              <w:t>须知正文部分对应条款的补充、细化，</w:t>
            </w:r>
            <w:r>
              <w:rPr>
                <w:rFonts w:hint="eastAsia" w:ascii="宋体" w:hAnsi="宋体" w:eastAsia="仿宋"/>
                <w:sz w:val="24"/>
              </w:rPr>
              <w:t>供应商</w:t>
            </w:r>
            <w:r>
              <w:rPr>
                <w:rFonts w:ascii="宋体" w:hAnsi="宋体" w:eastAsia="仿宋"/>
                <w:sz w:val="24"/>
              </w:rPr>
              <w:t>阅读时应与正文部分一并阅读，</w:t>
            </w:r>
            <w:r>
              <w:rPr>
                <w:rFonts w:hint="eastAsia" w:ascii="宋体" w:hAnsi="宋体" w:eastAsia="仿宋"/>
                <w:sz w:val="24"/>
              </w:rPr>
              <w:t>供应商</w:t>
            </w:r>
            <w:r>
              <w:rPr>
                <w:rFonts w:ascii="宋体" w:hAnsi="宋体" w:eastAsia="仿宋"/>
                <w:sz w:val="24"/>
              </w:rPr>
              <w:t>须知前附表与正文部分不一致处，应以</w:t>
            </w:r>
            <w:r>
              <w:rPr>
                <w:rFonts w:hint="eastAsia" w:ascii="宋体" w:hAnsi="宋体" w:eastAsia="仿宋"/>
                <w:sz w:val="24"/>
              </w:rPr>
              <w:t>供应商</w:t>
            </w:r>
            <w:r>
              <w:rPr>
                <w:rFonts w:ascii="宋体" w:hAnsi="宋体" w:eastAsia="仿宋"/>
                <w:sz w:val="24"/>
              </w:rPr>
              <w:t>须知前附表为准。</w:t>
            </w:r>
          </w:p>
          <w:p w14:paraId="49BD96C2">
            <w:pPr>
              <w:adjustRightInd w:val="0"/>
              <w:snapToGrid w:val="0"/>
              <w:spacing w:line="288" w:lineRule="auto"/>
              <w:jc w:val="left"/>
              <w:rPr>
                <w:rFonts w:hint="eastAsia" w:ascii="宋体" w:hAnsi="宋体" w:eastAsia="仿宋"/>
                <w:sz w:val="24"/>
              </w:rPr>
            </w:pPr>
            <w:r>
              <w:rPr>
                <w:rFonts w:hint="eastAsia" w:ascii="宋体" w:hAnsi="宋体" w:eastAsia="仿宋"/>
                <w:sz w:val="24"/>
              </w:rPr>
              <w:t>（2）</w:t>
            </w:r>
            <w:r>
              <w:rPr>
                <w:rFonts w:ascii="宋体" w:hAnsi="宋体" w:eastAsia="仿宋"/>
                <w:sz w:val="24"/>
              </w:rPr>
              <w:t>“</w:t>
            </w:r>
            <w:r>
              <w:rPr>
                <w:rFonts w:ascii="宋体" w:hAnsi="宋体" w:eastAsia="仿宋"/>
                <w:sz w:val="24"/>
              </w:rPr>
              <w:sym w:font="Wingdings" w:char="F0FE"/>
            </w:r>
            <w:r>
              <w:rPr>
                <w:rFonts w:ascii="宋体" w:hAnsi="宋体" w:eastAsia="仿宋"/>
                <w:sz w:val="24"/>
              </w:rPr>
              <w:t>”符号表示本</w:t>
            </w:r>
            <w:r>
              <w:rPr>
                <w:rFonts w:hint="eastAsia" w:ascii="宋体" w:hAnsi="宋体" w:eastAsia="仿宋"/>
                <w:sz w:val="24"/>
              </w:rPr>
              <w:t>单一来源采购文件</w:t>
            </w:r>
            <w:r>
              <w:rPr>
                <w:rFonts w:ascii="宋体" w:hAnsi="宋体" w:eastAsia="仿宋"/>
                <w:sz w:val="24"/>
              </w:rPr>
              <w:t>选定的内容；“</w:t>
            </w:r>
            <w:r>
              <w:rPr>
                <w:rFonts w:hint="eastAsia" w:ascii="宋体" w:hAnsi="宋体" w:eastAsia="仿宋"/>
                <w:sz w:val="24"/>
              </w:rPr>
              <w:t>□</w:t>
            </w:r>
            <w:r>
              <w:rPr>
                <w:rFonts w:ascii="宋体" w:hAnsi="宋体" w:eastAsia="仿宋"/>
                <w:sz w:val="24"/>
              </w:rPr>
              <w:t>”符号表示本</w:t>
            </w:r>
            <w:r>
              <w:rPr>
                <w:rFonts w:hint="eastAsia" w:ascii="宋体" w:hAnsi="宋体" w:eastAsia="仿宋"/>
                <w:sz w:val="24"/>
              </w:rPr>
              <w:t>单一来源采购文件</w:t>
            </w:r>
            <w:r>
              <w:rPr>
                <w:rFonts w:ascii="宋体" w:hAnsi="宋体" w:eastAsia="仿宋"/>
                <w:sz w:val="24"/>
              </w:rPr>
              <w:t>未选定的内容；空格中的“/”表示没有具体内容。</w:t>
            </w:r>
            <w:r>
              <w:rPr>
                <w:rFonts w:hint="eastAsia" w:ascii="宋体" w:hAnsi="宋体" w:eastAsia="仿宋"/>
                <w:sz w:val="24"/>
              </w:rPr>
              <w:t>供应商</w:t>
            </w:r>
            <w:r>
              <w:rPr>
                <w:rFonts w:ascii="宋体" w:hAnsi="宋体" w:eastAsia="仿宋"/>
                <w:sz w:val="24"/>
              </w:rPr>
              <w:t>请按“</w:t>
            </w:r>
            <w:r>
              <w:rPr>
                <w:rFonts w:ascii="宋体" w:hAnsi="宋体" w:eastAsia="仿宋"/>
                <w:sz w:val="24"/>
              </w:rPr>
              <w:sym w:font="Wingdings" w:char="F0FE"/>
            </w:r>
            <w:r>
              <w:rPr>
                <w:rFonts w:ascii="宋体" w:hAnsi="宋体" w:eastAsia="仿宋"/>
                <w:sz w:val="24"/>
              </w:rPr>
              <w:t>符号”选定的内容和要求参加</w:t>
            </w:r>
            <w:r>
              <w:rPr>
                <w:rFonts w:hint="eastAsia" w:ascii="Calibri" w:hAnsi="Calibri" w:eastAsia="仿宋"/>
                <w:sz w:val="24"/>
              </w:rPr>
              <w:t>采购活动</w:t>
            </w:r>
            <w:r>
              <w:rPr>
                <w:rFonts w:ascii="宋体" w:hAnsi="宋体" w:eastAsia="仿宋"/>
                <w:sz w:val="24"/>
              </w:rPr>
              <w:t>。</w:t>
            </w:r>
          </w:p>
          <w:p w14:paraId="094D71D0">
            <w:pPr>
              <w:adjustRightInd w:val="0"/>
              <w:snapToGrid w:val="0"/>
              <w:spacing w:line="288" w:lineRule="auto"/>
              <w:jc w:val="left"/>
              <w:rPr>
                <w:rFonts w:hint="eastAsia" w:ascii="宋体" w:hAnsi="宋体"/>
                <w:sz w:val="24"/>
              </w:rPr>
            </w:pPr>
            <w:r>
              <w:rPr>
                <w:rFonts w:hint="eastAsia" w:ascii="宋体" w:hAnsi="宋体" w:eastAsia="仿宋"/>
                <w:sz w:val="24"/>
              </w:rPr>
              <w:t>（3）与合同履行有关条款中注明的“甲方”、“买方”，在采购阶段按“采购人”理解；注明的“乙方”、“卖方”，按“供应商”理解。</w:t>
            </w:r>
          </w:p>
        </w:tc>
      </w:tr>
      <w:tr w14:paraId="5A40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60B308A">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10.3</w:t>
            </w:r>
          </w:p>
        </w:tc>
        <w:tc>
          <w:tcPr>
            <w:tcW w:w="1811" w:type="dxa"/>
            <w:vAlign w:val="center"/>
          </w:tcPr>
          <w:p w14:paraId="3651EB89">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知识产权</w:t>
            </w:r>
          </w:p>
        </w:tc>
        <w:tc>
          <w:tcPr>
            <w:tcW w:w="6999" w:type="dxa"/>
          </w:tcPr>
          <w:p w14:paraId="7FC5B298">
            <w:pPr>
              <w:adjustRightInd w:val="0"/>
              <w:snapToGrid w:val="0"/>
              <w:spacing w:line="288" w:lineRule="auto"/>
              <w:jc w:val="left"/>
              <w:rPr>
                <w:rFonts w:hint="eastAsia" w:ascii="仿宋" w:hAnsi="仿宋" w:eastAsia="仿宋" w:cs="仿宋"/>
                <w:sz w:val="24"/>
              </w:rPr>
            </w:pPr>
            <w:r>
              <w:rPr>
                <w:rFonts w:hint="eastAsia" w:ascii="仿宋" w:hAnsi="仿宋" w:eastAsia="仿宋" w:cs="仿宋"/>
                <w:sz w:val="24"/>
              </w:rPr>
              <w:t>（1）构成本单一来源采购文件各个组成部分的文件，未经采购人书面同意，供应商不得擅自复印和用于非本招标采购项目所需的其他目的。如因此导致采购人损失的，供应商须承担全部赔偿责任。</w:t>
            </w:r>
          </w:p>
          <w:p w14:paraId="5E616A87">
            <w:pPr>
              <w:adjustRightInd w:val="0"/>
              <w:snapToGrid w:val="0"/>
              <w:spacing w:line="288" w:lineRule="auto"/>
              <w:jc w:val="left"/>
              <w:rPr>
                <w:rFonts w:hint="eastAsia" w:ascii="宋体" w:hAnsi="宋体"/>
                <w:sz w:val="24"/>
              </w:rPr>
            </w:pPr>
            <w:r>
              <w:rPr>
                <w:rFonts w:hint="eastAsia" w:ascii="仿宋" w:hAnsi="仿宋" w:eastAsia="仿宋" w:cs="仿宋"/>
                <w:sz w:val="24"/>
              </w:rPr>
              <w:t>（2）采购人在中华人民共和国境内使用成交货物（服务）、资料、技术、服务或其任何一部分时，履行合同义务后，享有不受限制的无偿使用权，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tc>
      </w:tr>
      <w:tr w14:paraId="5228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B5C2899">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10.4</w:t>
            </w:r>
          </w:p>
        </w:tc>
        <w:tc>
          <w:tcPr>
            <w:tcW w:w="1811" w:type="dxa"/>
            <w:vAlign w:val="center"/>
          </w:tcPr>
          <w:p w14:paraId="198E69F3">
            <w:pPr>
              <w:widowControl/>
              <w:adjustRightInd w:val="0"/>
              <w:snapToGrid w:val="0"/>
              <w:spacing w:line="288" w:lineRule="auto"/>
              <w:jc w:val="center"/>
              <w:rPr>
                <w:rFonts w:hint="eastAsia" w:ascii="宋体" w:hAnsi="宋体" w:cs="Calibri"/>
                <w:sz w:val="24"/>
              </w:rPr>
            </w:pPr>
            <w:r>
              <w:rPr>
                <w:rFonts w:hint="eastAsia" w:ascii="宋体" w:hAnsi="宋体" w:eastAsia="仿宋"/>
                <w:sz w:val="24"/>
              </w:rPr>
              <w:t>投标/响应专用章、业务专用章等效力规定</w:t>
            </w:r>
          </w:p>
        </w:tc>
        <w:tc>
          <w:tcPr>
            <w:tcW w:w="6999" w:type="dxa"/>
            <w:vAlign w:val="center"/>
          </w:tcPr>
          <w:p w14:paraId="07834634">
            <w:pPr>
              <w:widowControl/>
              <w:snapToGrid w:val="0"/>
              <w:spacing w:line="288" w:lineRule="auto"/>
              <w:jc w:val="left"/>
              <w:rPr>
                <w:rFonts w:hint="eastAsia" w:ascii="宋体" w:hAnsi="宋体"/>
                <w:sz w:val="24"/>
              </w:rPr>
            </w:pPr>
            <w:r>
              <w:rPr>
                <w:rFonts w:hint="eastAsia" w:ascii="宋体" w:hAnsi="宋体" w:eastAsia="仿宋"/>
                <w:sz w:val="24"/>
              </w:rPr>
              <w:t>单一来源采购文件中明确要求加盖公章的，供应商必须加盖供应商公章。在有授权文件(原件)表明投标/响应专用章、业务专用章等法律效力等同于供应商公章的情况下，可以加盖投标/响应专用章或业务专用章，否则将导致</w:t>
            </w:r>
            <w:r>
              <w:rPr>
                <w:rFonts w:hint="eastAsia" w:ascii="Calibri" w:hAnsi="Calibri" w:eastAsia="仿宋"/>
                <w:sz w:val="24"/>
              </w:rPr>
              <w:t>响应</w:t>
            </w:r>
            <w:r>
              <w:rPr>
                <w:rFonts w:hint="eastAsia" w:ascii="宋体" w:hAnsi="宋体" w:eastAsia="仿宋"/>
                <w:sz w:val="24"/>
              </w:rPr>
              <w:t>无效。</w:t>
            </w:r>
          </w:p>
        </w:tc>
      </w:tr>
      <w:tr w14:paraId="3F9F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7D27A62">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10.6</w:t>
            </w:r>
          </w:p>
        </w:tc>
        <w:tc>
          <w:tcPr>
            <w:tcW w:w="1811" w:type="dxa"/>
            <w:vAlign w:val="center"/>
          </w:tcPr>
          <w:p w14:paraId="30ADBAB3">
            <w:pPr>
              <w:widowControl/>
              <w:adjustRightInd w:val="0"/>
              <w:snapToGrid w:val="0"/>
              <w:spacing w:line="288" w:lineRule="auto"/>
              <w:jc w:val="center"/>
              <w:rPr>
                <w:rFonts w:hint="eastAsia" w:ascii="仿宋" w:hAnsi="仿宋" w:eastAsia="仿宋" w:cs="仿宋"/>
                <w:sz w:val="24"/>
              </w:rPr>
            </w:pPr>
            <w:r>
              <w:rPr>
                <w:rFonts w:hint="eastAsia" w:ascii="仿宋" w:hAnsi="仿宋" w:eastAsia="仿宋" w:cs="仿宋"/>
                <w:sz w:val="24"/>
              </w:rPr>
              <w:t>相关提示</w:t>
            </w:r>
          </w:p>
        </w:tc>
        <w:tc>
          <w:tcPr>
            <w:tcW w:w="6999" w:type="dxa"/>
            <w:vAlign w:val="center"/>
          </w:tcPr>
          <w:p w14:paraId="13E0283E">
            <w:pPr>
              <w:widowControl/>
              <w:snapToGrid w:val="0"/>
              <w:spacing w:line="288" w:lineRule="auto"/>
              <w:jc w:val="left"/>
              <w:rPr>
                <w:rFonts w:hint="eastAsia" w:ascii="仿宋" w:hAnsi="仿宋" w:eastAsia="仿宋" w:cs="仿宋"/>
                <w:sz w:val="24"/>
              </w:rPr>
            </w:pPr>
            <w:r>
              <w:rPr>
                <w:rFonts w:hint="eastAsia" w:ascii="仿宋" w:hAnsi="仿宋" w:eastAsia="仿宋" w:cs="仿宋"/>
                <w:sz w:val="24"/>
              </w:rPr>
              <w:t>（1）单一来源采购文件中所称时间均指北京时间，采用电子采购时，以交易平台时间为准。</w:t>
            </w:r>
          </w:p>
          <w:p w14:paraId="19748361">
            <w:pPr>
              <w:widowControl/>
              <w:snapToGrid w:val="0"/>
              <w:spacing w:line="288" w:lineRule="auto"/>
              <w:jc w:val="left"/>
              <w:rPr>
                <w:rFonts w:hint="eastAsia" w:ascii="仿宋" w:hAnsi="仿宋" w:eastAsia="仿宋" w:cs="仿宋"/>
                <w:sz w:val="24"/>
              </w:rPr>
            </w:pPr>
            <w:r>
              <w:rPr>
                <w:rFonts w:hint="eastAsia" w:ascii="仿宋" w:hAnsi="仿宋" w:eastAsia="仿宋" w:cs="仿宋"/>
                <w:sz w:val="24"/>
              </w:rPr>
              <w:t>（2）供应商应注意规定的开启响应文件的地点和提交响应文件截止时间，为了使采购工作有条不紊进行，避免因网络等问题导致响应文件无法按时加密并提交的情况发生，建议供应商提前30分钟做好准备工作。</w:t>
            </w:r>
          </w:p>
          <w:p w14:paraId="25E0E433">
            <w:pPr>
              <w:widowControl/>
              <w:snapToGrid w:val="0"/>
              <w:spacing w:line="288" w:lineRule="auto"/>
              <w:jc w:val="left"/>
              <w:rPr>
                <w:rFonts w:hint="eastAsia" w:ascii="仿宋" w:hAnsi="仿宋" w:eastAsia="仿宋" w:cs="仿宋"/>
                <w:sz w:val="24"/>
              </w:rPr>
            </w:pPr>
            <w:r>
              <w:rPr>
                <w:rFonts w:hint="eastAsia" w:ascii="仿宋" w:hAnsi="仿宋" w:eastAsia="仿宋" w:cs="仿宋"/>
                <w:sz w:val="24"/>
              </w:rPr>
              <w:t>（3）本项目保证金账户采用虚拟账号，每个项目均不同，同一个项目不同标包也不同。参与协商的标包应与协商保证金相匹配。如项目采购失败再次采购时，保证金账号也会发生变化。请供应商仔细核对账户信息。</w:t>
            </w:r>
          </w:p>
        </w:tc>
      </w:tr>
      <w:tr w14:paraId="1F3D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CB4E280">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10.7</w:t>
            </w:r>
          </w:p>
        </w:tc>
        <w:tc>
          <w:tcPr>
            <w:tcW w:w="1811" w:type="dxa"/>
            <w:vAlign w:val="center"/>
          </w:tcPr>
          <w:p w14:paraId="226242C9">
            <w:pPr>
              <w:widowControl/>
              <w:adjustRightInd w:val="0"/>
              <w:snapToGrid w:val="0"/>
              <w:spacing w:line="288" w:lineRule="auto"/>
              <w:jc w:val="center"/>
              <w:rPr>
                <w:rFonts w:hint="eastAsia" w:ascii="宋体" w:hAnsi="宋体" w:cs="Calibri"/>
                <w:sz w:val="24"/>
              </w:rPr>
            </w:pPr>
            <w:r>
              <w:rPr>
                <w:rFonts w:hint="eastAsia" w:ascii="宋体" w:hAnsi="宋体" w:eastAsia="仿宋" w:cs="Calibri"/>
                <w:sz w:val="24"/>
              </w:rPr>
              <w:t>单一来源采购文件的解释</w:t>
            </w:r>
          </w:p>
        </w:tc>
        <w:tc>
          <w:tcPr>
            <w:tcW w:w="6999" w:type="dxa"/>
          </w:tcPr>
          <w:p w14:paraId="2EA8DD48">
            <w:pPr>
              <w:widowControl/>
              <w:adjustRightInd w:val="0"/>
              <w:snapToGrid w:val="0"/>
              <w:spacing w:line="288" w:lineRule="auto"/>
              <w:rPr>
                <w:rFonts w:hint="eastAsia" w:ascii="宋体" w:hAnsi="宋体"/>
                <w:sz w:val="24"/>
              </w:rPr>
            </w:pPr>
            <w:r>
              <w:rPr>
                <w:rFonts w:hint="eastAsia" w:ascii="Calibri" w:hAnsi="Calibri" w:eastAsia="仿宋"/>
                <w:sz w:val="24"/>
              </w:rPr>
              <w:t>构成本单一来源采购文件的各个组成文件应互为解释，互为说明；如有不明确或不一致，除单一来源采购文件中有特别规定外，仅适用于采购阶段规定的，按采购邀请书、供应商须知、协商程序、响应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Calibri" w:hAnsi="Calibri" w:eastAsia="仿宋"/>
                <w:bCs/>
                <w:sz w:val="24"/>
              </w:rPr>
              <w:t>由采购人和采购代理机构负责解释。</w:t>
            </w:r>
          </w:p>
        </w:tc>
      </w:tr>
      <w:tr w14:paraId="1C9B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2B48719">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10.8</w:t>
            </w:r>
          </w:p>
        </w:tc>
        <w:tc>
          <w:tcPr>
            <w:tcW w:w="1811" w:type="dxa"/>
            <w:vAlign w:val="center"/>
          </w:tcPr>
          <w:p w14:paraId="02AF9F81">
            <w:pPr>
              <w:widowControl/>
              <w:adjustRightInd w:val="0"/>
              <w:snapToGrid w:val="0"/>
              <w:spacing w:line="288" w:lineRule="auto"/>
              <w:jc w:val="center"/>
              <w:rPr>
                <w:rFonts w:hint="eastAsia" w:ascii="宋体" w:hAnsi="宋体" w:eastAsia="仿宋" w:cs="Calibri"/>
                <w:sz w:val="24"/>
              </w:rPr>
            </w:pPr>
            <w:r>
              <w:rPr>
                <w:rFonts w:hint="eastAsia" w:ascii="宋体" w:hAnsi="宋体" w:eastAsia="仿宋" w:cs="Calibri"/>
                <w:sz w:val="24"/>
              </w:rPr>
              <w:t>其他</w:t>
            </w:r>
          </w:p>
        </w:tc>
        <w:tc>
          <w:tcPr>
            <w:tcW w:w="6999" w:type="dxa"/>
          </w:tcPr>
          <w:p w14:paraId="2686CE0A">
            <w:pPr>
              <w:widowControl/>
              <w:adjustRightInd w:val="0"/>
              <w:snapToGrid w:val="0"/>
              <w:spacing w:line="288" w:lineRule="auto"/>
              <w:rPr>
                <w:rFonts w:ascii="Calibri" w:hAnsi="Calibri" w:eastAsia="仿宋"/>
                <w:sz w:val="24"/>
              </w:rPr>
            </w:pPr>
            <w:r>
              <w:rPr>
                <w:rFonts w:hint="eastAsia" w:ascii="Calibri" w:hAnsi="Calibri" w:eastAsia="仿宋"/>
                <w:sz w:val="24"/>
              </w:rPr>
              <w:t>/</w:t>
            </w:r>
          </w:p>
        </w:tc>
      </w:tr>
    </w:tbl>
    <w:p w14:paraId="04996A41">
      <w:pPr>
        <w:widowControl/>
        <w:rPr>
          <w:rStyle w:val="102"/>
          <w:rFonts w:hint="eastAsia" w:ascii="宋体" w:hAnsi="宋体" w:eastAsia="仿宋"/>
          <w:bCs w:val="0"/>
          <w:sz w:val="24"/>
          <w:szCs w:val="24"/>
        </w:rPr>
        <w:sectPr>
          <w:footerReference r:id="rId7" w:type="default"/>
          <w:footnotePr>
            <w:numFmt w:val="decimalEnclosedCircleChinese"/>
            <w:numRestart w:val="eachPage"/>
          </w:footnotePr>
          <w:pgSz w:w="11906" w:h="16838"/>
          <w:pgMar w:top="1134" w:right="1020" w:bottom="1134" w:left="1020" w:header="851" w:footer="851" w:gutter="0"/>
          <w:cols w:space="720" w:num="1"/>
          <w:docGrid w:linePitch="312" w:charSpace="0"/>
        </w:sectPr>
      </w:pPr>
    </w:p>
    <w:bookmarkEnd w:id="8"/>
    <w:bookmarkEnd w:id="9"/>
    <w:bookmarkEnd w:id="10"/>
    <w:bookmarkEnd w:id="11"/>
    <w:p w14:paraId="0C8DEBE6">
      <w:pPr>
        <w:pStyle w:val="3"/>
        <w:rPr>
          <w:rStyle w:val="102"/>
          <w:rFonts w:hint="eastAsia" w:ascii="宋体" w:hAnsi="宋体" w:eastAsia="仿宋"/>
          <w:b/>
          <w:bCs/>
          <w:sz w:val="24"/>
          <w:szCs w:val="24"/>
        </w:rPr>
      </w:pPr>
      <w:bookmarkStart w:id="36" w:name="_Toc371415920"/>
      <w:bookmarkStart w:id="37" w:name="_Toc445554688"/>
      <w:bookmarkStart w:id="38" w:name="_Toc333600682"/>
      <w:bookmarkStart w:id="39" w:name="_Toc338943699"/>
      <w:bookmarkStart w:id="40" w:name="_Toc179632546"/>
      <w:bookmarkStart w:id="41" w:name="_Toc342297618"/>
      <w:bookmarkStart w:id="42" w:name="_Toc152042305"/>
      <w:bookmarkStart w:id="43" w:name="_Toc338944604"/>
      <w:bookmarkStart w:id="44" w:name="_Toc342294713"/>
      <w:bookmarkStart w:id="45" w:name="_Toc152045529"/>
      <w:bookmarkStart w:id="46" w:name="_Toc458504818"/>
      <w:bookmarkStart w:id="47" w:name="_Toc333599658"/>
      <w:bookmarkStart w:id="48" w:name="_Toc466024500"/>
      <w:bookmarkStart w:id="49" w:name="_Toc455587032"/>
      <w:bookmarkStart w:id="50" w:name="_Toc342296161"/>
      <w:bookmarkStart w:id="51" w:name="_Toc144974497"/>
      <w:bookmarkStart w:id="52" w:name="_Toc455587216"/>
      <w:r>
        <w:rPr>
          <w:rStyle w:val="102"/>
          <w:rFonts w:hint="eastAsia" w:ascii="宋体" w:hAnsi="宋体" w:eastAsia="仿宋"/>
          <w:b/>
          <w:bCs/>
          <w:sz w:val="24"/>
          <w:szCs w:val="24"/>
        </w:rPr>
        <w:t>1. 总则</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B9F9771">
      <w:pPr>
        <w:pStyle w:val="4"/>
        <w:adjustRightInd w:val="0"/>
        <w:ind w:firstLine="482" w:firstLineChars="200"/>
        <w:rPr>
          <w:rFonts w:hint="eastAsia" w:eastAsia="仿宋"/>
          <w:sz w:val="24"/>
          <w:lang w:eastAsia="zh-CN"/>
        </w:rPr>
      </w:pPr>
      <w:bookmarkStart w:id="53" w:name="_Toc338944605"/>
      <w:bookmarkStart w:id="54" w:name="_Toc371415921"/>
      <w:bookmarkStart w:id="55" w:name="_Toc455587033"/>
      <w:bookmarkStart w:id="56" w:name="_Toc152042306"/>
      <w:bookmarkStart w:id="57" w:name="_Toc333587853"/>
      <w:bookmarkStart w:id="58" w:name="_Toc338943700"/>
      <w:bookmarkStart w:id="59" w:name="_Toc455587217"/>
      <w:bookmarkStart w:id="60" w:name="_Toc333599659"/>
      <w:bookmarkStart w:id="61" w:name="_Toc458504819"/>
      <w:bookmarkStart w:id="62" w:name="_Toc445554689"/>
      <w:bookmarkStart w:id="63" w:name="_Toc342294714"/>
      <w:bookmarkStart w:id="64" w:name="_Toc333600683"/>
      <w:bookmarkStart w:id="65" w:name="_Toc342296162"/>
      <w:bookmarkStart w:id="66" w:name="_Toc152045530"/>
      <w:bookmarkStart w:id="67" w:name="_Toc144974498"/>
      <w:bookmarkStart w:id="68" w:name="_Toc342297619"/>
      <w:bookmarkStart w:id="69" w:name="_Toc466024501"/>
      <w:bookmarkStart w:id="70" w:name="_Toc179632547"/>
      <w:r>
        <w:rPr>
          <w:rFonts w:eastAsia="仿宋"/>
          <w:sz w:val="24"/>
          <w:lang w:eastAsia="zh-CN"/>
        </w:rPr>
        <w:t>1</w:t>
      </w:r>
      <w:r>
        <w:rPr>
          <w:rFonts w:hint="eastAsia" w:eastAsia="仿宋"/>
          <w:sz w:val="24"/>
          <w:lang w:eastAsia="zh-CN"/>
        </w:rPr>
        <w:t>.1 项目概况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481AF6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1.1.1 参照《中华人民共和国政府采购法》《中华人民共和国政府采购法实施条例》</w:t>
      </w:r>
      <w:r>
        <w:rPr>
          <w:rFonts w:hint="eastAsia" w:ascii="Calibri" w:hAnsi="Calibri" w:eastAsia="仿宋"/>
          <w:sz w:val="24"/>
        </w:rPr>
        <w:t>《</w:t>
      </w:r>
      <w:r>
        <w:rPr>
          <w:rFonts w:hint="eastAsia" w:ascii="宋体" w:hAnsi="宋体" w:eastAsia="仿宋"/>
          <w:sz w:val="24"/>
        </w:rPr>
        <w:t>政府采购非招标采购方式管理办法</w:t>
      </w:r>
      <w:r>
        <w:rPr>
          <w:rFonts w:hint="eastAsia" w:ascii="Calibri" w:hAnsi="Calibri" w:eastAsia="仿宋"/>
          <w:sz w:val="24"/>
        </w:rPr>
        <w:t>》</w:t>
      </w:r>
      <w:r>
        <w:rPr>
          <w:rFonts w:hint="eastAsia" w:ascii="宋体" w:hAnsi="宋体" w:eastAsia="仿宋"/>
          <w:sz w:val="24"/>
        </w:rPr>
        <w:t>等有关法律、法规和规章的规定，本项目已具备采购条件，现以</w:t>
      </w:r>
      <w:r>
        <w:rPr>
          <w:rFonts w:hint="eastAsia" w:ascii="Calibri" w:hAnsi="Calibri" w:eastAsia="仿宋"/>
          <w:sz w:val="24"/>
        </w:rPr>
        <w:t>单一来源采购方式</w:t>
      </w:r>
      <w:r>
        <w:rPr>
          <w:rFonts w:hint="eastAsia" w:ascii="宋体" w:hAnsi="宋体" w:eastAsia="仿宋"/>
          <w:sz w:val="24"/>
        </w:rPr>
        <w:t>进行采购。</w:t>
      </w:r>
    </w:p>
    <w:p w14:paraId="2E33DF9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1.1.2 采购人：见供应商须知前附表。</w:t>
      </w:r>
    </w:p>
    <w:p w14:paraId="1715420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1.1.3 采购代理机构：见供应商须知前附表。</w:t>
      </w:r>
    </w:p>
    <w:p w14:paraId="2593CE4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1.1.4 采购项目名称：见供应商须知前附表。</w:t>
      </w:r>
    </w:p>
    <w:p w14:paraId="325D66A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1.1.5 采购包划分：见供应商须知前附表。</w:t>
      </w:r>
    </w:p>
    <w:p w14:paraId="44385EA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1.1.6 采购预算：见供应商须知前附表。</w:t>
      </w:r>
    </w:p>
    <w:p w14:paraId="4194E14C">
      <w:pPr>
        <w:pStyle w:val="4"/>
        <w:adjustRightInd w:val="0"/>
        <w:ind w:firstLine="482" w:firstLineChars="200"/>
        <w:rPr>
          <w:rFonts w:hint="eastAsia" w:eastAsia="仿宋"/>
          <w:sz w:val="24"/>
          <w:lang w:eastAsia="zh-CN"/>
        </w:rPr>
      </w:pPr>
      <w:bookmarkStart w:id="71" w:name="_Toc466024502"/>
      <w:bookmarkStart w:id="72" w:name="_Toc455587034"/>
      <w:bookmarkStart w:id="73" w:name="_Toc445554690"/>
      <w:bookmarkStart w:id="74" w:name="_Toc455587218"/>
      <w:bookmarkStart w:id="75" w:name="_Toc458504820"/>
      <w:r>
        <w:rPr>
          <w:rFonts w:hint="eastAsia" w:eastAsia="仿宋"/>
          <w:sz w:val="24"/>
          <w:lang w:eastAsia="zh-CN"/>
        </w:rPr>
        <w:t>1.2 资金落实情况</w:t>
      </w:r>
    </w:p>
    <w:bookmarkEnd w:id="71"/>
    <w:bookmarkEnd w:id="72"/>
    <w:bookmarkEnd w:id="73"/>
    <w:bookmarkEnd w:id="74"/>
    <w:bookmarkEnd w:id="75"/>
    <w:p w14:paraId="07940145">
      <w:pPr>
        <w:widowControl/>
        <w:adjustRightInd w:val="0"/>
        <w:snapToGrid w:val="0"/>
        <w:spacing w:line="360" w:lineRule="auto"/>
        <w:ind w:firstLine="480" w:firstLineChars="200"/>
        <w:rPr>
          <w:rFonts w:hint="eastAsia" w:ascii="宋体" w:hAnsi="宋体" w:eastAsia="仿宋" w:cs="宋体"/>
          <w:sz w:val="24"/>
        </w:rPr>
      </w:pPr>
      <w:bookmarkStart w:id="76" w:name="_Toc333600687"/>
      <w:bookmarkStart w:id="77" w:name="_Toc152042310"/>
      <w:bookmarkStart w:id="78" w:name="_Toc466024503"/>
      <w:bookmarkStart w:id="79" w:name="_Toc152045534"/>
      <w:bookmarkStart w:id="80" w:name="_Toc445554692"/>
      <w:bookmarkStart w:id="81" w:name="_Toc338944609"/>
      <w:bookmarkStart w:id="82" w:name="_Toc333599663"/>
      <w:bookmarkStart w:id="83" w:name="_Toc455587219"/>
      <w:bookmarkStart w:id="84" w:name="_Toc371415924"/>
      <w:bookmarkStart w:id="85" w:name="_Toc338943704"/>
      <w:bookmarkStart w:id="86" w:name="_Toc144974502"/>
      <w:bookmarkStart w:id="87" w:name="_Toc333587857"/>
      <w:bookmarkStart w:id="88" w:name="_Toc342296166"/>
      <w:bookmarkStart w:id="89" w:name="_Toc455587035"/>
      <w:bookmarkStart w:id="90" w:name="_Toc342297623"/>
      <w:bookmarkStart w:id="91" w:name="_Toc342294718"/>
      <w:bookmarkStart w:id="92" w:name="_Toc179632551"/>
      <w:bookmarkStart w:id="93" w:name="_Toc458504821"/>
      <w:r>
        <w:rPr>
          <w:rFonts w:hint="eastAsia" w:ascii="宋体" w:hAnsi="宋体" w:eastAsia="仿宋" w:cs="宋体"/>
          <w:sz w:val="24"/>
          <w:lang w:bidi="ar"/>
        </w:rPr>
        <w:t xml:space="preserve">1.2.1 </w:t>
      </w:r>
      <w:r>
        <w:rPr>
          <w:rFonts w:hint="eastAsia" w:ascii="宋体" w:hAnsi="宋体" w:eastAsia="仿宋" w:cs="仿宋"/>
          <w:sz w:val="24"/>
          <w:lang w:bidi="ar"/>
        </w:rPr>
        <w:t>资金来源及比例：见供应商须知前附表。</w:t>
      </w:r>
    </w:p>
    <w:p w14:paraId="540173A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cs="宋体"/>
          <w:sz w:val="24"/>
          <w:lang w:bidi="ar"/>
        </w:rPr>
        <w:t xml:space="preserve">1.2.2 </w:t>
      </w:r>
      <w:r>
        <w:rPr>
          <w:rFonts w:hint="eastAsia" w:ascii="宋体" w:hAnsi="宋体" w:eastAsia="仿宋" w:cs="仿宋"/>
          <w:sz w:val="24"/>
          <w:lang w:bidi="ar"/>
        </w:rPr>
        <w:t>资金落实情况：</w:t>
      </w:r>
      <w:r>
        <w:rPr>
          <w:rFonts w:hint="eastAsia" w:ascii="宋体" w:hAnsi="宋体" w:eastAsia="仿宋"/>
          <w:sz w:val="24"/>
        </w:rPr>
        <w:t>本项目的采购人已获得足以支付本次采购后所签订的合同项下的资金。</w:t>
      </w:r>
    </w:p>
    <w:p w14:paraId="56BFBC37">
      <w:pPr>
        <w:pStyle w:val="4"/>
        <w:adjustRightInd w:val="0"/>
        <w:ind w:firstLine="482" w:firstLineChars="200"/>
        <w:rPr>
          <w:rFonts w:hint="eastAsia" w:eastAsia="仿宋"/>
          <w:sz w:val="24"/>
          <w:lang w:eastAsia="zh-CN"/>
        </w:rPr>
      </w:pPr>
      <w:r>
        <w:rPr>
          <w:rFonts w:hint="eastAsia" w:eastAsia="仿宋"/>
          <w:sz w:val="24"/>
          <w:lang w:eastAsia="zh-CN"/>
        </w:rPr>
        <w:t>1.3 资格要求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4A47A4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1.3.1 供应商应具备承担本采购项目的资质条件、能力和信誉，具体资格要求见供应商须知前附表。</w:t>
      </w:r>
    </w:p>
    <w:p w14:paraId="04F49A2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1.3.2 接受联合体响应的，除应符合本章第1.3</w:t>
      </w:r>
      <w:r>
        <w:rPr>
          <w:rFonts w:ascii="宋体" w:hAnsi="宋体" w:eastAsia="仿宋"/>
          <w:sz w:val="24"/>
        </w:rPr>
        <w:t>.1</w:t>
      </w:r>
      <w:r>
        <w:rPr>
          <w:rFonts w:hint="eastAsia" w:ascii="宋体" w:hAnsi="宋体" w:eastAsia="仿宋"/>
          <w:sz w:val="24"/>
        </w:rPr>
        <w:t>项和供应商须知前附表的要求外，还应遵守以下规定：</w:t>
      </w:r>
    </w:p>
    <w:p w14:paraId="36CB0DF5">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（1）</w:t>
      </w:r>
      <w:r>
        <w:rPr>
          <w:rFonts w:hint="eastAsia" w:ascii="Calibri" w:hAnsi="Calibri" w:eastAsia="仿宋"/>
          <w:sz w:val="24"/>
        </w:rPr>
        <w:t>联合体各方应按单一来源采购文件提供的格式签订联合体协议书，明确联合体牵头人和各方权利义务，并承诺就成交项目向采购人承担连带责任；</w:t>
      </w:r>
    </w:p>
    <w:p w14:paraId="26E33B89">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（2）</w:t>
      </w:r>
      <w:r>
        <w:rPr>
          <w:rFonts w:hint="eastAsia" w:ascii="Calibri" w:hAnsi="Calibri" w:eastAsia="仿宋"/>
          <w:sz w:val="24"/>
        </w:rPr>
        <w:t>由同一专业的单位组成的联合体，按照资质等级较低的单位确定资质等级；</w:t>
      </w:r>
    </w:p>
    <w:p w14:paraId="766FADD7">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（3）</w:t>
      </w:r>
      <w:r>
        <w:rPr>
          <w:rFonts w:hint="eastAsia" w:ascii="Calibri" w:hAnsi="Calibri" w:eastAsia="仿宋"/>
          <w:sz w:val="24"/>
        </w:rPr>
        <w:t>联合体</w:t>
      </w:r>
      <w:r>
        <w:rPr>
          <w:rFonts w:hint="eastAsia" w:ascii="宋体" w:hAnsi="宋体" w:eastAsia="仿宋"/>
          <w:sz w:val="24"/>
        </w:rPr>
        <w:t>各方</w:t>
      </w:r>
      <w:r>
        <w:rPr>
          <w:rFonts w:hint="eastAsia" w:ascii="Calibri" w:hAnsi="Calibri" w:eastAsia="仿宋"/>
          <w:sz w:val="24"/>
        </w:rPr>
        <w:t>应分别按照本单一来源采购文件的要求，填写响应文件中的相应表格，并由联合体牵头人负责对联合体各成员的资料进行统一汇总后一并提交给采购人；联合体牵头人所提交的响应文件应认为已代表了联合体各成员的真实情况；</w:t>
      </w:r>
    </w:p>
    <w:p w14:paraId="356CFE5A">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（4）</w:t>
      </w:r>
      <w:r>
        <w:rPr>
          <w:rFonts w:hint="eastAsia" w:ascii="Calibri" w:hAnsi="Calibri" w:eastAsia="仿宋"/>
          <w:sz w:val="24"/>
        </w:rPr>
        <w:t>尽管委</w:t>
      </w:r>
      <w:r>
        <w:rPr>
          <w:rFonts w:ascii="Calibri" w:hAnsi="Calibri" w:eastAsia="仿宋"/>
          <w:sz w:val="24"/>
        </w:rPr>
        <w:t>任了联合体牵头人，但联合体各成员在</w:t>
      </w:r>
      <w:r>
        <w:rPr>
          <w:rFonts w:hint="eastAsia" w:ascii="Calibri" w:hAnsi="Calibri" w:eastAsia="仿宋"/>
          <w:sz w:val="24"/>
        </w:rPr>
        <w:t>参加采购活动</w:t>
      </w:r>
      <w:r>
        <w:rPr>
          <w:rFonts w:ascii="Calibri" w:hAnsi="Calibri" w:eastAsia="仿宋"/>
          <w:sz w:val="24"/>
        </w:rPr>
        <w:t>、签订合同与履行合同过程中，仍负有连带的和各自的法律责任。</w:t>
      </w:r>
    </w:p>
    <w:p w14:paraId="3166963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1.3.3 供应商</w:t>
      </w:r>
      <w:r>
        <w:rPr>
          <w:rFonts w:hAnsi="宋体" w:eastAsia="仿宋"/>
          <w:sz w:val="24"/>
        </w:rPr>
        <w:t>（包括联合体各成员）</w:t>
      </w:r>
      <w:r>
        <w:rPr>
          <w:rFonts w:hint="eastAsia" w:ascii="宋体" w:hAnsi="宋体" w:eastAsia="仿宋"/>
          <w:sz w:val="24"/>
        </w:rPr>
        <w:t>不得存在下列情形之一：</w:t>
      </w:r>
    </w:p>
    <w:p w14:paraId="479E904E">
      <w:pPr>
        <w:widowControl/>
        <w:adjustRightInd w:val="0"/>
        <w:snapToGrid w:val="0"/>
        <w:spacing w:line="360" w:lineRule="auto"/>
        <w:ind w:firstLine="480" w:firstLineChars="200"/>
        <w:rPr>
          <w:rFonts w:hint="eastAsia" w:ascii="宋体" w:hAnsi="宋体" w:eastAsia="仿宋"/>
          <w:sz w:val="24"/>
        </w:rPr>
      </w:pPr>
      <w:bookmarkStart w:id="94" w:name="_Toc338944610"/>
      <w:bookmarkStart w:id="95" w:name="_Toc342297624"/>
      <w:bookmarkStart w:id="96" w:name="_Toc342294719"/>
      <w:bookmarkStart w:id="97" w:name="_Toc333599664"/>
      <w:bookmarkStart w:id="98" w:name="_Toc333600688"/>
      <w:bookmarkStart w:id="99" w:name="_Toc338943705"/>
      <w:bookmarkStart w:id="100" w:name="_Toc144974503"/>
      <w:bookmarkStart w:id="101" w:name="_Toc152045535"/>
      <w:bookmarkStart w:id="102" w:name="_Toc333587858"/>
      <w:bookmarkStart w:id="103" w:name="_Toc179632552"/>
      <w:bookmarkStart w:id="104" w:name="_Toc342296167"/>
      <w:bookmarkStart w:id="105" w:name="_Toc152042311"/>
      <w:r>
        <w:rPr>
          <w:rFonts w:hint="eastAsia" w:ascii="宋体" w:hAnsi="宋体" w:eastAsia="仿宋"/>
          <w:sz w:val="24"/>
        </w:rPr>
        <w:t>（1）</w:t>
      </w:r>
      <w:r>
        <w:rPr>
          <w:rFonts w:ascii="宋体" w:hAnsi="宋体" w:eastAsia="仿宋"/>
          <w:sz w:val="24"/>
        </w:rPr>
        <w:t>为本采购项目的采购代理机构；</w:t>
      </w:r>
    </w:p>
    <w:p w14:paraId="2912DAA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w:t>
      </w:r>
      <w:r>
        <w:rPr>
          <w:rFonts w:ascii="宋体" w:hAnsi="宋体" w:eastAsia="仿宋"/>
          <w:sz w:val="24"/>
        </w:rPr>
        <w:t>为采购人</w:t>
      </w:r>
      <w:r>
        <w:rPr>
          <w:rFonts w:hint="eastAsia" w:ascii="宋体" w:hAnsi="宋体" w:eastAsia="仿宋"/>
          <w:sz w:val="24"/>
        </w:rPr>
        <w:t>不具有独立承担民事责任能力的</w:t>
      </w:r>
      <w:r>
        <w:rPr>
          <w:rFonts w:ascii="宋体" w:hAnsi="宋体" w:eastAsia="仿宋"/>
          <w:sz w:val="24"/>
        </w:rPr>
        <w:t>附属机构</w:t>
      </w:r>
      <w:r>
        <w:rPr>
          <w:rFonts w:hint="eastAsia" w:ascii="宋体" w:hAnsi="宋体" w:eastAsia="仿宋"/>
          <w:sz w:val="24"/>
        </w:rPr>
        <w:t>；</w:t>
      </w:r>
    </w:p>
    <w:p w14:paraId="535A013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w:t>
      </w:r>
      <w:r>
        <w:rPr>
          <w:rFonts w:ascii="宋体" w:hAnsi="宋体" w:eastAsia="仿宋"/>
          <w:sz w:val="24"/>
        </w:rPr>
        <w:t>与采购人存在利害关系且可能影响采购公正性；</w:t>
      </w:r>
    </w:p>
    <w:p w14:paraId="3EEE8E8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由本</w:t>
      </w:r>
      <w:r>
        <w:rPr>
          <w:rFonts w:hint="eastAsia" w:ascii="宋体" w:hAnsi="宋体" w:eastAsia="仿宋"/>
          <w:sz w:val="24"/>
        </w:rPr>
        <w:t>采购项目</w:t>
      </w:r>
      <w:r>
        <w:rPr>
          <w:rFonts w:ascii="宋体" w:hAnsi="宋体" w:eastAsia="仿宋"/>
          <w:sz w:val="24"/>
        </w:rPr>
        <w:t>采购代理机构代理</w:t>
      </w:r>
      <w:r>
        <w:rPr>
          <w:rFonts w:hint="eastAsia" w:ascii="Calibri" w:hAnsi="Calibri" w:eastAsia="仿宋"/>
          <w:sz w:val="24"/>
        </w:rPr>
        <w:t>参加采购活动</w:t>
      </w:r>
      <w:r>
        <w:rPr>
          <w:rFonts w:ascii="宋体" w:hAnsi="宋体" w:eastAsia="仿宋"/>
          <w:sz w:val="24"/>
        </w:rPr>
        <w:t>，或者接受过本</w:t>
      </w:r>
      <w:r>
        <w:rPr>
          <w:rFonts w:hint="eastAsia" w:ascii="宋体" w:hAnsi="宋体" w:eastAsia="仿宋"/>
          <w:sz w:val="24"/>
        </w:rPr>
        <w:t>采购项目</w:t>
      </w:r>
      <w:r>
        <w:rPr>
          <w:rFonts w:ascii="宋体" w:hAnsi="宋体" w:eastAsia="仿宋"/>
          <w:sz w:val="24"/>
        </w:rPr>
        <w:t>的采购代理机构为本</w:t>
      </w:r>
      <w:r>
        <w:rPr>
          <w:rFonts w:hint="eastAsia" w:ascii="宋体" w:hAnsi="宋体" w:eastAsia="仿宋"/>
          <w:sz w:val="24"/>
        </w:rPr>
        <w:t>采购项目</w:t>
      </w:r>
      <w:r>
        <w:rPr>
          <w:rFonts w:ascii="宋体" w:hAnsi="宋体" w:eastAsia="仿宋"/>
          <w:sz w:val="24"/>
        </w:rPr>
        <w:t>提供咨询</w:t>
      </w:r>
      <w:r>
        <w:rPr>
          <w:rFonts w:hint="eastAsia" w:ascii="宋体" w:hAnsi="宋体" w:eastAsia="仿宋"/>
          <w:sz w:val="24"/>
        </w:rPr>
        <w:t>；</w:t>
      </w:r>
    </w:p>
    <w:p w14:paraId="60DF87B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w:t>
      </w:r>
      <w:r>
        <w:rPr>
          <w:rFonts w:ascii="宋体" w:hAnsi="宋体" w:eastAsia="仿宋"/>
          <w:sz w:val="24"/>
        </w:rPr>
        <w:t>被责令停产停业、暂扣或者吊销许可证、暂扣或者吊销执照；</w:t>
      </w:r>
    </w:p>
    <w:p w14:paraId="7A6594A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进入清算程序，或被宣告破产，或其他丧失履约能力的情形；</w:t>
      </w:r>
    </w:p>
    <w:p w14:paraId="26048E1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（7）被依法禁止参加政府采购活动并在有效期内；</w:t>
      </w:r>
    </w:p>
    <w:p w14:paraId="17CC679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（8）截至提交响应文件截止时间，被人民法院列入失信被执行人名单的（以信用中国www.creditchina.gov.cn、中国执行信息公开网http://zxgk.court.gov.cn/查询为准）；</w:t>
      </w:r>
    </w:p>
    <w:p w14:paraId="17AE03A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（9）截至提交响应文件截止时间，被列入重大税收违法案件当事人（重大税收违法失信主体）名单的（以信用中国网站www.creditchina.gov.cn查询为准）；</w:t>
      </w:r>
    </w:p>
    <w:p w14:paraId="09CE558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（10）截至提交响应文件截止时间，被列入政府采购严重违法失信名单的（以信用中国网站www.creditchina.gov.cn、中国政府采购网http://www.ccgp.gov.cn/查询为准）；</w:t>
      </w:r>
    </w:p>
    <w:p w14:paraId="4BB35F8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截至提交响应文件截止时间，被市场监督管理部门（或工商行政管理部门）列入经营异常名录（未按照《企业信息公示暂行条例》（国务院令第654号）第八条规定的期限公示年度报告被列入经营异常名录的除外）或者严重违法失信企业名单的（以国家企业信用信息公示系统http://www.gsxt.gov.cn/查询为准）；</w:t>
      </w:r>
    </w:p>
    <w:p w14:paraId="3B63945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w:t>
      </w:r>
      <w:r>
        <w:rPr>
          <w:rFonts w:ascii="宋体" w:hAnsi="宋体" w:eastAsia="仿宋"/>
          <w:sz w:val="24"/>
        </w:rPr>
        <w:t>法律法规</w:t>
      </w:r>
      <w:r>
        <w:rPr>
          <w:rFonts w:hint="eastAsia" w:ascii="宋体" w:hAnsi="宋体" w:eastAsia="仿宋"/>
          <w:sz w:val="24"/>
        </w:rPr>
        <w:t>规定的其他情形；</w:t>
      </w:r>
    </w:p>
    <w:p w14:paraId="763E4AC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（13）供应商</w:t>
      </w:r>
      <w:r>
        <w:rPr>
          <w:rFonts w:ascii="宋体" w:hAnsi="宋体" w:eastAsia="仿宋"/>
          <w:sz w:val="24"/>
        </w:rPr>
        <w:t>须知前附表规定的其他情形。</w:t>
      </w:r>
    </w:p>
    <w:p w14:paraId="4EC6D210">
      <w:pPr>
        <w:pStyle w:val="4"/>
        <w:adjustRightInd w:val="0"/>
        <w:ind w:firstLine="482" w:firstLineChars="200"/>
        <w:rPr>
          <w:rFonts w:hint="eastAsia" w:eastAsia="仿宋"/>
          <w:sz w:val="24"/>
          <w:lang w:eastAsia="zh-CN"/>
        </w:rPr>
      </w:pPr>
      <w:bookmarkStart w:id="106" w:name="_Toc466024504"/>
      <w:bookmarkStart w:id="107" w:name="_Toc445554693"/>
      <w:bookmarkStart w:id="108" w:name="_Toc458504822"/>
      <w:bookmarkStart w:id="109" w:name="_Toc455587220"/>
      <w:bookmarkStart w:id="110" w:name="_Toc455587036"/>
      <w:bookmarkStart w:id="111" w:name="_Toc371415925"/>
      <w:r>
        <w:rPr>
          <w:rFonts w:hint="eastAsia" w:eastAsia="仿宋"/>
          <w:sz w:val="24"/>
          <w:lang w:eastAsia="zh-CN"/>
        </w:rPr>
        <w:t>1.4 费用承担</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C7584B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供应商准备和参加采购活动发生的费用自理。</w:t>
      </w:r>
    </w:p>
    <w:p w14:paraId="0370E5E1">
      <w:pPr>
        <w:pStyle w:val="4"/>
        <w:adjustRightInd w:val="0"/>
        <w:ind w:firstLine="482" w:firstLineChars="200"/>
        <w:rPr>
          <w:rFonts w:hint="eastAsia" w:eastAsia="仿宋"/>
          <w:sz w:val="24"/>
          <w:lang w:eastAsia="zh-CN"/>
        </w:rPr>
      </w:pPr>
      <w:bookmarkStart w:id="112" w:name="_Toc455587037"/>
      <w:bookmarkStart w:id="113" w:name="_Toc466024505"/>
      <w:bookmarkStart w:id="114" w:name="_Toc458504823"/>
      <w:bookmarkStart w:id="115" w:name="_Toc455587221"/>
      <w:bookmarkStart w:id="116" w:name="_Toc445554694"/>
      <w:bookmarkStart w:id="117" w:name="_Toc144974504"/>
      <w:bookmarkStart w:id="118" w:name="_Toc152042312"/>
      <w:bookmarkStart w:id="119" w:name="_Toc247513959"/>
      <w:bookmarkStart w:id="120" w:name="_Toc152045536"/>
      <w:bookmarkStart w:id="121" w:name="_Toc300834956"/>
      <w:bookmarkStart w:id="122" w:name="_Toc247527560"/>
      <w:r>
        <w:rPr>
          <w:rFonts w:hint="eastAsia" w:eastAsia="仿宋"/>
          <w:sz w:val="24"/>
          <w:lang w:eastAsia="zh-CN"/>
        </w:rPr>
        <w:t>1.5 保密</w:t>
      </w:r>
      <w:bookmarkEnd w:id="112"/>
      <w:bookmarkEnd w:id="113"/>
      <w:bookmarkEnd w:id="114"/>
      <w:bookmarkEnd w:id="115"/>
      <w:bookmarkEnd w:id="116"/>
    </w:p>
    <w:p w14:paraId="1D2F9F3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参与采购的各方应当对单一来源采购文件和响应文件中的商业和技术等秘密保密，否则应当承担相应的法律责任。</w:t>
      </w:r>
    </w:p>
    <w:p w14:paraId="46FBB67B">
      <w:pPr>
        <w:pStyle w:val="4"/>
        <w:adjustRightInd w:val="0"/>
        <w:ind w:firstLine="482" w:firstLineChars="200"/>
        <w:rPr>
          <w:rFonts w:hint="eastAsia" w:eastAsia="仿宋"/>
          <w:sz w:val="24"/>
          <w:lang w:eastAsia="zh-CN"/>
        </w:rPr>
      </w:pPr>
      <w:bookmarkStart w:id="123" w:name="_Toc455587038"/>
      <w:bookmarkStart w:id="124" w:name="_Toc445554695"/>
      <w:bookmarkStart w:id="125" w:name="_Toc466024506"/>
      <w:bookmarkStart w:id="126" w:name="_Toc458504824"/>
      <w:bookmarkStart w:id="127" w:name="_Toc455587222"/>
      <w:r>
        <w:rPr>
          <w:rFonts w:hint="eastAsia" w:eastAsia="仿宋"/>
          <w:sz w:val="24"/>
          <w:lang w:eastAsia="zh-CN"/>
        </w:rPr>
        <w:t>1.6 语言文字</w:t>
      </w:r>
      <w:bookmarkEnd w:id="117"/>
      <w:bookmarkEnd w:id="118"/>
      <w:bookmarkEnd w:id="119"/>
      <w:bookmarkEnd w:id="120"/>
      <w:bookmarkEnd w:id="121"/>
      <w:bookmarkEnd w:id="122"/>
      <w:bookmarkEnd w:id="123"/>
      <w:bookmarkEnd w:id="124"/>
      <w:bookmarkEnd w:id="125"/>
      <w:bookmarkEnd w:id="126"/>
      <w:bookmarkEnd w:id="127"/>
    </w:p>
    <w:p w14:paraId="41945AA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除专用术语外，与采购有关的语言均应当使用中文。必要时专用术语应附有中文注释。</w:t>
      </w:r>
    </w:p>
    <w:p w14:paraId="7367C8C8">
      <w:pPr>
        <w:pStyle w:val="4"/>
        <w:adjustRightInd w:val="0"/>
        <w:ind w:firstLine="482" w:firstLineChars="200"/>
        <w:rPr>
          <w:rFonts w:hint="eastAsia" w:eastAsia="仿宋"/>
          <w:sz w:val="24"/>
          <w:lang w:eastAsia="zh-CN"/>
        </w:rPr>
      </w:pPr>
      <w:bookmarkStart w:id="128" w:name="_Toc342294722"/>
      <w:bookmarkStart w:id="129" w:name="_Toc338944613"/>
      <w:bookmarkStart w:id="130" w:name="_Toc152045538"/>
      <w:bookmarkStart w:id="131" w:name="_Toc152042314"/>
      <w:bookmarkStart w:id="132" w:name="_Toc455587039"/>
      <w:bookmarkStart w:id="133" w:name="_Toc333587861"/>
      <w:bookmarkStart w:id="134" w:name="_Toc338943708"/>
      <w:bookmarkStart w:id="135" w:name="_Toc455587223"/>
      <w:bookmarkStart w:id="136" w:name="_Toc371415926"/>
      <w:bookmarkStart w:id="137" w:name="_Toc342296170"/>
      <w:bookmarkStart w:id="138" w:name="_Toc144974506"/>
      <w:bookmarkStart w:id="139" w:name="_Toc342297627"/>
      <w:bookmarkStart w:id="140" w:name="_Toc466024507"/>
      <w:bookmarkStart w:id="141" w:name="_Toc179632555"/>
      <w:bookmarkStart w:id="142" w:name="_Toc333600691"/>
      <w:bookmarkStart w:id="143" w:name="_Toc333599667"/>
      <w:bookmarkStart w:id="144" w:name="_Toc458504825"/>
      <w:bookmarkStart w:id="145" w:name="_Toc445554696"/>
      <w:r>
        <w:rPr>
          <w:rFonts w:hint="eastAsia" w:eastAsia="仿宋"/>
          <w:sz w:val="24"/>
          <w:lang w:eastAsia="zh-CN"/>
        </w:rPr>
        <w:t>1.7 计量单位</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F8E9F5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除单一来源采购文件另有规定外，所有计量均采用中华人民共和国法定计量单位。</w:t>
      </w:r>
    </w:p>
    <w:p w14:paraId="4D846C41">
      <w:pPr>
        <w:pStyle w:val="4"/>
        <w:adjustRightInd w:val="0"/>
        <w:ind w:firstLine="482" w:firstLineChars="200"/>
        <w:rPr>
          <w:rFonts w:hint="eastAsia" w:eastAsia="仿宋"/>
          <w:sz w:val="24"/>
          <w:lang w:eastAsia="zh-CN"/>
        </w:rPr>
      </w:pPr>
      <w:bookmarkStart w:id="146" w:name="_Toc445554697"/>
      <w:bookmarkStart w:id="147" w:name="_Toc371415927"/>
      <w:bookmarkStart w:id="148" w:name="_Toc455587040"/>
      <w:bookmarkStart w:id="149" w:name="_Toc455587224"/>
      <w:bookmarkStart w:id="150" w:name="_Toc458504826"/>
      <w:bookmarkStart w:id="151" w:name="_Toc466024508"/>
      <w:bookmarkStart w:id="152" w:name="_Toc338943710"/>
      <w:bookmarkStart w:id="153" w:name="_Toc342296172"/>
      <w:bookmarkStart w:id="154" w:name="_Toc333587863"/>
      <w:bookmarkStart w:id="155" w:name="_Toc152045540"/>
      <w:bookmarkStart w:id="156" w:name="_Toc338944615"/>
      <w:bookmarkStart w:id="157" w:name="_Toc179632557"/>
      <w:bookmarkStart w:id="158" w:name="_Toc333600693"/>
      <w:bookmarkStart w:id="159" w:name="_Toc342294724"/>
      <w:bookmarkStart w:id="160" w:name="_Toc152042316"/>
      <w:bookmarkStart w:id="161" w:name="_Toc144974508"/>
      <w:bookmarkStart w:id="162" w:name="_Toc342297629"/>
      <w:bookmarkStart w:id="163" w:name="_Toc333599669"/>
      <w:r>
        <w:rPr>
          <w:rFonts w:hint="eastAsia" w:eastAsia="仿宋"/>
          <w:sz w:val="24"/>
          <w:lang w:eastAsia="zh-CN"/>
        </w:rPr>
        <w:t>1.</w:t>
      </w:r>
      <w:bookmarkEnd w:id="146"/>
      <w:bookmarkEnd w:id="147"/>
      <w:bookmarkEnd w:id="148"/>
      <w:bookmarkEnd w:id="149"/>
      <w:bookmarkEnd w:id="150"/>
      <w:r>
        <w:rPr>
          <w:rFonts w:hint="eastAsia" w:eastAsia="仿宋"/>
          <w:sz w:val="24"/>
          <w:lang w:eastAsia="zh-CN"/>
        </w:rPr>
        <w:t>8 现场考察</w:t>
      </w:r>
      <w:bookmarkEnd w:id="151"/>
    </w:p>
    <w:p w14:paraId="6C39DFB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1.8</w:t>
      </w:r>
      <w:r>
        <w:rPr>
          <w:rFonts w:ascii="宋体" w:hAnsi="宋体" w:eastAsia="仿宋"/>
          <w:sz w:val="24"/>
        </w:rPr>
        <w:t>.1</w:t>
      </w:r>
      <w:r>
        <w:rPr>
          <w:rFonts w:hint="eastAsia" w:ascii="宋体" w:hAnsi="宋体" w:eastAsia="仿宋"/>
          <w:sz w:val="24"/>
        </w:rPr>
        <w:t xml:space="preserve"> 供应商须知前附表规定组织现场考察的，采购人按供应商须知前附表规定的时间、地点组织供应商现场考察。采购人不组织统一现场考察的，由供应商自行考察现场。</w:t>
      </w:r>
    </w:p>
    <w:p w14:paraId="0349459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1.8.</w:t>
      </w:r>
      <w:r>
        <w:rPr>
          <w:rFonts w:ascii="宋体" w:hAnsi="宋体" w:eastAsia="仿宋"/>
          <w:sz w:val="24"/>
        </w:rPr>
        <w:t>2</w:t>
      </w:r>
      <w:r>
        <w:rPr>
          <w:rFonts w:hint="eastAsia" w:ascii="宋体" w:hAnsi="宋体" w:eastAsia="仿宋"/>
          <w:sz w:val="24"/>
        </w:rPr>
        <w:t xml:space="preserve"> 供应商现场考察发生的费用自理。</w:t>
      </w:r>
    </w:p>
    <w:p w14:paraId="2D000D2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1.8</w:t>
      </w:r>
      <w:r>
        <w:rPr>
          <w:rFonts w:ascii="宋体" w:hAnsi="宋体" w:eastAsia="仿宋"/>
          <w:sz w:val="24"/>
        </w:rPr>
        <w:t>.3</w:t>
      </w:r>
      <w:r>
        <w:rPr>
          <w:rFonts w:hint="eastAsia" w:ascii="宋体" w:hAnsi="宋体" w:eastAsia="仿宋"/>
          <w:sz w:val="24"/>
        </w:rPr>
        <w:t xml:space="preserve"> 除采购人的原因外，供应商自行负责在现场考察中所发生的人员伤亡和财产损失。</w:t>
      </w:r>
    </w:p>
    <w:p w14:paraId="76061DD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1.8</w:t>
      </w:r>
      <w:r>
        <w:rPr>
          <w:rFonts w:ascii="宋体" w:hAnsi="宋体" w:eastAsia="仿宋"/>
          <w:sz w:val="24"/>
        </w:rPr>
        <w:t>.4</w:t>
      </w:r>
      <w:r>
        <w:rPr>
          <w:rFonts w:hint="eastAsia" w:ascii="宋体" w:hAnsi="宋体" w:eastAsia="仿宋"/>
          <w:sz w:val="24"/>
        </w:rPr>
        <w:t xml:space="preserve"> 采购人在现场考察中介绍的现场情况和周边相关的环境情况，仅作为供应商在编制响应文件时参考，采购人不对供应商据此作出的判断和决策负责。</w:t>
      </w:r>
    </w:p>
    <w:p w14:paraId="63B47F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1.8.5 除非有特殊要求，单一来源采购文件不单独提供供货使用地的自然环境、气候条件、公用设施等情况，供应商被视为熟悉上述与履行合同有关的一切情况。</w:t>
      </w:r>
    </w:p>
    <w:p w14:paraId="1E93DCC2">
      <w:pPr>
        <w:pStyle w:val="4"/>
        <w:adjustRightInd w:val="0"/>
        <w:ind w:firstLine="482" w:firstLineChars="200"/>
        <w:rPr>
          <w:rFonts w:hint="eastAsia" w:eastAsia="仿宋"/>
          <w:sz w:val="24"/>
          <w:lang w:eastAsia="zh-CN"/>
        </w:rPr>
      </w:pPr>
      <w:bookmarkStart w:id="164" w:name="_Toc445554698"/>
      <w:bookmarkStart w:id="165" w:name="_Toc455587225"/>
      <w:bookmarkStart w:id="166" w:name="_Toc458504827"/>
      <w:bookmarkStart w:id="167" w:name="_Toc455587041"/>
      <w:bookmarkStart w:id="168" w:name="_Toc466024509"/>
      <w:r>
        <w:rPr>
          <w:rFonts w:hint="eastAsia" w:eastAsia="仿宋"/>
          <w:sz w:val="24"/>
          <w:lang w:eastAsia="zh-CN"/>
        </w:rPr>
        <w:t>1.</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int="eastAsia" w:eastAsia="仿宋"/>
          <w:sz w:val="24"/>
          <w:lang w:eastAsia="zh-CN"/>
        </w:rPr>
        <w:t xml:space="preserve">9 </w:t>
      </w:r>
      <w:bookmarkEnd w:id="168"/>
      <w:r>
        <w:rPr>
          <w:rFonts w:hint="eastAsia" w:eastAsia="仿宋"/>
          <w:sz w:val="24"/>
          <w:lang w:eastAsia="zh-CN"/>
        </w:rPr>
        <w:t>协商前答疑会</w:t>
      </w:r>
    </w:p>
    <w:p w14:paraId="2988B314">
      <w:pPr>
        <w:widowControl/>
        <w:adjustRightInd w:val="0"/>
        <w:snapToGrid w:val="0"/>
        <w:spacing w:line="360" w:lineRule="auto"/>
        <w:ind w:firstLine="480" w:firstLineChars="200"/>
        <w:rPr>
          <w:rFonts w:hint="eastAsia" w:ascii="宋体" w:hAnsi="宋体" w:eastAsia="仿宋"/>
          <w:sz w:val="24"/>
        </w:rPr>
      </w:pPr>
      <w:r>
        <w:rPr>
          <w:rFonts w:hint="eastAsia" w:ascii="Calibri" w:hAnsi="Calibri" w:eastAsia="仿宋"/>
          <w:sz w:val="24"/>
        </w:rPr>
        <w:t>供应商须知前附表规定召开协商前答疑会（以下简称答疑会）的，采购人按照供应商须知前附表规定的时间和地点召开答疑会，澄清供应商提出的问题。</w:t>
      </w:r>
    </w:p>
    <w:p w14:paraId="7C4ACD5F">
      <w:pPr>
        <w:pStyle w:val="3"/>
        <w:rPr>
          <w:rStyle w:val="102"/>
          <w:rFonts w:hint="eastAsia" w:ascii="宋体" w:hAnsi="宋体" w:eastAsia="仿宋"/>
          <w:b/>
          <w:bCs/>
          <w:sz w:val="24"/>
          <w:szCs w:val="24"/>
        </w:rPr>
      </w:pPr>
      <w:bookmarkStart w:id="169" w:name="_Toc458504828"/>
      <w:bookmarkStart w:id="170" w:name="_Toc455587227"/>
      <w:bookmarkStart w:id="171" w:name="_Toc455587043"/>
      <w:bookmarkStart w:id="172" w:name="_Toc333599672"/>
      <w:bookmarkStart w:id="173" w:name="_Toc152042318"/>
      <w:bookmarkStart w:id="174" w:name="_Toc144974510"/>
      <w:bookmarkStart w:id="175" w:name="_Toc338943713"/>
      <w:bookmarkStart w:id="176" w:name="_Toc445554700"/>
      <w:bookmarkStart w:id="177" w:name="_Toc333600696"/>
      <w:bookmarkStart w:id="178" w:name="_Toc179632560"/>
      <w:bookmarkStart w:id="179" w:name="_Toc152045542"/>
      <w:bookmarkStart w:id="180" w:name="_Toc338944618"/>
      <w:bookmarkStart w:id="181" w:name="_Toc342294727"/>
      <w:bookmarkStart w:id="182" w:name="_Toc342297632"/>
      <w:bookmarkStart w:id="183" w:name="_Toc371415929"/>
      <w:bookmarkStart w:id="184" w:name="_Toc466024510"/>
      <w:bookmarkStart w:id="185" w:name="_Toc342296175"/>
      <w:r>
        <w:rPr>
          <w:rStyle w:val="102"/>
          <w:rFonts w:hint="eastAsia" w:ascii="宋体" w:hAnsi="宋体" w:eastAsia="仿宋"/>
          <w:b/>
          <w:bCs/>
          <w:sz w:val="24"/>
          <w:szCs w:val="24"/>
        </w:rPr>
        <w:t xml:space="preserve">2.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Style w:val="102"/>
          <w:rFonts w:hint="eastAsia" w:ascii="宋体" w:hAnsi="宋体" w:eastAsia="仿宋"/>
          <w:b/>
          <w:bCs/>
          <w:sz w:val="24"/>
          <w:szCs w:val="24"/>
        </w:rPr>
        <w:t>单一来源采购文件</w:t>
      </w:r>
    </w:p>
    <w:p w14:paraId="5CB59DCF">
      <w:pPr>
        <w:pStyle w:val="4"/>
        <w:adjustRightInd w:val="0"/>
        <w:ind w:firstLine="482" w:firstLineChars="200"/>
        <w:rPr>
          <w:rFonts w:hint="eastAsia" w:eastAsia="仿宋"/>
          <w:sz w:val="24"/>
          <w:lang w:eastAsia="zh-CN"/>
        </w:rPr>
      </w:pPr>
      <w:bookmarkStart w:id="186" w:name="_Toc342294728"/>
      <w:bookmarkStart w:id="187" w:name="_Toc455587228"/>
      <w:bookmarkStart w:id="188" w:name="_Toc342297633"/>
      <w:bookmarkStart w:id="189" w:name="_Toc333599673"/>
      <w:bookmarkStart w:id="190" w:name="_Toc338944619"/>
      <w:bookmarkStart w:id="191" w:name="_Toc179632561"/>
      <w:bookmarkStart w:id="192" w:name="_Toc152042319"/>
      <w:bookmarkStart w:id="193" w:name="_Toc338943714"/>
      <w:bookmarkStart w:id="194" w:name="_Toc144974511"/>
      <w:bookmarkStart w:id="195" w:name="_Toc152045543"/>
      <w:bookmarkStart w:id="196" w:name="_Toc333600697"/>
      <w:bookmarkStart w:id="197" w:name="_Toc333587867"/>
      <w:bookmarkStart w:id="198" w:name="_Toc342296176"/>
      <w:bookmarkStart w:id="199" w:name="_Toc371415930"/>
      <w:bookmarkStart w:id="200" w:name="_Toc455587044"/>
      <w:bookmarkStart w:id="201" w:name="_Toc466024511"/>
      <w:bookmarkStart w:id="202" w:name="_Toc458504829"/>
      <w:bookmarkStart w:id="203" w:name="_Toc445554701"/>
      <w:r>
        <w:rPr>
          <w:rFonts w:hint="eastAsia" w:eastAsia="仿宋"/>
          <w:sz w:val="24"/>
          <w:lang w:eastAsia="zh-CN"/>
        </w:rPr>
        <w:t>2.1 单一来源采购文件的组成</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E74086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本单一来源采购文件包括：</w:t>
      </w:r>
    </w:p>
    <w:p w14:paraId="0473617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）采购邀请书；</w:t>
      </w:r>
    </w:p>
    <w:p w14:paraId="596DCF7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）供应商须知；</w:t>
      </w:r>
    </w:p>
    <w:p w14:paraId="64BDEB6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）采购需求；</w:t>
      </w:r>
    </w:p>
    <w:p w14:paraId="64FC344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4</w:t>
      </w:r>
      <w:r>
        <w:rPr>
          <w:rFonts w:hint="eastAsia" w:ascii="宋体" w:hAnsi="宋体" w:eastAsia="仿宋"/>
          <w:sz w:val="24"/>
        </w:rPr>
        <w:t>）协商程序；</w:t>
      </w:r>
    </w:p>
    <w:p w14:paraId="3A6E05D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（5）合同条款及格式；</w:t>
      </w:r>
    </w:p>
    <w:p w14:paraId="29E313F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（6）响应文件格式。</w:t>
      </w:r>
    </w:p>
    <w:p w14:paraId="07811B0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对单一来源采购文件所作的澄清、修改、补充通知，构成单一来源采购文件的组成部分。当单一来源采购文件、单一来源采购文件的澄清或修改等在同一内容的</w:t>
      </w:r>
      <w:r>
        <w:rPr>
          <w:rFonts w:hint="eastAsia" w:eastAsia="仿宋"/>
          <w:sz w:val="24"/>
        </w:rPr>
        <w:t>表述</w:t>
      </w:r>
      <w:r>
        <w:rPr>
          <w:rFonts w:hint="eastAsia" w:ascii="宋体" w:hAnsi="宋体" w:eastAsia="仿宋"/>
          <w:sz w:val="24"/>
        </w:rPr>
        <w:t>上不一致时，以最后发出的书面文件为准。</w:t>
      </w:r>
    </w:p>
    <w:p w14:paraId="7EF5EB5F">
      <w:pPr>
        <w:pStyle w:val="4"/>
        <w:adjustRightInd w:val="0"/>
        <w:ind w:firstLine="482" w:firstLineChars="200"/>
        <w:rPr>
          <w:rFonts w:hint="eastAsia" w:eastAsia="仿宋"/>
          <w:sz w:val="24"/>
          <w:lang w:eastAsia="zh-CN"/>
        </w:rPr>
      </w:pPr>
      <w:bookmarkStart w:id="204" w:name="_Toc455587229"/>
      <w:bookmarkStart w:id="205" w:name="_Toc445554702"/>
      <w:bookmarkStart w:id="206" w:name="_Toc152042320"/>
      <w:bookmarkStart w:id="207" w:name="_Toc458504830"/>
      <w:bookmarkStart w:id="208" w:name="_Toc152045544"/>
      <w:bookmarkStart w:id="209" w:name="_Toc371415931"/>
      <w:bookmarkStart w:id="210" w:name="_Toc466024512"/>
      <w:bookmarkStart w:id="211" w:name="_Toc247527569"/>
      <w:bookmarkStart w:id="212" w:name="_Toc455587045"/>
      <w:bookmarkStart w:id="213" w:name="_Toc247513968"/>
      <w:bookmarkStart w:id="214" w:name="_Toc300834965"/>
      <w:bookmarkStart w:id="215" w:name="_Toc144974512"/>
      <w:r>
        <w:rPr>
          <w:rFonts w:hint="eastAsia" w:eastAsia="仿宋"/>
          <w:sz w:val="24"/>
          <w:lang w:eastAsia="zh-CN"/>
        </w:rPr>
        <w:t>2.2 单一来源采购文件的澄清</w:t>
      </w:r>
      <w:bookmarkEnd w:id="204"/>
      <w:bookmarkEnd w:id="205"/>
      <w:bookmarkEnd w:id="206"/>
      <w:bookmarkEnd w:id="207"/>
      <w:bookmarkEnd w:id="208"/>
      <w:bookmarkEnd w:id="209"/>
      <w:bookmarkEnd w:id="210"/>
      <w:bookmarkEnd w:id="211"/>
      <w:bookmarkEnd w:id="212"/>
      <w:bookmarkEnd w:id="213"/>
      <w:bookmarkEnd w:id="214"/>
      <w:bookmarkEnd w:id="215"/>
    </w:p>
    <w:p w14:paraId="3B539EF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2.2.</w:t>
      </w:r>
      <w:r>
        <w:rPr>
          <w:rFonts w:ascii="宋体" w:hAnsi="宋体" w:eastAsia="仿宋"/>
          <w:sz w:val="24"/>
        </w:rPr>
        <w:t>1</w:t>
      </w:r>
      <w:r>
        <w:rPr>
          <w:rFonts w:hint="eastAsia" w:ascii="宋体" w:hAnsi="宋体" w:eastAsia="仿宋"/>
          <w:sz w:val="24"/>
        </w:rPr>
        <w:t xml:space="preserve"> </w:t>
      </w:r>
      <w:r>
        <w:rPr>
          <w:rFonts w:hint="eastAsia" w:eastAsia="仿宋"/>
          <w:sz w:val="24"/>
        </w:rPr>
        <w:t>供应商</w:t>
      </w:r>
      <w:r>
        <w:rPr>
          <w:rFonts w:eastAsia="仿宋"/>
          <w:sz w:val="24"/>
        </w:rPr>
        <w:t>应仔细阅读和检查</w:t>
      </w:r>
      <w:r>
        <w:rPr>
          <w:rFonts w:hint="eastAsia" w:eastAsia="仿宋"/>
          <w:sz w:val="24"/>
        </w:rPr>
        <w:t>单一来源采购文件</w:t>
      </w:r>
      <w:r>
        <w:rPr>
          <w:rFonts w:eastAsia="仿宋"/>
          <w:sz w:val="24"/>
        </w:rPr>
        <w:t>的全部内容。如发现缺页或附件不全，应及时向</w:t>
      </w:r>
      <w:r>
        <w:rPr>
          <w:rFonts w:hint="eastAsia" w:eastAsia="仿宋"/>
          <w:sz w:val="24"/>
        </w:rPr>
        <w:t>采购</w:t>
      </w:r>
      <w:r>
        <w:rPr>
          <w:rFonts w:eastAsia="仿宋"/>
          <w:sz w:val="24"/>
        </w:rPr>
        <w:t>人提出，以便补齐。</w:t>
      </w:r>
      <w:r>
        <w:rPr>
          <w:rFonts w:hint="eastAsia" w:eastAsia="仿宋"/>
          <w:sz w:val="24"/>
        </w:rPr>
        <w:t>供应商对单一来源采购文件有疑问的，可依法按本章第8.1款提出询问</w:t>
      </w:r>
      <w:r>
        <w:rPr>
          <w:rFonts w:eastAsia="仿宋"/>
          <w:sz w:val="24"/>
        </w:rPr>
        <w:t>。</w:t>
      </w:r>
    </w:p>
    <w:p w14:paraId="120527B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2.2.2 单一来源采购文件的澄清按供应商须知前附表规定的形式发出，该澄清的内容为单一来源采购文件的组成部分。</w:t>
      </w:r>
    </w:p>
    <w:p w14:paraId="6AD2739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2.2</w:t>
      </w:r>
      <w:r>
        <w:rPr>
          <w:rFonts w:ascii="宋体" w:hAnsi="宋体" w:eastAsia="仿宋"/>
          <w:sz w:val="24"/>
        </w:rPr>
        <w:t>.3</w:t>
      </w:r>
      <w:r>
        <w:rPr>
          <w:rFonts w:hint="eastAsia" w:ascii="宋体" w:hAnsi="宋体" w:eastAsia="仿宋"/>
          <w:sz w:val="24"/>
        </w:rPr>
        <w:t xml:space="preserve"> 供应商应主动上网查询对单一来源采购文件的澄清，无需供应商书面确认。供应商未及时关注相关信息的，其责任自负。对单一来源采购文件进行的澄清，通过其他方式发布的，供应商收到澄清后24小时内书面确认（以发出时间为准），逾期未确认的，视为供应商完整收到。</w:t>
      </w:r>
    </w:p>
    <w:p w14:paraId="26A98AAD">
      <w:pPr>
        <w:pStyle w:val="4"/>
        <w:adjustRightInd w:val="0"/>
        <w:ind w:firstLine="482" w:firstLineChars="200"/>
        <w:rPr>
          <w:rFonts w:hint="eastAsia" w:eastAsia="仿宋"/>
          <w:sz w:val="24"/>
          <w:lang w:eastAsia="zh-CN"/>
        </w:rPr>
      </w:pPr>
      <w:bookmarkStart w:id="216" w:name="_Toc455587230"/>
      <w:bookmarkStart w:id="217" w:name="_Toc300834966"/>
      <w:bookmarkStart w:id="218" w:name="_Toc455587046"/>
      <w:bookmarkStart w:id="219" w:name="_Toc466024513"/>
      <w:bookmarkStart w:id="220" w:name="_Toc144974513"/>
      <w:bookmarkStart w:id="221" w:name="_Toc152042321"/>
      <w:bookmarkStart w:id="222" w:name="_Toc458504831"/>
      <w:bookmarkStart w:id="223" w:name="_Toc247513969"/>
      <w:bookmarkStart w:id="224" w:name="_Toc152045545"/>
      <w:bookmarkStart w:id="225" w:name="_Toc445554703"/>
      <w:bookmarkStart w:id="226" w:name="_Toc247527570"/>
      <w:bookmarkStart w:id="227" w:name="_Toc371415932"/>
      <w:r>
        <w:rPr>
          <w:rFonts w:hint="eastAsia" w:eastAsia="仿宋"/>
          <w:sz w:val="24"/>
          <w:lang w:eastAsia="zh-CN"/>
        </w:rPr>
        <w:t>2.3 单一来源采购文件的修改</w:t>
      </w:r>
      <w:bookmarkEnd w:id="216"/>
      <w:bookmarkEnd w:id="217"/>
      <w:bookmarkEnd w:id="218"/>
      <w:bookmarkEnd w:id="219"/>
      <w:bookmarkEnd w:id="220"/>
      <w:bookmarkEnd w:id="221"/>
      <w:bookmarkEnd w:id="222"/>
      <w:bookmarkEnd w:id="223"/>
      <w:bookmarkEnd w:id="224"/>
      <w:bookmarkEnd w:id="225"/>
      <w:bookmarkEnd w:id="226"/>
      <w:bookmarkEnd w:id="227"/>
    </w:p>
    <w:p w14:paraId="5139DD7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2.3</w:t>
      </w:r>
      <w:r>
        <w:rPr>
          <w:rFonts w:ascii="宋体" w:hAnsi="宋体" w:eastAsia="仿宋"/>
          <w:sz w:val="24"/>
        </w:rPr>
        <w:t>.1</w:t>
      </w:r>
      <w:r>
        <w:rPr>
          <w:rFonts w:hint="eastAsia" w:ascii="宋体" w:hAnsi="宋体" w:eastAsia="仿宋"/>
          <w:sz w:val="24"/>
        </w:rPr>
        <w:t xml:space="preserve"> 对单一来源采购文件的修改将在采购文件发布平台以发布更正公告的方式公开。</w:t>
      </w:r>
    </w:p>
    <w:p w14:paraId="33F14D0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2.3</w:t>
      </w:r>
      <w:r>
        <w:rPr>
          <w:rFonts w:ascii="宋体" w:hAnsi="宋体" w:eastAsia="仿宋"/>
          <w:sz w:val="24"/>
        </w:rPr>
        <w:t>.2</w:t>
      </w:r>
      <w:r>
        <w:rPr>
          <w:rFonts w:hint="eastAsia" w:ascii="宋体" w:hAnsi="宋体" w:eastAsia="仿宋"/>
          <w:sz w:val="24"/>
        </w:rPr>
        <w:t xml:space="preserve"> 更正公告的内容作为单一来源采购文件的组成部分，对供应商起约束作用。供应商应主动上网查询，采购人及采购代理机构不承担供应商未及时关注相关信息引发的相关责任。</w:t>
      </w:r>
    </w:p>
    <w:p w14:paraId="4B242376">
      <w:pPr>
        <w:pStyle w:val="4"/>
        <w:adjustRightInd w:val="0"/>
        <w:ind w:firstLine="482" w:firstLineChars="200"/>
        <w:rPr>
          <w:rFonts w:hint="eastAsia" w:eastAsia="仿宋"/>
          <w:sz w:val="24"/>
          <w:lang w:eastAsia="zh-CN"/>
        </w:rPr>
      </w:pPr>
      <w:r>
        <w:rPr>
          <w:rFonts w:hint="eastAsia" w:eastAsia="仿宋"/>
          <w:sz w:val="24"/>
          <w:lang w:eastAsia="zh-CN"/>
        </w:rPr>
        <w:t>2.4 单一来源采购文件的质疑</w:t>
      </w:r>
    </w:p>
    <w:p w14:paraId="4471489F">
      <w:pPr>
        <w:widowControl/>
        <w:adjustRightInd w:val="0"/>
        <w:snapToGrid w:val="0"/>
        <w:spacing w:line="360" w:lineRule="auto"/>
        <w:ind w:firstLine="480" w:firstLineChars="200"/>
        <w:rPr>
          <w:rFonts w:hint="eastAsia" w:ascii="宋体" w:hAnsi="宋体" w:eastAsia="仿宋"/>
          <w:sz w:val="24"/>
        </w:rPr>
      </w:pPr>
      <w:bookmarkStart w:id="228" w:name="_Toc152042322"/>
      <w:bookmarkStart w:id="229" w:name="_Toc152045546"/>
      <w:bookmarkStart w:id="230" w:name="_Toc333599676"/>
      <w:bookmarkStart w:id="231" w:name="_Toc333600700"/>
      <w:bookmarkStart w:id="232" w:name="_Toc455587048"/>
      <w:bookmarkStart w:id="233" w:name="_Toc466024514"/>
      <w:bookmarkStart w:id="234" w:name="_Toc455587232"/>
      <w:bookmarkStart w:id="235" w:name="_Toc342296179"/>
      <w:bookmarkStart w:id="236" w:name="_Toc445554705"/>
      <w:bookmarkStart w:id="237" w:name="_Toc338944622"/>
      <w:bookmarkStart w:id="238" w:name="_Toc338943717"/>
      <w:bookmarkStart w:id="239" w:name="_Toc371415933"/>
      <w:bookmarkStart w:id="240" w:name="_Toc342297636"/>
      <w:bookmarkStart w:id="241" w:name="_Toc179632564"/>
      <w:bookmarkStart w:id="242" w:name="_Toc342294731"/>
      <w:bookmarkStart w:id="243" w:name="_Toc458504832"/>
      <w:bookmarkStart w:id="244" w:name="_Toc144974514"/>
      <w:r>
        <w:rPr>
          <w:rFonts w:hint="eastAsia" w:ascii="宋体" w:hAnsi="宋体" w:eastAsia="仿宋"/>
          <w:sz w:val="24"/>
        </w:rPr>
        <w:t>2.4.1 供应商对单一来源采购文件的质疑须符合本章第8.2款规定。</w:t>
      </w:r>
    </w:p>
    <w:p w14:paraId="48FBE50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2.4.2 采购人对质疑的答复构成对单一来源采购文件澄清或者修改的，采购人将按照本章第2.2款、第2.3款规定办理。</w:t>
      </w:r>
    </w:p>
    <w:p w14:paraId="028E6BFB">
      <w:pPr>
        <w:pStyle w:val="3"/>
        <w:rPr>
          <w:rStyle w:val="102"/>
          <w:rFonts w:hint="eastAsia" w:ascii="宋体" w:hAnsi="宋体" w:eastAsia="仿宋"/>
          <w:b/>
          <w:bCs/>
          <w:sz w:val="24"/>
          <w:szCs w:val="24"/>
        </w:rPr>
      </w:pPr>
      <w:r>
        <w:rPr>
          <w:rStyle w:val="102"/>
          <w:rFonts w:hint="eastAsia" w:ascii="宋体" w:hAnsi="宋体" w:eastAsia="仿宋"/>
          <w:b/>
          <w:bCs/>
          <w:sz w:val="24"/>
          <w:szCs w:val="24"/>
        </w:rPr>
        <w:t xml:space="preserve">3. </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Style w:val="102"/>
          <w:rFonts w:hint="eastAsia" w:ascii="宋体" w:hAnsi="宋体" w:eastAsia="仿宋"/>
          <w:b/>
          <w:bCs/>
          <w:sz w:val="24"/>
          <w:szCs w:val="24"/>
        </w:rPr>
        <w:t>响应文件</w:t>
      </w:r>
    </w:p>
    <w:p w14:paraId="2CD12A44">
      <w:pPr>
        <w:pStyle w:val="4"/>
        <w:adjustRightInd w:val="0"/>
        <w:ind w:firstLine="482" w:firstLineChars="200"/>
        <w:rPr>
          <w:rFonts w:hint="eastAsia" w:eastAsia="仿宋"/>
          <w:sz w:val="24"/>
          <w:lang w:eastAsia="zh-CN"/>
        </w:rPr>
      </w:pPr>
      <w:bookmarkStart w:id="245" w:name="_Toc333599677"/>
      <w:bookmarkStart w:id="246" w:name="_Toc458504833"/>
      <w:bookmarkStart w:id="247" w:name="_Toc338943718"/>
      <w:bookmarkStart w:id="248" w:name="_Toc342294732"/>
      <w:bookmarkStart w:id="249" w:name="_Toc179632565"/>
      <w:bookmarkStart w:id="250" w:name="_Toc152045547"/>
      <w:bookmarkStart w:id="251" w:name="_Toc371415934"/>
      <w:bookmarkStart w:id="252" w:name="_Toc445554706"/>
      <w:bookmarkStart w:id="253" w:name="_Toc144974515"/>
      <w:bookmarkStart w:id="254" w:name="_Toc152042323"/>
      <w:bookmarkStart w:id="255" w:name="_Toc333587871"/>
      <w:bookmarkStart w:id="256" w:name="_Toc338944623"/>
      <w:bookmarkStart w:id="257" w:name="_Toc466024515"/>
      <w:bookmarkStart w:id="258" w:name="_Toc342296180"/>
      <w:bookmarkStart w:id="259" w:name="_Toc333600701"/>
      <w:bookmarkStart w:id="260" w:name="_Toc455587233"/>
      <w:bookmarkStart w:id="261" w:name="_Toc342297637"/>
      <w:bookmarkStart w:id="262" w:name="_Toc455587049"/>
      <w:r>
        <w:rPr>
          <w:rFonts w:hint="eastAsia" w:eastAsia="仿宋"/>
          <w:sz w:val="24"/>
          <w:lang w:eastAsia="zh-CN"/>
        </w:rPr>
        <w:t>3.1 响应文件的组成</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6F4F4161">
      <w:pPr>
        <w:widowControl/>
        <w:adjustRightInd w:val="0"/>
        <w:snapToGrid w:val="0"/>
        <w:spacing w:line="360" w:lineRule="auto"/>
        <w:ind w:firstLine="480" w:firstLineChars="200"/>
        <w:rPr>
          <w:rFonts w:hint="eastAsia" w:ascii="宋体" w:hAnsi="宋体" w:eastAsia="仿宋"/>
          <w:sz w:val="24"/>
        </w:rPr>
      </w:pPr>
      <w:bookmarkStart w:id="263" w:name="_Toc342296181"/>
      <w:bookmarkStart w:id="264" w:name="_Toc333587872"/>
      <w:bookmarkStart w:id="265" w:name="_Toc333600702"/>
      <w:bookmarkStart w:id="266" w:name="_Toc144974516"/>
      <w:bookmarkStart w:id="267" w:name="_Toc338943719"/>
      <w:bookmarkStart w:id="268" w:name="_Toc152042324"/>
      <w:bookmarkStart w:id="269" w:name="_Toc333599678"/>
      <w:bookmarkStart w:id="270" w:name="_Toc342297638"/>
      <w:bookmarkStart w:id="271" w:name="_Toc179632566"/>
      <w:bookmarkStart w:id="272" w:name="_Toc342294733"/>
      <w:bookmarkStart w:id="273" w:name="_Toc338944624"/>
      <w:bookmarkStart w:id="274" w:name="_Toc152045548"/>
      <w:r>
        <w:rPr>
          <w:rFonts w:hint="eastAsia" w:ascii="宋体" w:hAnsi="宋体" w:eastAsia="仿宋"/>
          <w:sz w:val="24"/>
        </w:rPr>
        <w:t>3.1</w:t>
      </w:r>
      <w:r>
        <w:rPr>
          <w:rFonts w:ascii="宋体" w:hAnsi="宋体" w:eastAsia="仿宋"/>
          <w:sz w:val="24"/>
        </w:rPr>
        <w:t>.1</w:t>
      </w:r>
      <w:r>
        <w:rPr>
          <w:rFonts w:hint="eastAsia" w:ascii="宋体" w:hAnsi="宋体" w:eastAsia="仿宋"/>
          <w:sz w:val="24"/>
        </w:rPr>
        <w:t xml:space="preserve"> 响应文件应包括下列内容：</w:t>
      </w:r>
    </w:p>
    <w:p w14:paraId="4E8C0C71">
      <w:pPr>
        <w:widowControl/>
        <w:numPr>
          <w:ilvl w:val="0"/>
          <w:numId w:val="1"/>
        </w:numPr>
        <w:adjustRightInd w:val="0"/>
        <w:snapToGrid w:val="0"/>
        <w:spacing w:line="360" w:lineRule="auto"/>
        <w:ind w:hanging="5"/>
        <w:rPr>
          <w:rFonts w:hint="eastAsia" w:ascii="宋体" w:hAnsi="宋体" w:eastAsia="仿宋"/>
          <w:sz w:val="24"/>
        </w:rPr>
      </w:pPr>
      <w:r>
        <w:rPr>
          <w:rFonts w:hint="eastAsia" w:ascii="Calibri" w:hAnsi="Calibri" w:eastAsia="仿宋"/>
          <w:sz w:val="24"/>
        </w:rPr>
        <w:t>响应</w:t>
      </w:r>
      <w:r>
        <w:rPr>
          <w:rFonts w:hint="eastAsia" w:ascii="宋体" w:hAnsi="宋体" w:eastAsia="仿宋"/>
          <w:sz w:val="24"/>
        </w:rPr>
        <w:t>函；</w:t>
      </w:r>
    </w:p>
    <w:p w14:paraId="6DC61B99">
      <w:pPr>
        <w:widowControl/>
        <w:numPr>
          <w:ilvl w:val="0"/>
          <w:numId w:val="1"/>
        </w:numPr>
        <w:adjustRightInd w:val="0"/>
        <w:snapToGrid w:val="0"/>
        <w:spacing w:line="360" w:lineRule="auto"/>
        <w:ind w:hanging="5"/>
        <w:rPr>
          <w:rFonts w:hint="eastAsia" w:ascii="宋体" w:hAnsi="宋体" w:eastAsia="仿宋"/>
          <w:sz w:val="24"/>
        </w:rPr>
      </w:pPr>
      <w:r>
        <w:rPr>
          <w:rFonts w:hint="eastAsia" w:ascii="Calibri" w:hAnsi="Calibri" w:eastAsia="仿宋"/>
          <w:sz w:val="24"/>
        </w:rPr>
        <w:t>响应报价</w:t>
      </w:r>
      <w:r>
        <w:rPr>
          <w:rFonts w:hint="eastAsia" w:ascii="宋体" w:hAnsi="宋体" w:eastAsia="仿宋"/>
          <w:sz w:val="24"/>
        </w:rPr>
        <w:t>一览表；</w:t>
      </w:r>
    </w:p>
    <w:p w14:paraId="641DA089">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分项报价表；</w:t>
      </w:r>
    </w:p>
    <w:p w14:paraId="5FA48D98">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协商保证金（如有）；</w:t>
      </w:r>
    </w:p>
    <w:p w14:paraId="46D8FAA7">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法定代表人（单位负责人）身份证明或授权委托书；</w:t>
      </w:r>
    </w:p>
    <w:p w14:paraId="0D14AADE">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联合体协议书（如有）；</w:t>
      </w:r>
    </w:p>
    <w:p w14:paraId="6CEBC416">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资格审查材料；</w:t>
      </w:r>
    </w:p>
    <w:p w14:paraId="2BCE7E19">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商务要求偏离表；</w:t>
      </w:r>
    </w:p>
    <w:p w14:paraId="2BC85389">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技术要求偏离表；</w:t>
      </w:r>
    </w:p>
    <w:p w14:paraId="3F396910">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供应商须知前附表规定的其他材料；</w:t>
      </w:r>
    </w:p>
    <w:p w14:paraId="188070CB">
      <w:pPr>
        <w:widowControl/>
        <w:numPr>
          <w:ilvl w:val="0"/>
          <w:numId w:val="1"/>
        </w:numPr>
        <w:adjustRightInd w:val="0"/>
        <w:snapToGrid w:val="0"/>
        <w:spacing w:line="360" w:lineRule="auto"/>
        <w:ind w:hanging="5"/>
        <w:rPr>
          <w:rFonts w:hint="eastAsia" w:ascii="宋体" w:hAnsi="宋体" w:eastAsia="仿宋"/>
          <w:sz w:val="24"/>
        </w:rPr>
      </w:pPr>
      <w:r>
        <w:rPr>
          <w:rFonts w:hint="eastAsia" w:ascii="宋体" w:hAnsi="宋体" w:eastAsia="仿宋"/>
          <w:sz w:val="24"/>
        </w:rPr>
        <w:t>供应商认为应该提供的其他材料。</w:t>
      </w:r>
    </w:p>
    <w:p w14:paraId="1273D764">
      <w:pPr>
        <w:widowControl/>
        <w:adjustRightInd w:val="0"/>
        <w:snapToGrid w:val="0"/>
        <w:spacing w:line="360" w:lineRule="auto"/>
        <w:ind w:firstLine="480" w:firstLineChars="200"/>
        <w:rPr>
          <w:rFonts w:eastAsia="仿宋"/>
          <w:sz w:val="24"/>
        </w:rPr>
      </w:pPr>
      <w:r>
        <w:rPr>
          <w:rFonts w:eastAsia="仿宋"/>
          <w:sz w:val="24"/>
        </w:rPr>
        <w:t>供应商在</w:t>
      </w:r>
      <w:r>
        <w:rPr>
          <w:rFonts w:hint="eastAsia" w:eastAsia="仿宋"/>
          <w:sz w:val="24"/>
        </w:rPr>
        <w:t>协商、评审</w:t>
      </w:r>
      <w:r>
        <w:rPr>
          <w:rFonts w:eastAsia="仿宋"/>
          <w:sz w:val="24"/>
        </w:rPr>
        <w:t>过程中作出的符合法律法规和</w:t>
      </w:r>
      <w:r>
        <w:rPr>
          <w:rFonts w:hint="eastAsia" w:eastAsia="仿宋"/>
          <w:sz w:val="24"/>
        </w:rPr>
        <w:t>单一来源采购文件</w:t>
      </w:r>
      <w:r>
        <w:rPr>
          <w:rFonts w:eastAsia="仿宋"/>
          <w:sz w:val="24"/>
        </w:rPr>
        <w:t>规定的澄清确认，构成响应文件的组成部分。</w:t>
      </w:r>
    </w:p>
    <w:p w14:paraId="011AE14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3.1.2 供应商须知前附表规定不接受联合体响应的，或供应商没有组成联合体的，响应文件不包括本章第3.1.1（6）目所指的联合体协议书。</w:t>
      </w:r>
    </w:p>
    <w:p w14:paraId="7F416BB5">
      <w:pPr>
        <w:pStyle w:val="4"/>
        <w:adjustRightInd w:val="0"/>
        <w:ind w:firstLine="482" w:firstLineChars="200"/>
        <w:rPr>
          <w:rFonts w:hint="eastAsia" w:eastAsia="仿宋"/>
          <w:sz w:val="24"/>
          <w:lang w:eastAsia="zh-CN"/>
        </w:rPr>
      </w:pPr>
      <w:bookmarkStart w:id="275" w:name="_Toc445554707"/>
      <w:bookmarkStart w:id="276" w:name="_Toc466024516"/>
      <w:bookmarkStart w:id="277" w:name="_Toc455587050"/>
      <w:bookmarkStart w:id="278" w:name="_Toc458504834"/>
      <w:bookmarkStart w:id="279" w:name="_Toc455587234"/>
      <w:r>
        <w:rPr>
          <w:rFonts w:hint="eastAsia" w:eastAsia="仿宋"/>
          <w:sz w:val="24"/>
          <w:lang w:eastAsia="zh-CN"/>
        </w:rPr>
        <w:t>3.2 响应报价</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Start w:id="280" w:name="_Toc370199958"/>
    </w:p>
    <w:p w14:paraId="0BCDF5D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w:t>
      </w:r>
      <w:r>
        <w:rPr>
          <w:rFonts w:ascii="宋体" w:hAnsi="宋体" w:eastAsia="仿宋"/>
          <w:sz w:val="24"/>
        </w:rPr>
        <w:t>.1</w:t>
      </w:r>
      <w:r>
        <w:rPr>
          <w:rFonts w:hint="eastAsia" w:ascii="宋体" w:hAnsi="宋体" w:eastAsia="仿宋"/>
          <w:sz w:val="24"/>
        </w:rPr>
        <w:t xml:space="preserve"> 响应报价应当包括的内容见供应商须知前附表规定。供应商应当按单一来源采购文件规定进行响应报价，并按给定格式填写响应报价表格。</w:t>
      </w:r>
      <w:bookmarkEnd w:id="280"/>
      <w:bookmarkStart w:id="281" w:name="_Toc370199959"/>
    </w:p>
    <w:p w14:paraId="775C2A1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3.2.2 供应商</w:t>
      </w:r>
      <w:r>
        <w:rPr>
          <w:rFonts w:ascii="宋体" w:hAnsi="宋体" w:eastAsia="仿宋"/>
          <w:sz w:val="24"/>
        </w:rPr>
        <w:t>应充分了解该项目的总体情况以及影响报价的其他要素。</w:t>
      </w:r>
    </w:p>
    <w:p w14:paraId="25C6B1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3.2.3 响应报价为各分项报价之和。如分项报价中存在缺漏项，则视为缺漏项价格已包含在其他分项报价之中。供应商在提交响应文件截止时间前修改响应报价一览表中的响应报价总额，应同时修改响应文件“分项报价表”中的相应报价。此修改须符合本章第4.3款的有关要求。</w:t>
      </w:r>
    </w:p>
    <w:p w14:paraId="529582D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3.2.4 响应报价的其他要求见供应商须知前附表。</w:t>
      </w:r>
    </w:p>
    <w:bookmarkEnd w:id="281"/>
    <w:p w14:paraId="4CC9B3DF">
      <w:pPr>
        <w:pStyle w:val="4"/>
        <w:adjustRightInd w:val="0"/>
        <w:ind w:firstLine="482" w:firstLineChars="200"/>
        <w:rPr>
          <w:rFonts w:hint="eastAsia" w:eastAsia="仿宋"/>
          <w:sz w:val="24"/>
          <w:lang w:eastAsia="zh-CN"/>
        </w:rPr>
      </w:pPr>
      <w:bookmarkStart w:id="282" w:name="_Toc445554708"/>
      <w:bookmarkStart w:id="283" w:name="_Toc333587873"/>
      <w:bookmarkStart w:id="284" w:name="_Toc466024517"/>
      <w:bookmarkStart w:id="285" w:name="_Toc455587051"/>
      <w:bookmarkStart w:id="286" w:name="_Toc342294734"/>
      <w:bookmarkStart w:id="287" w:name="_Toc152042325"/>
      <w:bookmarkStart w:id="288" w:name="_Toc455587235"/>
      <w:bookmarkStart w:id="289" w:name="_Toc144974517"/>
      <w:bookmarkStart w:id="290" w:name="_Toc342297639"/>
      <w:bookmarkStart w:id="291" w:name="_Toc338944625"/>
      <w:bookmarkStart w:id="292" w:name="_Toc333599679"/>
      <w:bookmarkStart w:id="293" w:name="_Toc333600703"/>
      <w:bookmarkStart w:id="294" w:name="_Toc179632567"/>
      <w:bookmarkStart w:id="295" w:name="_Toc371415937"/>
      <w:bookmarkStart w:id="296" w:name="_Toc342296182"/>
      <w:bookmarkStart w:id="297" w:name="_Toc338943720"/>
      <w:bookmarkStart w:id="298" w:name="_Toc152045549"/>
      <w:bookmarkStart w:id="299" w:name="_Toc458504835"/>
      <w:r>
        <w:rPr>
          <w:rFonts w:hint="eastAsia" w:eastAsia="仿宋"/>
          <w:sz w:val="24"/>
          <w:lang w:eastAsia="zh-CN"/>
        </w:rPr>
        <w:t xml:space="preserve">3.3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hint="eastAsia" w:eastAsia="仿宋"/>
          <w:sz w:val="24"/>
          <w:lang w:eastAsia="zh-CN"/>
        </w:rPr>
        <w:t>响应有效期</w:t>
      </w:r>
    </w:p>
    <w:p w14:paraId="710641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3.3</w:t>
      </w:r>
      <w:r>
        <w:rPr>
          <w:rFonts w:ascii="宋体" w:hAnsi="宋体" w:eastAsia="仿宋"/>
          <w:sz w:val="24"/>
        </w:rPr>
        <w:t>.1</w:t>
      </w:r>
      <w:r>
        <w:rPr>
          <w:rFonts w:hint="eastAsia" w:ascii="宋体" w:hAnsi="宋体" w:eastAsia="仿宋"/>
          <w:sz w:val="24"/>
        </w:rPr>
        <w:t xml:space="preserve"> 在供应商须知前附表规定中的响应有效期内，响应文件保持有效，供应商不得要求撤销或修改其响应文件，否则应承担单一来源采购文件和法律法规规定的责任。</w:t>
      </w:r>
    </w:p>
    <w:p w14:paraId="18008E3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3.3</w:t>
      </w:r>
      <w:r>
        <w:rPr>
          <w:rFonts w:ascii="宋体" w:hAnsi="宋体" w:eastAsia="仿宋"/>
          <w:sz w:val="24"/>
        </w:rPr>
        <w:t>.2</w:t>
      </w:r>
      <w:r>
        <w:rPr>
          <w:rFonts w:hint="eastAsia" w:ascii="宋体" w:hAnsi="宋体" w:eastAsia="仿宋"/>
          <w:sz w:val="24"/>
        </w:rPr>
        <w:t xml:space="preserve"> 出现特殊情况需要延长响应有效期的，采购人以书面形式通知所有供应商延长响应有效期。供应商同意延长的，应当相应延长其协商保证金的有效期，但不得要求或被允许修改或撤销其响应文件；供应商拒绝延长的，其响应</w:t>
      </w:r>
      <w:r>
        <w:rPr>
          <w:rFonts w:hint="eastAsia" w:ascii="Calibri" w:hAnsi="Calibri" w:eastAsia="仿宋"/>
          <w:sz w:val="24"/>
        </w:rPr>
        <w:t>文件</w:t>
      </w:r>
      <w:r>
        <w:rPr>
          <w:rFonts w:hint="eastAsia" w:ascii="宋体" w:hAnsi="宋体" w:eastAsia="仿宋"/>
          <w:sz w:val="24"/>
        </w:rPr>
        <w:t>失效，但供应商有权收回其协商保证金。</w:t>
      </w:r>
    </w:p>
    <w:p w14:paraId="685D5090">
      <w:pPr>
        <w:pStyle w:val="4"/>
        <w:adjustRightInd w:val="0"/>
        <w:ind w:firstLine="482" w:firstLineChars="200"/>
        <w:rPr>
          <w:rFonts w:hint="eastAsia" w:eastAsia="仿宋"/>
          <w:sz w:val="24"/>
          <w:lang w:eastAsia="zh-CN"/>
        </w:rPr>
      </w:pPr>
      <w:bookmarkStart w:id="300" w:name="_Toc466024518"/>
      <w:bookmarkStart w:id="301" w:name="_Toc333587874"/>
      <w:bookmarkStart w:id="302" w:name="_Toc152045550"/>
      <w:bookmarkStart w:id="303" w:name="_Toc455587052"/>
      <w:bookmarkStart w:id="304" w:name="_Toc144974518"/>
      <w:bookmarkStart w:id="305" w:name="_Toc338944626"/>
      <w:bookmarkStart w:id="306" w:name="_Toc179632568"/>
      <w:bookmarkStart w:id="307" w:name="_Toc338943721"/>
      <w:bookmarkStart w:id="308" w:name="_Toc458504836"/>
      <w:bookmarkStart w:id="309" w:name="_Toc445554709"/>
      <w:bookmarkStart w:id="310" w:name="_Toc342297640"/>
      <w:bookmarkStart w:id="311" w:name="_Toc333599680"/>
      <w:bookmarkStart w:id="312" w:name="_Toc455587236"/>
      <w:bookmarkStart w:id="313" w:name="_Toc342294735"/>
      <w:bookmarkStart w:id="314" w:name="_Toc152042326"/>
      <w:bookmarkStart w:id="315" w:name="_Toc342296183"/>
      <w:bookmarkStart w:id="316" w:name="_Toc371415938"/>
      <w:bookmarkStart w:id="317" w:name="_Toc333600704"/>
      <w:r>
        <w:rPr>
          <w:rFonts w:hint="eastAsia" w:eastAsia="仿宋"/>
          <w:sz w:val="24"/>
          <w:lang w:eastAsia="zh-CN"/>
        </w:rPr>
        <w:t xml:space="preserve">3.4 </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hint="eastAsia" w:eastAsia="仿宋"/>
          <w:sz w:val="24"/>
          <w:lang w:eastAsia="zh-CN"/>
        </w:rPr>
        <w:t>协商保证金</w:t>
      </w:r>
    </w:p>
    <w:p w14:paraId="5EE88A10">
      <w:pPr>
        <w:widowControl/>
        <w:adjustRightInd w:val="0"/>
        <w:snapToGrid w:val="0"/>
        <w:spacing w:line="360" w:lineRule="auto"/>
        <w:ind w:firstLine="480" w:firstLineChars="200"/>
        <w:rPr>
          <w:rFonts w:hint="eastAsia" w:ascii="宋体" w:hAnsi="宋体" w:eastAsia="仿宋"/>
          <w:sz w:val="24"/>
        </w:rPr>
      </w:pPr>
      <w:bookmarkStart w:id="318" w:name="_Toc333599682"/>
      <w:bookmarkStart w:id="319" w:name="_Toc338944628"/>
      <w:bookmarkStart w:id="320" w:name="_Toc152045552"/>
      <w:bookmarkStart w:id="321" w:name="_Toc333600706"/>
      <w:bookmarkStart w:id="322" w:name="_Toc333587876"/>
      <w:bookmarkStart w:id="323" w:name="_Toc455587054"/>
      <w:bookmarkStart w:id="324" w:name="_Toc445554711"/>
      <w:bookmarkStart w:id="325" w:name="_Toc342296185"/>
      <w:bookmarkStart w:id="326" w:name="_Toc458504838"/>
      <w:bookmarkStart w:id="327" w:name="_Toc144974520"/>
      <w:bookmarkStart w:id="328" w:name="_Toc338943723"/>
      <w:bookmarkStart w:id="329" w:name="_Toc455587238"/>
      <w:bookmarkStart w:id="330" w:name="_Toc152042328"/>
      <w:bookmarkStart w:id="331" w:name="_Toc466024520"/>
      <w:bookmarkStart w:id="332" w:name="_Toc342297642"/>
      <w:bookmarkStart w:id="333" w:name="_Toc179632570"/>
      <w:bookmarkStart w:id="334" w:name="_Toc371415940"/>
      <w:bookmarkStart w:id="335" w:name="_Toc342294737"/>
      <w:r>
        <w:rPr>
          <w:rFonts w:hint="eastAsia" w:ascii="宋体" w:hAnsi="宋体" w:eastAsia="仿宋"/>
          <w:sz w:val="24"/>
        </w:rPr>
        <w:t>3.4.1 供应商在提交响应文件的同时，应按供应商须知前附表规定提交协商保证金，并作为其响应文件的组成部分。联合体响应的，其协商保证金可以由牵头人提交，并应符合供应商须知前附表的规定。</w:t>
      </w:r>
    </w:p>
    <w:p w14:paraId="1A057B4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3.4.2 供应商不按本章第3.4.1项要求提交协商保证金的，其响应文件无效。</w:t>
      </w:r>
    </w:p>
    <w:p w14:paraId="5F57291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3.4.3 自成交通知书发出之日起5个工作日内退还未成交供应商的协商保证金，自政府采购合同签订之日起5个工作日内并支付采购代理服务费用后，退还成交供应商的协商保证金。供应商在提交首次响应文件截止时间前撤回响应文件的，自收到供应商书面撤回通知之日起5个工作日内退还已收取的协商保证金。终止采购的，自终止采购后5个工作日内退还已收取的协商保证金。</w:t>
      </w:r>
    </w:p>
    <w:p w14:paraId="2DD0FA9A">
      <w:pPr>
        <w:pStyle w:val="4"/>
        <w:adjustRightInd w:val="0"/>
        <w:ind w:firstLine="482" w:firstLineChars="200"/>
        <w:rPr>
          <w:rFonts w:hint="eastAsia" w:eastAsia="仿宋"/>
          <w:sz w:val="24"/>
          <w:lang w:eastAsia="zh-CN"/>
        </w:rPr>
      </w:pPr>
      <w:r>
        <w:rPr>
          <w:rFonts w:hint="eastAsia" w:eastAsia="仿宋"/>
          <w:sz w:val="24"/>
          <w:lang w:eastAsia="zh-CN"/>
        </w:rPr>
        <w:t>3.5 资格审查资料</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52AC1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3.5.1 资格审查标准见第四章“协商程序”。</w:t>
      </w:r>
    </w:p>
    <w:p w14:paraId="1442F13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3.5.2 “供应商基本情况表”应按规定格式填写，并提供符合要求的相关证明材料的扫描件或电子证照。</w:t>
      </w:r>
    </w:p>
    <w:p w14:paraId="672D629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3.5.3 供应商须知前附表规定接受联合体响应的，本章第3.5.1项至第3.5.2项规定的表格和资料包括联合体各方成员相关情况。</w:t>
      </w:r>
    </w:p>
    <w:p w14:paraId="532CF661">
      <w:pPr>
        <w:pStyle w:val="4"/>
        <w:adjustRightInd w:val="0"/>
        <w:ind w:firstLine="482" w:firstLineChars="200"/>
        <w:rPr>
          <w:rFonts w:hint="eastAsia" w:eastAsia="仿宋"/>
          <w:sz w:val="24"/>
          <w:lang w:eastAsia="zh-CN"/>
        </w:rPr>
      </w:pPr>
      <w:bookmarkStart w:id="336" w:name="_Toc455587241"/>
      <w:bookmarkStart w:id="337" w:name="_Toc466024523"/>
      <w:bookmarkStart w:id="338" w:name="_Toc371415942"/>
      <w:bookmarkStart w:id="339" w:name="_Toc458504841"/>
      <w:bookmarkStart w:id="340" w:name="_Toc455587057"/>
      <w:bookmarkStart w:id="341" w:name="_Toc445554714"/>
      <w:r>
        <w:rPr>
          <w:rFonts w:hint="eastAsia" w:eastAsia="仿宋"/>
          <w:sz w:val="24"/>
          <w:lang w:eastAsia="zh-CN"/>
        </w:rPr>
        <w:t>3.6 响应文件的编制</w:t>
      </w:r>
      <w:bookmarkEnd w:id="336"/>
      <w:bookmarkEnd w:id="337"/>
      <w:bookmarkEnd w:id="338"/>
      <w:bookmarkEnd w:id="339"/>
      <w:bookmarkEnd w:id="340"/>
      <w:bookmarkEnd w:id="341"/>
    </w:p>
    <w:p w14:paraId="7EF4BCC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3.6</w:t>
      </w:r>
      <w:r>
        <w:rPr>
          <w:rFonts w:ascii="宋体" w:hAnsi="宋体" w:eastAsia="仿宋"/>
          <w:sz w:val="24"/>
        </w:rPr>
        <w:t>.1</w:t>
      </w:r>
      <w:r>
        <w:rPr>
          <w:rFonts w:hint="eastAsia" w:ascii="宋体" w:hAnsi="宋体" w:eastAsia="仿宋"/>
          <w:sz w:val="24"/>
        </w:rPr>
        <w:t xml:space="preserve"> 响应文件应按</w:t>
      </w:r>
      <w:r>
        <w:rPr>
          <w:rFonts w:hint="eastAsia" w:eastAsia="仿宋"/>
          <w:sz w:val="24"/>
        </w:rPr>
        <w:t>单一来源采购文件</w:t>
      </w:r>
      <w:r>
        <w:rPr>
          <w:rFonts w:hint="eastAsia" w:ascii="宋体" w:hAnsi="宋体" w:eastAsia="仿宋"/>
          <w:sz w:val="24"/>
        </w:rPr>
        <w:t>规定格式进行编写，如有必要，可以增加附页、扩展表格，作为响应文件的组成部分。</w:t>
      </w:r>
    </w:p>
    <w:p w14:paraId="0DFC155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3.6</w:t>
      </w:r>
      <w:r>
        <w:rPr>
          <w:rFonts w:ascii="宋体" w:hAnsi="宋体" w:eastAsia="仿宋"/>
          <w:sz w:val="24"/>
        </w:rPr>
        <w:t>.2</w:t>
      </w:r>
      <w:r>
        <w:rPr>
          <w:rFonts w:hint="eastAsia" w:ascii="宋体" w:hAnsi="宋体" w:eastAsia="仿宋"/>
          <w:sz w:val="24"/>
        </w:rPr>
        <w:t xml:space="preserve"> </w:t>
      </w:r>
      <w:r>
        <w:rPr>
          <w:rFonts w:hint="eastAsia" w:ascii="Calibri" w:hAnsi="Calibri" w:eastAsia="仿宋"/>
          <w:sz w:val="24"/>
        </w:rPr>
        <w:t>响应文件应当对单一来源采购文件有关不可协商的实质性</w:t>
      </w:r>
      <w:r>
        <w:rPr>
          <w:rFonts w:hint="eastAsia" w:eastAsia="仿宋"/>
          <w:sz w:val="24"/>
        </w:rPr>
        <w:t>内容</w:t>
      </w:r>
      <w:r>
        <w:rPr>
          <w:rFonts w:hint="eastAsia" w:ascii="Calibri" w:hAnsi="Calibri" w:eastAsia="仿宋"/>
          <w:sz w:val="24"/>
        </w:rPr>
        <w:t>做出响应。响应文件在满足单一来源采购文件实质性要求的基础上，可以提出比单一来源采购文件要求更有利于采购人的承诺。</w:t>
      </w:r>
    </w:p>
    <w:p w14:paraId="1ACA55E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3.6.3 供应商必须对其提交的资料的真实性负责，并接受采购人对其中任何资料进一步审查的要求。</w:t>
      </w:r>
    </w:p>
    <w:p w14:paraId="5F4DA54D">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w:t>
      </w:r>
      <w:r>
        <w:rPr>
          <w:rFonts w:hint="eastAsia" w:ascii="宋体" w:hAnsi="宋体" w:eastAsia="仿宋"/>
          <w:sz w:val="24"/>
        </w:rPr>
        <w:t>6</w:t>
      </w:r>
      <w:r>
        <w:rPr>
          <w:rFonts w:ascii="宋体" w:hAnsi="宋体" w:eastAsia="仿宋"/>
          <w:sz w:val="24"/>
        </w:rPr>
        <w:t>.</w:t>
      </w:r>
      <w:r>
        <w:rPr>
          <w:rFonts w:hint="eastAsia" w:ascii="宋体" w:hAnsi="宋体" w:eastAsia="仿宋"/>
          <w:sz w:val="24"/>
        </w:rPr>
        <w:t>4 响应文件的制作应满足以下规定：</w:t>
      </w:r>
    </w:p>
    <w:p w14:paraId="40CB71E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）响应文件由供应商使用</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自带的</w:t>
      </w:r>
      <w:r>
        <w:rPr>
          <w:rFonts w:ascii="宋体" w:hAnsi="宋体" w:eastAsia="仿宋"/>
          <w:sz w:val="24"/>
        </w:rPr>
        <w:t>“</w:t>
      </w:r>
      <w:r>
        <w:rPr>
          <w:rFonts w:hint="eastAsia" w:ascii="宋体" w:hAnsi="宋体" w:eastAsia="仿宋"/>
          <w:sz w:val="24"/>
        </w:rPr>
        <w:t>投标（响应）文件制作工具</w:t>
      </w:r>
      <w:r>
        <w:rPr>
          <w:rFonts w:ascii="宋体" w:hAnsi="宋体" w:eastAsia="仿宋"/>
          <w:sz w:val="24"/>
        </w:rPr>
        <w:t>”</w:t>
      </w:r>
      <w:r>
        <w:rPr>
          <w:rFonts w:hint="eastAsia" w:ascii="宋体" w:hAnsi="宋体" w:eastAsia="仿宋"/>
          <w:sz w:val="24"/>
        </w:rPr>
        <w:t>制作生成，详见供应商须知前附表规定。</w:t>
      </w:r>
    </w:p>
    <w:p w14:paraId="57DCCF0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）供应商在编制响应文件时应建立分级目录，并按照标签提示导入相关内容。</w:t>
      </w:r>
    </w:p>
    <w:p w14:paraId="4D0031C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（3）除供应商须知前附表另有规定外，响应文件中证明资料的</w:t>
      </w:r>
      <w:r>
        <w:rPr>
          <w:rFonts w:ascii="宋体" w:hAnsi="宋体" w:eastAsia="仿宋"/>
          <w:sz w:val="24"/>
        </w:rPr>
        <w:t>“</w:t>
      </w:r>
      <w:r>
        <w:rPr>
          <w:rFonts w:hint="eastAsia" w:ascii="宋体" w:hAnsi="宋体" w:eastAsia="仿宋"/>
          <w:sz w:val="24"/>
        </w:rPr>
        <w:t>复印件</w:t>
      </w:r>
      <w:r>
        <w:rPr>
          <w:rFonts w:ascii="宋体" w:hAnsi="宋体" w:eastAsia="仿宋"/>
          <w:sz w:val="24"/>
        </w:rPr>
        <w:t>”均为原件扫描件。</w:t>
      </w:r>
    </w:p>
    <w:p w14:paraId="1B81F25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w:t>
      </w:r>
      <w:r>
        <w:rPr>
          <w:rFonts w:hint="eastAsia" w:ascii="宋体" w:hAnsi="宋体" w:eastAsia="仿宋"/>
          <w:sz w:val="24"/>
        </w:rPr>
        <w:t>响应文件格式</w:t>
      </w:r>
      <w:r>
        <w:rPr>
          <w:rFonts w:ascii="宋体" w:hAnsi="宋体" w:eastAsia="仿宋"/>
          <w:sz w:val="24"/>
        </w:rPr>
        <w:t>”</w:t>
      </w:r>
      <w:r>
        <w:rPr>
          <w:rFonts w:hint="eastAsia" w:ascii="宋体" w:hAnsi="宋体" w:eastAsia="仿宋"/>
          <w:sz w:val="24"/>
        </w:rPr>
        <w:t>中要求盖单位章和（或）签字的地方，供应商均应使用</w:t>
      </w:r>
      <w:r>
        <w:rPr>
          <w:rFonts w:ascii="宋体" w:hAnsi="宋体" w:eastAsia="仿宋"/>
          <w:sz w:val="24"/>
        </w:rPr>
        <w:t>CA</w:t>
      </w:r>
      <w:r>
        <w:rPr>
          <w:rFonts w:hint="eastAsia" w:ascii="宋体" w:hAnsi="宋体" w:eastAsia="仿宋"/>
          <w:sz w:val="24"/>
        </w:rPr>
        <w:t>数字证书加盖供应商的单位电子印章和（或）法定代表人的个人电子印章或电子签名章。联合体响应的，响应文件由联合体牵头人按上述规定加盖联合体牵头人单位电子印章和（或）法定代表人的个人电子印章或电子签名章。</w:t>
      </w:r>
    </w:p>
    <w:p w14:paraId="633AA7A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（5）响应文件制作完成后，供应商应使用</w:t>
      </w:r>
      <w:r>
        <w:rPr>
          <w:rFonts w:ascii="宋体" w:hAnsi="宋体" w:eastAsia="仿宋"/>
          <w:sz w:val="24"/>
        </w:rPr>
        <w:t>CA</w:t>
      </w:r>
      <w:r>
        <w:rPr>
          <w:rFonts w:hint="eastAsia" w:ascii="宋体" w:hAnsi="宋体" w:eastAsia="仿宋"/>
          <w:sz w:val="24"/>
        </w:rPr>
        <w:t>数字证书对响应文件进行文件加密，形成加密的响应文件、非加密的响应文件，非加密的响应文件提交形式见供应商须知前附表规定。</w:t>
      </w:r>
    </w:p>
    <w:p w14:paraId="5C3FA14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（6）响应文件制作的具体方法详见</w:t>
      </w:r>
      <w:r>
        <w:rPr>
          <w:rFonts w:hint="eastAsia" w:ascii="Calibri" w:hAnsi="Calibri" w:eastAsia="仿宋"/>
          <w:sz w:val="24"/>
        </w:rPr>
        <w:t>电子交易平台</w:t>
      </w:r>
      <w:r>
        <w:rPr>
          <w:rFonts w:hint="eastAsia" w:ascii="宋体" w:hAnsi="宋体" w:eastAsia="仿宋"/>
          <w:sz w:val="24"/>
        </w:rPr>
        <w:t>的帮助文档。</w:t>
      </w:r>
    </w:p>
    <w:p w14:paraId="101A8C7E">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w:t>
      </w:r>
      <w:r>
        <w:rPr>
          <w:rFonts w:hint="eastAsia" w:ascii="宋体" w:hAnsi="宋体" w:eastAsia="仿宋"/>
          <w:sz w:val="24"/>
        </w:rPr>
        <w:t>6</w:t>
      </w:r>
      <w:r>
        <w:rPr>
          <w:rFonts w:ascii="宋体" w:hAnsi="宋体" w:eastAsia="仿宋"/>
          <w:sz w:val="24"/>
        </w:rPr>
        <w:t>.</w:t>
      </w:r>
      <w:r>
        <w:rPr>
          <w:rFonts w:hint="eastAsia" w:ascii="宋体" w:hAnsi="宋体" w:eastAsia="仿宋"/>
          <w:sz w:val="24"/>
        </w:rPr>
        <w:t>5</w:t>
      </w:r>
      <w:r>
        <w:rPr>
          <w:rFonts w:ascii="宋体" w:hAnsi="宋体" w:eastAsia="仿宋"/>
          <w:sz w:val="24"/>
        </w:rPr>
        <w:t xml:space="preserve"> </w:t>
      </w:r>
      <w:r>
        <w:rPr>
          <w:rFonts w:hint="eastAsia" w:ascii="宋体" w:hAnsi="宋体" w:eastAsia="仿宋"/>
          <w:sz w:val="24"/>
        </w:rPr>
        <w:t>因供应商自身原因而导致响应文件无法导入</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电子系统的，该响应</w:t>
      </w:r>
      <w:r>
        <w:rPr>
          <w:rFonts w:hint="eastAsia" w:ascii="Calibri" w:hAnsi="Calibri" w:eastAsia="仿宋"/>
          <w:sz w:val="24"/>
        </w:rPr>
        <w:t>按无效处理</w:t>
      </w:r>
      <w:r>
        <w:rPr>
          <w:rFonts w:hint="eastAsia" w:ascii="宋体" w:hAnsi="宋体" w:eastAsia="仿宋"/>
          <w:sz w:val="24"/>
        </w:rPr>
        <w:t>，供应商自行承担由此导致的全部责任。</w:t>
      </w:r>
    </w:p>
    <w:p w14:paraId="658C68A1">
      <w:pPr>
        <w:pStyle w:val="3"/>
        <w:rPr>
          <w:rStyle w:val="102"/>
          <w:rFonts w:hint="eastAsia" w:ascii="宋体" w:hAnsi="宋体" w:eastAsia="仿宋"/>
          <w:b/>
          <w:bCs/>
          <w:sz w:val="24"/>
          <w:szCs w:val="24"/>
        </w:rPr>
      </w:pPr>
      <w:bookmarkStart w:id="342" w:name="_Toc333599685"/>
      <w:bookmarkStart w:id="343" w:name="_Toc152042331"/>
      <w:bookmarkStart w:id="344" w:name="_Toc179632573"/>
      <w:bookmarkStart w:id="345" w:name="_Toc342296188"/>
      <w:bookmarkStart w:id="346" w:name="_Toc152045555"/>
      <w:bookmarkStart w:id="347" w:name="_Toc342294740"/>
      <w:bookmarkStart w:id="348" w:name="_Toc371415943"/>
      <w:bookmarkStart w:id="349" w:name="_Toc458504842"/>
      <w:bookmarkStart w:id="350" w:name="_Toc455587058"/>
      <w:bookmarkStart w:id="351" w:name="_Toc338944631"/>
      <w:bookmarkStart w:id="352" w:name="_Toc455587242"/>
      <w:bookmarkStart w:id="353" w:name="_Toc342297645"/>
      <w:bookmarkStart w:id="354" w:name="_Toc144974523"/>
      <w:bookmarkStart w:id="355" w:name="_Toc333600709"/>
      <w:bookmarkStart w:id="356" w:name="_Toc466024524"/>
      <w:bookmarkStart w:id="357" w:name="_Toc445554715"/>
      <w:bookmarkStart w:id="358" w:name="_Toc338943726"/>
      <w:r>
        <w:rPr>
          <w:rStyle w:val="102"/>
          <w:rFonts w:hint="eastAsia" w:ascii="宋体" w:hAnsi="宋体" w:eastAsia="仿宋"/>
          <w:b/>
          <w:bCs/>
          <w:sz w:val="24"/>
          <w:szCs w:val="24"/>
        </w:rPr>
        <w:t xml:space="preserve">4. </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Pr>
          <w:rStyle w:val="102"/>
          <w:rFonts w:hint="eastAsia" w:ascii="Calibri" w:hAnsi="Calibri" w:eastAsia="仿宋"/>
          <w:b/>
          <w:bCs/>
          <w:sz w:val="24"/>
          <w:szCs w:val="24"/>
        </w:rPr>
        <w:t>响应文件的提交</w:t>
      </w:r>
    </w:p>
    <w:p w14:paraId="5696E4CB">
      <w:pPr>
        <w:pStyle w:val="4"/>
        <w:adjustRightInd w:val="0"/>
        <w:ind w:firstLine="482" w:firstLineChars="200"/>
        <w:rPr>
          <w:rFonts w:hint="eastAsia" w:eastAsia="仿宋"/>
          <w:sz w:val="24"/>
          <w:lang w:eastAsia="zh-CN"/>
        </w:rPr>
      </w:pPr>
      <w:bookmarkStart w:id="359" w:name="_Toc458504843"/>
      <w:bookmarkStart w:id="360" w:name="_Toc179632574"/>
      <w:bookmarkStart w:id="361" w:name="_Toc338943727"/>
      <w:bookmarkStart w:id="362" w:name="_Toc455587243"/>
      <w:bookmarkStart w:id="363" w:name="_Toc445554716"/>
      <w:bookmarkStart w:id="364" w:name="_Toc338944632"/>
      <w:bookmarkStart w:id="365" w:name="_Toc342296189"/>
      <w:bookmarkStart w:id="366" w:name="_Toc333599686"/>
      <w:bookmarkStart w:id="367" w:name="_Toc466024525"/>
      <w:bookmarkStart w:id="368" w:name="_Toc342297646"/>
      <w:bookmarkStart w:id="369" w:name="_Toc333600710"/>
      <w:bookmarkStart w:id="370" w:name="_Toc342294741"/>
      <w:bookmarkStart w:id="371" w:name="_Toc152045556"/>
      <w:bookmarkStart w:id="372" w:name="_Toc455587059"/>
      <w:bookmarkStart w:id="373" w:name="_Toc371415944"/>
      <w:bookmarkStart w:id="374" w:name="_Toc144974524"/>
      <w:bookmarkStart w:id="375" w:name="_Toc333587880"/>
      <w:bookmarkStart w:id="376" w:name="_Toc152042332"/>
      <w:r>
        <w:rPr>
          <w:rFonts w:hint="eastAsia" w:eastAsia="仿宋"/>
          <w:sz w:val="24"/>
          <w:lang w:eastAsia="zh-CN"/>
        </w:rPr>
        <w:t>4.1 响应文件的加密</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5D426B2">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4.1.1</w:t>
      </w:r>
      <w:r>
        <w:rPr>
          <w:rFonts w:hint="eastAsia" w:ascii="宋体" w:hAnsi="宋体" w:eastAsia="仿宋"/>
          <w:sz w:val="24"/>
        </w:rPr>
        <w:t xml:space="preserve"> 供应商</w:t>
      </w:r>
      <w:r>
        <w:rPr>
          <w:rFonts w:ascii="宋体" w:hAnsi="宋体" w:eastAsia="仿宋"/>
          <w:sz w:val="24"/>
        </w:rPr>
        <w:t>应当按照</w:t>
      </w:r>
      <w:r>
        <w:rPr>
          <w:rFonts w:hint="eastAsia" w:ascii="宋体" w:hAnsi="宋体" w:eastAsia="仿宋"/>
          <w:sz w:val="24"/>
        </w:rPr>
        <w:t>单一来源采购文件</w:t>
      </w:r>
      <w:r>
        <w:rPr>
          <w:rFonts w:ascii="宋体" w:hAnsi="宋体" w:eastAsia="仿宋"/>
          <w:sz w:val="24"/>
        </w:rPr>
        <w:t>和电子交易平台的要求加密</w:t>
      </w:r>
      <w:r>
        <w:rPr>
          <w:rFonts w:hint="eastAsia" w:ascii="宋体" w:hAnsi="宋体" w:eastAsia="仿宋"/>
          <w:sz w:val="24"/>
        </w:rPr>
        <w:t>响应文件</w:t>
      </w:r>
      <w:r>
        <w:rPr>
          <w:rFonts w:ascii="宋体" w:hAnsi="宋体" w:eastAsia="仿宋"/>
          <w:sz w:val="24"/>
        </w:rPr>
        <w:t>，具体要求见</w:t>
      </w:r>
      <w:r>
        <w:rPr>
          <w:rFonts w:hint="eastAsia" w:ascii="宋体" w:hAnsi="宋体" w:eastAsia="仿宋"/>
          <w:sz w:val="24"/>
        </w:rPr>
        <w:t>供应商</w:t>
      </w:r>
      <w:r>
        <w:rPr>
          <w:rFonts w:ascii="宋体" w:hAnsi="宋体" w:eastAsia="仿宋"/>
          <w:sz w:val="24"/>
        </w:rPr>
        <w:t>须知前附表。</w:t>
      </w:r>
    </w:p>
    <w:p w14:paraId="66DD6A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4.1.2 未按照上述要求加密的响应文件，电子交易平台将予以拒收。</w:t>
      </w:r>
    </w:p>
    <w:p w14:paraId="574CC496">
      <w:pPr>
        <w:pStyle w:val="4"/>
        <w:adjustRightInd w:val="0"/>
        <w:ind w:firstLine="482" w:firstLineChars="200"/>
        <w:rPr>
          <w:rFonts w:hint="eastAsia" w:eastAsia="仿宋"/>
          <w:sz w:val="24"/>
          <w:lang w:eastAsia="zh-CN"/>
        </w:rPr>
      </w:pPr>
      <w:bookmarkStart w:id="377" w:name="_Toc466024526"/>
      <w:bookmarkStart w:id="378" w:name="_Toc455587244"/>
      <w:bookmarkStart w:id="379" w:name="_Toc445554717"/>
      <w:bookmarkStart w:id="380" w:name="_Toc458504844"/>
      <w:bookmarkStart w:id="381" w:name="_Toc371415945"/>
      <w:bookmarkStart w:id="382" w:name="_Toc455587060"/>
      <w:r>
        <w:rPr>
          <w:rFonts w:hint="eastAsia" w:eastAsia="仿宋"/>
          <w:sz w:val="24"/>
          <w:lang w:eastAsia="zh-CN"/>
        </w:rPr>
        <w:t>4.2 响应文件的</w:t>
      </w:r>
      <w:bookmarkEnd w:id="377"/>
      <w:bookmarkEnd w:id="378"/>
      <w:bookmarkEnd w:id="379"/>
      <w:bookmarkEnd w:id="380"/>
      <w:bookmarkEnd w:id="381"/>
      <w:bookmarkEnd w:id="382"/>
      <w:r>
        <w:rPr>
          <w:rFonts w:hint="eastAsia" w:eastAsia="仿宋"/>
          <w:sz w:val="24"/>
          <w:lang w:eastAsia="zh-CN"/>
        </w:rPr>
        <w:t>提交</w:t>
      </w:r>
    </w:p>
    <w:p w14:paraId="371E9EE3">
      <w:pPr>
        <w:widowControl/>
        <w:adjustRightInd w:val="0"/>
        <w:snapToGrid w:val="0"/>
        <w:spacing w:line="360" w:lineRule="auto"/>
        <w:ind w:firstLine="480" w:firstLineChars="200"/>
        <w:rPr>
          <w:rFonts w:eastAsia="仿宋"/>
          <w:sz w:val="24"/>
        </w:rPr>
      </w:pPr>
      <w:r>
        <w:rPr>
          <w:rFonts w:hint="eastAsia" w:ascii="宋体" w:hAnsi="宋体" w:eastAsia="仿宋"/>
          <w:sz w:val="24"/>
        </w:rPr>
        <w:t xml:space="preserve">4.2.1 </w:t>
      </w:r>
      <w:r>
        <w:rPr>
          <w:rFonts w:eastAsia="仿宋"/>
          <w:sz w:val="24"/>
        </w:rPr>
        <w:t>供应商应在</w:t>
      </w:r>
      <w:r>
        <w:rPr>
          <w:rFonts w:hint="eastAsia" w:eastAsia="仿宋"/>
          <w:sz w:val="24"/>
        </w:rPr>
        <w:t>采购邀请书</w:t>
      </w:r>
      <w:r>
        <w:rPr>
          <w:rFonts w:eastAsia="仿宋"/>
          <w:sz w:val="24"/>
        </w:rPr>
        <w:t>规定的</w:t>
      </w:r>
      <w:r>
        <w:rPr>
          <w:rFonts w:hint="eastAsia" w:eastAsia="仿宋"/>
          <w:sz w:val="24"/>
        </w:rPr>
        <w:t>提交响应文件截止时间</w:t>
      </w:r>
      <w:r>
        <w:rPr>
          <w:rFonts w:eastAsia="仿宋"/>
          <w:sz w:val="24"/>
        </w:rPr>
        <w:t>前提交响应文件。</w:t>
      </w:r>
    </w:p>
    <w:p w14:paraId="2CC22FA0">
      <w:pPr>
        <w:widowControl/>
        <w:adjustRightInd w:val="0"/>
        <w:snapToGrid w:val="0"/>
        <w:spacing w:line="360" w:lineRule="auto"/>
        <w:ind w:firstLine="480" w:firstLineChars="200"/>
        <w:rPr>
          <w:rFonts w:eastAsia="仿宋"/>
          <w:sz w:val="24"/>
        </w:rPr>
      </w:pPr>
      <w:r>
        <w:rPr>
          <w:rFonts w:hint="eastAsia" w:ascii="宋体" w:hAnsi="宋体" w:eastAsia="仿宋"/>
          <w:sz w:val="24"/>
        </w:rPr>
        <w:t>4.2.2</w:t>
      </w:r>
      <w:r>
        <w:rPr>
          <w:rFonts w:hint="eastAsia" w:eastAsia="仿宋"/>
          <w:sz w:val="24"/>
        </w:rPr>
        <w:t xml:space="preserve"> 供应商应当通过电子交易平台递交响应文件。供应商应充分考虑上传文件时的不可预见因素，未在提交响应文件截止时间前完成上传的，视为逾期送达，采购人（</w:t>
      </w:r>
      <w:r>
        <w:rPr>
          <w:rFonts w:eastAsia="仿宋"/>
          <w:sz w:val="24"/>
        </w:rPr>
        <w:t>“</w:t>
      </w:r>
      <w:r>
        <w:rPr>
          <w:rFonts w:hint="eastAsia" w:eastAsia="仿宋"/>
          <w:sz w:val="24"/>
        </w:rPr>
        <w:t>电子交易平台</w:t>
      </w:r>
      <w:r>
        <w:rPr>
          <w:rFonts w:eastAsia="仿宋"/>
          <w:sz w:val="24"/>
        </w:rPr>
        <w:t>”</w:t>
      </w:r>
      <w:r>
        <w:rPr>
          <w:rFonts w:hint="eastAsia" w:eastAsia="仿宋"/>
          <w:sz w:val="24"/>
        </w:rPr>
        <w:t>）将拒绝接收。详见供应商须知前附表规定。</w:t>
      </w:r>
    </w:p>
    <w:p w14:paraId="30A9D9B4">
      <w:pPr>
        <w:widowControl/>
        <w:adjustRightInd w:val="0"/>
        <w:snapToGrid w:val="0"/>
        <w:spacing w:line="360" w:lineRule="auto"/>
        <w:ind w:firstLine="480" w:firstLineChars="200"/>
        <w:rPr>
          <w:rFonts w:eastAsia="仿宋"/>
          <w:sz w:val="24"/>
        </w:rPr>
      </w:pPr>
      <w:r>
        <w:rPr>
          <w:rFonts w:hint="eastAsia" w:ascii="宋体" w:hAnsi="宋体" w:eastAsia="仿宋"/>
          <w:sz w:val="24"/>
        </w:rPr>
        <w:t>4.2.3</w:t>
      </w:r>
      <w:r>
        <w:rPr>
          <w:rFonts w:hint="eastAsia" w:eastAsia="仿宋"/>
          <w:sz w:val="24"/>
        </w:rPr>
        <w:t xml:space="preserve"> 除供应商须知前附表另有规定外，供应商所递交的响应文件不予退还。</w:t>
      </w:r>
    </w:p>
    <w:p w14:paraId="7F119A4A">
      <w:pPr>
        <w:pStyle w:val="4"/>
        <w:adjustRightInd w:val="0"/>
        <w:ind w:firstLine="482" w:firstLineChars="200"/>
        <w:rPr>
          <w:rFonts w:hint="eastAsia" w:eastAsia="仿宋"/>
          <w:sz w:val="24"/>
          <w:lang w:eastAsia="zh-CN"/>
        </w:rPr>
      </w:pPr>
      <w:bookmarkStart w:id="383" w:name="_Toc455587245"/>
      <w:bookmarkStart w:id="384" w:name="_Toc333599688"/>
      <w:bookmarkStart w:id="385" w:name="_Toc371415946"/>
      <w:bookmarkStart w:id="386" w:name="_Toc455587061"/>
      <w:bookmarkStart w:id="387" w:name="_Toc152045558"/>
      <w:bookmarkStart w:id="388" w:name="_Toc342294743"/>
      <w:bookmarkStart w:id="389" w:name="_Toc458504845"/>
      <w:bookmarkStart w:id="390" w:name="_Toc333587882"/>
      <w:bookmarkStart w:id="391" w:name="_Toc342296191"/>
      <w:bookmarkStart w:id="392" w:name="_Toc342297648"/>
      <w:bookmarkStart w:id="393" w:name="_Toc333600712"/>
      <w:bookmarkStart w:id="394" w:name="_Toc144974526"/>
      <w:bookmarkStart w:id="395" w:name="_Toc179632576"/>
      <w:bookmarkStart w:id="396" w:name="_Toc445554718"/>
      <w:bookmarkStart w:id="397" w:name="_Toc466024527"/>
      <w:bookmarkStart w:id="398" w:name="_Toc338943729"/>
      <w:bookmarkStart w:id="399" w:name="_Toc152042334"/>
      <w:bookmarkStart w:id="400" w:name="_Toc338944634"/>
      <w:r>
        <w:rPr>
          <w:rFonts w:hint="eastAsia" w:eastAsia="仿宋"/>
          <w:sz w:val="24"/>
          <w:lang w:eastAsia="zh-CN"/>
        </w:rPr>
        <w:t>4.3 响应文件的修改与撤回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615909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w:t>
      </w:r>
      <w:r>
        <w:rPr>
          <w:rFonts w:ascii="宋体" w:hAnsi="宋体" w:eastAsia="仿宋"/>
          <w:sz w:val="24"/>
        </w:rPr>
        <w:t>.1</w:t>
      </w:r>
      <w:r>
        <w:rPr>
          <w:rFonts w:hint="eastAsia" w:ascii="宋体" w:hAnsi="宋体" w:eastAsia="仿宋"/>
          <w:sz w:val="24"/>
        </w:rPr>
        <w:t xml:space="preserve"> 在规定的提交响应文件截止时间前，供应商可以补充、修改或撤回已</w:t>
      </w:r>
      <w:r>
        <w:rPr>
          <w:rFonts w:hint="eastAsia" w:ascii="Calibri" w:hAnsi="Calibri" w:eastAsia="仿宋"/>
          <w:sz w:val="24"/>
        </w:rPr>
        <w:t>提交</w:t>
      </w:r>
      <w:r>
        <w:rPr>
          <w:rFonts w:hint="eastAsia" w:ascii="宋体" w:hAnsi="宋体" w:eastAsia="仿宋"/>
          <w:sz w:val="24"/>
        </w:rPr>
        <w:t>的响应文件，但应以书面形式通知采购人。</w:t>
      </w:r>
    </w:p>
    <w:p w14:paraId="2FC1428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4.3.2 供应商修改或撤回已递交响应文件的通知，应按照本章第3.6.4项的要求加盖电子印章。电子交易平台收到通知后，即时向供应商发出确认回执通知。</w:t>
      </w:r>
    </w:p>
    <w:p w14:paraId="2422570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4.3.3 供应商撤回响应文件的，</w:t>
      </w:r>
      <w:r>
        <w:rPr>
          <w:rFonts w:hint="eastAsia" w:eastAsia="仿宋"/>
          <w:sz w:val="24"/>
        </w:rPr>
        <w:t>采购</w:t>
      </w:r>
      <w:r>
        <w:rPr>
          <w:rFonts w:hint="eastAsia" w:ascii="宋体" w:hAnsi="宋体" w:eastAsia="仿宋"/>
          <w:sz w:val="24"/>
        </w:rPr>
        <w:t>人自收到供应商书面撤回通知之日起5日内退还已收取的</w:t>
      </w:r>
      <w:r>
        <w:rPr>
          <w:rFonts w:hint="eastAsia" w:ascii="Calibri" w:hAnsi="Calibri" w:eastAsia="仿宋"/>
          <w:sz w:val="24"/>
        </w:rPr>
        <w:t>协商保证金</w:t>
      </w:r>
      <w:r>
        <w:rPr>
          <w:rFonts w:hint="eastAsia" w:ascii="宋体" w:hAnsi="宋体" w:eastAsia="仿宋"/>
          <w:sz w:val="24"/>
        </w:rPr>
        <w:t>。</w:t>
      </w:r>
    </w:p>
    <w:p w14:paraId="5471E93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4.3.4 补充、修改的内容为响应文件的组成部分，只需提供一份。补充、修改的响应文件应按照本章第3条、第4条的规定进行编制、加密、标记和</w:t>
      </w:r>
      <w:r>
        <w:rPr>
          <w:rFonts w:hint="eastAsia" w:ascii="Calibri" w:hAnsi="Calibri" w:eastAsia="仿宋"/>
          <w:sz w:val="24"/>
        </w:rPr>
        <w:t>提交</w:t>
      </w:r>
      <w:r>
        <w:rPr>
          <w:rFonts w:hint="eastAsia" w:ascii="宋体" w:hAnsi="宋体" w:eastAsia="仿宋"/>
          <w:sz w:val="24"/>
        </w:rPr>
        <w:t>，并标明“补充”或“修改”字样。</w:t>
      </w:r>
    </w:p>
    <w:p w14:paraId="310D6B07">
      <w:pPr>
        <w:pStyle w:val="3"/>
        <w:rPr>
          <w:rStyle w:val="102"/>
          <w:rFonts w:hint="eastAsia" w:ascii="宋体" w:hAnsi="宋体" w:eastAsia="仿宋"/>
          <w:b/>
          <w:bCs/>
          <w:sz w:val="24"/>
          <w:szCs w:val="24"/>
        </w:rPr>
      </w:pPr>
      <w:bookmarkStart w:id="401" w:name="_Toc338944638"/>
      <w:bookmarkStart w:id="402" w:name="_Toc445554723"/>
      <w:bookmarkStart w:id="403" w:name="_Toc342296195"/>
      <w:bookmarkStart w:id="404" w:name="_Toc342294747"/>
      <w:bookmarkStart w:id="405" w:name="_Toc342297652"/>
      <w:bookmarkStart w:id="406" w:name="_Toc338943733"/>
      <w:bookmarkStart w:id="407" w:name="_Toc455587250"/>
      <w:bookmarkStart w:id="408" w:name="_Toc455587066"/>
      <w:bookmarkStart w:id="409" w:name="_Toc458504849"/>
      <w:bookmarkStart w:id="410" w:name="_Toc179632580"/>
      <w:bookmarkStart w:id="411" w:name="_Toc466024531"/>
      <w:bookmarkStart w:id="412" w:name="_Toc333600716"/>
      <w:bookmarkStart w:id="413" w:name="_Toc333599692"/>
      <w:bookmarkStart w:id="414" w:name="_Toc144974530"/>
      <w:bookmarkStart w:id="415" w:name="_Toc152045562"/>
      <w:bookmarkStart w:id="416" w:name="_Toc371415950"/>
      <w:bookmarkStart w:id="417" w:name="_Toc152042338"/>
      <w:bookmarkStart w:id="418" w:name="_Toc458504853"/>
      <w:bookmarkStart w:id="419" w:name="_Toc333600720"/>
      <w:bookmarkStart w:id="420" w:name="_Toc466024535"/>
      <w:bookmarkStart w:id="421" w:name="_Toc455587070"/>
      <w:bookmarkStart w:id="422" w:name="_Toc371415954"/>
      <w:bookmarkStart w:id="423" w:name="_Toc342294751"/>
      <w:bookmarkStart w:id="424" w:name="_Toc342297656"/>
      <w:bookmarkStart w:id="425" w:name="_Toc445554727"/>
      <w:bookmarkStart w:id="426" w:name="_Toc144974534"/>
      <w:bookmarkStart w:id="427" w:name="_Toc152045566"/>
      <w:bookmarkStart w:id="428" w:name="_Toc333599696"/>
      <w:bookmarkStart w:id="429" w:name="_Toc338943737"/>
      <w:bookmarkStart w:id="430" w:name="_Toc338944642"/>
      <w:bookmarkStart w:id="431" w:name="_Toc342296199"/>
      <w:bookmarkStart w:id="432" w:name="_Toc179632584"/>
      <w:bookmarkStart w:id="433" w:name="_Toc152042342"/>
      <w:bookmarkStart w:id="434" w:name="_Toc455587254"/>
      <w:r>
        <w:rPr>
          <w:rStyle w:val="102"/>
          <w:rFonts w:hint="eastAsia" w:ascii="宋体" w:hAnsi="宋体" w:eastAsia="仿宋"/>
          <w:b/>
          <w:bCs/>
          <w:sz w:val="24"/>
          <w:szCs w:val="24"/>
        </w:rPr>
        <w:t xml:space="preserve">5. </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rStyle w:val="102"/>
          <w:rFonts w:hint="eastAsia" w:ascii="宋体" w:hAnsi="宋体" w:eastAsia="仿宋"/>
          <w:b/>
          <w:bCs/>
          <w:sz w:val="24"/>
          <w:szCs w:val="24"/>
        </w:rPr>
        <w:t>协商</w:t>
      </w:r>
    </w:p>
    <w:p w14:paraId="6ACFC947">
      <w:pPr>
        <w:pStyle w:val="4"/>
        <w:adjustRightInd w:val="0"/>
        <w:ind w:firstLine="482" w:firstLineChars="200"/>
        <w:rPr>
          <w:rFonts w:hint="eastAsia" w:eastAsia="仿宋"/>
          <w:sz w:val="24"/>
          <w:lang w:eastAsia="zh-CN"/>
        </w:rPr>
      </w:pPr>
      <w:r>
        <w:rPr>
          <w:rFonts w:hint="eastAsia" w:eastAsia="仿宋"/>
          <w:sz w:val="24"/>
          <w:lang w:eastAsia="zh-CN"/>
        </w:rPr>
        <w:t>5.1 单一来源采购人员</w:t>
      </w:r>
    </w:p>
    <w:p w14:paraId="40698B8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采购人、采购代理机构依法组织具有相关经验的专业人员参与协商。</w:t>
      </w:r>
    </w:p>
    <w:p w14:paraId="2C1B6349">
      <w:pPr>
        <w:pStyle w:val="4"/>
        <w:adjustRightInd w:val="0"/>
        <w:ind w:firstLine="482" w:firstLineChars="200"/>
        <w:rPr>
          <w:rFonts w:hint="eastAsia" w:eastAsia="仿宋"/>
          <w:sz w:val="24"/>
          <w:lang w:eastAsia="zh-CN"/>
        </w:rPr>
      </w:pPr>
      <w:r>
        <w:rPr>
          <w:rFonts w:hint="eastAsia" w:eastAsia="仿宋"/>
          <w:sz w:val="24"/>
          <w:lang w:eastAsia="zh-CN"/>
        </w:rPr>
        <w:t>5.2 协商过程</w:t>
      </w:r>
    </w:p>
    <w:p w14:paraId="31BCB0C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5.2.1 单一来源采购人员</w:t>
      </w:r>
      <w:r>
        <w:rPr>
          <w:rFonts w:hint="eastAsia" w:ascii="Calibri" w:hAnsi="Calibri" w:eastAsia="仿宋"/>
          <w:sz w:val="24"/>
        </w:rPr>
        <w:t>按照单一来源采购文件规定的协商程序与供应商进行协商。</w:t>
      </w:r>
    </w:p>
    <w:p w14:paraId="2ED774A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5.2.2 </w:t>
      </w:r>
      <w:r>
        <w:rPr>
          <w:rFonts w:hint="eastAsia" w:eastAsia="仿宋"/>
          <w:sz w:val="24"/>
        </w:rPr>
        <w:t>单一来源采购人员可以根据采购文件和协商情况，实质性变动采购需求中的技术、服务要求以及合同草案条款，但不得变动采购文件中的其他内容，</w:t>
      </w:r>
      <w:r>
        <w:rPr>
          <w:rFonts w:hint="eastAsia" w:ascii="Calibri" w:hAnsi="Calibri" w:eastAsia="仿宋"/>
          <w:sz w:val="24"/>
        </w:rPr>
        <w:t>可能实质性变动内容见供应商须知前附表。</w:t>
      </w:r>
      <w:r>
        <w:rPr>
          <w:rFonts w:hint="eastAsia" w:ascii="宋体" w:hAnsi="宋体" w:eastAsia="仿宋"/>
          <w:sz w:val="24"/>
        </w:rPr>
        <w:t>在协商过程中，采购文件若有实质性变动，单一来源采购人员将以书面形式通知参加协商的供应商。</w:t>
      </w:r>
    </w:p>
    <w:p w14:paraId="1AA3E04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5.2.3 在协商过程中，供应商可以进行多轮报价，供应商的最终报价不得超过采购预算。</w:t>
      </w: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14:paraId="1BDFA597">
      <w:pPr>
        <w:pStyle w:val="3"/>
        <w:rPr>
          <w:rStyle w:val="102"/>
          <w:rFonts w:hint="eastAsia" w:ascii="宋体" w:hAnsi="宋体" w:eastAsia="仿宋"/>
          <w:b/>
          <w:bCs/>
          <w:sz w:val="24"/>
          <w:szCs w:val="24"/>
        </w:rPr>
      </w:pPr>
      <w:bookmarkStart w:id="435" w:name="_Toc458504860"/>
      <w:bookmarkStart w:id="436" w:name="_Toc455587259"/>
      <w:bookmarkStart w:id="437" w:name="_Toc455587075"/>
      <w:bookmarkStart w:id="438" w:name="_Toc466024542"/>
      <w:bookmarkStart w:id="439" w:name="_Toc445554737"/>
      <w:bookmarkStart w:id="440" w:name="_Toc458504864"/>
      <w:bookmarkStart w:id="441" w:name="_Toc455587263"/>
      <w:bookmarkStart w:id="442" w:name="_Toc455587079"/>
      <w:bookmarkStart w:id="443" w:name="_Toc466024546"/>
      <w:r>
        <w:rPr>
          <w:rStyle w:val="102"/>
          <w:rFonts w:hint="eastAsia" w:ascii="宋体" w:hAnsi="宋体" w:eastAsia="仿宋"/>
          <w:b/>
          <w:bCs/>
          <w:sz w:val="24"/>
          <w:szCs w:val="24"/>
        </w:rPr>
        <w:t>6. 合同授予</w:t>
      </w:r>
    </w:p>
    <w:p w14:paraId="6DE04242">
      <w:pPr>
        <w:pStyle w:val="4"/>
        <w:adjustRightInd w:val="0"/>
        <w:ind w:firstLine="482" w:firstLineChars="200"/>
        <w:rPr>
          <w:rFonts w:hint="eastAsia" w:eastAsia="仿宋"/>
          <w:sz w:val="24"/>
          <w:lang w:eastAsia="zh-CN"/>
        </w:rPr>
      </w:pPr>
      <w:bookmarkStart w:id="444" w:name="_Toc466024536"/>
      <w:bookmarkStart w:id="445" w:name="_Toc349730879"/>
      <w:bookmarkStart w:id="446" w:name="_Toc455587255"/>
      <w:bookmarkStart w:id="447" w:name="_Toc458504854"/>
      <w:bookmarkStart w:id="448" w:name="_Toc371415955"/>
      <w:bookmarkStart w:id="449" w:name="_Toc362252685"/>
      <w:bookmarkStart w:id="450" w:name="_Toc445554728"/>
      <w:bookmarkStart w:id="451" w:name="_Toc455587071"/>
      <w:bookmarkStart w:id="452" w:name="_Toc333599697"/>
      <w:bookmarkStart w:id="453" w:name="_Toc152042343"/>
      <w:bookmarkStart w:id="454" w:name="_Toc144974535"/>
      <w:bookmarkStart w:id="455" w:name="_Toc342296200"/>
      <w:bookmarkStart w:id="456" w:name="_Toc338943738"/>
      <w:bookmarkStart w:id="457" w:name="_Toc342297657"/>
      <w:bookmarkStart w:id="458" w:name="_Toc338944643"/>
      <w:bookmarkStart w:id="459" w:name="_Toc152045567"/>
      <w:bookmarkStart w:id="460" w:name="_Toc333587891"/>
      <w:bookmarkStart w:id="461" w:name="_Toc179632585"/>
      <w:bookmarkStart w:id="462" w:name="_Toc342294752"/>
      <w:bookmarkStart w:id="463" w:name="_Toc333600721"/>
      <w:r>
        <w:rPr>
          <w:rFonts w:hint="eastAsia" w:eastAsia="仿宋"/>
          <w:sz w:val="24"/>
          <w:lang w:eastAsia="zh-CN"/>
        </w:rPr>
        <w:t>6.</w:t>
      </w:r>
      <w:bookmarkEnd w:id="444"/>
      <w:bookmarkEnd w:id="445"/>
      <w:bookmarkEnd w:id="446"/>
      <w:bookmarkEnd w:id="447"/>
      <w:bookmarkEnd w:id="448"/>
      <w:bookmarkEnd w:id="449"/>
      <w:bookmarkEnd w:id="450"/>
      <w:bookmarkEnd w:id="451"/>
      <w:r>
        <w:rPr>
          <w:rFonts w:hint="eastAsia" w:eastAsia="仿宋"/>
          <w:sz w:val="24"/>
          <w:lang w:eastAsia="zh-CN"/>
        </w:rPr>
        <w:t>1 成交通知</w:t>
      </w:r>
    </w:p>
    <w:p w14:paraId="4F5AC4D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6.1.1 采购人确定成交供应商后，按供应商须知前附表规定的方式与内容发布成交结果公告，同时向成交供应商发出成交通知书。</w:t>
      </w:r>
    </w:p>
    <w:p w14:paraId="683EC82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6.1.2 成交供应商须按供应商须知前附表规定向采购代理机构支付采购代理服务费，其计取标准见供应商须知前附表。</w:t>
      </w:r>
    </w:p>
    <w:p w14:paraId="4B9205D1">
      <w:pPr>
        <w:pStyle w:val="4"/>
        <w:adjustRightInd w:val="0"/>
        <w:ind w:firstLine="482" w:firstLineChars="200"/>
        <w:rPr>
          <w:rFonts w:hint="eastAsia" w:eastAsia="仿宋"/>
          <w:sz w:val="24"/>
          <w:lang w:eastAsia="zh-CN"/>
        </w:rPr>
      </w:pPr>
      <w:bookmarkStart w:id="464" w:name="_Toc445554731"/>
      <w:bookmarkStart w:id="465" w:name="_Toc349730881"/>
      <w:bookmarkStart w:id="466" w:name="_Toc466024538"/>
      <w:bookmarkStart w:id="467" w:name="_Toc458504856"/>
      <w:bookmarkStart w:id="468" w:name="_Toc362252687"/>
      <w:bookmarkStart w:id="469" w:name="_Toc455587257"/>
      <w:bookmarkStart w:id="470" w:name="_Toc371415958"/>
      <w:bookmarkStart w:id="471" w:name="_Toc455587073"/>
      <w:r>
        <w:rPr>
          <w:rFonts w:hint="eastAsia" w:eastAsia="仿宋"/>
          <w:sz w:val="24"/>
          <w:lang w:eastAsia="zh-CN"/>
        </w:rPr>
        <w:t>6.2 履约</w:t>
      </w:r>
      <w:bookmarkEnd w:id="464"/>
      <w:bookmarkEnd w:id="465"/>
      <w:bookmarkEnd w:id="466"/>
      <w:bookmarkEnd w:id="467"/>
      <w:bookmarkEnd w:id="468"/>
      <w:bookmarkEnd w:id="469"/>
      <w:bookmarkEnd w:id="470"/>
      <w:bookmarkEnd w:id="471"/>
      <w:r>
        <w:rPr>
          <w:rFonts w:hint="eastAsia" w:eastAsia="仿宋"/>
          <w:sz w:val="24"/>
          <w:lang w:eastAsia="zh-CN"/>
        </w:rPr>
        <w:t>保证金</w:t>
      </w:r>
    </w:p>
    <w:p w14:paraId="3BF607D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6.2</w:t>
      </w:r>
      <w:r>
        <w:rPr>
          <w:rFonts w:ascii="宋体" w:hAnsi="宋体" w:eastAsia="仿宋"/>
          <w:sz w:val="24"/>
        </w:rPr>
        <w:t>.1</w:t>
      </w:r>
      <w:r>
        <w:rPr>
          <w:rFonts w:hint="eastAsia" w:ascii="宋体" w:hAnsi="宋体" w:eastAsia="仿宋"/>
          <w:sz w:val="24"/>
        </w:rPr>
        <w:t xml:space="preserve"> 在签订合同前，成交供应商应按供应商须知前附表规定的金额、形式向采购人提交履约保证金。</w:t>
      </w:r>
      <w:r>
        <w:rPr>
          <w:rFonts w:eastAsia="仿宋"/>
          <w:sz w:val="24"/>
        </w:rPr>
        <w:t>除供应商须知前附表另有规定外，履约保证金为</w:t>
      </w:r>
      <w:r>
        <w:rPr>
          <w:rFonts w:hint="eastAsia" w:eastAsia="仿宋"/>
          <w:sz w:val="24"/>
        </w:rPr>
        <w:t>成交</w:t>
      </w:r>
      <w:r>
        <w:rPr>
          <w:rFonts w:eastAsia="仿宋"/>
          <w:sz w:val="24"/>
        </w:rPr>
        <w:t>合同金额的10%。联合体</w:t>
      </w:r>
      <w:r>
        <w:rPr>
          <w:rFonts w:hint="eastAsia" w:eastAsia="仿宋"/>
          <w:sz w:val="24"/>
        </w:rPr>
        <w:t>成交</w:t>
      </w:r>
      <w:r>
        <w:rPr>
          <w:rFonts w:eastAsia="仿宋"/>
          <w:sz w:val="24"/>
        </w:rPr>
        <w:t>的，其履约保证金以联合体各方或者联合体中牵头人的名义提交。</w:t>
      </w:r>
    </w:p>
    <w:p w14:paraId="689829B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6.2</w:t>
      </w:r>
      <w:r>
        <w:rPr>
          <w:rFonts w:ascii="宋体" w:hAnsi="宋体" w:eastAsia="仿宋"/>
          <w:sz w:val="24"/>
        </w:rPr>
        <w:t>.2</w:t>
      </w:r>
      <w:r>
        <w:rPr>
          <w:rFonts w:hint="eastAsia" w:ascii="宋体" w:hAnsi="宋体" w:eastAsia="仿宋"/>
          <w:sz w:val="24"/>
        </w:rPr>
        <w:t xml:space="preserve"> 成交供应商不能按要求提交履约保证金的，视为放弃成交资格，其协商保证金不予退还；给采购人造成的损失超过协商保证金数额的，成交供应商还应当对超过部分予以赔偿。</w:t>
      </w:r>
    </w:p>
    <w:p w14:paraId="3085EE95">
      <w:pPr>
        <w:pStyle w:val="4"/>
        <w:adjustRightInd w:val="0"/>
        <w:ind w:firstLine="482" w:firstLineChars="200"/>
        <w:rPr>
          <w:rFonts w:hint="eastAsia" w:eastAsia="仿宋"/>
          <w:sz w:val="24"/>
          <w:lang w:eastAsia="zh-CN"/>
        </w:rPr>
      </w:pPr>
      <w:bookmarkStart w:id="472" w:name="_Toc455587074"/>
      <w:bookmarkStart w:id="473" w:name="_Toc338943741"/>
      <w:bookmarkStart w:id="474" w:name="_Toc445554732"/>
      <w:bookmarkStart w:id="475" w:name="_Toc342294755"/>
      <w:bookmarkStart w:id="476" w:name="_Toc455587258"/>
      <w:bookmarkStart w:id="477" w:name="_Toc466024539"/>
      <w:bookmarkStart w:id="478" w:name="_Toc333599700"/>
      <w:bookmarkStart w:id="479" w:name="_Toc458504857"/>
      <w:bookmarkStart w:id="480" w:name="_Toc338944646"/>
      <w:bookmarkStart w:id="481" w:name="_Toc342296203"/>
      <w:bookmarkStart w:id="482" w:name="_Toc179632588"/>
      <w:bookmarkStart w:id="483" w:name="_Toc333600724"/>
      <w:bookmarkStart w:id="484" w:name="_Toc349730882"/>
      <w:bookmarkStart w:id="485" w:name="_Toc371415959"/>
      <w:bookmarkStart w:id="486" w:name="_Toc333587894"/>
      <w:bookmarkStart w:id="487" w:name="_Toc362252688"/>
      <w:r>
        <w:rPr>
          <w:rFonts w:hint="eastAsia" w:eastAsia="仿宋"/>
          <w:sz w:val="24"/>
          <w:lang w:eastAsia="zh-CN"/>
        </w:rPr>
        <w:t>6.3 签订合同</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1D1EA97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6.3.</w:t>
      </w:r>
      <w:r>
        <w:rPr>
          <w:rFonts w:ascii="宋体" w:hAnsi="宋体" w:eastAsia="仿宋"/>
          <w:sz w:val="24"/>
        </w:rPr>
        <w:t>1</w:t>
      </w:r>
      <w:r>
        <w:rPr>
          <w:rFonts w:hint="eastAsia" w:ascii="宋体" w:hAnsi="宋体" w:eastAsia="仿宋"/>
          <w:sz w:val="24"/>
        </w:rPr>
        <w:t xml:space="preserve"> </w:t>
      </w:r>
      <w:r>
        <w:rPr>
          <w:rFonts w:eastAsia="仿宋"/>
          <w:sz w:val="24"/>
        </w:rPr>
        <w:t>除供应商须知前附表另有规定外，采购人和成交供应商应当在成交通知书发出之日起</w:t>
      </w:r>
      <w:r>
        <w:rPr>
          <w:rFonts w:hint="eastAsia" w:eastAsia="仿宋"/>
          <w:sz w:val="24"/>
        </w:rPr>
        <w:t>三十日内</w:t>
      </w:r>
      <w:r>
        <w:rPr>
          <w:rFonts w:eastAsia="仿宋"/>
          <w:sz w:val="24"/>
        </w:rPr>
        <w:t>，根据采购文件和成交供应商的响应文件订立书面合同</w:t>
      </w:r>
      <w:r>
        <w:rPr>
          <w:rFonts w:hint="eastAsia" w:eastAsia="仿宋"/>
          <w:sz w:val="24"/>
        </w:rPr>
        <w:t>，所签订的合同不得对采购文件确定的事项和成交供应商响应文件作实质性修改。</w:t>
      </w:r>
      <w:r>
        <w:rPr>
          <w:rFonts w:eastAsia="仿宋"/>
          <w:sz w:val="24"/>
        </w:rPr>
        <w:t>成交供应商无正当理由</w:t>
      </w:r>
      <w:r>
        <w:rPr>
          <w:rFonts w:hint="eastAsia" w:eastAsia="仿宋"/>
          <w:sz w:val="24"/>
        </w:rPr>
        <w:t>拒签</w:t>
      </w:r>
      <w:r>
        <w:rPr>
          <w:rFonts w:eastAsia="仿宋"/>
          <w:sz w:val="24"/>
        </w:rPr>
        <w:t>合同，在签订合同时向采购人提出</w:t>
      </w:r>
      <w:r>
        <w:rPr>
          <w:rFonts w:hint="eastAsia" w:eastAsia="仿宋"/>
          <w:sz w:val="24"/>
        </w:rPr>
        <w:t>附加条件</w:t>
      </w:r>
      <w:r>
        <w:rPr>
          <w:rFonts w:eastAsia="仿宋"/>
          <w:sz w:val="24"/>
        </w:rPr>
        <w:t>，或者不按照采购文件要求提交履约保证金的，采购人有权取消其</w:t>
      </w:r>
      <w:r>
        <w:rPr>
          <w:rFonts w:hint="eastAsia" w:eastAsia="仿宋"/>
          <w:sz w:val="24"/>
        </w:rPr>
        <w:t>成交</w:t>
      </w:r>
      <w:r>
        <w:rPr>
          <w:rFonts w:eastAsia="仿宋"/>
          <w:sz w:val="24"/>
        </w:rPr>
        <w:t>资格，其</w:t>
      </w:r>
      <w:r>
        <w:rPr>
          <w:rFonts w:hint="eastAsia" w:eastAsia="仿宋"/>
          <w:sz w:val="24"/>
        </w:rPr>
        <w:t>协商</w:t>
      </w:r>
      <w:r>
        <w:rPr>
          <w:rFonts w:eastAsia="仿宋"/>
          <w:sz w:val="24"/>
        </w:rPr>
        <w:t>保证金不予退还；给采购人造成的损失超过</w:t>
      </w:r>
      <w:r>
        <w:rPr>
          <w:rFonts w:hint="eastAsia" w:eastAsia="仿宋"/>
          <w:sz w:val="24"/>
        </w:rPr>
        <w:t>协商</w:t>
      </w:r>
      <w:r>
        <w:rPr>
          <w:rFonts w:eastAsia="仿宋"/>
          <w:sz w:val="24"/>
        </w:rPr>
        <w:t>保证金数额的，成交供应商还应当对超过部分予以赔偿。</w:t>
      </w:r>
    </w:p>
    <w:p w14:paraId="3C57095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w:t>
      </w:r>
      <w:r>
        <w:rPr>
          <w:rFonts w:hint="eastAsia" w:ascii="宋体" w:hAnsi="宋体" w:eastAsia="仿宋"/>
          <w:sz w:val="24"/>
        </w:rPr>
        <w:t xml:space="preserve">3.2 </w:t>
      </w:r>
      <w:r>
        <w:rPr>
          <w:rFonts w:ascii="宋体" w:hAnsi="宋体" w:eastAsia="仿宋"/>
          <w:sz w:val="24"/>
        </w:rPr>
        <w:t>联合体</w:t>
      </w:r>
      <w:r>
        <w:rPr>
          <w:rFonts w:hint="eastAsia" w:ascii="宋体" w:hAnsi="宋体" w:eastAsia="仿宋"/>
          <w:sz w:val="24"/>
        </w:rPr>
        <w:t>成交</w:t>
      </w:r>
      <w:r>
        <w:rPr>
          <w:rFonts w:ascii="宋体" w:hAnsi="宋体" w:eastAsia="仿宋"/>
          <w:sz w:val="24"/>
        </w:rPr>
        <w:t>的，联合体各方应当共同与采购人签订合同，就</w:t>
      </w:r>
      <w:r>
        <w:rPr>
          <w:rFonts w:hint="eastAsia" w:ascii="宋体" w:hAnsi="宋体" w:eastAsia="仿宋"/>
          <w:sz w:val="24"/>
        </w:rPr>
        <w:t>成交</w:t>
      </w:r>
      <w:r>
        <w:rPr>
          <w:rFonts w:ascii="宋体" w:hAnsi="宋体" w:eastAsia="仿宋"/>
          <w:sz w:val="24"/>
        </w:rPr>
        <w:t>项目向采购人承担连带责任。</w:t>
      </w:r>
    </w:p>
    <w:bookmarkEnd w:id="452"/>
    <w:bookmarkEnd w:id="453"/>
    <w:bookmarkEnd w:id="454"/>
    <w:bookmarkEnd w:id="455"/>
    <w:bookmarkEnd w:id="456"/>
    <w:bookmarkEnd w:id="457"/>
    <w:bookmarkEnd w:id="458"/>
    <w:bookmarkEnd w:id="459"/>
    <w:bookmarkEnd w:id="460"/>
    <w:bookmarkEnd w:id="461"/>
    <w:bookmarkEnd w:id="462"/>
    <w:bookmarkEnd w:id="463"/>
    <w:p w14:paraId="720D949C">
      <w:pPr>
        <w:pStyle w:val="3"/>
        <w:rPr>
          <w:rStyle w:val="102"/>
          <w:rFonts w:hint="eastAsia" w:ascii="宋体" w:hAnsi="宋体" w:eastAsia="仿宋"/>
          <w:b/>
          <w:bCs/>
          <w:sz w:val="24"/>
          <w:szCs w:val="24"/>
        </w:rPr>
      </w:pPr>
      <w:r>
        <w:rPr>
          <w:rStyle w:val="102"/>
          <w:rFonts w:hint="eastAsia" w:ascii="宋体" w:hAnsi="宋体" w:eastAsia="仿宋"/>
          <w:b/>
          <w:bCs/>
          <w:sz w:val="24"/>
          <w:szCs w:val="24"/>
        </w:rPr>
        <w:t>7.</w:t>
      </w:r>
      <w:bookmarkEnd w:id="435"/>
      <w:bookmarkEnd w:id="436"/>
      <w:bookmarkEnd w:id="437"/>
      <w:r>
        <w:rPr>
          <w:rStyle w:val="102"/>
          <w:rFonts w:hint="eastAsia" w:ascii="宋体" w:hAnsi="宋体" w:eastAsia="仿宋"/>
          <w:b/>
          <w:bCs/>
          <w:sz w:val="24"/>
          <w:szCs w:val="24"/>
        </w:rPr>
        <w:t>终止</w:t>
      </w:r>
      <w:bookmarkEnd w:id="438"/>
      <w:r>
        <w:rPr>
          <w:rStyle w:val="102"/>
          <w:rFonts w:hint="eastAsia" w:ascii="宋体" w:hAnsi="宋体" w:eastAsia="仿宋"/>
          <w:b/>
          <w:bCs/>
          <w:sz w:val="24"/>
          <w:szCs w:val="24"/>
        </w:rPr>
        <w:t>采购</w:t>
      </w:r>
    </w:p>
    <w:p w14:paraId="0E0B0E40">
      <w:pPr>
        <w:pStyle w:val="4"/>
        <w:adjustRightInd w:val="0"/>
        <w:ind w:firstLine="482" w:firstLineChars="200"/>
        <w:rPr>
          <w:rFonts w:hint="eastAsia" w:eastAsia="仿宋"/>
          <w:sz w:val="24"/>
          <w:lang w:eastAsia="zh-CN"/>
        </w:rPr>
      </w:pPr>
      <w:bookmarkStart w:id="488" w:name="_Toc152042348"/>
      <w:bookmarkStart w:id="489" w:name="_Toc342294757"/>
      <w:bookmarkStart w:id="490" w:name="_Toc179632590"/>
      <w:bookmarkStart w:id="491" w:name="_Toc342297662"/>
      <w:bookmarkStart w:id="492" w:name="_Toc371415961"/>
      <w:bookmarkStart w:id="493" w:name="_Toc144974540"/>
      <w:bookmarkStart w:id="494" w:name="_Toc152045572"/>
      <w:bookmarkStart w:id="495" w:name="_Toc342296205"/>
      <w:bookmarkStart w:id="496" w:name="_Toc338943743"/>
      <w:bookmarkStart w:id="497" w:name="_Toc338944648"/>
      <w:bookmarkStart w:id="498" w:name="_Toc445554734"/>
      <w:bookmarkStart w:id="499" w:name="_Toc333587896"/>
      <w:bookmarkStart w:id="500" w:name="_Toc333599702"/>
      <w:bookmarkStart w:id="501" w:name="_Toc333600726"/>
      <w:r>
        <w:rPr>
          <w:rFonts w:hint="eastAsia" w:eastAsia="仿宋"/>
          <w:sz w:val="24"/>
          <w:lang w:eastAsia="zh-CN"/>
        </w:rPr>
        <w:t>7.1终止采购</w:t>
      </w:r>
    </w:p>
    <w:p w14:paraId="592E5E2D">
      <w:pPr>
        <w:tabs>
          <w:tab w:val="left" w:pos="0"/>
        </w:tabs>
        <w:adjustRightInd w:val="0"/>
        <w:snapToGrid w:val="0"/>
        <w:spacing w:line="360" w:lineRule="auto"/>
        <w:ind w:firstLine="480" w:firstLineChars="200"/>
        <w:rPr>
          <w:rFonts w:hint="eastAsia" w:ascii="宋体" w:hAnsi="宋体" w:eastAsia="仿宋"/>
          <w:bCs/>
          <w:sz w:val="24"/>
        </w:rPr>
      </w:pPr>
      <w:r>
        <w:rPr>
          <w:rFonts w:hint="eastAsia" w:ascii="宋体" w:hAnsi="宋体" w:eastAsia="仿宋"/>
          <w:bCs/>
          <w:sz w:val="24"/>
        </w:rPr>
        <w:t>7.1.1 出现下列情况之一，本次采购终止：</w:t>
      </w:r>
    </w:p>
    <w:p w14:paraId="62DFD5A3">
      <w:pPr>
        <w:tabs>
          <w:tab w:val="left" w:pos="0"/>
        </w:tabs>
        <w:adjustRightInd w:val="0"/>
        <w:snapToGrid w:val="0"/>
        <w:spacing w:line="360" w:lineRule="auto"/>
        <w:ind w:firstLine="480" w:firstLineChars="200"/>
        <w:rPr>
          <w:rFonts w:hint="eastAsia" w:ascii="宋体" w:hAnsi="宋体" w:eastAsia="仿宋"/>
          <w:bCs/>
          <w:sz w:val="24"/>
        </w:rPr>
      </w:pPr>
      <w:r>
        <w:rPr>
          <w:rFonts w:hint="eastAsia" w:ascii="宋体" w:hAnsi="宋体" w:eastAsia="仿宋"/>
          <w:bCs/>
          <w:sz w:val="24"/>
        </w:rPr>
        <w:t>（1）因情况变化，不再符合规定的采购方式适用情形的；</w:t>
      </w:r>
    </w:p>
    <w:p w14:paraId="4013C0A1">
      <w:pPr>
        <w:tabs>
          <w:tab w:val="left" w:pos="0"/>
        </w:tabs>
        <w:adjustRightInd w:val="0"/>
        <w:snapToGrid w:val="0"/>
        <w:spacing w:line="360" w:lineRule="auto"/>
        <w:ind w:firstLine="480" w:firstLineChars="200"/>
        <w:rPr>
          <w:rFonts w:hint="eastAsia" w:ascii="宋体" w:hAnsi="宋体" w:eastAsia="仿宋"/>
          <w:bCs/>
          <w:sz w:val="24"/>
        </w:rPr>
      </w:pPr>
      <w:r>
        <w:rPr>
          <w:rFonts w:hint="eastAsia" w:ascii="宋体" w:hAnsi="宋体" w:eastAsia="仿宋"/>
          <w:bCs/>
          <w:sz w:val="24"/>
        </w:rPr>
        <w:t>（2）出现影响采购公正的违法、违规行为的；</w:t>
      </w:r>
    </w:p>
    <w:p w14:paraId="50D1C857">
      <w:pPr>
        <w:tabs>
          <w:tab w:val="left" w:pos="0"/>
        </w:tabs>
        <w:adjustRightInd w:val="0"/>
        <w:snapToGrid w:val="0"/>
        <w:spacing w:line="360" w:lineRule="auto"/>
        <w:ind w:firstLine="480" w:firstLineChars="200"/>
        <w:rPr>
          <w:rFonts w:hint="eastAsia" w:ascii="宋体" w:hAnsi="宋体" w:eastAsia="仿宋"/>
          <w:bCs/>
          <w:sz w:val="24"/>
        </w:rPr>
      </w:pPr>
      <w:r>
        <w:rPr>
          <w:rFonts w:hint="eastAsia" w:ascii="宋体" w:hAnsi="宋体" w:eastAsia="仿宋"/>
          <w:bCs/>
          <w:sz w:val="24"/>
        </w:rPr>
        <w:t>（3）最后</w:t>
      </w:r>
      <w:r>
        <w:rPr>
          <w:rFonts w:hint="eastAsia" w:ascii="宋体" w:hAnsi="宋体" w:eastAsia="仿宋"/>
          <w:sz w:val="24"/>
        </w:rPr>
        <w:t>报价超过采购预算的。</w:t>
      </w:r>
    </w:p>
    <w:p w14:paraId="1AFF8202">
      <w:pPr>
        <w:tabs>
          <w:tab w:val="left" w:pos="0"/>
        </w:tabs>
        <w:adjustRightInd w:val="0"/>
        <w:snapToGrid w:val="0"/>
        <w:spacing w:line="360" w:lineRule="auto"/>
        <w:ind w:firstLine="480" w:firstLineChars="200"/>
        <w:rPr>
          <w:rFonts w:hint="eastAsia" w:ascii="宋体" w:hAnsi="宋体" w:eastAsia="仿宋"/>
          <w:bCs/>
          <w:sz w:val="24"/>
        </w:rPr>
      </w:pPr>
      <w:r>
        <w:rPr>
          <w:rFonts w:hint="eastAsia" w:ascii="宋体" w:hAnsi="宋体" w:eastAsia="仿宋"/>
          <w:bCs/>
          <w:sz w:val="24"/>
        </w:rPr>
        <w:t xml:space="preserve">7.1.2 </w:t>
      </w:r>
      <w:r>
        <w:rPr>
          <w:rFonts w:hint="eastAsia" w:ascii="宋体" w:hAnsi="宋体" w:eastAsia="仿宋"/>
          <w:sz w:val="24"/>
        </w:rPr>
        <w:t>采购人或者采购代理机构</w:t>
      </w:r>
      <w:r>
        <w:rPr>
          <w:rFonts w:hint="eastAsia" w:ascii="宋体" w:hAnsi="宋体" w:eastAsia="仿宋"/>
          <w:bCs/>
          <w:sz w:val="24"/>
        </w:rPr>
        <w:t>应将终止理由通知供应商。</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14:paraId="572B3661">
      <w:pPr>
        <w:pStyle w:val="3"/>
        <w:rPr>
          <w:rStyle w:val="102"/>
          <w:rFonts w:hint="eastAsia" w:ascii="宋体" w:hAnsi="宋体" w:eastAsia="仿宋"/>
          <w:b/>
          <w:bCs/>
          <w:sz w:val="24"/>
          <w:szCs w:val="24"/>
        </w:rPr>
      </w:pPr>
      <w:r>
        <w:rPr>
          <w:rStyle w:val="102"/>
          <w:rFonts w:hint="eastAsia" w:ascii="宋体" w:hAnsi="宋体" w:eastAsia="仿宋"/>
          <w:b/>
          <w:bCs/>
          <w:sz w:val="24"/>
          <w:szCs w:val="24"/>
        </w:rPr>
        <w:t>8. 询问与质疑</w:t>
      </w:r>
    </w:p>
    <w:p w14:paraId="2FD21529">
      <w:pPr>
        <w:pStyle w:val="4"/>
        <w:adjustRightInd w:val="0"/>
        <w:ind w:firstLine="482" w:firstLineChars="200"/>
        <w:rPr>
          <w:rFonts w:hint="eastAsia" w:eastAsia="仿宋"/>
          <w:sz w:val="24"/>
          <w:lang w:eastAsia="zh-CN"/>
        </w:rPr>
      </w:pPr>
      <w:r>
        <w:rPr>
          <w:rFonts w:hint="eastAsia" w:eastAsia="仿宋"/>
          <w:sz w:val="24"/>
          <w:lang w:eastAsia="zh-CN"/>
        </w:rPr>
        <w:t>8.1 询问</w:t>
      </w:r>
    </w:p>
    <w:p w14:paraId="29828B4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8.1.1 供应商对采购活动事项有疑问的，可依法按投标人须知前附表载明的时间提出询问。</w:t>
      </w:r>
    </w:p>
    <w:p w14:paraId="1026044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8.1.2 采购人或采购代理机构对供应商依法提出的询问，在3个工作日内作出答复，但答复的内容不得涉及商业秘密。</w:t>
      </w:r>
    </w:p>
    <w:p w14:paraId="1D7ED75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8.1.3 除非采购人认为确有必要答复，否则，采购人有权拒绝回复供应商在本章第8.1.1项规定的时间后的询问。</w:t>
      </w:r>
    </w:p>
    <w:p w14:paraId="2617B2EB">
      <w:pPr>
        <w:pStyle w:val="4"/>
        <w:adjustRightInd w:val="0"/>
        <w:ind w:firstLine="482" w:firstLineChars="200"/>
        <w:rPr>
          <w:rFonts w:hint="eastAsia" w:eastAsia="仿宋"/>
          <w:sz w:val="24"/>
          <w:lang w:eastAsia="zh-CN"/>
        </w:rPr>
      </w:pPr>
      <w:r>
        <w:rPr>
          <w:rFonts w:hint="eastAsia" w:eastAsia="仿宋"/>
          <w:sz w:val="24"/>
          <w:lang w:eastAsia="zh-CN"/>
        </w:rPr>
        <w:t>8.2 质疑</w:t>
      </w:r>
    </w:p>
    <w:p w14:paraId="7637AF7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8.2.1 供应商认为单一来源采购文件、采购过程、成交结果使自己的权益受到损害的，可以在供应商须知前附表载明的时间向采购人、采购代理机构提出质疑，逾期提出的，采购人、采购代理机构可不予受理。对单一来源采购文件提出质疑的，质疑期限为供应商获得单一来源采购文件之日或者采购邀请书期限届满之日起计算。对采购过程提出质疑的，质疑期限为各采购程序环节结束之日起计算。对采购结果提出质疑的，质疑期限自采购结果公告期限届满之日起计算。</w:t>
      </w:r>
    </w:p>
    <w:p w14:paraId="51528C9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供应商应以书面形式向采购人、采购代理机构提出质疑，质疑函须使用本章附件二“供应商询问函和质疑函范本”。质疑材料应当采用中文，有关材料是外文的，应当同时提供其中文译本。</w:t>
      </w:r>
    </w:p>
    <w:p w14:paraId="66E8778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8.2.2 接收质疑的联系方式见供应商须知前附表，采购人、采购代理机构在收到质疑函后7个工作日内作出答复。</w:t>
      </w:r>
    </w:p>
    <w:p w14:paraId="7F3DC3B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8.2.3 供应商为自然人的，质疑函应当由本人签字；供应商为法人或者其他组织的，质疑函应当由法定代表人、主要负责人，或者其授权代表签字或者盖章，并加盖公章，附法定代表人（单位负责人）及其委托联系人的有效身份证复印件。</w:t>
      </w:r>
    </w:p>
    <w:p w14:paraId="7F8934B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8.2.4 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DB935F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8.2.5 供应商应在法定质疑期内一次性提出针对同一采购程序环节的质疑，法定质疑期内针对同一采购程序环节再次提出的质疑，采购人、采购代理机构有权不予答复。质疑应当有具体的事项及根据，不得进行虚假、恶意质疑，扰乱采购活动正常的工作秩序。</w:t>
      </w:r>
    </w:p>
    <w:p w14:paraId="55580F95">
      <w:pPr>
        <w:widowControl/>
        <w:adjustRightInd w:val="0"/>
        <w:snapToGrid w:val="0"/>
        <w:spacing w:line="360" w:lineRule="auto"/>
        <w:ind w:firstLine="480" w:firstLineChars="200"/>
        <w:rPr>
          <w:rFonts w:eastAsia="仿宋"/>
          <w:sz w:val="24"/>
        </w:rPr>
      </w:pPr>
      <w:r>
        <w:rPr>
          <w:rFonts w:hint="eastAsia" w:ascii="宋体" w:hAnsi="宋体" w:eastAsia="仿宋"/>
          <w:sz w:val="24"/>
        </w:rPr>
        <w:t xml:space="preserve">8.2.6 </w:t>
      </w:r>
      <w:r>
        <w:rPr>
          <w:rFonts w:eastAsia="仿宋"/>
          <w:sz w:val="24"/>
        </w:rPr>
        <w:t>提出质疑的</w:t>
      </w:r>
      <w:r>
        <w:rPr>
          <w:rFonts w:hint="eastAsia" w:eastAsia="仿宋"/>
          <w:sz w:val="24"/>
        </w:rPr>
        <w:t>供应商</w:t>
      </w:r>
      <w:r>
        <w:rPr>
          <w:rFonts w:eastAsia="仿宋"/>
          <w:sz w:val="24"/>
        </w:rPr>
        <w:t>应当是参与所质疑项目采购活动的</w:t>
      </w:r>
      <w:r>
        <w:rPr>
          <w:rFonts w:hint="eastAsia" w:eastAsia="仿宋"/>
          <w:sz w:val="24"/>
        </w:rPr>
        <w:t>供应商</w:t>
      </w:r>
      <w:r>
        <w:rPr>
          <w:rFonts w:eastAsia="仿宋"/>
          <w:sz w:val="24"/>
        </w:rPr>
        <w:t>。潜在</w:t>
      </w:r>
      <w:r>
        <w:rPr>
          <w:rFonts w:hint="eastAsia" w:eastAsia="仿宋"/>
          <w:sz w:val="24"/>
        </w:rPr>
        <w:t>供应商</w:t>
      </w:r>
      <w:r>
        <w:rPr>
          <w:rFonts w:eastAsia="仿宋"/>
          <w:sz w:val="24"/>
        </w:rPr>
        <w:t>已依法获取其可质疑的</w:t>
      </w:r>
      <w:r>
        <w:rPr>
          <w:rFonts w:hint="eastAsia" w:eastAsia="仿宋"/>
          <w:sz w:val="24"/>
        </w:rPr>
        <w:t>单一来源采购文件</w:t>
      </w:r>
      <w:r>
        <w:rPr>
          <w:rFonts w:eastAsia="仿宋"/>
          <w:sz w:val="24"/>
        </w:rPr>
        <w:t>的，可以对</w:t>
      </w:r>
      <w:r>
        <w:rPr>
          <w:rFonts w:hint="eastAsia" w:eastAsia="仿宋"/>
          <w:sz w:val="24"/>
        </w:rPr>
        <w:t>单一来源采购文件</w:t>
      </w:r>
      <w:r>
        <w:rPr>
          <w:rFonts w:eastAsia="仿宋"/>
          <w:sz w:val="24"/>
        </w:rPr>
        <w:t>提出</w:t>
      </w:r>
      <w:r>
        <w:rPr>
          <w:rFonts w:hint="eastAsia" w:eastAsia="仿宋"/>
          <w:sz w:val="24"/>
        </w:rPr>
        <w:t>质疑</w:t>
      </w:r>
      <w:r>
        <w:rPr>
          <w:rFonts w:eastAsia="仿宋"/>
          <w:sz w:val="24"/>
        </w:rPr>
        <w:t>。</w:t>
      </w:r>
    </w:p>
    <w:p w14:paraId="2E5AB29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8.2.7 质疑材料存在以下情形的，采购代理机构不予受理。</w:t>
      </w:r>
    </w:p>
    <w:p w14:paraId="68819D5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（1）提起质疑的主体不是参与该采购项目活动的供应商；</w:t>
      </w:r>
    </w:p>
    <w:p w14:paraId="4F7F3BE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（2）提起质疑的时间超过规定时限的；</w:t>
      </w:r>
    </w:p>
    <w:p w14:paraId="5F29C01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（3）质疑材料不完整的；</w:t>
      </w:r>
    </w:p>
    <w:p w14:paraId="5FBB34E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（4）质疑事项含有主观猜测等内容且未提供充分有效线索、难以查证的；</w:t>
      </w:r>
    </w:p>
    <w:p w14:paraId="2BE8859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（5）质疑</w:t>
      </w:r>
      <w:r>
        <w:rPr>
          <w:rFonts w:ascii="宋体" w:hAnsi="宋体" w:eastAsia="仿宋"/>
          <w:sz w:val="24"/>
        </w:rPr>
        <w:t>事项缺乏事实依据，</w:t>
      </w:r>
      <w:r>
        <w:rPr>
          <w:rFonts w:hint="eastAsia" w:ascii="宋体" w:hAnsi="宋体" w:eastAsia="仿宋"/>
          <w:sz w:val="24"/>
        </w:rPr>
        <w:t>质疑</w:t>
      </w:r>
      <w:r>
        <w:rPr>
          <w:rFonts w:ascii="宋体" w:hAnsi="宋体" w:eastAsia="仿宋"/>
          <w:sz w:val="24"/>
        </w:rPr>
        <w:t>事项不成立</w:t>
      </w:r>
      <w:r>
        <w:rPr>
          <w:rFonts w:hint="eastAsia" w:ascii="宋体" w:hAnsi="宋体" w:eastAsia="仿宋"/>
          <w:sz w:val="24"/>
        </w:rPr>
        <w:t>的；</w:t>
      </w:r>
    </w:p>
    <w:p w14:paraId="125AA4C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捏造事实或者提供虚假材料；</w:t>
      </w:r>
    </w:p>
    <w:p w14:paraId="3A6FA6A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w:t>
      </w:r>
      <w:r>
        <w:rPr>
          <w:rFonts w:ascii="宋体" w:hAnsi="宋体" w:eastAsia="仿宋"/>
          <w:sz w:val="24"/>
        </w:rPr>
        <w:t>以非法手段取得证明材料。</w:t>
      </w:r>
      <w:r>
        <w:rPr>
          <w:rFonts w:hint="eastAsia" w:ascii="宋体" w:hAnsi="宋体" w:eastAsia="仿宋"/>
          <w:sz w:val="24"/>
        </w:rPr>
        <w:t>证明材料</w:t>
      </w:r>
      <w:r>
        <w:rPr>
          <w:rFonts w:ascii="宋体" w:hAnsi="宋体" w:eastAsia="仿宋"/>
          <w:sz w:val="24"/>
        </w:rPr>
        <w:t>来源的合法性存在明显疑问，</w:t>
      </w:r>
      <w:r>
        <w:rPr>
          <w:rFonts w:hint="eastAsia" w:ascii="宋体" w:hAnsi="宋体" w:eastAsia="仿宋"/>
          <w:sz w:val="24"/>
        </w:rPr>
        <w:t>质疑</w:t>
      </w:r>
      <w:r>
        <w:rPr>
          <w:rFonts w:ascii="宋体" w:hAnsi="宋体" w:eastAsia="仿宋"/>
          <w:sz w:val="24"/>
        </w:rPr>
        <w:t>人无法证明其取得方式合法的，视为以非法手段取得证明材料</w:t>
      </w:r>
      <w:r>
        <w:rPr>
          <w:rFonts w:hint="eastAsia" w:ascii="宋体" w:hAnsi="宋体" w:eastAsia="仿宋"/>
          <w:sz w:val="24"/>
        </w:rPr>
        <w:t>。</w:t>
      </w:r>
    </w:p>
    <w:p w14:paraId="685A32E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8.2.8 质疑人在答复期满前撤回质疑的，应由法定代表人或授权代表人签字确认。质疑人不得以同一理由再次提出质疑。</w:t>
      </w:r>
    </w:p>
    <w:p w14:paraId="675EE17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8.2.9 因处理质疑发生的检验、检测、鉴定等费用，</w:t>
      </w:r>
      <w:r>
        <w:rPr>
          <w:rFonts w:ascii="宋体" w:hAnsi="宋体" w:eastAsia="仿宋"/>
          <w:sz w:val="24"/>
        </w:rPr>
        <w:t>由提出申请的</w:t>
      </w:r>
      <w:r>
        <w:rPr>
          <w:rFonts w:hint="eastAsia" w:ascii="宋体" w:hAnsi="宋体" w:eastAsia="仿宋"/>
          <w:sz w:val="24"/>
        </w:rPr>
        <w:t>供应商</w:t>
      </w:r>
      <w:r>
        <w:rPr>
          <w:rFonts w:ascii="宋体" w:hAnsi="宋体" w:eastAsia="仿宋"/>
          <w:sz w:val="24"/>
        </w:rPr>
        <w:t>先行垫付。</w:t>
      </w:r>
      <w:r>
        <w:rPr>
          <w:rFonts w:hint="eastAsia" w:ascii="宋体" w:hAnsi="宋体" w:eastAsia="仿宋"/>
          <w:sz w:val="24"/>
        </w:rPr>
        <w:t>质疑处理决定各方无异议</w:t>
      </w:r>
      <w:r>
        <w:rPr>
          <w:rFonts w:ascii="宋体" w:hAnsi="宋体" w:eastAsia="仿宋"/>
          <w:sz w:val="24"/>
        </w:rPr>
        <w:t>后，按照</w:t>
      </w:r>
      <w:r>
        <w:rPr>
          <w:rFonts w:hint="eastAsia" w:ascii="宋体" w:hAnsi="宋体" w:eastAsia="仿宋"/>
          <w:sz w:val="24"/>
        </w:rPr>
        <w:t>“</w:t>
      </w:r>
      <w:r>
        <w:rPr>
          <w:rFonts w:ascii="宋体" w:hAnsi="宋体" w:eastAsia="仿宋"/>
          <w:sz w:val="24"/>
        </w:rPr>
        <w:t>谁过错谁负担</w:t>
      </w:r>
      <w:r>
        <w:rPr>
          <w:rFonts w:hint="eastAsia" w:ascii="宋体" w:hAnsi="宋体" w:eastAsia="仿宋"/>
          <w:sz w:val="24"/>
        </w:rPr>
        <w:t>”</w:t>
      </w:r>
      <w:r>
        <w:rPr>
          <w:rFonts w:ascii="宋体" w:hAnsi="宋体" w:eastAsia="仿宋"/>
          <w:sz w:val="24"/>
        </w:rPr>
        <w:t>的原则由承担责任的一方负担；双方都有责任的，由双方合理分担。</w:t>
      </w:r>
    </w:p>
    <w:p w14:paraId="3DFD6D0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8.2.10 供应商不得以质疑为名进行虚假、恶意质疑，扰乱采购正常的工作秩序。供应商有下列情形之一的，属于虚假、恶意质疑，被质疑人应当驳回质疑，并向相关监督管理部门报告，将其列入不良行为记录名单，并依法予以处罚：</w:t>
      </w:r>
    </w:p>
    <w:p w14:paraId="3E4B64C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（1）一年内三次以上质疑均查无实据的；</w:t>
      </w:r>
    </w:p>
    <w:p w14:paraId="6D650C1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（2）捏造事实或者提供虚假质疑材料的；</w:t>
      </w:r>
    </w:p>
    <w:p w14:paraId="588DAF3D">
      <w:pPr>
        <w:widowControl/>
        <w:adjustRightInd w:val="0"/>
        <w:snapToGrid w:val="0"/>
        <w:spacing w:line="360" w:lineRule="auto"/>
        <w:ind w:firstLine="480" w:firstLineChars="200"/>
        <w:rPr>
          <w:rFonts w:eastAsia="仿宋"/>
          <w:sz w:val="24"/>
        </w:rPr>
      </w:pPr>
      <w:r>
        <w:rPr>
          <w:rFonts w:hint="eastAsia" w:ascii="宋体" w:hAnsi="宋体" w:eastAsia="仿宋"/>
          <w:sz w:val="24"/>
        </w:rPr>
        <w:t>（3）</w:t>
      </w:r>
      <w:r>
        <w:rPr>
          <w:rFonts w:ascii="宋体" w:hAnsi="宋体" w:eastAsia="仿宋"/>
          <w:sz w:val="24"/>
        </w:rPr>
        <w:t>以非法手段取</w:t>
      </w:r>
      <w:r>
        <w:rPr>
          <w:rFonts w:eastAsia="仿宋"/>
          <w:sz w:val="24"/>
        </w:rPr>
        <w:t>得证明材料。</w:t>
      </w:r>
      <w:r>
        <w:rPr>
          <w:rFonts w:hint="eastAsia" w:eastAsia="仿宋"/>
          <w:sz w:val="24"/>
        </w:rPr>
        <w:t>证明材料</w:t>
      </w:r>
      <w:r>
        <w:rPr>
          <w:rFonts w:eastAsia="仿宋"/>
          <w:sz w:val="24"/>
        </w:rPr>
        <w:t>来源的合法性存在明显疑问，</w:t>
      </w:r>
      <w:r>
        <w:rPr>
          <w:rFonts w:hint="eastAsia" w:eastAsia="仿宋"/>
          <w:sz w:val="24"/>
        </w:rPr>
        <w:t>质疑</w:t>
      </w:r>
      <w:r>
        <w:rPr>
          <w:rFonts w:eastAsia="仿宋"/>
          <w:sz w:val="24"/>
        </w:rPr>
        <w:t>人无法证明其取得方式</w:t>
      </w:r>
      <w:r>
        <w:rPr>
          <w:rFonts w:ascii="宋体" w:hAnsi="宋体" w:eastAsia="仿宋"/>
          <w:sz w:val="24"/>
        </w:rPr>
        <w:t>合法的，视为以非法手段取得证明材料</w:t>
      </w:r>
      <w:r>
        <w:rPr>
          <w:rFonts w:hint="eastAsia" w:ascii="宋体" w:hAnsi="宋体" w:eastAsia="仿宋"/>
          <w:sz w:val="24"/>
        </w:rPr>
        <w:t>。</w:t>
      </w:r>
    </w:p>
    <w:p w14:paraId="4E888BC1">
      <w:pPr>
        <w:pStyle w:val="3"/>
        <w:rPr>
          <w:rStyle w:val="102"/>
          <w:rFonts w:hint="eastAsia" w:ascii="宋体" w:hAnsi="宋体" w:eastAsia="仿宋"/>
          <w:b/>
          <w:bCs/>
          <w:sz w:val="24"/>
          <w:szCs w:val="24"/>
        </w:rPr>
      </w:pPr>
      <w:r>
        <w:rPr>
          <w:rStyle w:val="102"/>
          <w:rFonts w:hint="eastAsia" w:ascii="宋体" w:hAnsi="宋体" w:eastAsia="仿宋"/>
          <w:b/>
          <w:bCs/>
          <w:sz w:val="24"/>
          <w:szCs w:val="24"/>
        </w:rPr>
        <w:t>9. 纪律和监督</w:t>
      </w:r>
      <w:bookmarkEnd w:id="439"/>
      <w:bookmarkEnd w:id="440"/>
      <w:bookmarkEnd w:id="441"/>
      <w:bookmarkEnd w:id="442"/>
      <w:bookmarkEnd w:id="443"/>
    </w:p>
    <w:p w14:paraId="676647B9">
      <w:pPr>
        <w:pStyle w:val="4"/>
        <w:adjustRightInd w:val="0"/>
        <w:ind w:firstLine="482" w:firstLineChars="200"/>
        <w:rPr>
          <w:rFonts w:hint="eastAsia" w:eastAsia="仿宋"/>
          <w:sz w:val="24"/>
          <w:lang w:eastAsia="zh-CN"/>
        </w:rPr>
      </w:pPr>
      <w:bookmarkStart w:id="502" w:name="_Toc371415965"/>
      <w:bookmarkStart w:id="503" w:name="_Toc342296208"/>
      <w:bookmarkStart w:id="504" w:name="_Toc342297665"/>
      <w:bookmarkStart w:id="505" w:name="_Toc152045575"/>
      <w:bookmarkStart w:id="506" w:name="_Toc458504865"/>
      <w:bookmarkStart w:id="507" w:name="_Toc445554738"/>
      <w:bookmarkStart w:id="508" w:name="_Toc455587264"/>
      <w:bookmarkStart w:id="509" w:name="_Toc333587899"/>
      <w:bookmarkStart w:id="510" w:name="_Toc179632593"/>
      <w:bookmarkStart w:id="511" w:name="_Toc333599705"/>
      <w:bookmarkStart w:id="512" w:name="_Toc338943746"/>
      <w:bookmarkStart w:id="513" w:name="_Toc144974543"/>
      <w:bookmarkStart w:id="514" w:name="_Toc338944651"/>
      <w:bookmarkStart w:id="515" w:name="_Toc152042351"/>
      <w:bookmarkStart w:id="516" w:name="_Toc333600729"/>
      <w:bookmarkStart w:id="517" w:name="_Toc342294760"/>
      <w:bookmarkStart w:id="518" w:name="_Toc455587080"/>
      <w:bookmarkStart w:id="519" w:name="_Toc466024547"/>
      <w:r>
        <w:rPr>
          <w:rFonts w:hint="eastAsia" w:eastAsia="仿宋"/>
          <w:sz w:val="24"/>
          <w:lang w:eastAsia="zh-CN"/>
        </w:rPr>
        <w:t>9.1 对采购人的纪律要求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59DA718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采购人不得泄露采购活动中应当保密的情况和资料，不得与供应商串通损害国家利益、社会公共利益或者他人合法权益。</w:t>
      </w:r>
    </w:p>
    <w:p w14:paraId="2C422268">
      <w:pPr>
        <w:pStyle w:val="4"/>
        <w:adjustRightInd w:val="0"/>
        <w:ind w:firstLine="482" w:firstLineChars="200"/>
        <w:rPr>
          <w:rFonts w:hint="eastAsia" w:eastAsia="仿宋"/>
          <w:sz w:val="24"/>
          <w:lang w:eastAsia="zh-CN"/>
        </w:rPr>
      </w:pPr>
      <w:bookmarkStart w:id="520" w:name="_Toc338944652"/>
      <w:bookmarkStart w:id="521" w:name="_Toc179632594"/>
      <w:bookmarkStart w:id="522" w:name="_Toc445554739"/>
      <w:bookmarkStart w:id="523" w:name="_Toc455587081"/>
      <w:bookmarkStart w:id="524" w:name="_Toc333599706"/>
      <w:bookmarkStart w:id="525" w:name="_Toc333587900"/>
      <w:bookmarkStart w:id="526" w:name="_Toc342296209"/>
      <w:bookmarkStart w:id="527" w:name="_Toc152042352"/>
      <w:bookmarkStart w:id="528" w:name="_Toc466024548"/>
      <w:bookmarkStart w:id="529" w:name="_Toc455587265"/>
      <w:bookmarkStart w:id="530" w:name="_Toc342294761"/>
      <w:bookmarkStart w:id="531" w:name="_Toc371415966"/>
      <w:bookmarkStart w:id="532" w:name="_Toc333600730"/>
      <w:bookmarkStart w:id="533" w:name="_Toc338943747"/>
      <w:bookmarkStart w:id="534" w:name="_Toc152045576"/>
      <w:bookmarkStart w:id="535" w:name="_Toc342297666"/>
      <w:bookmarkStart w:id="536" w:name="_Toc458504866"/>
      <w:bookmarkStart w:id="537" w:name="_Toc144974544"/>
      <w:r>
        <w:rPr>
          <w:rFonts w:hint="eastAsia" w:eastAsia="仿宋"/>
          <w:sz w:val="24"/>
          <w:lang w:eastAsia="zh-CN"/>
        </w:rPr>
        <w:t>9.2 对供应商的纪律要求</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002ECBD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供应商不得相互串通或者与采购人串通，不得向采购人或者单一来源采购人员成员行贿谋取成交，不得以他人名义</w:t>
      </w:r>
      <w:r>
        <w:rPr>
          <w:rFonts w:hint="eastAsia" w:ascii="Calibri" w:hAnsi="Calibri" w:eastAsia="仿宋"/>
          <w:sz w:val="24"/>
        </w:rPr>
        <w:t>参加采购活动</w:t>
      </w:r>
      <w:r>
        <w:rPr>
          <w:rFonts w:hint="eastAsia" w:ascii="宋体" w:hAnsi="宋体" w:eastAsia="仿宋"/>
          <w:sz w:val="24"/>
        </w:rPr>
        <w:t>或者以其他方式弄虚作假骗取成交；供应商不得以任何方式干扰、影响评审工作。</w:t>
      </w:r>
    </w:p>
    <w:p w14:paraId="1E4FE68E">
      <w:pPr>
        <w:pStyle w:val="3"/>
        <w:rPr>
          <w:rStyle w:val="102"/>
          <w:rFonts w:hint="eastAsia" w:ascii="宋体" w:hAnsi="宋体" w:eastAsia="仿宋"/>
          <w:b/>
          <w:bCs/>
          <w:sz w:val="24"/>
          <w:szCs w:val="24"/>
        </w:rPr>
      </w:pPr>
      <w:bookmarkStart w:id="538" w:name="_Toc455587269"/>
      <w:bookmarkStart w:id="539" w:name="_Toc144974547"/>
      <w:bookmarkStart w:id="540" w:name="_Toc152045580"/>
      <w:bookmarkStart w:id="541" w:name="_Toc152042357"/>
      <w:bookmarkStart w:id="542" w:name="_Toc333600734"/>
      <w:bookmarkStart w:id="543" w:name="_Toc338943751"/>
      <w:bookmarkStart w:id="544" w:name="_Toc342294765"/>
      <w:bookmarkStart w:id="545" w:name="_Toc179632598"/>
      <w:bookmarkStart w:id="546" w:name="_Toc466024552"/>
      <w:bookmarkStart w:id="547" w:name="_Toc333599710"/>
      <w:bookmarkStart w:id="548" w:name="_Toc445554743"/>
      <w:bookmarkStart w:id="549" w:name="_Toc455587085"/>
      <w:bookmarkStart w:id="550" w:name="_Toc342296213"/>
      <w:bookmarkStart w:id="551" w:name="_Toc371415963"/>
      <w:bookmarkStart w:id="552" w:name="_Toc458504870"/>
      <w:bookmarkStart w:id="553" w:name="_Toc338944656"/>
      <w:bookmarkStart w:id="554" w:name="_Toc342297670"/>
      <w:r>
        <w:rPr>
          <w:rStyle w:val="102"/>
          <w:rFonts w:hint="eastAsia" w:ascii="宋体" w:hAnsi="宋体" w:eastAsia="仿宋"/>
          <w:b/>
          <w:bCs/>
          <w:sz w:val="24"/>
          <w:szCs w:val="24"/>
        </w:rPr>
        <w:t>10. 需要补充的其他内容</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14:paraId="7A4CA66F">
      <w:pPr>
        <w:widowControl/>
        <w:adjustRightInd w:val="0"/>
        <w:snapToGrid w:val="0"/>
        <w:spacing w:line="360" w:lineRule="auto"/>
        <w:ind w:firstLine="480" w:firstLineChars="200"/>
        <w:rPr>
          <w:rFonts w:eastAsia="仿宋"/>
          <w:sz w:val="24"/>
          <w:lang w:bidi="en-US"/>
        </w:rPr>
      </w:pPr>
      <w:bookmarkStart w:id="555" w:name="_Toc466024554"/>
      <w:bookmarkStart w:id="556" w:name="_Toc445554745"/>
      <w:bookmarkStart w:id="557" w:name="_Toc455587271"/>
      <w:bookmarkStart w:id="558" w:name="_Toc455587087"/>
      <w:bookmarkStart w:id="559" w:name="_Toc458504872"/>
      <w:r>
        <w:rPr>
          <w:rFonts w:hint="eastAsia" w:eastAsia="仿宋"/>
          <w:sz w:val="24"/>
          <w:lang w:bidi="en-US"/>
        </w:rPr>
        <w:t>需要补充的其他内容</w:t>
      </w:r>
      <w:bookmarkEnd w:id="555"/>
      <w:bookmarkEnd w:id="556"/>
      <w:bookmarkEnd w:id="557"/>
      <w:bookmarkEnd w:id="558"/>
      <w:bookmarkEnd w:id="559"/>
      <w:r>
        <w:rPr>
          <w:rFonts w:hint="eastAsia" w:eastAsia="仿宋"/>
          <w:sz w:val="24"/>
          <w:lang w:bidi="en-US"/>
        </w:rPr>
        <w:t>：见供应商须知前附表。</w:t>
      </w:r>
    </w:p>
    <w:p w14:paraId="6999D82C">
      <w:pPr>
        <w:pStyle w:val="3"/>
        <w:jc w:val="center"/>
        <w:rPr>
          <w:rFonts w:eastAsia="黑体"/>
        </w:rPr>
      </w:pPr>
      <w:r>
        <w:rPr>
          <w:rFonts w:ascii="宋体" w:hAnsi="宋体" w:eastAsia="仿宋"/>
          <w:szCs w:val="21"/>
        </w:rPr>
        <w:br w:type="page"/>
      </w:r>
      <w:bookmarkStart w:id="560" w:name="_Toc24418"/>
      <w:bookmarkStart w:id="561" w:name="_Hlk44246314"/>
      <w:r>
        <w:rPr>
          <w:rFonts w:eastAsia="黑体"/>
        </w:rPr>
        <w:t>附件</w:t>
      </w:r>
      <w:r>
        <w:rPr>
          <w:rFonts w:hint="eastAsia" w:eastAsia="黑体"/>
        </w:rPr>
        <w:t>一</w:t>
      </w:r>
      <w:r>
        <w:rPr>
          <w:rFonts w:eastAsia="黑体"/>
        </w:rPr>
        <w:t>：</w:t>
      </w:r>
      <w:r>
        <w:rPr>
          <w:rFonts w:hint="eastAsia" w:eastAsia="黑体"/>
        </w:rPr>
        <w:t>全流程电子招标采购</w:t>
      </w:r>
      <w:r>
        <w:rPr>
          <w:rFonts w:eastAsia="黑体"/>
        </w:rPr>
        <w:t>具体要求</w:t>
      </w:r>
      <w:bookmarkEnd w:id="560"/>
    </w:p>
    <w:bookmarkEnd w:id="561"/>
    <w:p w14:paraId="4E0706E5">
      <w:pPr>
        <w:spacing w:line="400" w:lineRule="exact"/>
        <w:ind w:firstLine="420" w:firstLineChars="200"/>
        <w:rPr>
          <w:rFonts w:hint="eastAsia" w:ascii="黑体" w:hAnsi="黑体" w:eastAsia="黑体"/>
        </w:rPr>
      </w:pPr>
      <w:r>
        <w:rPr>
          <w:rFonts w:hint="eastAsia" w:ascii="黑体" w:hAnsi="黑体" w:eastAsia="黑体"/>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rPr>
        <w:t>评标委员会</w:t>
      </w:r>
      <w:r>
        <w:rPr>
          <w:rFonts w:hint="eastAsia" w:ascii="黑体" w:hAnsi="黑体" w:eastAsia="黑体"/>
        </w:rPr>
        <w:t>”按“评审小组”理解，“投标无效”按“响应文件无效”理解。</w:t>
      </w:r>
    </w:p>
    <w:p w14:paraId="7EA06324">
      <w:pPr>
        <w:spacing w:line="400" w:lineRule="exact"/>
        <w:ind w:firstLine="420" w:firstLineChars="200"/>
        <w:rPr>
          <w:rFonts w:hint="eastAsia" w:ascii="黑体" w:hAnsi="黑体" w:eastAsia="黑体"/>
        </w:rPr>
      </w:pPr>
    </w:p>
    <w:p w14:paraId="6A08681E">
      <w:pPr>
        <w:spacing w:line="400" w:lineRule="exact"/>
        <w:ind w:firstLine="420" w:firstLineChars="200"/>
        <w:rPr>
          <w:rFonts w:hint="eastAsia" w:ascii="黑体" w:hAnsi="黑体" w:eastAsia="黑体"/>
        </w:rPr>
      </w:pPr>
      <w:r>
        <w:rPr>
          <w:rFonts w:hint="eastAsia" w:ascii="黑体" w:hAnsi="黑体" w:eastAsia="黑体"/>
        </w:rPr>
        <w:t>一</w:t>
      </w:r>
      <w:r>
        <w:rPr>
          <w:rFonts w:ascii="黑体" w:hAnsi="黑体" w:eastAsia="黑体"/>
        </w:rPr>
        <w:t>、</w:t>
      </w:r>
      <w:r>
        <w:rPr>
          <w:rFonts w:hint="eastAsia"/>
        </w:rPr>
        <w:t>CA</w:t>
      </w:r>
      <w:r>
        <w:rPr>
          <w:rFonts w:hint="eastAsia" w:ascii="黑体" w:hAnsi="黑体" w:eastAsia="黑体"/>
        </w:rPr>
        <w:t>证书办理和</w:t>
      </w:r>
      <w:r>
        <w:rPr>
          <w:rFonts w:ascii="黑体" w:hAnsi="黑体" w:eastAsia="黑体"/>
        </w:rPr>
        <w:t>注意事项</w:t>
      </w:r>
    </w:p>
    <w:p w14:paraId="5F8F3378">
      <w:pPr>
        <w:spacing w:line="400" w:lineRule="exact"/>
        <w:ind w:firstLine="420" w:firstLineChars="200"/>
      </w:pPr>
      <w:r>
        <w:rPr>
          <w:rFonts w:ascii="宋体" w:hAnsi="宋体"/>
        </w:rPr>
        <w:t>1.</w:t>
      </w:r>
      <w:r>
        <w:rPr>
          <w:rFonts w:hint="eastAsia" w:ascii="宋体" w:hAnsi="宋体"/>
        </w:rPr>
        <w:t>本项目采用全流程电子招标采购方式，</w:t>
      </w:r>
      <w:r>
        <w:rPr>
          <w:rFonts w:hint="eastAsia"/>
        </w:rPr>
        <w:t>潜在投标人应及时办理CA证书，用于对投标文件进行电子签章及加、解密。</w:t>
      </w:r>
    </w:p>
    <w:p w14:paraId="13B66401">
      <w:pPr>
        <w:spacing w:line="400" w:lineRule="exact"/>
        <w:ind w:firstLine="420" w:firstLineChars="200"/>
        <w:rPr>
          <w:bCs/>
        </w:rPr>
      </w:pPr>
      <w:r>
        <w:rPr>
          <w:rFonts w:ascii="宋体" w:hAnsi="宋体"/>
        </w:rPr>
        <w:t>2.</w:t>
      </w:r>
      <w:r>
        <w:rPr>
          <w:rFonts w:hint="eastAsia" w:ascii="宋体" w:hAnsi="宋体"/>
        </w:rPr>
        <w:t>CA</w:t>
      </w:r>
      <w:r>
        <w:rPr>
          <w:rFonts w:hint="eastAsia"/>
        </w:rPr>
        <w:t>证书</w:t>
      </w:r>
      <w:r>
        <w:rPr>
          <w:rFonts w:hint="eastAsia" w:ascii="宋体" w:hAnsi="宋体"/>
        </w:rPr>
        <w:t>办理详见</w:t>
      </w:r>
      <w:r>
        <w:rPr>
          <w:rFonts w:hint="eastAsia"/>
          <w:bCs/>
        </w:rPr>
        <w:t>《优质采平台CA数字证书办理说明》：</w:t>
      </w:r>
    </w:p>
    <w:p w14:paraId="572732EF">
      <w:pPr>
        <w:spacing w:line="400" w:lineRule="exact"/>
        <w:rPr>
          <w:b/>
          <w:bCs/>
        </w:rPr>
      </w:pPr>
      <w:r>
        <w:fldChar w:fldCharType="begin"/>
      </w:r>
      <w:r>
        <w:instrText xml:space="preserve"> HYPERLINK "http://www.youzhicai.com/ActivityTopic/AdviceDetail/8f80a7ec-911f-4c4d-a123-f8849880f045" </w:instrText>
      </w:r>
      <w:r>
        <w:fldChar w:fldCharType="separate"/>
      </w:r>
      <w:r>
        <w:rPr>
          <w:rStyle w:val="55"/>
          <w:bCs/>
          <w:color w:val="auto"/>
        </w:rPr>
        <w:t>http://www.youzhicai.com/ActivityTopic/AdviceDetail/8f80a7ec-911f-4c4d-a123-f</w:t>
      </w:r>
      <w:bookmarkStart w:id="562" w:name="_Hlt105085548"/>
      <w:bookmarkStart w:id="563" w:name="_Hlt105085547"/>
      <w:r>
        <w:rPr>
          <w:rStyle w:val="55"/>
          <w:bCs/>
          <w:color w:val="auto"/>
        </w:rPr>
        <w:t>8</w:t>
      </w:r>
      <w:bookmarkEnd w:id="562"/>
      <w:bookmarkEnd w:id="563"/>
      <w:r>
        <w:rPr>
          <w:rStyle w:val="55"/>
          <w:bCs/>
          <w:color w:val="auto"/>
        </w:rPr>
        <w:t>849880f045</w:t>
      </w:r>
      <w:r>
        <w:rPr>
          <w:rStyle w:val="55"/>
          <w:bCs/>
          <w:color w:val="auto"/>
        </w:rPr>
        <w:fldChar w:fldCharType="end"/>
      </w:r>
      <w:r>
        <w:rPr>
          <w:bCs/>
        </w:rPr>
        <w:t>。</w:t>
      </w:r>
    </w:p>
    <w:p w14:paraId="15D9D9FC">
      <w:pPr>
        <w:spacing w:line="400" w:lineRule="exact"/>
        <w:ind w:firstLine="420" w:firstLineChars="200"/>
      </w:pPr>
      <w:r>
        <w:rPr>
          <w:rFonts w:ascii="宋体" w:hAnsi="宋体"/>
        </w:rPr>
        <w:t>3.</w:t>
      </w:r>
      <w:r>
        <w:rPr>
          <w:rFonts w:hint="eastAsia" w:ascii="宋体" w:hAnsi="宋体"/>
        </w:rPr>
        <w:t>CA</w:t>
      </w:r>
      <w:r>
        <w:rPr>
          <w:rFonts w:hint="eastAsia"/>
        </w:rPr>
        <w:t>证书</w:t>
      </w:r>
      <w:r>
        <w:rPr>
          <w:rFonts w:hint="eastAsia" w:ascii="宋体" w:hAnsi="宋体"/>
        </w:rPr>
        <w:t>到期或即将到期，须在递交投标文件前办理续期。</w:t>
      </w:r>
    </w:p>
    <w:p w14:paraId="618C663F">
      <w:pPr>
        <w:spacing w:line="400" w:lineRule="exact"/>
        <w:ind w:firstLine="420"/>
      </w:pPr>
      <w:r>
        <w:rPr>
          <w:rFonts w:hint="eastAsia" w:ascii="宋体" w:hAnsi="宋体"/>
        </w:rPr>
        <w:t>4</w:t>
      </w:r>
      <w:r>
        <w:rPr>
          <w:rFonts w:ascii="宋体" w:hAnsi="宋体"/>
        </w:rPr>
        <w:t>.</w:t>
      </w:r>
      <w:r>
        <w:rPr>
          <w:rFonts w:hint="eastAsia" w:ascii="宋体" w:hAnsi="宋体"/>
        </w:rPr>
        <w:t>CA锁</w:t>
      </w:r>
      <w:r>
        <w:rPr>
          <w:rFonts w:hint="eastAsia"/>
        </w:rPr>
        <w:t>遗失、损坏等无法使用，须在递交投标文件前补办CA锁。</w:t>
      </w:r>
    </w:p>
    <w:p w14:paraId="623B6696">
      <w:pPr>
        <w:spacing w:line="400" w:lineRule="exact"/>
        <w:ind w:firstLine="420"/>
      </w:pPr>
      <w:r>
        <w:rPr>
          <w:rFonts w:ascii="宋体" w:hAnsi="宋体"/>
        </w:rPr>
        <w:t>5.</w:t>
      </w:r>
      <w:r>
        <w:rPr>
          <w:rFonts w:hint="eastAsia" w:ascii="宋体" w:hAnsi="宋体"/>
        </w:rPr>
        <w:t>企业</w:t>
      </w:r>
      <w:r>
        <w:rPr>
          <w:rFonts w:hint="eastAsia"/>
        </w:rPr>
        <w:t>信息（包括但不限于企业名称和法定代表人信息）发生变更的，须在递交投标文件前变更CA证书。</w:t>
      </w:r>
    </w:p>
    <w:p w14:paraId="1BDB7152">
      <w:pPr>
        <w:spacing w:line="400" w:lineRule="exact"/>
        <w:rPr>
          <w:rFonts w:hint="eastAsia" w:ascii="宋体" w:hAnsi="宋体"/>
        </w:rPr>
      </w:pPr>
      <w:r>
        <w:rPr>
          <w:rFonts w:ascii="宋体" w:hAnsi="宋体"/>
        </w:rPr>
        <w:tab/>
      </w:r>
      <w:r>
        <w:rPr>
          <w:rFonts w:ascii="宋体" w:hAnsi="宋体"/>
        </w:rPr>
        <w:t>6.</w:t>
      </w:r>
      <w:r>
        <w:rPr>
          <w:rFonts w:hint="eastAsia" w:ascii="宋体" w:hAnsi="宋体"/>
        </w:rPr>
        <w:t>投标人由于</w:t>
      </w:r>
      <w:r>
        <w:rPr>
          <w:rFonts w:hint="eastAsia"/>
        </w:rPr>
        <w:t>CA证书</w:t>
      </w:r>
      <w:r>
        <w:rPr>
          <w:rFonts w:hint="eastAsia" w:ascii="宋体" w:hAnsi="宋体"/>
        </w:rPr>
        <w:t>遗失、损坏、更换、续期、企业信息变更等情况导致投标文件无法解密的，由投标人自行承担责任；</w:t>
      </w:r>
    </w:p>
    <w:p w14:paraId="4C970EAF">
      <w:pPr>
        <w:spacing w:line="400" w:lineRule="exact"/>
        <w:ind w:firstLine="420" w:firstLineChars="200"/>
        <w:rPr>
          <w:rFonts w:hint="eastAsia" w:ascii="宋体" w:hAnsi="宋体"/>
        </w:rPr>
      </w:pPr>
      <w:r>
        <w:rPr>
          <w:rFonts w:ascii="宋体" w:hAnsi="宋体"/>
        </w:rPr>
        <w:t>7.</w:t>
      </w:r>
      <w:r>
        <w:rPr>
          <w:rFonts w:hint="eastAsia" w:ascii="宋体" w:hAnsi="宋体"/>
        </w:rPr>
        <w:t>加密和解密投标文件</w:t>
      </w:r>
      <w:r>
        <w:rPr>
          <w:rFonts w:hint="eastAsia"/>
        </w:rPr>
        <w:t>必须使用同一个CA证书</w:t>
      </w:r>
      <w:r>
        <w:rPr>
          <w:rFonts w:hint="eastAsia" w:ascii="宋体" w:hAnsi="宋体"/>
        </w:rPr>
        <w:t>。</w:t>
      </w:r>
    </w:p>
    <w:p w14:paraId="5A1B3CBE">
      <w:pPr>
        <w:spacing w:line="400" w:lineRule="exact"/>
        <w:ind w:firstLine="420" w:firstLineChars="200"/>
        <w:rPr>
          <w:rFonts w:hint="eastAsia" w:ascii="黑体" w:hAnsi="黑体" w:eastAsia="黑体"/>
        </w:rPr>
      </w:pPr>
      <w:r>
        <w:rPr>
          <w:rFonts w:hint="eastAsia" w:ascii="黑体" w:hAnsi="黑体" w:eastAsia="黑体"/>
        </w:rPr>
        <w:t>二</w:t>
      </w:r>
      <w:r>
        <w:rPr>
          <w:rFonts w:ascii="黑体" w:hAnsi="黑体" w:eastAsia="黑体"/>
        </w:rPr>
        <w:t>、制作、签章、加密、上传电子投标文件</w:t>
      </w:r>
    </w:p>
    <w:p w14:paraId="61F637D0">
      <w:pPr>
        <w:spacing w:line="400" w:lineRule="exact"/>
        <w:ind w:firstLine="420" w:firstLineChars="200"/>
        <w:rPr>
          <w:rStyle w:val="55"/>
          <w:color w:val="auto"/>
        </w:rPr>
      </w:pPr>
      <w:r>
        <w:rPr>
          <w:rFonts w:ascii="宋体" w:hAnsi="宋体"/>
        </w:rPr>
        <w:t>8.</w:t>
      </w:r>
      <w:r>
        <w:rPr>
          <w:rFonts w:hint="eastAsia" w:ascii="宋体" w:hAnsi="宋体"/>
        </w:rPr>
        <w:t>本项目采用全流程电子化招标采购方式，潜在</w:t>
      </w:r>
      <w:r>
        <w:rPr>
          <w:rFonts w:hint="eastAsia"/>
        </w:rPr>
        <w:t>投标人需使用</w:t>
      </w:r>
      <w:r>
        <w:rPr>
          <w:rFonts w:hint="eastAsia" w:ascii="宋体" w:hAnsi="宋体"/>
        </w:rPr>
        <w:t>“</w:t>
      </w:r>
      <w:r>
        <w:rPr>
          <w:rFonts w:ascii="宋体" w:hAnsi="宋体"/>
        </w:rPr>
        <w:t>优质采投标工具</w:t>
      </w:r>
      <w:r>
        <w:rPr>
          <w:rFonts w:hint="eastAsia" w:ascii="宋体" w:hAnsi="宋体"/>
        </w:rPr>
        <w:t>客户端”（以下简称“投标工具”）制作</w:t>
      </w:r>
      <w:r>
        <w:t>电子投标文件</w:t>
      </w:r>
      <w:r>
        <w:rPr>
          <w:rFonts w:hint="eastAsia"/>
        </w:rPr>
        <w:t>，</w:t>
      </w:r>
      <w:r>
        <w:rPr>
          <w:rFonts w:hint="eastAsia" w:ascii="宋体" w:hAnsi="宋体"/>
        </w:rPr>
        <w:t>投标工具及操作说明下载地址：</w:t>
      </w:r>
      <w:r>
        <w:fldChar w:fldCharType="begin"/>
      </w:r>
      <w:r>
        <w:instrText xml:space="preserve"> HYPERLINK "https://toolcdn.youzhicai.com/tools/BidderTools.zip" </w:instrText>
      </w:r>
      <w:r>
        <w:fldChar w:fldCharType="separate"/>
      </w:r>
      <w:r>
        <w:rPr>
          <w:rStyle w:val="55"/>
          <w:rFonts w:hint="eastAsia"/>
          <w:color w:val="auto"/>
        </w:rPr>
        <w:t>https://toolcdn.youzhicai.com/tools/BidderTools.zip</w:t>
      </w:r>
      <w:r>
        <w:rPr>
          <w:rStyle w:val="55"/>
          <w:rFonts w:hint="eastAsia"/>
          <w:color w:val="auto"/>
        </w:rPr>
        <w:fldChar w:fldCharType="end"/>
      </w:r>
      <w:r>
        <w:rPr>
          <w:rStyle w:val="55"/>
          <w:rFonts w:hint="eastAsia"/>
          <w:color w:val="auto"/>
        </w:rPr>
        <w:t>。</w:t>
      </w:r>
    </w:p>
    <w:p w14:paraId="3DC80AE4">
      <w:pPr>
        <w:spacing w:line="400" w:lineRule="exact"/>
        <w:ind w:firstLine="420" w:firstLineChars="200"/>
        <w:rPr>
          <w:rStyle w:val="55"/>
          <w:color w:val="auto"/>
        </w:rPr>
      </w:pPr>
      <w:r>
        <w:rPr>
          <w:rStyle w:val="55"/>
          <w:color w:val="auto"/>
        </w:rPr>
        <w:tab/>
      </w:r>
      <w:r>
        <w:rPr>
          <w:rStyle w:val="55"/>
          <w:color w:val="auto"/>
        </w:rPr>
        <w:t>8.1.投标工具建议在window7或windows10操作系统下使用；</w:t>
      </w:r>
    </w:p>
    <w:p w14:paraId="3E56AEFC">
      <w:pPr>
        <w:spacing w:line="400" w:lineRule="exact"/>
        <w:ind w:firstLine="420" w:firstLineChars="200"/>
        <w:rPr>
          <w:bCs/>
          <w:sz w:val="18"/>
        </w:rPr>
      </w:pPr>
      <w:r>
        <w:rPr>
          <w:rStyle w:val="55"/>
          <w:color w:val="auto"/>
        </w:rPr>
        <w:tab/>
      </w:r>
      <w:r>
        <w:rPr>
          <w:rStyle w:val="55"/>
          <w:color w:val="auto"/>
        </w:rPr>
        <w:t>8.2.电子投标文件编制建议使用</w:t>
      </w:r>
      <w:r>
        <w:t>office2010版本。</w:t>
      </w:r>
    </w:p>
    <w:p w14:paraId="1E83D171">
      <w:pPr>
        <w:wordWrap w:val="0"/>
        <w:spacing w:line="400" w:lineRule="exact"/>
        <w:rPr>
          <w:bCs/>
          <w:u w:val="single"/>
        </w:rPr>
      </w:pPr>
      <w:r>
        <w:rPr>
          <w:rFonts w:ascii="宋体" w:hAnsi="宋体"/>
        </w:rPr>
        <w:tab/>
      </w:r>
      <w:r>
        <w:rPr>
          <w:rFonts w:hint="eastAsia" w:ascii="宋体" w:hAnsi="宋体"/>
        </w:rPr>
        <w:t>9</w:t>
      </w:r>
      <w:r>
        <w:rPr>
          <w:rFonts w:ascii="宋体" w:hAnsi="宋体"/>
        </w:rPr>
        <w:t>.</w:t>
      </w:r>
      <w:r>
        <w:rPr>
          <w:rFonts w:hint="eastAsia"/>
        </w:rPr>
        <w:t>潜在投标人制作电子投标文件后，需在</w:t>
      </w:r>
      <w:r>
        <w:rPr>
          <w:rFonts w:hint="eastAsia" w:ascii="宋体" w:hAnsi="宋体"/>
        </w:rPr>
        <w:t>投标工具</w:t>
      </w:r>
      <w:r>
        <w:rPr>
          <w:rFonts w:hint="eastAsia"/>
        </w:rPr>
        <w:t>对</w:t>
      </w:r>
      <w:r>
        <w:t>电子</w:t>
      </w:r>
      <w:r>
        <w:rPr>
          <w:rFonts w:hint="eastAsia"/>
        </w:rPr>
        <w:t>投标文件进行电子签章（项目有特殊说明的除外），并使用CA</w:t>
      </w:r>
      <w:r>
        <w:rPr>
          <w:rFonts w:hint="eastAsia" w:ascii="宋体" w:hAnsi="宋体"/>
        </w:rPr>
        <w:t>证书进行</w:t>
      </w:r>
      <w:r>
        <w:rPr>
          <w:rFonts w:hint="eastAsia"/>
        </w:rPr>
        <w:t>加密。在</w:t>
      </w:r>
      <w:r>
        <w:rPr>
          <w:rFonts w:hint="eastAsia" w:ascii="宋体" w:hAnsi="宋体"/>
        </w:rPr>
        <w:t>投标工具使用</w:t>
      </w:r>
      <w:r>
        <w:rPr>
          <w:rFonts w:ascii="宋体" w:hAnsi="宋体"/>
        </w:rPr>
        <w:t>CA证书</w:t>
      </w:r>
      <w:r>
        <w:rPr>
          <w:rFonts w:hint="eastAsia"/>
        </w:rPr>
        <w:t>时需安装“优质采数字证书助手”</w:t>
      </w:r>
      <w:r>
        <w:rPr>
          <w:rFonts w:hint="eastAsia" w:ascii="宋体" w:hAnsi="宋体"/>
        </w:rPr>
        <w:t xml:space="preserve"> （即数字证书驱动）</w:t>
      </w:r>
      <w:r>
        <w:rPr>
          <w:rFonts w:hint="eastAsia"/>
        </w:rPr>
        <w:t>，下载地址：</w:t>
      </w:r>
      <w:r>
        <w:fldChar w:fldCharType="begin"/>
      </w:r>
      <w:r>
        <w:instrText xml:space="preserve"> HYPERLINK "https://toolcdn.youzhicai.com/ca.zip" </w:instrText>
      </w:r>
      <w:r>
        <w:fldChar w:fldCharType="separate"/>
      </w:r>
      <w:r>
        <w:rPr>
          <w:rStyle w:val="55"/>
          <w:rFonts w:hint="eastAsia"/>
          <w:color w:val="auto"/>
        </w:rPr>
        <w:t>https://toolcdn.youzhicai.com/ca.zip</w:t>
      </w:r>
      <w:r>
        <w:rPr>
          <w:rStyle w:val="55"/>
          <w:rFonts w:hint="eastAsia"/>
          <w:color w:val="auto"/>
        </w:rPr>
        <w:fldChar w:fldCharType="end"/>
      </w:r>
      <w:r>
        <w:rPr>
          <w:rStyle w:val="55"/>
          <w:rFonts w:hint="eastAsia"/>
          <w:color w:val="auto"/>
        </w:rPr>
        <w:t>。</w:t>
      </w:r>
    </w:p>
    <w:p w14:paraId="42069200">
      <w:pPr>
        <w:wordWrap w:val="0"/>
        <w:spacing w:line="400" w:lineRule="exact"/>
        <w:rPr>
          <w:rFonts w:hint="eastAsia" w:ascii="宋体" w:hAnsi="宋体"/>
        </w:rPr>
      </w:pPr>
      <w:r>
        <w:tab/>
      </w:r>
      <w:r>
        <w:rPr>
          <w:rFonts w:ascii="宋体" w:hAnsi="宋体"/>
        </w:rPr>
        <w:t>10.</w:t>
      </w:r>
      <w:r>
        <w:rPr>
          <w:rFonts w:hint="eastAsia" w:ascii="宋体" w:hAnsi="宋体"/>
        </w:rPr>
        <w:t>潜在投标人完成制作、签章、加密投标文件后，需在</w:t>
      </w:r>
      <w:r>
        <w:rPr>
          <w:rFonts w:hint="eastAsia"/>
        </w:rPr>
        <w:t>招标文件规定的投标截止时间前在</w:t>
      </w:r>
      <w:r>
        <w:rPr>
          <w:rFonts w:hint="eastAsia" w:ascii="宋体" w:hAnsi="宋体"/>
        </w:rPr>
        <w:t>投标工具</w:t>
      </w:r>
      <w:r>
        <w:rPr>
          <w:rFonts w:hint="eastAsia"/>
        </w:rPr>
        <w:t>完成上传。</w:t>
      </w:r>
      <w:r>
        <w:rPr>
          <w:rFonts w:hint="eastAsia" w:ascii="宋体" w:hAnsi="宋体"/>
        </w:rPr>
        <w:t>投标截止时间以优质采云采购平台（</w:t>
      </w:r>
      <w:r>
        <w:rPr>
          <w:rFonts w:ascii="宋体" w:hAnsi="宋体"/>
        </w:rPr>
        <w:t>www.youzhicai.com</w:t>
      </w:r>
      <w:r>
        <w:rPr>
          <w:rFonts w:hint="eastAsia" w:ascii="宋体" w:hAnsi="宋体"/>
        </w:rPr>
        <w:t>）系统的时间为准，如未在投标截止时间前完成电子投标文件上传，系统将自动关闭上传通道。潜在投标人未完成电子投标文件上传的，视为没有递交投标文件。</w:t>
      </w:r>
    </w:p>
    <w:p w14:paraId="111BDB73">
      <w:pPr>
        <w:wordWrap w:val="0"/>
        <w:spacing w:line="400" w:lineRule="exact"/>
        <w:ind w:firstLine="420"/>
        <w:rPr>
          <w:rFonts w:hint="eastAsia" w:ascii="宋体" w:hAnsi="宋体"/>
        </w:rPr>
      </w:pPr>
      <w:r>
        <w:rPr>
          <w:rFonts w:hint="eastAsia" w:ascii="宋体" w:hAnsi="宋体"/>
        </w:rPr>
        <w:t>1</w:t>
      </w:r>
      <w:r>
        <w:rPr>
          <w:rFonts w:ascii="宋体" w:hAnsi="宋体"/>
        </w:rPr>
        <w:t>1.</w:t>
      </w:r>
      <w:r>
        <w:rPr>
          <w:rFonts w:hint="eastAsia" w:ascii="宋体" w:hAnsi="宋体"/>
        </w:rPr>
        <w:t>潜在投标人在投标文件递交截止时间前，可以对其所递交的电子投标文件进行撤回，修改后重新上传。</w:t>
      </w:r>
    </w:p>
    <w:p w14:paraId="74BE8F42">
      <w:pPr>
        <w:spacing w:line="400" w:lineRule="exact"/>
        <w:ind w:firstLine="420" w:firstLineChars="200"/>
        <w:rPr>
          <w:rFonts w:hint="eastAsia" w:ascii="宋体" w:hAnsi="宋体"/>
        </w:rPr>
      </w:pPr>
      <w:r>
        <w:rPr>
          <w:rFonts w:hint="eastAsia" w:ascii="宋体" w:hAnsi="宋体"/>
        </w:rPr>
        <w:t>1</w:t>
      </w:r>
      <w:r>
        <w:rPr>
          <w:rFonts w:ascii="宋体" w:hAnsi="宋体"/>
        </w:rPr>
        <w:t>2.</w:t>
      </w:r>
      <w:r>
        <w:rPr>
          <w:rFonts w:hint="eastAsia" w:ascii="宋体" w:hAnsi="宋体"/>
        </w:rPr>
        <w:t>潜在投标人在制作、签章、加密、上传电子投标文件过程中，若存在技术操作问题，请及时联系优质采云采购平台客服人员，客服电话：</w:t>
      </w:r>
      <w:r>
        <w:rPr>
          <w:rFonts w:ascii="宋体" w:hAnsi="宋体"/>
        </w:rPr>
        <w:t>400-0099-555</w:t>
      </w:r>
      <w:r>
        <w:rPr>
          <w:rFonts w:hint="eastAsia" w:ascii="宋体" w:hAnsi="宋体"/>
        </w:rPr>
        <w:t>，</w:t>
      </w:r>
      <w:r>
        <w:rPr>
          <w:rFonts w:ascii="宋体" w:hAnsi="宋体"/>
        </w:rPr>
        <w:t>0551-62220164</w:t>
      </w:r>
      <w:r>
        <w:rPr>
          <w:rFonts w:hint="eastAsia" w:ascii="宋体" w:hAnsi="宋体"/>
        </w:rPr>
        <w:t>。</w:t>
      </w:r>
    </w:p>
    <w:p w14:paraId="4D8AD7ED">
      <w:pPr>
        <w:spacing w:line="400" w:lineRule="exact"/>
        <w:ind w:firstLine="420" w:firstLineChars="200"/>
        <w:rPr>
          <w:rFonts w:hint="eastAsia" w:ascii="黑体" w:hAnsi="黑体" w:eastAsia="黑体"/>
        </w:rPr>
      </w:pPr>
      <w:r>
        <w:rPr>
          <w:rFonts w:hint="eastAsia" w:ascii="黑体" w:hAnsi="黑体" w:eastAsia="黑体"/>
        </w:rPr>
        <w:t>三</w:t>
      </w:r>
      <w:r>
        <w:rPr>
          <w:rFonts w:ascii="黑体" w:hAnsi="黑体" w:eastAsia="黑体"/>
        </w:rPr>
        <w:t>、</w:t>
      </w:r>
      <w:r>
        <w:rPr>
          <w:rFonts w:hint="eastAsia" w:ascii="黑体" w:hAnsi="黑体" w:eastAsia="黑体"/>
        </w:rPr>
        <w:t>开标</w:t>
      </w:r>
      <w:r>
        <w:rPr>
          <w:rFonts w:ascii="黑体" w:hAnsi="黑体" w:eastAsia="黑体"/>
        </w:rPr>
        <w:t>和解密</w:t>
      </w:r>
    </w:p>
    <w:p w14:paraId="628A902A">
      <w:pPr>
        <w:spacing w:line="400" w:lineRule="exact"/>
        <w:ind w:firstLine="420" w:firstLineChars="200"/>
        <w:rPr>
          <w:rFonts w:hint="eastAsia" w:ascii="宋体" w:hAnsi="宋体"/>
        </w:rPr>
      </w:pPr>
      <w:r>
        <w:rPr>
          <w:rFonts w:ascii="宋体" w:hAnsi="宋体"/>
        </w:rPr>
        <w:t>13.</w:t>
      </w:r>
      <w:r>
        <w:rPr>
          <w:rFonts w:hint="eastAsia" w:ascii="宋体" w:hAnsi="宋体"/>
        </w:rPr>
        <w:t>招标人或招标代理机构工作人员（以下简称工作人员）根据有关规定登录系统组织开标。投标文件递交截止时间后由投标人使用</w:t>
      </w:r>
      <w:r>
        <w:rPr>
          <w:rFonts w:hint="eastAsia"/>
        </w:rPr>
        <w:t>CA证书</w:t>
      </w:r>
      <w:r>
        <w:rPr>
          <w:rFonts w:hint="eastAsia" w:ascii="宋体" w:hAnsi="宋体"/>
        </w:rPr>
        <w:t>解密投标文件，工作人员导入已解密投标文件并公布开标结果。</w:t>
      </w:r>
    </w:p>
    <w:p w14:paraId="78C978C4">
      <w:pPr>
        <w:spacing w:line="400" w:lineRule="exact"/>
        <w:ind w:firstLine="420" w:firstLineChars="200"/>
        <w:rPr>
          <w:rFonts w:hint="eastAsia" w:ascii="宋体" w:hAnsi="宋体"/>
        </w:rPr>
      </w:pPr>
      <w:r>
        <w:rPr>
          <w:rFonts w:ascii="宋体" w:hAnsi="宋体"/>
        </w:rPr>
        <w:t>14.</w:t>
      </w:r>
      <w:r>
        <w:rPr>
          <w:rFonts w:hint="eastAsia" w:ascii="宋体" w:hAnsi="宋体"/>
        </w:rPr>
        <w:t>投标文件可远程解密，投标人无需到达开标现场。招标文件“投标人须知”中另有规定的，从其规定。</w:t>
      </w:r>
    </w:p>
    <w:p w14:paraId="642AEB6A">
      <w:pPr>
        <w:spacing w:line="400" w:lineRule="exact"/>
        <w:ind w:firstLine="420" w:firstLineChars="200"/>
        <w:rPr>
          <w:rFonts w:hint="eastAsia" w:ascii="宋体" w:hAnsi="宋体"/>
        </w:rPr>
      </w:pPr>
      <w:r>
        <w:rPr>
          <w:rFonts w:ascii="宋体" w:hAnsi="宋体"/>
        </w:rPr>
        <w:t>15.</w:t>
      </w:r>
      <w:r>
        <w:rPr>
          <w:rFonts w:hint="eastAsia" w:ascii="宋体" w:hAnsi="宋体"/>
        </w:rPr>
        <w:t>潜在投标人须按照招标文件的要求在投标文件递交截止时间前登录投标工具并保持在线，关注开标互动大厅消息直到项目评审结束。</w:t>
      </w:r>
    </w:p>
    <w:p w14:paraId="5D963738">
      <w:pPr>
        <w:spacing w:line="400" w:lineRule="exact"/>
        <w:ind w:firstLine="420" w:firstLineChars="200"/>
        <w:rPr>
          <w:rFonts w:hint="eastAsia" w:ascii="宋体" w:hAnsi="宋体"/>
        </w:rPr>
      </w:pPr>
      <w:r>
        <w:rPr>
          <w:rFonts w:ascii="宋体" w:hAnsi="宋体"/>
        </w:rPr>
        <w:t>16.</w:t>
      </w:r>
      <w:r>
        <w:rPr>
          <w:rFonts w:hint="eastAsia" w:ascii="宋体" w:hAnsi="宋体"/>
        </w:rPr>
        <w:t>投标文件解密时限为投标文件递交截止时间后</w:t>
      </w:r>
      <w:r>
        <w:rPr>
          <w:rFonts w:ascii="宋体" w:hAnsi="宋体"/>
        </w:rPr>
        <w:t>30</w:t>
      </w:r>
      <w:r>
        <w:rPr>
          <w:rFonts w:hint="eastAsia" w:ascii="宋体" w:hAnsi="宋体"/>
        </w:rPr>
        <w:t>分钟（招标文件</w:t>
      </w:r>
      <w:r>
        <w:rPr>
          <w:rFonts w:ascii="宋体" w:hAnsi="宋体"/>
        </w:rPr>
        <w:t>“</w:t>
      </w:r>
      <w:r>
        <w:rPr>
          <w:rFonts w:hint="eastAsia" w:ascii="宋体" w:hAnsi="宋体"/>
        </w:rPr>
        <w:t>投标人须知</w:t>
      </w:r>
      <w:r>
        <w:rPr>
          <w:rFonts w:ascii="宋体" w:hAnsi="宋体"/>
        </w:rPr>
        <w:t>”</w:t>
      </w:r>
      <w:r>
        <w:rPr>
          <w:rFonts w:hint="eastAsia" w:ascii="宋体" w:hAnsi="宋体"/>
        </w:rPr>
        <w:t>中另有规定的，从其规定）。潜在投标人须在投标文件解密时限内完成投标文件解密，未能成功解密的视为放弃投标。招标文件</w:t>
      </w:r>
      <w:r>
        <w:rPr>
          <w:rFonts w:ascii="宋体" w:hAnsi="宋体"/>
        </w:rPr>
        <w:t>“</w:t>
      </w:r>
      <w:r>
        <w:rPr>
          <w:rFonts w:hint="eastAsia" w:ascii="宋体" w:hAnsi="宋体"/>
        </w:rPr>
        <w:t>投标人须知</w:t>
      </w:r>
      <w:r>
        <w:rPr>
          <w:rFonts w:ascii="宋体" w:hAnsi="宋体"/>
        </w:rPr>
        <w:t>”</w:t>
      </w:r>
      <w:r>
        <w:rPr>
          <w:rFonts w:hint="eastAsia" w:ascii="宋体" w:hAnsi="宋体"/>
        </w:rPr>
        <w:t>中对投标文件解密设有线下补救方案的，执行该补救方案。</w:t>
      </w:r>
    </w:p>
    <w:p w14:paraId="66D146E5">
      <w:pPr>
        <w:spacing w:line="400" w:lineRule="exact"/>
        <w:ind w:firstLine="420" w:firstLineChars="200"/>
        <w:rPr>
          <w:rFonts w:hint="eastAsia" w:ascii="黑体" w:hAnsi="黑体" w:eastAsia="黑体"/>
        </w:rPr>
      </w:pPr>
      <w:r>
        <w:rPr>
          <w:rFonts w:hint="eastAsia" w:ascii="黑体" w:hAnsi="黑体" w:eastAsia="黑体"/>
        </w:rPr>
        <w:t>四</w:t>
      </w:r>
      <w:r>
        <w:rPr>
          <w:rFonts w:ascii="黑体" w:hAnsi="黑体" w:eastAsia="黑体"/>
        </w:rPr>
        <w:t>、</w:t>
      </w:r>
      <w:r>
        <w:rPr>
          <w:rFonts w:hint="eastAsia" w:ascii="黑体" w:hAnsi="黑体" w:eastAsia="黑体"/>
        </w:rPr>
        <w:t>评标</w:t>
      </w:r>
      <w:r>
        <w:rPr>
          <w:rFonts w:ascii="黑体" w:hAnsi="黑体" w:eastAsia="黑体"/>
        </w:rPr>
        <w:t>和询标</w:t>
      </w:r>
    </w:p>
    <w:p w14:paraId="05999A15">
      <w:pPr>
        <w:spacing w:line="400" w:lineRule="exact"/>
        <w:ind w:firstLine="420" w:firstLineChars="200"/>
        <w:rPr>
          <w:rFonts w:hint="eastAsia" w:ascii="宋体" w:hAnsi="宋体"/>
        </w:rPr>
      </w:pPr>
      <w:r>
        <w:rPr>
          <w:rFonts w:ascii="宋体" w:hAnsi="宋体"/>
        </w:rPr>
        <w:t>17.</w:t>
      </w:r>
      <w:r>
        <w:rPr>
          <w:rFonts w:hint="eastAsia" w:ascii="宋体" w:hAnsi="宋体"/>
        </w:rPr>
        <w:t>评标委员会通过优质采电子评标工具将需要澄清、说明或补正的内容以询标函的形式发送给投标人，投标人</w:t>
      </w:r>
      <w:r>
        <w:rPr>
          <w:rFonts w:ascii="宋体" w:hAnsi="宋体"/>
        </w:rPr>
        <w:t>/</w:t>
      </w:r>
      <w:r>
        <w:rPr>
          <w:rFonts w:hint="eastAsia" w:ascii="宋体" w:hAnsi="宋体"/>
        </w:rPr>
        <w:t>供应商应登录投标工具并保持在线状态，以便及时接收评标委员会可能发出的询标函，并在询标函载明的时间内回复，若投标人未及时回复，视为放弃澄清。</w:t>
      </w:r>
    </w:p>
    <w:p w14:paraId="70B8D7C4">
      <w:pPr>
        <w:spacing w:line="400" w:lineRule="exact"/>
        <w:ind w:firstLine="420" w:firstLineChars="200"/>
        <w:rPr>
          <w:rFonts w:hint="eastAsia" w:ascii="黑体" w:hAnsi="黑体" w:eastAsia="黑体"/>
        </w:rPr>
      </w:pPr>
      <w:r>
        <w:rPr>
          <w:rFonts w:hint="eastAsia" w:ascii="黑体" w:hAnsi="黑体" w:eastAsia="黑体"/>
        </w:rPr>
        <w:t>五、异常情形</w:t>
      </w:r>
    </w:p>
    <w:p w14:paraId="7E3A669F">
      <w:pPr>
        <w:spacing w:line="400" w:lineRule="exact"/>
        <w:ind w:firstLine="420" w:firstLineChars="200"/>
        <w:rPr>
          <w:rFonts w:hint="eastAsia" w:ascii="宋体" w:hAnsi="宋体"/>
        </w:rPr>
      </w:pPr>
      <w:r>
        <w:rPr>
          <w:rFonts w:hint="eastAsia" w:ascii="宋体" w:hAnsi="宋体"/>
        </w:rPr>
        <w:t>1</w:t>
      </w:r>
      <w:r>
        <w:rPr>
          <w:rFonts w:ascii="宋体" w:hAnsi="宋体"/>
        </w:rPr>
        <w:t>8</w:t>
      </w:r>
      <w:r>
        <w:rPr>
          <w:rFonts w:hint="eastAsia" w:ascii="宋体" w:hAnsi="宋体"/>
        </w:rPr>
        <w:t>.出现下列情形导致电子交易系统无法正常运行，影响招投标过程的公平、公正和信息安全，经第三方机构认定后，各方当事人免责：</w:t>
      </w:r>
    </w:p>
    <w:p w14:paraId="217FDBAC">
      <w:pPr>
        <w:spacing w:line="400" w:lineRule="exact"/>
        <w:ind w:firstLine="420" w:firstLineChars="200"/>
        <w:rPr>
          <w:rFonts w:hint="eastAsia" w:ascii="宋体" w:hAnsi="宋体"/>
        </w:rPr>
      </w:pPr>
      <w:r>
        <w:rPr>
          <w:rFonts w:hint="eastAsia" w:ascii="宋体" w:hAnsi="宋体"/>
        </w:rPr>
        <w:t>(1)网络、服务器、数据库发生故障造成无法访问或使用的；</w:t>
      </w:r>
    </w:p>
    <w:p w14:paraId="411B1D57">
      <w:pPr>
        <w:spacing w:line="400" w:lineRule="exact"/>
        <w:ind w:firstLine="420" w:firstLineChars="200"/>
        <w:rPr>
          <w:rFonts w:hint="eastAsia" w:ascii="宋体" w:hAnsi="宋体"/>
        </w:rPr>
      </w:pPr>
      <w:r>
        <w:rPr>
          <w:rFonts w:hint="eastAsia" w:ascii="宋体" w:hAnsi="宋体"/>
        </w:rPr>
        <w:t>(2)电力系统发生故障导致电子服务系统或电子交易系统无法运行；</w:t>
      </w:r>
    </w:p>
    <w:p w14:paraId="484173DD">
      <w:pPr>
        <w:spacing w:line="400" w:lineRule="exact"/>
        <w:ind w:firstLine="420" w:firstLineChars="200"/>
        <w:rPr>
          <w:rFonts w:hint="eastAsia" w:ascii="宋体" w:hAnsi="宋体"/>
        </w:rPr>
      </w:pPr>
      <w:r>
        <w:rPr>
          <w:rFonts w:hint="eastAsia" w:ascii="宋体" w:hAnsi="宋体"/>
        </w:rPr>
        <w:t>(3)出现网络攻击、病毒入侵以及电子服务系统或电子交易系统安全漏洞导致无法正常提供服务的；</w:t>
      </w:r>
    </w:p>
    <w:p w14:paraId="1206B649">
      <w:pPr>
        <w:spacing w:line="400" w:lineRule="exact"/>
        <w:ind w:firstLine="420" w:firstLineChars="200"/>
        <w:rPr>
          <w:rFonts w:hint="eastAsia" w:ascii="宋体" w:hAnsi="宋体"/>
        </w:rPr>
      </w:pPr>
      <w:r>
        <w:rPr>
          <w:rFonts w:hint="eastAsia" w:ascii="宋体" w:hAnsi="宋体"/>
        </w:rPr>
        <w:t>(4)其他无法保证招投标过程公平、公正和信息安全的情形。</w:t>
      </w:r>
    </w:p>
    <w:p w14:paraId="268BCF8F">
      <w:pPr>
        <w:spacing w:line="400" w:lineRule="exact"/>
        <w:ind w:firstLine="420" w:firstLineChars="200"/>
        <w:rPr>
          <w:rFonts w:hint="eastAsia" w:ascii="黑体" w:hAnsi="黑体" w:eastAsia="黑体"/>
        </w:rPr>
      </w:pPr>
      <w:r>
        <w:rPr>
          <w:rFonts w:hint="eastAsia" w:ascii="黑体" w:hAnsi="黑体" w:eastAsia="黑体"/>
        </w:rPr>
        <w:t>六、异常情形处理</w:t>
      </w:r>
    </w:p>
    <w:p w14:paraId="5CA66DE6">
      <w:pPr>
        <w:spacing w:line="400" w:lineRule="exact"/>
        <w:ind w:firstLine="420" w:firstLineChars="200"/>
      </w:pPr>
      <w:r>
        <w:rPr>
          <w:rFonts w:hint="eastAsia"/>
        </w:rPr>
        <w:t>1</w:t>
      </w:r>
      <w:r>
        <w:t>9</w:t>
      </w:r>
      <w:r>
        <w:rPr>
          <w:rFonts w:hint="eastAsia"/>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7D2FF4C">
      <w:pPr>
        <w:spacing w:line="400" w:lineRule="exact"/>
        <w:ind w:firstLine="420" w:firstLineChars="200"/>
      </w:pPr>
      <w:r>
        <w:rPr>
          <w:rFonts w:hint="eastAsia"/>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7498F247">
      <w:pPr>
        <w:spacing w:line="400" w:lineRule="exact"/>
        <w:ind w:firstLine="420" w:firstLineChars="200"/>
      </w:pPr>
      <w:r>
        <w:rPr>
          <w:rFonts w:hint="eastAsia"/>
        </w:rPr>
        <w:t>（2）项目恢复，导致项目中止的情形消除后，招标人或代理机构应当尽快恢复招投标程序，向投标人发出恢复交易通知，并发布公布；已发出延长中止期限通知的，按通知执行。</w:t>
      </w:r>
    </w:p>
    <w:p w14:paraId="2A938EBF">
      <w:pPr>
        <w:widowControl/>
        <w:adjustRightInd w:val="0"/>
        <w:snapToGrid w:val="0"/>
        <w:spacing w:line="360" w:lineRule="auto"/>
        <w:ind w:firstLine="420" w:firstLineChars="200"/>
        <w:rPr>
          <w:rFonts w:hint="eastAsia" w:ascii="宋体" w:hAnsi="宋体" w:eastAsia="仿宋"/>
          <w:szCs w:val="21"/>
        </w:rPr>
      </w:pPr>
    </w:p>
    <w:p w14:paraId="79D80016">
      <w:pPr>
        <w:spacing w:line="360" w:lineRule="auto"/>
        <w:jc w:val="center"/>
        <w:outlineLvl w:val="1"/>
        <w:rPr>
          <w:rFonts w:ascii="Cambria" w:hAnsi="Cambria" w:eastAsia="黑体"/>
          <w:b/>
          <w:bCs/>
          <w:sz w:val="32"/>
          <w:szCs w:val="32"/>
        </w:rPr>
      </w:pPr>
      <w:r>
        <w:rPr>
          <w:rFonts w:hint="eastAsia" w:ascii="宋体" w:hAnsi="宋体" w:eastAsia="仿宋"/>
          <w:szCs w:val="21"/>
        </w:rPr>
        <w:br w:type="page"/>
      </w:r>
      <w:r>
        <w:rPr>
          <w:rFonts w:ascii="Cambria" w:hAnsi="Cambria" w:eastAsia="黑体"/>
          <w:b/>
          <w:bCs/>
          <w:sz w:val="32"/>
          <w:szCs w:val="32"/>
        </w:rPr>
        <w:t>附件</w:t>
      </w:r>
      <w:r>
        <w:rPr>
          <w:rFonts w:hint="eastAsia" w:ascii="Cambria" w:hAnsi="Cambria" w:eastAsia="黑体"/>
          <w:b/>
          <w:bCs/>
          <w:sz w:val="32"/>
          <w:szCs w:val="32"/>
        </w:rPr>
        <w:t>二</w:t>
      </w:r>
      <w:r>
        <w:rPr>
          <w:rFonts w:ascii="Cambria" w:hAnsi="Cambria" w:eastAsia="黑体"/>
          <w:b/>
          <w:bCs/>
          <w:sz w:val="32"/>
          <w:szCs w:val="32"/>
        </w:rPr>
        <w:t>：</w:t>
      </w:r>
      <w:r>
        <w:rPr>
          <w:rFonts w:hint="eastAsia" w:ascii="Cambria" w:hAnsi="Cambria" w:eastAsia="黑体"/>
          <w:b/>
          <w:bCs/>
          <w:sz w:val="32"/>
          <w:szCs w:val="32"/>
        </w:rPr>
        <w:t>供应商询问函和质疑函范本</w:t>
      </w:r>
    </w:p>
    <w:p w14:paraId="6E884FDD">
      <w:pPr>
        <w:spacing w:line="360" w:lineRule="auto"/>
        <w:jc w:val="center"/>
        <w:rPr>
          <w:rFonts w:hint="eastAsia" w:ascii="仿宋" w:hAnsi="仿宋" w:eastAsia="仿宋" w:cs="仿宋"/>
          <w:b/>
          <w:bCs/>
          <w:sz w:val="32"/>
          <w:szCs w:val="44"/>
        </w:rPr>
      </w:pPr>
      <w:r>
        <w:rPr>
          <w:rFonts w:hint="eastAsia" w:ascii="仿宋" w:hAnsi="仿宋" w:eastAsia="仿宋" w:cs="仿宋"/>
          <w:b/>
          <w:bCs/>
          <w:sz w:val="32"/>
          <w:szCs w:val="44"/>
        </w:rPr>
        <w:t>询问函范本</w:t>
      </w:r>
    </w:p>
    <w:p w14:paraId="7E6CC57F">
      <w:pPr>
        <w:adjustRightInd w:val="0"/>
        <w:snapToGrid w:val="0"/>
        <w:spacing w:line="360" w:lineRule="auto"/>
        <w:ind w:firstLine="480" w:firstLineChars="200"/>
        <w:jc w:val="center"/>
        <w:rPr>
          <w:rFonts w:hint="eastAsia" w:ascii="仿宋" w:hAnsi="仿宋" w:eastAsia="仿宋" w:cs="仿宋"/>
          <w:b/>
          <w:bCs/>
          <w:sz w:val="32"/>
          <w:szCs w:val="44"/>
        </w:rPr>
      </w:pPr>
      <w:r>
        <w:rPr>
          <w:rFonts w:hint="eastAsia" w:ascii="宋体" w:hAnsi="宋体" w:cs="仿宋"/>
          <w:i/>
          <w:iCs/>
          <w:sz w:val="24"/>
        </w:rPr>
        <w:t>（如为对采购文件或采购程序的询问或疑问，请按询问函范本或电子交易系统中网上询问格式附件进行提交）</w:t>
      </w:r>
    </w:p>
    <w:p w14:paraId="2DE18EDA">
      <w:pPr>
        <w:adjustRightInd w:val="0"/>
        <w:snapToGrid w:val="0"/>
        <w:spacing w:line="360" w:lineRule="auto"/>
        <w:rPr>
          <w:rFonts w:hint="eastAsia" w:ascii="仿宋" w:hAnsi="仿宋" w:eastAsia="仿宋" w:cs="仿宋"/>
          <w:sz w:val="24"/>
        </w:rPr>
      </w:pPr>
      <w:r>
        <w:rPr>
          <w:rFonts w:hint="eastAsia" w:ascii="仿宋" w:hAnsi="仿宋" w:eastAsia="仿宋" w:cs="仿宋"/>
          <w:sz w:val="24"/>
        </w:rPr>
        <w:t>某采购单位、某代理机构：</w:t>
      </w:r>
    </w:p>
    <w:p w14:paraId="41320275">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我单位拟参与某项目(</w:t>
      </w:r>
      <w:r>
        <w:rPr>
          <w:rFonts w:hint="eastAsia" w:ascii="仿宋" w:hAnsi="仿宋" w:eastAsia="仿宋" w:cs="仿宋"/>
          <w:sz w:val="24"/>
          <w:lang w:eastAsia="zh-CN"/>
        </w:rPr>
        <w:t>ZF2026-36-0413</w:t>
      </w:r>
      <w:r>
        <w:rPr>
          <w:rFonts w:hint="eastAsia" w:ascii="仿宋" w:hAnsi="仿宋" w:eastAsia="仿宋" w:cs="仿宋"/>
          <w:sz w:val="24"/>
        </w:rPr>
        <w:t>)的采购活动，现有以下内容(或条款)存在疑问(或无法理解)，特提出询问。</w:t>
      </w:r>
    </w:p>
    <w:p w14:paraId="3695245C">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一、(事项一)</w:t>
      </w:r>
    </w:p>
    <w:p w14:paraId="12A0BFCE">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1、(内容或条款)</w:t>
      </w:r>
    </w:p>
    <w:p w14:paraId="3BEB0845">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2、(说明疑问或无法理解原因)</w:t>
      </w:r>
    </w:p>
    <w:p w14:paraId="42A90F04">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3、(建议)</w:t>
      </w:r>
    </w:p>
    <w:p w14:paraId="6AB1DF0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二、(事项二)</w:t>
      </w:r>
    </w:p>
    <w:p w14:paraId="44C5C97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72CE9D5D">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随附相关证明材料如下： </w:t>
      </w:r>
    </w:p>
    <w:p w14:paraId="7B77EF65">
      <w:pPr>
        <w:spacing w:line="360" w:lineRule="auto"/>
        <w:ind w:firstLine="4228" w:firstLineChars="1762"/>
        <w:rPr>
          <w:rFonts w:hint="eastAsia" w:ascii="仿宋" w:hAnsi="仿宋" w:eastAsia="仿宋" w:cs="仿宋"/>
          <w:sz w:val="24"/>
          <w:u w:val="single"/>
        </w:rPr>
      </w:pPr>
      <w:r>
        <w:rPr>
          <w:rFonts w:hint="eastAsia" w:ascii="仿宋" w:hAnsi="仿宋" w:eastAsia="仿宋" w:cs="仿宋"/>
          <w:sz w:val="24"/>
        </w:rPr>
        <w:t>联 系 人：</w:t>
      </w:r>
      <w:r>
        <w:rPr>
          <w:rFonts w:hint="eastAsia" w:ascii="仿宋" w:hAnsi="仿宋" w:eastAsia="仿宋" w:cs="仿宋"/>
          <w:sz w:val="24"/>
          <w:u w:val="single"/>
        </w:rPr>
        <w:t xml:space="preserve">              </w:t>
      </w:r>
    </w:p>
    <w:p w14:paraId="4327E436">
      <w:pPr>
        <w:spacing w:line="360" w:lineRule="auto"/>
        <w:ind w:firstLine="4228" w:firstLineChars="1762"/>
        <w:rPr>
          <w:rFonts w:hint="eastAsia" w:ascii="仿宋" w:hAnsi="仿宋" w:eastAsia="仿宋" w:cs="仿宋"/>
          <w:sz w:val="24"/>
          <w:u w:val="single"/>
        </w:rPr>
      </w:pPr>
      <w:r>
        <w:rPr>
          <w:rFonts w:hint="eastAsia" w:ascii="仿宋" w:hAnsi="仿宋" w:eastAsia="仿宋" w:cs="仿宋"/>
          <w:sz w:val="24"/>
        </w:rPr>
        <w:t>联系电话：</w:t>
      </w:r>
      <w:r>
        <w:rPr>
          <w:rFonts w:hint="eastAsia" w:ascii="仿宋" w:hAnsi="仿宋" w:eastAsia="仿宋" w:cs="仿宋"/>
          <w:sz w:val="24"/>
          <w:u w:val="single"/>
        </w:rPr>
        <w:t xml:space="preserve">              </w:t>
      </w:r>
    </w:p>
    <w:p w14:paraId="6C6AC275">
      <w:pPr>
        <w:tabs>
          <w:tab w:val="left" w:pos="630"/>
        </w:tabs>
        <w:spacing w:line="360" w:lineRule="auto"/>
        <w:ind w:firstLine="4228" w:firstLineChars="1762"/>
        <w:rPr>
          <w:rFonts w:hint="eastAsia" w:ascii="仿宋" w:hAnsi="仿宋" w:eastAsia="仿宋" w:cs="仿宋"/>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p>
    <w:p w14:paraId="56B2F059">
      <w:pPr>
        <w:rPr>
          <w:rFonts w:hint="eastAsia" w:ascii="宋体" w:hAnsi="宋体"/>
          <w:b/>
          <w:sz w:val="52"/>
        </w:rPr>
      </w:pPr>
      <w:r>
        <w:rPr>
          <w:rFonts w:hint="eastAsia" w:ascii="仿宋" w:hAnsi="仿宋" w:eastAsia="仿宋" w:cs="仿宋"/>
          <w:b/>
          <w:bCs/>
          <w:sz w:val="32"/>
          <w:szCs w:val="44"/>
        </w:rPr>
        <w:br w:type="page"/>
      </w:r>
    </w:p>
    <w:p w14:paraId="29BB6B43">
      <w:pPr>
        <w:jc w:val="center"/>
        <w:rPr>
          <w:rFonts w:hint="eastAsia" w:ascii="仿宋" w:hAnsi="仿宋" w:eastAsia="仿宋" w:cs="仿宋"/>
          <w:b/>
          <w:bCs/>
          <w:sz w:val="32"/>
          <w:szCs w:val="44"/>
        </w:rPr>
      </w:pPr>
      <w:r>
        <w:rPr>
          <w:rFonts w:hint="eastAsia" w:ascii="仿宋" w:hAnsi="仿宋" w:eastAsia="仿宋" w:cs="仿宋"/>
          <w:b/>
          <w:bCs/>
          <w:sz w:val="32"/>
          <w:szCs w:val="44"/>
        </w:rPr>
        <w:t>质疑函范本</w:t>
      </w:r>
    </w:p>
    <w:p w14:paraId="160EB685">
      <w:pPr>
        <w:adjustRightInd w:val="0"/>
        <w:snapToGrid w:val="0"/>
        <w:spacing w:before="240" w:beforeLines="100" w:line="360" w:lineRule="auto"/>
        <w:rPr>
          <w:rFonts w:hint="eastAsia" w:ascii="仿宋" w:hAnsi="仿宋" w:eastAsia="仿宋" w:cs="仿宋"/>
          <w:b/>
          <w:bCs/>
          <w:sz w:val="24"/>
        </w:rPr>
      </w:pPr>
      <w:r>
        <w:rPr>
          <w:rFonts w:hint="eastAsia" w:ascii="仿宋" w:hAnsi="仿宋" w:eastAsia="仿宋" w:cs="仿宋"/>
          <w:b/>
          <w:bCs/>
          <w:sz w:val="24"/>
        </w:rPr>
        <w:t>一、质疑供应商基本信息</w:t>
      </w:r>
    </w:p>
    <w:p w14:paraId="4D7CC33D">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65ADA78">
      <w:pPr>
        <w:adjustRightInd w:val="0"/>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67C093C">
      <w:pPr>
        <w:adjustRightInd w:val="0"/>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F7AFBE4">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C1E4367">
      <w:pPr>
        <w:adjustRightInd w:val="0"/>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00C9DB6">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0B1A0C">
      <w:pPr>
        <w:adjustRightInd w:val="0"/>
        <w:snapToGrid w:val="0"/>
        <w:spacing w:line="360" w:lineRule="auto"/>
        <w:rPr>
          <w:rFonts w:hint="eastAsia" w:ascii="仿宋" w:hAnsi="仿宋" w:eastAsia="仿宋" w:cs="仿宋"/>
          <w:b/>
          <w:bCs/>
          <w:sz w:val="24"/>
        </w:rPr>
      </w:pPr>
      <w:r>
        <w:rPr>
          <w:rFonts w:hint="eastAsia" w:ascii="仿宋" w:hAnsi="仿宋" w:eastAsia="仿宋" w:cs="仿宋"/>
          <w:b/>
          <w:bCs/>
          <w:sz w:val="24"/>
        </w:rPr>
        <w:t>二、质疑项目基本情况</w:t>
      </w:r>
    </w:p>
    <w:p w14:paraId="07F30A6A">
      <w:pPr>
        <w:adjustRightInd w:val="0"/>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1E34600">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7011809">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003E749">
      <w:pPr>
        <w:adjustRightInd w:val="0"/>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0CCC971">
      <w:pPr>
        <w:adjustRightInd w:val="0"/>
        <w:snapToGrid w:val="0"/>
        <w:spacing w:line="360" w:lineRule="auto"/>
        <w:rPr>
          <w:rFonts w:hint="eastAsia" w:ascii="仿宋" w:hAnsi="仿宋" w:eastAsia="仿宋" w:cs="仿宋"/>
          <w:b/>
          <w:bCs/>
          <w:sz w:val="24"/>
        </w:rPr>
      </w:pPr>
      <w:r>
        <w:rPr>
          <w:rFonts w:hint="eastAsia" w:ascii="仿宋" w:hAnsi="仿宋" w:eastAsia="仿宋" w:cs="仿宋"/>
          <w:b/>
          <w:bCs/>
          <w:sz w:val="24"/>
        </w:rPr>
        <w:t>三、质疑事项具体内容</w:t>
      </w:r>
    </w:p>
    <w:p w14:paraId="1B58B970">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5CEB8CF">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6949CBD">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E4DD9B3">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BA5761B">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5B0A7A1">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51B7958">
      <w:pPr>
        <w:adjustRightInd w:val="0"/>
        <w:snapToGrid w:val="0"/>
        <w:spacing w:line="360" w:lineRule="auto"/>
        <w:rPr>
          <w:rFonts w:hint="eastAsia" w:ascii="仿宋" w:hAnsi="仿宋" w:eastAsia="仿宋" w:cs="仿宋"/>
          <w:sz w:val="24"/>
        </w:rPr>
      </w:pPr>
      <w:r>
        <w:rPr>
          <w:rFonts w:hint="eastAsia" w:ascii="仿宋" w:hAnsi="仿宋" w:eastAsia="仿宋" w:cs="仿宋"/>
          <w:sz w:val="24"/>
        </w:rPr>
        <w:t>……</w:t>
      </w:r>
    </w:p>
    <w:p w14:paraId="6A0B0519">
      <w:pPr>
        <w:adjustRightInd w:val="0"/>
        <w:snapToGrid w:val="0"/>
        <w:spacing w:line="360" w:lineRule="auto"/>
        <w:rPr>
          <w:rFonts w:hint="eastAsia" w:ascii="仿宋" w:hAnsi="仿宋" w:eastAsia="仿宋" w:cs="仿宋"/>
          <w:b/>
          <w:bCs/>
          <w:sz w:val="24"/>
        </w:rPr>
      </w:pPr>
      <w:r>
        <w:rPr>
          <w:rFonts w:hint="eastAsia" w:ascii="仿宋" w:hAnsi="仿宋" w:eastAsia="仿宋" w:cs="仿宋"/>
          <w:b/>
          <w:bCs/>
          <w:sz w:val="24"/>
        </w:rPr>
        <w:t>四、与质疑事项相关的质疑请求</w:t>
      </w:r>
    </w:p>
    <w:p w14:paraId="43CF9202">
      <w:pPr>
        <w:adjustRightInd w:val="0"/>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D212F38">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D1D3EA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5FA49B0">
      <w:pPr>
        <w:widowControl/>
        <w:jc w:val="left"/>
        <w:rPr>
          <w:rFonts w:hint="eastAsia" w:ascii="仿宋" w:hAnsi="仿宋" w:eastAsia="仿宋" w:cs="仿宋"/>
          <w:sz w:val="32"/>
          <w:szCs w:val="32"/>
        </w:rPr>
      </w:pPr>
      <w:r>
        <w:rPr>
          <w:rFonts w:ascii="仿宋" w:hAnsi="仿宋" w:eastAsia="仿宋" w:cs="仿宋"/>
          <w:sz w:val="32"/>
          <w:szCs w:val="32"/>
        </w:rPr>
        <w:br w:type="page"/>
      </w:r>
    </w:p>
    <w:p w14:paraId="1DE9D2C9">
      <w:pPr>
        <w:rPr>
          <w:rFonts w:hint="eastAsia" w:ascii="仿宋" w:hAnsi="仿宋" w:eastAsia="仿宋" w:cs="仿宋"/>
          <w:b/>
          <w:sz w:val="28"/>
          <w:szCs w:val="32"/>
        </w:rPr>
      </w:pPr>
      <w:bookmarkStart w:id="564" w:name="_Toc11441"/>
      <w:r>
        <w:rPr>
          <w:rFonts w:hint="eastAsia" w:ascii="仿宋" w:hAnsi="仿宋" w:eastAsia="仿宋" w:cs="仿宋"/>
          <w:b/>
          <w:sz w:val="28"/>
          <w:szCs w:val="32"/>
        </w:rPr>
        <w:t>质疑函制作说明：</w:t>
      </w:r>
      <w:bookmarkEnd w:id="564"/>
    </w:p>
    <w:p w14:paraId="2E482796">
      <w:pPr>
        <w:spacing w:line="360" w:lineRule="auto"/>
        <w:ind w:firstLine="435"/>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12372AC">
      <w:pPr>
        <w:spacing w:line="360" w:lineRule="auto"/>
        <w:ind w:firstLine="435"/>
        <w:rPr>
          <w:rFonts w:hint="eastAsia" w:ascii="仿宋" w:hAnsi="仿宋" w:eastAsia="仿宋" w:cs="仿宋"/>
          <w:sz w:val="24"/>
        </w:rPr>
      </w:pPr>
      <w:r>
        <w:rPr>
          <w:rFonts w:hint="eastAsia" w:ascii="仿宋" w:hAnsi="仿宋" w:eastAsia="仿宋" w:cs="仿宋"/>
          <w:sz w:val="24"/>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67F2E768">
      <w:pPr>
        <w:spacing w:line="360" w:lineRule="auto"/>
        <w:ind w:firstLine="435"/>
        <w:rPr>
          <w:rFonts w:hint="eastAsia" w:ascii="仿宋" w:hAnsi="仿宋" w:eastAsia="仿宋" w:cs="仿宋"/>
          <w:sz w:val="24"/>
        </w:rPr>
      </w:pPr>
      <w:r>
        <w:rPr>
          <w:rFonts w:hint="eastAsia" w:ascii="仿宋" w:hAnsi="仿宋" w:eastAsia="仿宋" w:cs="仿宋"/>
          <w:sz w:val="24"/>
        </w:rPr>
        <w:t>3.质疑供应商若对项目的某一采购包进行质疑，质疑函中应列明具体包号。</w:t>
      </w:r>
    </w:p>
    <w:p w14:paraId="6CA46016">
      <w:pPr>
        <w:spacing w:line="360" w:lineRule="auto"/>
        <w:ind w:firstLine="435"/>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9072DFD">
      <w:pPr>
        <w:spacing w:line="360" w:lineRule="auto"/>
        <w:ind w:firstLine="435"/>
        <w:rPr>
          <w:rFonts w:hint="eastAsia" w:ascii="仿宋" w:hAnsi="仿宋" w:eastAsia="仿宋" w:cs="仿宋"/>
          <w:sz w:val="24"/>
        </w:rPr>
      </w:pPr>
      <w:r>
        <w:rPr>
          <w:rFonts w:hint="eastAsia" w:ascii="仿宋" w:hAnsi="仿宋" w:eastAsia="仿宋" w:cs="仿宋"/>
          <w:sz w:val="24"/>
        </w:rPr>
        <w:t>5.质疑函的质疑请求应与质疑事项相关。</w:t>
      </w:r>
    </w:p>
    <w:p w14:paraId="237C48CF">
      <w:pPr>
        <w:spacing w:line="360" w:lineRule="auto"/>
        <w:ind w:firstLine="435"/>
        <w:rPr>
          <w:rFonts w:hint="eastAsia" w:ascii="宋体" w:hAnsi="宋体" w:cs="宋体"/>
          <w:szCs w:val="28"/>
        </w:rPr>
      </w:pPr>
      <w:r>
        <w:rPr>
          <w:rFonts w:hint="eastAsia" w:ascii="仿宋" w:hAnsi="仿宋" w:eastAsia="仿宋" w:cs="仿宋"/>
          <w:sz w:val="24"/>
        </w:rPr>
        <w:t>6.质疑供应商为自然人的，质疑函应由本人签字；质疑供应商为法人或者其他组织的，质疑函应由法定代表人/主要负责人/其授权代表签字或者盖签字章，并加盖公章。</w:t>
      </w:r>
    </w:p>
    <w:p w14:paraId="7201F773">
      <w:pPr>
        <w:widowControl/>
        <w:adjustRightInd w:val="0"/>
        <w:snapToGrid w:val="0"/>
        <w:spacing w:line="360" w:lineRule="auto"/>
        <w:ind w:firstLine="420" w:firstLineChars="200"/>
        <w:rPr>
          <w:rFonts w:hint="eastAsia" w:ascii="宋体" w:hAnsi="宋体" w:eastAsia="仿宋"/>
          <w:szCs w:val="21"/>
        </w:rPr>
      </w:pPr>
    </w:p>
    <w:p w14:paraId="507EF734">
      <w:pPr>
        <w:widowControl/>
        <w:adjustRightInd w:val="0"/>
        <w:snapToGrid w:val="0"/>
        <w:spacing w:line="360" w:lineRule="auto"/>
        <w:ind w:firstLine="420" w:firstLineChars="200"/>
        <w:rPr>
          <w:rFonts w:hint="eastAsia" w:ascii="宋体" w:hAnsi="宋体" w:eastAsia="仿宋"/>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1DE6C9E">
      <w:pPr>
        <w:pStyle w:val="2"/>
        <w:widowControl/>
        <w:numPr>
          <w:ilvl w:val="0"/>
          <w:numId w:val="2"/>
        </w:numPr>
        <w:snapToGrid w:val="0"/>
        <w:spacing w:before="0" w:after="0" w:line="360" w:lineRule="auto"/>
        <w:jc w:val="center"/>
        <w:rPr>
          <w:rFonts w:hint="eastAsia" w:ascii="宋体" w:hAnsi="宋体" w:eastAsia="仿宋"/>
        </w:rPr>
      </w:pPr>
      <w:bookmarkStart w:id="565" w:name="_Toc445554746"/>
      <w:bookmarkStart w:id="566" w:name="_Toc6481"/>
      <w:bookmarkStart w:id="567" w:name="_Toc466024555"/>
      <w:bookmarkStart w:id="568" w:name="_Toc144974565"/>
      <w:bookmarkStart w:id="569" w:name="_Toc152042375"/>
      <w:bookmarkStart w:id="570" w:name="_Toc342296244"/>
      <w:bookmarkStart w:id="571" w:name="_Toc342297701"/>
      <w:bookmarkStart w:id="572" w:name="_Toc179632616"/>
      <w:bookmarkStart w:id="573" w:name="_Toc342296242"/>
      <w:bookmarkStart w:id="574" w:name="_Toc342297699"/>
      <w:bookmarkStart w:id="575" w:name="_Toc241459648"/>
      <w:bookmarkStart w:id="576" w:name="_Toc152045598"/>
      <w:r>
        <w:rPr>
          <w:rFonts w:hint="eastAsia" w:ascii="宋体" w:hAnsi="宋体" w:eastAsia="仿宋"/>
        </w:rPr>
        <w:t xml:space="preserve"> 采购需求</w:t>
      </w:r>
      <w:bookmarkEnd w:id="565"/>
      <w:bookmarkEnd w:id="566"/>
      <w:bookmarkEnd w:id="567"/>
    </w:p>
    <w:p w14:paraId="3CF9C45D">
      <w:pPr>
        <w:rPr>
          <w:rFonts w:hint="eastAsia" w:ascii="仿宋" w:hAnsi="仿宋" w:eastAsia="仿宋" w:cs="仿宋"/>
          <w:b/>
          <w:bCs/>
          <w:sz w:val="28"/>
          <w:szCs w:val="28"/>
        </w:rPr>
      </w:pPr>
      <w:r>
        <w:rPr>
          <w:rFonts w:hint="eastAsia" w:ascii="仿宋" w:hAnsi="仿宋" w:eastAsia="仿宋" w:cs="仿宋"/>
          <w:b/>
          <w:bCs/>
          <w:sz w:val="28"/>
          <w:szCs w:val="28"/>
        </w:rPr>
        <w:t>一、采购需求前附表</w:t>
      </w:r>
    </w:p>
    <w:tbl>
      <w:tblPr>
        <w:tblStyle w:val="181"/>
        <w:tblW w:w="1021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2114"/>
        <w:gridCol w:w="7145"/>
      </w:tblGrid>
      <w:tr w14:paraId="0756D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51" w:type="dxa"/>
            <w:tcBorders>
              <w:left w:val="single" w:color="000000" w:sz="2" w:space="0"/>
              <w:right w:val="single" w:color="000000" w:sz="2" w:space="0"/>
            </w:tcBorders>
            <w:vAlign w:val="center"/>
          </w:tcPr>
          <w:p w14:paraId="54EEEAE4">
            <w:pPr>
              <w:pStyle w:val="180"/>
              <w:spacing w:before="167" w:line="212" w:lineRule="auto"/>
              <w:jc w:val="center"/>
              <w:rPr>
                <w:rFonts w:hint="eastAsia" w:ascii="仿宋" w:hAnsi="仿宋" w:eastAsia="仿宋" w:cs="仿宋"/>
              </w:rPr>
            </w:pPr>
            <w:r>
              <w:rPr>
                <w:rFonts w:hint="eastAsia" w:ascii="仿宋" w:hAnsi="仿宋" w:eastAsia="仿宋" w:cs="仿宋"/>
                <w:b/>
                <w:bCs/>
                <w:spacing w:val="-6"/>
              </w:rPr>
              <w:t>序号</w:t>
            </w:r>
          </w:p>
        </w:tc>
        <w:tc>
          <w:tcPr>
            <w:tcW w:w="2114" w:type="dxa"/>
            <w:tcBorders>
              <w:left w:val="single" w:color="000000" w:sz="2" w:space="0"/>
              <w:right w:val="single" w:color="000000" w:sz="2" w:space="0"/>
            </w:tcBorders>
            <w:vAlign w:val="center"/>
          </w:tcPr>
          <w:p w14:paraId="6CB61520">
            <w:pPr>
              <w:pStyle w:val="180"/>
              <w:spacing w:before="98" w:line="211" w:lineRule="auto"/>
              <w:jc w:val="center"/>
              <w:rPr>
                <w:rFonts w:hint="eastAsia" w:ascii="仿宋" w:hAnsi="仿宋" w:eastAsia="仿宋" w:cs="仿宋"/>
              </w:rPr>
            </w:pPr>
            <w:r>
              <w:rPr>
                <w:rFonts w:hint="eastAsia" w:ascii="仿宋" w:hAnsi="仿宋" w:eastAsia="仿宋" w:cs="仿宋"/>
                <w:b/>
                <w:bCs/>
                <w:spacing w:val="-5"/>
              </w:rPr>
              <w:t>条款名称</w:t>
            </w:r>
          </w:p>
        </w:tc>
        <w:tc>
          <w:tcPr>
            <w:tcW w:w="7145" w:type="dxa"/>
            <w:tcBorders>
              <w:left w:val="single" w:color="000000" w:sz="2" w:space="0"/>
            </w:tcBorders>
          </w:tcPr>
          <w:p w14:paraId="205566D6">
            <w:pPr>
              <w:pStyle w:val="180"/>
              <w:spacing w:before="98" w:line="211" w:lineRule="auto"/>
              <w:ind w:left="2355"/>
              <w:rPr>
                <w:rFonts w:hint="eastAsia" w:ascii="仿宋" w:hAnsi="仿宋" w:eastAsia="仿宋" w:cs="仿宋"/>
              </w:rPr>
            </w:pPr>
            <w:r>
              <w:rPr>
                <w:rFonts w:hint="eastAsia" w:ascii="仿宋" w:hAnsi="仿宋" w:eastAsia="仿宋" w:cs="仿宋"/>
                <w:b/>
                <w:bCs/>
                <w:spacing w:val="-7"/>
              </w:rPr>
              <w:t>内容、说明与要求</w:t>
            </w:r>
          </w:p>
        </w:tc>
      </w:tr>
      <w:tr w14:paraId="3B215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951" w:type="dxa"/>
            <w:tcBorders>
              <w:left w:val="single" w:color="000000" w:sz="2" w:space="0"/>
              <w:right w:val="single" w:color="000000" w:sz="2" w:space="0"/>
            </w:tcBorders>
            <w:vAlign w:val="center"/>
          </w:tcPr>
          <w:p w14:paraId="2A6D4BF2">
            <w:pPr>
              <w:pStyle w:val="180"/>
              <w:spacing w:before="164" w:line="232" w:lineRule="auto"/>
              <w:jc w:val="center"/>
              <w:rPr>
                <w:rFonts w:hint="eastAsia" w:ascii="仿宋" w:hAnsi="仿宋" w:eastAsia="仿宋" w:cs="仿宋"/>
              </w:rPr>
            </w:pPr>
            <w:r>
              <w:rPr>
                <w:rFonts w:hint="eastAsia" w:ascii="仿宋" w:hAnsi="仿宋" w:eastAsia="仿宋" w:cs="仿宋"/>
              </w:rPr>
              <w:t>1</w:t>
            </w:r>
          </w:p>
        </w:tc>
        <w:tc>
          <w:tcPr>
            <w:tcW w:w="2114" w:type="dxa"/>
            <w:tcBorders>
              <w:left w:val="single" w:color="000000" w:sz="2" w:space="0"/>
              <w:right w:val="single" w:color="000000" w:sz="2" w:space="0"/>
            </w:tcBorders>
            <w:vAlign w:val="center"/>
          </w:tcPr>
          <w:p w14:paraId="3E075569">
            <w:pPr>
              <w:pStyle w:val="180"/>
              <w:spacing w:before="95" w:line="211" w:lineRule="auto"/>
              <w:jc w:val="center"/>
              <w:rPr>
                <w:rFonts w:hint="eastAsia" w:ascii="仿宋" w:hAnsi="仿宋" w:eastAsia="仿宋" w:cs="仿宋"/>
              </w:rPr>
            </w:pPr>
            <w:r>
              <w:rPr>
                <w:rFonts w:hint="eastAsia" w:ascii="仿宋" w:hAnsi="仿宋" w:eastAsia="仿宋" w:cs="仿宋"/>
                <w:spacing w:val="-3"/>
              </w:rPr>
              <w:t>服务地点</w:t>
            </w:r>
          </w:p>
        </w:tc>
        <w:tc>
          <w:tcPr>
            <w:tcW w:w="7145" w:type="dxa"/>
            <w:tcBorders>
              <w:left w:val="single" w:color="000000" w:sz="2" w:space="0"/>
            </w:tcBorders>
            <w:vAlign w:val="center"/>
          </w:tcPr>
          <w:p w14:paraId="3A647676">
            <w:pPr>
              <w:pStyle w:val="180"/>
              <w:spacing w:before="95" w:line="210" w:lineRule="auto"/>
              <w:ind w:left="106"/>
              <w:rPr>
                <w:rFonts w:hint="eastAsia" w:ascii="仿宋" w:hAnsi="仿宋" w:eastAsia="仿宋" w:cs="仿宋"/>
                <w:lang w:eastAsia="zh-CN"/>
              </w:rPr>
            </w:pPr>
            <w:r>
              <w:rPr>
                <w:rFonts w:hint="eastAsia" w:ascii="仿宋" w:hAnsi="仿宋" w:eastAsia="仿宋" w:cs="仿宋"/>
                <w:spacing w:val="-1"/>
                <w:lang w:eastAsia="zh-CN"/>
              </w:rPr>
              <w:t>合肥市淮海大道100号，安徽省公共卫生临床中心（安徽省传染病医院）</w:t>
            </w:r>
          </w:p>
        </w:tc>
      </w:tr>
      <w:tr w14:paraId="143B5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51" w:type="dxa"/>
            <w:tcBorders>
              <w:left w:val="single" w:color="000000" w:sz="2" w:space="0"/>
              <w:right w:val="single" w:color="000000" w:sz="2" w:space="0"/>
            </w:tcBorders>
            <w:vAlign w:val="center"/>
          </w:tcPr>
          <w:p w14:paraId="08A51F81">
            <w:pPr>
              <w:pStyle w:val="180"/>
              <w:spacing w:before="165" w:line="232" w:lineRule="auto"/>
              <w:jc w:val="center"/>
              <w:rPr>
                <w:rFonts w:hint="eastAsia" w:ascii="仿宋" w:hAnsi="仿宋" w:eastAsia="仿宋" w:cs="仿宋"/>
              </w:rPr>
            </w:pPr>
            <w:r>
              <w:rPr>
                <w:rFonts w:hint="eastAsia" w:ascii="仿宋" w:hAnsi="仿宋" w:eastAsia="仿宋" w:cs="仿宋"/>
              </w:rPr>
              <w:t>2</w:t>
            </w:r>
          </w:p>
        </w:tc>
        <w:tc>
          <w:tcPr>
            <w:tcW w:w="2114" w:type="dxa"/>
            <w:tcBorders>
              <w:left w:val="single" w:color="000000" w:sz="2" w:space="0"/>
              <w:right w:val="single" w:color="000000" w:sz="2" w:space="0"/>
            </w:tcBorders>
            <w:vAlign w:val="center"/>
          </w:tcPr>
          <w:p w14:paraId="41B63D1A">
            <w:pPr>
              <w:pStyle w:val="180"/>
              <w:spacing w:before="96" w:line="211" w:lineRule="auto"/>
              <w:jc w:val="center"/>
              <w:rPr>
                <w:rFonts w:hint="eastAsia" w:ascii="仿宋" w:hAnsi="仿宋" w:eastAsia="仿宋" w:cs="仿宋"/>
              </w:rPr>
            </w:pPr>
            <w:r>
              <w:rPr>
                <w:rFonts w:hint="eastAsia" w:ascii="仿宋" w:hAnsi="仿宋" w:eastAsia="仿宋" w:cs="仿宋"/>
                <w:spacing w:val="-3"/>
              </w:rPr>
              <w:t>服务期限</w:t>
            </w:r>
          </w:p>
        </w:tc>
        <w:tc>
          <w:tcPr>
            <w:tcW w:w="7145" w:type="dxa"/>
            <w:tcBorders>
              <w:left w:val="single" w:color="000000" w:sz="2" w:space="0"/>
            </w:tcBorders>
            <w:vAlign w:val="center"/>
          </w:tcPr>
          <w:p w14:paraId="0752F2DA">
            <w:pPr>
              <w:pStyle w:val="180"/>
              <w:spacing w:before="96" w:line="211" w:lineRule="auto"/>
              <w:ind w:left="106"/>
              <w:rPr>
                <w:rFonts w:hint="eastAsia" w:ascii="仿宋" w:hAnsi="仿宋" w:eastAsia="仿宋" w:cs="仿宋"/>
              </w:rPr>
            </w:pPr>
            <w:r>
              <w:rPr>
                <w:rFonts w:hint="eastAsia" w:ascii="仿宋" w:hAnsi="仿宋" w:eastAsia="仿宋" w:cs="仿宋"/>
                <w:spacing w:val="6"/>
              </w:rPr>
              <w:t>3年</w:t>
            </w:r>
          </w:p>
        </w:tc>
      </w:tr>
      <w:tr w14:paraId="6401D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951" w:type="dxa"/>
            <w:tcBorders>
              <w:left w:val="single" w:color="000000" w:sz="2" w:space="0"/>
              <w:right w:val="single" w:color="000000" w:sz="2" w:space="0"/>
            </w:tcBorders>
            <w:vAlign w:val="center"/>
          </w:tcPr>
          <w:p w14:paraId="43AA25C6">
            <w:pPr>
              <w:pStyle w:val="180"/>
              <w:spacing w:before="68" w:line="231" w:lineRule="auto"/>
              <w:jc w:val="center"/>
              <w:rPr>
                <w:rFonts w:hint="eastAsia" w:ascii="仿宋" w:hAnsi="仿宋" w:eastAsia="仿宋" w:cs="仿宋"/>
              </w:rPr>
            </w:pPr>
            <w:r>
              <w:rPr>
                <w:rFonts w:hint="eastAsia" w:ascii="仿宋" w:hAnsi="仿宋" w:eastAsia="仿宋" w:cs="仿宋"/>
              </w:rPr>
              <w:t>3</w:t>
            </w:r>
          </w:p>
        </w:tc>
        <w:tc>
          <w:tcPr>
            <w:tcW w:w="2114" w:type="dxa"/>
            <w:tcBorders>
              <w:left w:val="single" w:color="000000" w:sz="2" w:space="0"/>
              <w:right w:val="single" w:color="000000" w:sz="2" w:space="0"/>
            </w:tcBorders>
            <w:vAlign w:val="center"/>
          </w:tcPr>
          <w:p w14:paraId="7177F99D">
            <w:pPr>
              <w:pStyle w:val="180"/>
              <w:spacing w:before="51" w:line="359" w:lineRule="auto"/>
              <w:ind w:right="104"/>
              <w:jc w:val="center"/>
              <w:rPr>
                <w:rFonts w:hint="eastAsia" w:ascii="仿宋" w:hAnsi="仿宋" w:eastAsia="仿宋" w:cs="仿宋"/>
                <w:lang w:eastAsia="zh-CN"/>
              </w:rPr>
            </w:pPr>
            <w:r>
              <w:rPr>
                <w:rFonts w:hint="eastAsia" w:ascii="仿宋" w:hAnsi="仿宋" w:eastAsia="仿宋" w:cs="仿宋"/>
                <w:spacing w:val="1"/>
                <w:lang w:eastAsia="zh-CN"/>
              </w:rPr>
              <w:t>本项目采购标的名称及所属行业</w:t>
            </w:r>
          </w:p>
        </w:tc>
        <w:tc>
          <w:tcPr>
            <w:tcW w:w="7145" w:type="dxa"/>
            <w:tcBorders>
              <w:left w:val="single" w:color="000000" w:sz="2" w:space="0"/>
            </w:tcBorders>
            <w:vAlign w:val="center"/>
          </w:tcPr>
          <w:p w14:paraId="22AFF053">
            <w:pPr>
              <w:pStyle w:val="180"/>
              <w:spacing w:before="51" w:line="359" w:lineRule="auto"/>
              <w:ind w:left="101" w:right="104" w:firstLine="1"/>
              <w:rPr>
                <w:rFonts w:hint="eastAsia" w:ascii="仿宋" w:hAnsi="仿宋" w:eastAsia="仿宋" w:cs="仿宋"/>
                <w:lang w:eastAsia="zh-CN"/>
              </w:rPr>
            </w:pPr>
            <w:r>
              <w:rPr>
                <w:rFonts w:hint="eastAsia" w:ascii="仿宋" w:hAnsi="仿宋" w:eastAsia="仿宋" w:cs="仿宋"/>
                <w:spacing w:val="1"/>
                <w:lang w:eastAsia="zh-CN"/>
              </w:rPr>
              <w:t>标的名称：安徽省公共卫生临床中心（安徽省传染病医院）X线计算机断层扫描仪及单光子发射断层成像装置全维保服务项目（</w:t>
            </w:r>
            <w:r>
              <w:rPr>
                <w:rFonts w:hint="eastAsia" w:ascii="仿宋" w:hAnsi="仿宋" w:eastAsia="仿宋" w:cs="仿宋"/>
                <w:spacing w:val="1"/>
                <w:lang w:val="en-US" w:eastAsia="zh-CN"/>
              </w:rPr>
              <w:t>二次</w:t>
            </w:r>
            <w:r>
              <w:rPr>
                <w:rFonts w:hint="eastAsia" w:ascii="仿宋" w:hAnsi="仿宋" w:eastAsia="仿宋" w:cs="仿宋"/>
                <w:spacing w:val="1"/>
                <w:lang w:eastAsia="zh-CN"/>
              </w:rPr>
              <w:t>）</w:t>
            </w:r>
          </w:p>
          <w:p w14:paraId="52A37665">
            <w:pPr>
              <w:pStyle w:val="180"/>
              <w:spacing w:line="190" w:lineRule="auto"/>
              <w:ind w:left="101"/>
              <w:rPr>
                <w:rFonts w:hint="eastAsia" w:ascii="仿宋" w:hAnsi="仿宋" w:eastAsia="仿宋" w:cs="仿宋"/>
                <w:lang w:eastAsia="zh-CN"/>
              </w:rPr>
            </w:pPr>
            <w:r>
              <w:rPr>
                <w:rFonts w:hint="eastAsia" w:ascii="仿宋" w:hAnsi="仿宋" w:eastAsia="仿宋" w:cs="仿宋"/>
                <w:sz w:val="24"/>
                <w:szCs w:val="24"/>
                <w:lang w:eastAsia="zh-CN"/>
              </w:rPr>
              <w:t>所属行业：其他未列明行业</w:t>
            </w:r>
          </w:p>
        </w:tc>
      </w:tr>
      <w:tr w14:paraId="41C1E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951" w:type="dxa"/>
            <w:tcBorders>
              <w:left w:val="single" w:color="000000" w:sz="2" w:space="0"/>
              <w:right w:val="single" w:color="000000" w:sz="2" w:space="0"/>
            </w:tcBorders>
            <w:vAlign w:val="center"/>
          </w:tcPr>
          <w:p w14:paraId="368E008D">
            <w:pPr>
              <w:pStyle w:val="180"/>
              <w:spacing w:before="68" w:line="232" w:lineRule="auto"/>
              <w:jc w:val="center"/>
              <w:rPr>
                <w:rFonts w:hint="eastAsia" w:ascii="仿宋" w:hAnsi="仿宋" w:eastAsia="仿宋" w:cs="仿宋"/>
              </w:rPr>
            </w:pPr>
            <w:r>
              <w:rPr>
                <w:rFonts w:hint="eastAsia" w:ascii="仿宋" w:hAnsi="仿宋" w:eastAsia="仿宋" w:cs="仿宋"/>
              </w:rPr>
              <w:t>4</w:t>
            </w:r>
          </w:p>
        </w:tc>
        <w:tc>
          <w:tcPr>
            <w:tcW w:w="2114" w:type="dxa"/>
            <w:tcBorders>
              <w:left w:val="single" w:color="000000" w:sz="2" w:space="0"/>
              <w:right w:val="single" w:color="000000" w:sz="2" w:space="0"/>
            </w:tcBorders>
            <w:vAlign w:val="center"/>
          </w:tcPr>
          <w:p w14:paraId="00B803D5">
            <w:pPr>
              <w:pStyle w:val="180"/>
              <w:spacing w:before="258" w:line="211" w:lineRule="auto"/>
              <w:jc w:val="center"/>
              <w:rPr>
                <w:rFonts w:hint="eastAsia" w:ascii="仿宋" w:hAnsi="仿宋" w:eastAsia="仿宋" w:cs="仿宋"/>
              </w:rPr>
            </w:pPr>
            <w:r>
              <w:rPr>
                <w:rFonts w:hint="eastAsia" w:ascii="仿宋" w:hAnsi="仿宋" w:eastAsia="仿宋" w:cs="仿宋"/>
                <w:spacing w:val="-3"/>
              </w:rPr>
              <w:t>付款方式</w:t>
            </w:r>
          </w:p>
        </w:tc>
        <w:tc>
          <w:tcPr>
            <w:tcW w:w="7145" w:type="dxa"/>
            <w:tcBorders>
              <w:left w:val="single" w:color="000000" w:sz="2" w:space="0"/>
            </w:tcBorders>
            <w:vAlign w:val="center"/>
          </w:tcPr>
          <w:p w14:paraId="2E77B75B">
            <w:pPr>
              <w:pStyle w:val="180"/>
              <w:spacing w:before="54" w:line="224" w:lineRule="auto"/>
              <w:ind w:left="101" w:right="104"/>
              <w:rPr>
                <w:rFonts w:hint="eastAsia" w:ascii="仿宋" w:hAnsi="仿宋" w:eastAsia="仿宋" w:cs="仿宋"/>
                <w:lang w:eastAsia="zh-CN"/>
              </w:rPr>
            </w:pPr>
            <w:r>
              <w:rPr>
                <w:rFonts w:hint="eastAsia" w:ascii="仿宋" w:hAnsi="仿宋" w:eastAsia="仿宋" w:cs="仿宋"/>
                <w:spacing w:val="1"/>
                <w:lang w:eastAsia="zh-CN"/>
              </w:rPr>
              <w:t>每半年支付一次，维保合同生效后第一个月内支付当期款项。具体详见合同约定。</w:t>
            </w:r>
          </w:p>
        </w:tc>
      </w:tr>
    </w:tbl>
    <w:p w14:paraId="45FA5623">
      <w:pPr>
        <w:rPr>
          <w:rFonts w:hint="eastAsia" w:ascii="仿宋" w:hAnsi="仿宋" w:eastAsia="仿宋" w:cs="仿宋"/>
        </w:rPr>
      </w:pPr>
    </w:p>
    <w:p w14:paraId="2FC7611F">
      <w:pPr>
        <w:rPr>
          <w:rFonts w:hint="eastAsia" w:ascii="仿宋" w:hAnsi="仿宋" w:eastAsia="仿宋" w:cs="仿宋"/>
        </w:rPr>
      </w:pPr>
    </w:p>
    <w:p w14:paraId="0EE5A507">
      <w:pPr>
        <w:rPr>
          <w:rFonts w:hint="eastAsia" w:ascii="仿宋" w:hAnsi="仿宋" w:eastAsia="仿宋" w:cs="仿宋"/>
          <w:b/>
          <w:bCs/>
          <w:sz w:val="28"/>
          <w:szCs w:val="28"/>
        </w:rPr>
      </w:pPr>
      <w:r>
        <w:rPr>
          <w:rFonts w:hint="eastAsia" w:ascii="仿宋" w:hAnsi="仿宋" w:eastAsia="仿宋" w:cs="仿宋"/>
          <w:b/>
          <w:bCs/>
          <w:sz w:val="28"/>
          <w:szCs w:val="28"/>
        </w:rPr>
        <w:t>二、设备信息</w:t>
      </w:r>
    </w:p>
    <w:tbl>
      <w:tblPr>
        <w:tblStyle w:val="47"/>
        <w:tblW w:w="1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3378"/>
        <w:gridCol w:w="2509"/>
        <w:gridCol w:w="2266"/>
        <w:gridCol w:w="846"/>
      </w:tblGrid>
      <w:tr w14:paraId="25A2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77" w:type="dxa"/>
            <w:vAlign w:val="center"/>
          </w:tcPr>
          <w:p w14:paraId="1AF8AAF4">
            <w:pPr>
              <w:jc w:val="center"/>
              <w:rPr>
                <w:rFonts w:hint="eastAsia" w:ascii="仿宋" w:hAnsi="仿宋" w:eastAsia="仿宋" w:cs="仿宋"/>
                <w:sz w:val="24"/>
                <w:szCs w:val="32"/>
              </w:rPr>
            </w:pPr>
            <w:r>
              <w:rPr>
                <w:rFonts w:hint="eastAsia" w:ascii="仿宋" w:hAnsi="仿宋" w:eastAsia="仿宋" w:cs="仿宋"/>
                <w:sz w:val="24"/>
                <w:szCs w:val="32"/>
              </w:rPr>
              <w:t>序号</w:t>
            </w:r>
          </w:p>
        </w:tc>
        <w:tc>
          <w:tcPr>
            <w:tcW w:w="3378" w:type="dxa"/>
            <w:vAlign w:val="center"/>
          </w:tcPr>
          <w:p w14:paraId="50C308F7">
            <w:pPr>
              <w:jc w:val="center"/>
              <w:rPr>
                <w:rFonts w:hint="eastAsia" w:ascii="仿宋" w:hAnsi="仿宋" w:eastAsia="仿宋" w:cs="仿宋"/>
                <w:sz w:val="24"/>
                <w:szCs w:val="32"/>
              </w:rPr>
            </w:pPr>
            <w:r>
              <w:rPr>
                <w:rFonts w:hint="eastAsia" w:ascii="仿宋" w:hAnsi="仿宋" w:eastAsia="仿宋" w:cs="仿宋"/>
                <w:sz w:val="24"/>
                <w:szCs w:val="32"/>
              </w:rPr>
              <w:t>设备名称</w:t>
            </w:r>
          </w:p>
        </w:tc>
        <w:tc>
          <w:tcPr>
            <w:tcW w:w="2509" w:type="dxa"/>
            <w:vAlign w:val="center"/>
          </w:tcPr>
          <w:p w14:paraId="653BB9A7">
            <w:pPr>
              <w:jc w:val="center"/>
              <w:rPr>
                <w:rFonts w:hint="eastAsia" w:ascii="仿宋" w:hAnsi="仿宋" w:eastAsia="仿宋" w:cs="仿宋"/>
                <w:sz w:val="24"/>
                <w:szCs w:val="32"/>
              </w:rPr>
            </w:pPr>
            <w:r>
              <w:rPr>
                <w:rFonts w:hint="eastAsia" w:ascii="仿宋" w:hAnsi="仿宋" w:eastAsia="仿宋" w:cs="仿宋"/>
                <w:sz w:val="24"/>
                <w:szCs w:val="32"/>
              </w:rPr>
              <w:t>型号规格</w:t>
            </w:r>
          </w:p>
        </w:tc>
        <w:tc>
          <w:tcPr>
            <w:tcW w:w="2266" w:type="dxa"/>
            <w:vAlign w:val="center"/>
          </w:tcPr>
          <w:p w14:paraId="3F4E3846">
            <w:pPr>
              <w:jc w:val="center"/>
              <w:rPr>
                <w:rFonts w:hint="eastAsia" w:ascii="仿宋" w:hAnsi="仿宋" w:eastAsia="仿宋" w:cs="仿宋"/>
                <w:sz w:val="24"/>
                <w:szCs w:val="32"/>
              </w:rPr>
            </w:pPr>
            <w:r>
              <w:rPr>
                <w:rFonts w:hint="eastAsia" w:ascii="仿宋" w:hAnsi="仿宋" w:eastAsia="仿宋" w:cs="仿宋"/>
                <w:sz w:val="24"/>
                <w:szCs w:val="32"/>
              </w:rPr>
              <w:t>机身编号</w:t>
            </w:r>
          </w:p>
        </w:tc>
        <w:tc>
          <w:tcPr>
            <w:tcW w:w="846" w:type="dxa"/>
            <w:vAlign w:val="center"/>
          </w:tcPr>
          <w:p w14:paraId="36D1B1E4">
            <w:pPr>
              <w:jc w:val="center"/>
              <w:rPr>
                <w:rFonts w:hint="eastAsia" w:ascii="仿宋" w:hAnsi="仿宋" w:eastAsia="仿宋" w:cs="仿宋"/>
                <w:sz w:val="24"/>
                <w:szCs w:val="32"/>
              </w:rPr>
            </w:pPr>
            <w:r>
              <w:rPr>
                <w:rFonts w:hint="eastAsia" w:ascii="仿宋" w:hAnsi="仿宋" w:eastAsia="仿宋" w:cs="仿宋"/>
                <w:sz w:val="24"/>
                <w:szCs w:val="32"/>
              </w:rPr>
              <w:t>数量</w:t>
            </w:r>
          </w:p>
        </w:tc>
      </w:tr>
      <w:tr w14:paraId="727C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077" w:type="dxa"/>
            <w:vAlign w:val="center"/>
          </w:tcPr>
          <w:p w14:paraId="5FF89539">
            <w:pPr>
              <w:jc w:val="center"/>
              <w:rPr>
                <w:rFonts w:hint="eastAsia" w:ascii="仿宋" w:hAnsi="仿宋" w:eastAsia="仿宋" w:cs="仿宋"/>
                <w:sz w:val="24"/>
                <w:szCs w:val="32"/>
              </w:rPr>
            </w:pPr>
            <w:r>
              <w:rPr>
                <w:rFonts w:hint="eastAsia" w:ascii="仿宋" w:hAnsi="仿宋" w:eastAsia="仿宋" w:cs="仿宋"/>
                <w:sz w:val="24"/>
                <w:szCs w:val="32"/>
              </w:rPr>
              <w:t>1</w:t>
            </w:r>
          </w:p>
        </w:tc>
        <w:tc>
          <w:tcPr>
            <w:tcW w:w="3378" w:type="dxa"/>
            <w:vAlign w:val="center"/>
          </w:tcPr>
          <w:p w14:paraId="5E81870B">
            <w:pPr>
              <w:jc w:val="center"/>
              <w:rPr>
                <w:rFonts w:hint="eastAsia" w:ascii="仿宋" w:hAnsi="仿宋" w:eastAsia="仿宋" w:cs="仿宋"/>
                <w:sz w:val="24"/>
                <w:szCs w:val="32"/>
              </w:rPr>
            </w:pPr>
            <w:r>
              <w:rPr>
                <w:rFonts w:hint="eastAsia" w:ascii="仿宋" w:hAnsi="仿宋" w:eastAsia="仿宋" w:cs="仿宋"/>
                <w:sz w:val="24"/>
                <w:szCs w:val="32"/>
              </w:rPr>
              <w:t>单光子发射断层成像装置</w:t>
            </w:r>
          </w:p>
        </w:tc>
        <w:tc>
          <w:tcPr>
            <w:tcW w:w="2509" w:type="dxa"/>
            <w:vAlign w:val="center"/>
          </w:tcPr>
          <w:p w14:paraId="2A269AF2">
            <w:pPr>
              <w:jc w:val="center"/>
              <w:rPr>
                <w:rFonts w:hint="eastAsia" w:ascii="仿宋" w:hAnsi="仿宋" w:eastAsia="仿宋" w:cs="仿宋"/>
                <w:sz w:val="24"/>
                <w:szCs w:val="32"/>
              </w:rPr>
            </w:pPr>
            <w:r>
              <w:rPr>
                <w:rFonts w:hint="eastAsia" w:ascii="仿宋" w:hAnsi="仿宋" w:eastAsia="仿宋" w:cs="仿宋"/>
                <w:sz w:val="24"/>
                <w:szCs w:val="32"/>
              </w:rPr>
              <w:t xml:space="preserve">Dicovery NM/CT </w:t>
            </w:r>
          </w:p>
          <w:p w14:paraId="2613099C">
            <w:pPr>
              <w:jc w:val="center"/>
              <w:rPr>
                <w:rFonts w:hint="eastAsia" w:ascii="仿宋" w:hAnsi="仿宋" w:eastAsia="仿宋" w:cs="仿宋"/>
                <w:sz w:val="24"/>
                <w:szCs w:val="32"/>
              </w:rPr>
            </w:pPr>
            <w:r>
              <w:rPr>
                <w:rFonts w:hint="eastAsia" w:ascii="仿宋" w:hAnsi="仿宋" w:eastAsia="仿宋" w:cs="仿宋"/>
                <w:sz w:val="24"/>
                <w:szCs w:val="32"/>
              </w:rPr>
              <w:t>670 Pro</w:t>
            </w:r>
          </w:p>
        </w:tc>
        <w:tc>
          <w:tcPr>
            <w:tcW w:w="2266" w:type="dxa"/>
            <w:vAlign w:val="center"/>
          </w:tcPr>
          <w:p w14:paraId="43647B64">
            <w:pPr>
              <w:jc w:val="center"/>
              <w:rPr>
                <w:rFonts w:hint="eastAsia" w:ascii="仿宋" w:hAnsi="仿宋" w:eastAsia="仿宋" w:cs="仿宋"/>
                <w:sz w:val="24"/>
                <w:szCs w:val="32"/>
              </w:rPr>
            </w:pPr>
            <w:r>
              <w:rPr>
                <w:rFonts w:ascii="仿宋" w:hAnsi="仿宋" w:eastAsia="仿宋" w:cs="仿宋"/>
                <w:sz w:val="24"/>
                <w:szCs w:val="32"/>
              </w:rPr>
              <w:t>082426110017</w:t>
            </w:r>
          </w:p>
        </w:tc>
        <w:tc>
          <w:tcPr>
            <w:tcW w:w="846" w:type="dxa"/>
            <w:vAlign w:val="center"/>
          </w:tcPr>
          <w:p w14:paraId="00DE7D61">
            <w:pPr>
              <w:jc w:val="center"/>
              <w:rPr>
                <w:rFonts w:hint="eastAsia" w:ascii="仿宋" w:hAnsi="仿宋" w:eastAsia="仿宋" w:cs="仿宋"/>
                <w:sz w:val="24"/>
                <w:szCs w:val="32"/>
              </w:rPr>
            </w:pPr>
            <w:r>
              <w:rPr>
                <w:rFonts w:hint="eastAsia" w:ascii="仿宋" w:hAnsi="仿宋" w:eastAsia="仿宋" w:cs="仿宋"/>
                <w:sz w:val="24"/>
                <w:szCs w:val="32"/>
              </w:rPr>
              <w:t>1</w:t>
            </w:r>
          </w:p>
        </w:tc>
      </w:tr>
      <w:tr w14:paraId="14D0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077" w:type="dxa"/>
            <w:vAlign w:val="center"/>
          </w:tcPr>
          <w:p w14:paraId="3255D602">
            <w:pPr>
              <w:jc w:val="center"/>
              <w:rPr>
                <w:rFonts w:hint="eastAsia" w:ascii="仿宋" w:hAnsi="仿宋" w:eastAsia="仿宋" w:cs="仿宋"/>
                <w:sz w:val="24"/>
                <w:szCs w:val="32"/>
              </w:rPr>
            </w:pPr>
            <w:r>
              <w:rPr>
                <w:rFonts w:hint="eastAsia" w:ascii="仿宋" w:hAnsi="仿宋" w:eastAsia="仿宋" w:cs="仿宋"/>
                <w:sz w:val="24"/>
                <w:szCs w:val="32"/>
              </w:rPr>
              <w:t>2</w:t>
            </w:r>
          </w:p>
        </w:tc>
        <w:tc>
          <w:tcPr>
            <w:tcW w:w="3378" w:type="dxa"/>
            <w:vAlign w:val="center"/>
          </w:tcPr>
          <w:p w14:paraId="21FFE3F8">
            <w:pPr>
              <w:jc w:val="center"/>
              <w:rPr>
                <w:rFonts w:hint="eastAsia" w:ascii="仿宋" w:hAnsi="仿宋" w:eastAsia="仿宋" w:cs="仿宋"/>
                <w:sz w:val="24"/>
                <w:szCs w:val="32"/>
              </w:rPr>
            </w:pPr>
            <w:r>
              <w:rPr>
                <w:rFonts w:hint="eastAsia" w:ascii="仿宋" w:hAnsi="仿宋" w:eastAsia="仿宋" w:cs="仿宋"/>
                <w:sz w:val="24"/>
                <w:szCs w:val="32"/>
              </w:rPr>
              <w:t>X线计算机断层扫描仪</w:t>
            </w:r>
          </w:p>
        </w:tc>
        <w:tc>
          <w:tcPr>
            <w:tcW w:w="2509" w:type="dxa"/>
            <w:vAlign w:val="center"/>
          </w:tcPr>
          <w:p w14:paraId="70D96161">
            <w:pPr>
              <w:jc w:val="center"/>
              <w:rPr>
                <w:rFonts w:hint="eastAsia" w:ascii="仿宋" w:hAnsi="仿宋" w:eastAsia="仿宋" w:cs="仿宋"/>
                <w:sz w:val="24"/>
                <w:szCs w:val="32"/>
              </w:rPr>
            </w:pPr>
            <w:r>
              <w:rPr>
                <w:rFonts w:hint="eastAsia" w:ascii="仿宋" w:hAnsi="仿宋" w:eastAsia="仿宋" w:cs="仿宋"/>
                <w:sz w:val="24"/>
                <w:szCs w:val="32"/>
              </w:rPr>
              <w:t>Optima CT680 Quantum</w:t>
            </w:r>
          </w:p>
        </w:tc>
        <w:tc>
          <w:tcPr>
            <w:tcW w:w="2266" w:type="dxa"/>
            <w:vAlign w:val="center"/>
          </w:tcPr>
          <w:p w14:paraId="5E79C098">
            <w:pPr>
              <w:jc w:val="center"/>
              <w:rPr>
                <w:rFonts w:hint="eastAsia" w:ascii="仿宋" w:hAnsi="仿宋" w:eastAsia="仿宋" w:cs="仿宋"/>
                <w:sz w:val="24"/>
                <w:szCs w:val="32"/>
              </w:rPr>
            </w:pPr>
            <w:r>
              <w:rPr>
                <w:rFonts w:hint="eastAsia" w:ascii="仿宋" w:hAnsi="仿宋" w:eastAsia="仿宋" w:cs="仿宋"/>
                <w:sz w:val="24"/>
                <w:szCs w:val="32"/>
              </w:rPr>
              <w:t>082421110138</w:t>
            </w:r>
          </w:p>
        </w:tc>
        <w:tc>
          <w:tcPr>
            <w:tcW w:w="846" w:type="dxa"/>
            <w:vAlign w:val="center"/>
          </w:tcPr>
          <w:p w14:paraId="7FDE78E2">
            <w:pPr>
              <w:jc w:val="center"/>
              <w:rPr>
                <w:rFonts w:hint="eastAsia" w:ascii="仿宋" w:hAnsi="仿宋" w:eastAsia="仿宋" w:cs="仿宋"/>
                <w:sz w:val="24"/>
                <w:szCs w:val="32"/>
              </w:rPr>
            </w:pPr>
            <w:r>
              <w:rPr>
                <w:rFonts w:hint="eastAsia" w:ascii="仿宋" w:hAnsi="仿宋" w:eastAsia="仿宋" w:cs="仿宋"/>
                <w:sz w:val="24"/>
                <w:szCs w:val="32"/>
              </w:rPr>
              <w:t>1</w:t>
            </w:r>
          </w:p>
        </w:tc>
      </w:tr>
    </w:tbl>
    <w:p w14:paraId="19BF5DE2">
      <w:pPr>
        <w:rPr>
          <w:rFonts w:hint="eastAsia" w:ascii="仿宋" w:hAnsi="仿宋" w:eastAsia="仿宋" w:cs="仿宋"/>
          <w:sz w:val="24"/>
          <w:szCs w:val="32"/>
        </w:rPr>
      </w:pPr>
    </w:p>
    <w:p w14:paraId="5D81795F">
      <w:pPr>
        <w:rPr>
          <w:rFonts w:hint="eastAsia" w:ascii="仿宋" w:hAnsi="仿宋" w:eastAsia="仿宋" w:cs="仿宋"/>
        </w:rPr>
      </w:pPr>
    </w:p>
    <w:p w14:paraId="4B1A1C49">
      <w:pPr>
        <w:rPr>
          <w:rFonts w:hint="eastAsia" w:ascii="仿宋" w:hAnsi="仿宋" w:eastAsia="仿宋" w:cs="仿宋"/>
          <w:b/>
          <w:bCs/>
          <w:sz w:val="28"/>
          <w:szCs w:val="28"/>
        </w:rPr>
      </w:pPr>
      <w:r>
        <w:rPr>
          <w:rFonts w:hint="eastAsia" w:ascii="仿宋" w:hAnsi="仿宋" w:eastAsia="仿宋" w:cs="仿宋"/>
          <w:b/>
          <w:bCs/>
          <w:sz w:val="28"/>
          <w:szCs w:val="28"/>
        </w:rPr>
        <w:t>三、具体维保要求</w:t>
      </w:r>
    </w:p>
    <w:p w14:paraId="43BBF024">
      <w:pPr>
        <w:spacing w:line="133" w:lineRule="exact"/>
      </w:pPr>
    </w:p>
    <w:tbl>
      <w:tblPr>
        <w:tblStyle w:val="46"/>
        <w:tblW w:w="10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9351"/>
      </w:tblGrid>
      <w:tr w14:paraId="4D66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1BF863D5">
            <w:pPr>
              <w:spacing w:line="360" w:lineRule="auto"/>
              <w:jc w:val="center"/>
              <w:rPr>
                <w:rFonts w:hint="eastAsia" w:ascii="宋体" w:hAnsi="宋体" w:cs="Arial"/>
                <w:b/>
                <w:bCs/>
                <w:sz w:val="28"/>
                <w:szCs w:val="28"/>
              </w:rPr>
            </w:pPr>
            <w:bookmarkStart w:id="577" w:name="_Toc22848"/>
            <w:bookmarkStart w:id="578" w:name="_Toc466024564"/>
            <w:bookmarkStart w:id="579" w:name="_Toc445554765"/>
            <w:r>
              <w:rPr>
                <w:rFonts w:hint="eastAsia" w:ascii="宋体" w:hAnsi="宋体" w:cs="Arial"/>
                <w:b/>
                <w:bCs/>
                <w:sz w:val="28"/>
                <w:szCs w:val="28"/>
              </w:rPr>
              <w:t>序号</w:t>
            </w:r>
          </w:p>
        </w:tc>
        <w:tc>
          <w:tcPr>
            <w:tcW w:w="9351" w:type="dxa"/>
            <w:tcBorders>
              <w:top w:val="single" w:color="auto" w:sz="4" w:space="0"/>
              <w:left w:val="single" w:color="auto" w:sz="4" w:space="0"/>
              <w:bottom w:val="single" w:color="auto" w:sz="4" w:space="0"/>
              <w:right w:val="single" w:color="auto" w:sz="4" w:space="0"/>
            </w:tcBorders>
            <w:vAlign w:val="center"/>
          </w:tcPr>
          <w:p w14:paraId="231A922F">
            <w:pPr>
              <w:spacing w:line="360" w:lineRule="auto"/>
              <w:rPr>
                <w:rFonts w:hint="eastAsia" w:ascii="宋体" w:hAnsi="宋体"/>
                <w:b/>
                <w:sz w:val="28"/>
                <w:szCs w:val="28"/>
              </w:rPr>
            </w:pPr>
            <w:r>
              <w:rPr>
                <w:rFonts w:hint="eastAsia" w:ascii="宋体" w:hAnsi="宋体"/>
                <w:b/>
                <w:sz w:val="28"/>
                <w:szCs w:val="28"/>
              </w:rPr>
              <w:t>技术参数及要求</w:t>
            </w:r>
          </w:p>
        </w:tc>
      </w:tr>
      <w:tr w14:paraId="676A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0041A02F">
            <w:pPr>
              <w:spacing w:line="360" w:lineRule="auto"/>
              <w:jc w:val="center"/>
              <w:rPr>
                <w:rFonts w:hint="eastAsia" w:ascii="宋体" w:hAnsi="宋体" w:cs="Arial"/>
                <w:b/>
                <w:sz w:val="24"/>
              </w:rPr>
            </w:pPr>
            <w:r>
              <w:rPr>
                <w:rFonts w:hint="eastAsia" w:ascii="宋体" w:hAnsi="宋体" w:cs="Arial"/>
                <w:sz w:val="24"/>
              </w:rPr>
              <w:t>1</w:t>
            </w:r>
          </w:p>
        </w:tc>
        <w:tc>
          <w:tcPr>
            <w:tcW w:w="9351" w:type="dxa"/>
            <w:tcBorders>
              <w:top w:val="single" w:color="auto" w:sz="4" w:space="0"/>
              <w:left w:val="single" w:color="auto" w:sz="4" w:space="0"/>
              <w:bottom w:val="single" w:color="auto" w:sz="4" w:space="0"/>
              <w:right w:val="single" w:color="auto" w:sz="4" w:space="0"/>
            </w:tcBorders>
            <w:vAlign w:val="center"/>
          </w:tcPr>
          <w:p w14:paraId="70AAE6F0">
            <w:pPr>
              <w:spacing w:line="360" w:lineRule="auto"/>
              <w:outlineLvl w:val="0"/>
              <w:rPr>
                <w:rFonts w:hint="eastAsia" w:ascii="宋体" w:hAnsi="宋体"/>
                <w:sz w:val="24"/>
              </w:rPr>
            </w:pPr>
            <w:r>
              <w:rPr>
                <w:rFonts w:hint="eastAsia" w:ascii="宋体" w:hAnsi="宋体"/>
                <w:sz w:val="24"/>
              </w:rPr>
              <w:t>必须具备400或800客户服务专线电话，提供24小时故障申报受理及技术在线支持服务</w:t>
            </w:r>
          </w:p>
        </w:tc>
      </w:tr>
      <w:tr w14:paraId="46AC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7D4CC4B8">
            <w:pPr>
              <w:spacing w:line="360" w:lineRule="auto"/>
              <w:jc w:val="center"/>
              <w:rPr>
                <w:rFonts w:hint="eastAsia" w:ascii="宋体" w:hAnsi="宋体" w:cs="宋体"/>
                <w:bCs/>
                <w:sz w:val="24"/>
              </w:rPr>
            </w:pPr>
            <w:r>
              <w:rPr>
                <w:rFonts w:hint="eastAsia" w:ascii="宋体" w:hAnsi="宋体" w:cs="宋体"/>
                <w:bCs/>
                <w:sz w:val="24"/>
              </w:rPr>
              <w:t>2</w:t>
            </w:r>
          </w:p>
        </w:tc>
        <w:tc>
          <w:tcPr>
            <w:tcW w:w="9351" w:type="dxa"/>
            <w:tcBorders>
              <w:top w:val="single" w:color="auto" w:sz="4" w:space="0"/>
              <w:left w:val="single" w:color="auto" w:sz="4" w:space="0"/>
              <w:bottom w:val="single" w:color="auto" w:sz="4" w:space="0"/>
              <w:right w:val="single" w:color="auto" w:sz="4" w:space="0"/>
            </w:tcBorders>
            <w:vAlign w:val="center"/>
          </w:tcPr>
          <w:p w14:paraId="0523BA3D">
            <w:pPr>
              <w:spacing w:line="360" w:lineRule="auto"/>
              <w:outlineLvl w:val="0"/>
              <w:rPr>
                <w:rFonts w:hint="eastAsia" w:ascii="宋体" w:hAnsi="宋体"/>
                <w:sz w:val="24"/>
                <w:lang w:val="en-GB"/>
              </w:rPr>
            </w:pPr>
            <w:r>
              <w:rPr>
                <w:rFonts w:hint="eastAsia" w:ascii="宋体" w:hAnsi="宋体"/>
                <w:sz w:val="24"/>
              </w:rPr>
              <w:t>报修响应时间≤2小时，到达现场时间≤48小时，全年响应；确保开机率≥95%</w:t>
            </w:r>
          </w:p>
        </w:tc>
      </w:tr>
      <w:tr w14:paraId="51AF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5DCAF5FE">
            <w:pPr>
              <w:spacing w:line="360" w:lineRule="auto"/>
              <w:jc w:val="center"/>
              <w:rPr>
                <w:rFonts w:hint="eastAsia" w:ascii="宋体" w:hAnsi="宋体" w:cs="宋体"/>
                <w:sz w:val="24"/>
              </w:rPr>
            </w:pPr>
            <w:r>
              <w:rPr>
                <w:rFonts w:hint="eastAsia" w:ascii="宋体" w:hAnsi="宋体" w:cs="宋体"/>
                <w:sz w:val="24"/>
              </w:rPr>
              <w:t>3</w:t>
            </w:r>
          </w:p>
        </w:tc>
        <w:tc>
          <w:tcPr>
            <w:tcW w:w="9351" w:type="dxa"/>
            <w:tcBorders>
              <w:top w:val="single" w:color="auto" w:sz="4" w:space="0"/>
              <w:left w:val="single" w:color="auto" w:sz="4" w:space="0"/>
              <w:bottom w:val="single" w:color="auto" w:sz="4" w:space="0"/>
              <w:right w:val="single" w:color="auto" w:sz="4" w:space="0"/>
            </w:tcBorders>
            <w:vAlign w:val="center"/>
          </w:tcPr>
          <w:p w14:paraId="4E4BEC29">
            <w:pPr>
              <w:spacing w:line="360" w:lineRule="auto"/>
              <w:outlineLvl w:val="0"/>
              <w:rPr>
                <w:rFonts w:hint="eastAsia" w:ascii="宋体" w:hAnsi="宋体"/>
                <w:sz w:val="24"/>
              </w:rPr>
            </w:pPr>
            <w:r>
              <w:rPr>
                <w:rFonts w:hint="eastAsia" w:ascii="宋体" w:hAnsi="宋体"/>
                <w:sz w:val="24"/>
              </w:rPr>
              <w:t>每年≥4次的全面维护保养，并提供详细的服务报告，包含但不限于如下项目：设备清洁、性能测试及校准、必要的电气环境检测、图像质量等</w:t>
            </w:r>
          </w:p>
        </w:tc>
      </w:tr>
      <w:tr w14:paraId="1ED3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5F815A1C">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4</w:t>
            </w:r>
          </w:p>
        </w:tc>
        <w:tc>
          <w:tcPr>
            <w:tcW w:w="9351" w:type="dxa"/>
            <w:tcBorders>
              <w:top w:val="single" w:color="auto" w:sz="4" w:space="0"/>
              <w:left w:val="single" w:color="auto" w:sz="4" w:space="0"/>
              <w:bottom w:val="single" w:color="auto" w:sz="4" w:space="0"/>
              <w:right w:val="single" w:color="auto" w:sz="4" w:space="0"/>
            </w:tcBorders>
            <w:vAlign w:val="center"/>
          </w:tcPr>
          <w:p w14:paraId="006ADE02">
            <w:pPr>
              <w:spacing w:line="360" w:lineRule="auto"/>
              <w:outlineLvl w:val="0"/>
              <w:rPr>
                <w:rFonts w:hint="eastAsia" w:ascii="宋体" w:hAnsi="宋体"/>
                <w:sz w:val="24"/>
              </w:rPr>
            </w:pPr>
            <w:r>
              <w:rPr>
                <w:rFonts w:hint="eastAsia" w:ascii="宋体" w:hAnsi="宋体"/>
                <w:sz w:val="24"/>
              </w:rPr>
              <w:t>在保修服务期内免费更换保修需要的所有备件及需要定期更换的耗品包含所有人工及保养（包括球管、SPECT晶体、探测器、机架、电源柜、控制柜、操作台电脑、后处理工作站等设备的整机全保）</w:t>
            </w:r>
          </w:p>
        </w:tc>
      </w:tr>
      <w:tr w14:paraId="03CD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3A9B938B">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5</w:t>
            </w:r>
          </w:p>
        </w:tc>
        <w:tc>
          <w:tcPr>
            <w:tcW w:w="9351" w:type="dxa"/>
            <w:tcBorders>
              <w:top w:val="single" w:color="auto" w:sz="4" w:space="0"/>
              <w:left w:val="single" w:color="auto" w:sz="4" w:space="0"/>
              <w:bottom w:val="single" w:color="auto" w:sz="4" w:space="0"/>
              <w:right w:val="single" w:color="auto" w:sz="4" w:space="0"/>
            </w:tcBorders>
            <w:vAlign w:val="center"/>
          </w:tcPr>
          <w:p w14:paraId="7D781BBD">
            <w:pPr>
              <w:spacing w:line="360" w:lineRule="auto"/>
              <w:outlineLvl w:val="0"/>
              <w:rPr>
                <w:rFonts w:hint="eastAsia" w:ascii="宋体" w:hAnsi="宋体"/>
                <w:sz w:val="24"/>
              </w:rPr>
            </w:pPr>
            <w:r>
              <w:rPr>
                <w:rFonts w:hint="eastAsia" w:ascii="宋体" w:hAnsi="宋体"/>
                <w:sz w:val="24"/>
              </w:rPr>
              <w:t>保修期内更换的配件必须是全新的合格的原厂原装的</w:t>
            </w:r>
          </w:p>
        </w:tc>
      </w:tr>
      <w:tr w14:paraId="1A9E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6E8D9922">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6</w:t>
            </w:r>
          </w:p>
        </w:tc>
        <w:tc>
          <w:tcPr>
            <w:tcW w:w="9351" w:type="dxa"/>
            <w:tcBorders>
              <w:top w:val="single" w:color="auto" w:sz="4" w:space="0"/>
              <w:left w:val="single" w:color="auto" w:sz="4" w:space="0"/>
              <w:bottom w:val="single" w:color="auto" w:sz="4" w:space="0"/>
              <w:right w:val="single" w:color="auto" w:sz="4" w:space="0"/>
            </w:tcBorders>
            <w:vAlign w:val="center"/>
          </w:tcPr>
          <w:p w14:paraId="4938944E">
            <w:pPr>
              <w:spacing w:line="360" w:lineRule="auto"/>
              <w:outlineLvl w:val="0"/>
              <w:rPr>
                <w:rFonts w:hint="eastAsia" w:ascii="宋体" w:hAnsi="宋体"/>
                <w:sz w:val="24"/>
              </w:rPr>
            </w:pPr>
            <w:r>
              <w:rPr>
                <w:rFonts w:hint="eastAsia" w:ascii="宋体" w:hAnsi="宋体" w:cs="宋体"/>
                <w:kern w:val="0"/>
                <w:sz w:val="24"/>
              </w:rPr>
              <w:t>投标人必须在国内设有专业、充足的设备零备件仓库</w:t>
            </w:r>
          </w:p>
        </w:tc>
      </w:tr>
      <w:tr w14:paraId="4B0B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43BD01F4">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7</w:t>
            </w:r>
          </w:p>
        </w:tc>
        <w:tc>
          <w:tcPr>
            <w:tcW w:w="9351" w:type="dxa"/>
            <w:tcBorders>
              <w:top w:val="single" w:color="auto" w:sz="4" w:space="0"/>
              <w:left w:val="single" w:color="auto" w:sz="4" w:space="0"/>
              <w:bottom w:val="single" w:color="auto" w:sz="4" w:space="0"/>
              <w:right w:val="single" w:color="auto" w:sz="4" w:space="0"/>
            </w:tcBorders>
            <w:vAlign w:val="center"/>
          </w:tcPr>
          <w:p w14:paraId="4500CED3">
            <w:pPr>
              <w:spacing w:line="360" w:lineRule="auto"/>
              <w:outlineLvl w:val="0"/>
              <w:rPr>
                <w:rFonts w:hint="eastAsia" w:ascii="宋体" w:hAnsi="宋体"/>
                <w:sz w:val="24"/>
              </w:rPr>
            </w:pPr>
            <w:r>
              <w:rPr>
                <w:rFonts w:hint="eastAsia" w:ascii="宋体" w:hAnsi="宋体"/>
                <w:sz w:val="24"/>
              </w:rPr>
              <w:t>保维修后的设备质量达到厂家性能指标，所附的检测报告应符合国家相关技术标准和法定部门检测要求。</w:t>
            </w:r>
          </w:p>
        </w:tc>
      </w:tr>
      <w:tr w14:paraId="04AC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097084BD">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8</w:t>
            </w:r>
          </w:p>
        </w:tc>
        <w:tc>
          <w:tcPr>
            <w:tcW w:w="9351" w:type="dxa"/>
            <w:tcBorders>
              <w:top w:val="single" w:color="auto" w:sz="4" w:space="0"/>
              <w:left w:val="single" w:color="auto" w:sz="4" w:space="0"/>
              <w:bottom w:val="single" w:color="auto" w:sz="4" w:space="0"/>
              <w:right w:val="single" w:color="auto" w:sz="4" w:space="0"/>
            </w:tcBorders>
            <w:vAlign w:val="center"/>
          </w:tcPr>
          <w:p w14:paraId="3CA0ECE0">
            <w:pPr>
              <w:spacing w:line="360" w:lineRule="auto"/>
              <w:outlineLvl w:val="0"/>
              <w:rPr>
                <w:rFonts w:hint="eastAsia" w:ascii="宋体" w:hAnsi="宋体"/>
                <w:sz w:val="24"/>
              </w:rPr>
            </w:pPr>
            <w:r>
              <w:rPr>
                <w:rFonts w:hint="eastAsia" w:ascii="宋体" w:hAnsi="宋体"/>
                <w:sz w:val="24"/>
              </w:rPr>
              <w:t>免费提供应用培训服务</w:t>
            </w:r>
          </w:p>
        </w:tc>
      </w:tr>
      <w:tr w14:paraId="6D0F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14:paraId="595292B5">
            <w:pPr>
              <w:adjustRightInd w:val="0"/>
              <w:snapToGrid w:val="0"/>
              <w:spacing w:before="60" w:beforeLines="25" w:after="60" w:afterLines="25"/>
              <w:jc w:val="center"/>
              <w:outlineLvl w:val="0"/>
              <w:rPr>
                <w:rFonts w:hint="eastAsia" w:ascii="宋体" w:hAnsi="宋体" w:cs="宋体"/>
                <w:sz w:val="24"/>
              </w:rPr>
            </w:pPr>
            <w:r>
              <w:rPr>
                <w:rFonts w:hint="eastAsia" w:ascii="宋体" w:hAnsi="宋体" w:cs="宋体"/>
                <w:sz w:val="24"/>
              </w:rPr>
              <w:t>9</w:t>
            </w:r>
          </w:p>
        </w:tc>
        <w:tc>
          <w:tcPr>
            <w:tcW w:w="9351" w:type="dxa"/>
            <w:tcBorders>
              <w:top w:val="single" w:color="auto" w:sz="4" w:space="0"/>
              <w:left w:val="single" w:color="auto" w:sz="4" w:space="0"/>
              <w:bottom w:val="single" w:color="auto" w:sz="4" w:space="0"/>
              <w:right w:val="single" w:color="auto" w:sz="4" w:space="0"/>
            </w:tcBorders>
            <w:vAlign w:val="center"/>
          </w:tcPr>
          <w:p w14:paraId="4FD30265">
            <w:pPr>
              <w:spacing w:line="360" w:lineRule="auto"/>
              <w:outlineLvl w:val="0"/>
              <w:rPr>
                <w:rFonts w:hint="eastAsia" w:ascii="宋体" w:hAnsi="宋体"/>
                <w:sz w:val="24"/>
              </w:rPr>
            </w:pPr>
            <w:r>
              <w:rPr>
                <w:rFonts w:hint="eastAsia" w:ascii="宋体" w:hAnsi="宋体"/>
                <w:sz w:val="24"/>
              </w:rPr>
              <w:t>服务期内支持系统软件持续升级</w:t>
            </w:r>
          </w:p>
        </w:tc>
      </w:tr>
    </w:tbl>
    <w:p w14:paraId="0E2AF8F8">
      <w:pPr>
        <w:pStyle w:val="2"/>
        <w:widowControl/>
        <w:spacing w:before="0" w:after="0" w:line="360" w:lineRule="auto"/>
        <w:rPr>
          <w:rFonts w:hint="eastAsia" w:ascii="宋体" w:hAnsi="宋体" w:cs="宋体"/>
          <w:b w:val="0"/>
          <w:bCs w:val="0"/>
          <w:sz w:val="21"/>
          <w:szCs w:val="21"/>
        </w:rPr>
      </w:pPr>
    </w:p>
    <w:p w14:paraId="219E0A67">
      <w:pPr>
        <w:rPr>
          <w:rFonts w:hint="eastAsia" w:ascii="仿宋" w:hAnsi="仿宋" w:eastAsia="仿宋" w:cs="仿宋"/>
          <w:b/>
          <w:bCs/>
          <w:sz w:val="28"/>
          <w:szCs w:val="28"/>
        </w:rPr>
      </w:pPr>
      <w:r>
        <w:rPr>
          <w:rFonts w:hint="eastAsia" w:ascii="仿宋" w:hAnsi="仿宋" w:eastAsia="仿宋" w:cs="仿宋"/>
          <w:b/>
          <w:bCs/>
          <w:sz w:val="28"/>
          <w:szCs w:val="28"/>
        </w:rPr>
        <w:t>四、其他要求</w:t>
      </w:r>
    </w:p>
    <w:p w14:paraId="4701CFC2">
      <w:pPr>
        <w:rPr>
          <w:rFonts w:hint="eastAsia" w:ascii="仿宋" w:hAnsi="仿宋" w:eastAsia="仿宋" w:cs="仿宋"/>
          <w:b/>
          <w:bCs/>
          <w:sz w:val="28"/>
          <w:szCs w:val="28"/>
        </w:rPr>
      </w:pPr>
      <w:r>
        <w:rPr>
          <w:rFonts w:hint="eastAsia" w:ascii="宋体" w:hAnsi="宋体"/>
          <w:b w:val="0"/>
          <w:bCs w:val="0"/>
          <w:kern w:val="2"/>
          <w:sz w:val="24"/>
          <w:szCs w:val="24"/>
        </w:rPr>
        <w:t>提供至少三份2025年1月1日以来（以合同签订时间为准）在三级及以上医院的单光子发射断层成像装置或X线计算机断层扫描仪维保业绩合同或发票。提供的合同复印件，至少能反映最终用户、合同内容(含清单、金额)、签订时间等关键页面；提供的发票复印件，至少能反映买卖单位、最终用户、内容(含清单、金额)、时间。</w:t>
      </w:r>
      <w:r>
        <w:rPr>
          <w:rFonts w:hint="eastAsia" w:ascii="宋体" w:hAnsi="宋体" w:cs="宋体"/>
          <w:b w:val="0"/>
          <w:bCs w:val="0"/>
          <w:sz w:val="21"/>
          <w:szCs w:val="21"/>
        </w:rPr>
        <w:br w:type="page"/>
      </w:r>
    </w:p>
    <w:p w14:paraId="2B8C241D">
      <w:pPr>
        <w:pStyle w:val="2"/>
        <w:widowControl/>
        <w:spacing w:before="0" w:after="0" w:line="360" w:lineRule="auto"/>
        <w:ind w:firstLine="420" w:firstLineChars="200"/>
        <w:jc w:val="center"/>
        <w:rPr>
          <w:rFonts w:hint="eastAsia" w:ascii="宋体" w:hAnsi="宋体" w:eastAsia="仿宋"/>
        </w:rPr>
      </w:pPr>
      <w:r>
        <w:rPr>
          <w:rFonts w:hint="eastAsia" w:ascii="宋体" w:hAnsi="宋体" w:cs="宋体"/>
          <w:b w:val="0"/>
          <w:bCs w:val="0"/>
          <w:sz w:val="21"/>
          <w:szCs w:val="21"/>
        </w:rPr>
        <w:br w:type="page"/>
      </w:r>
      <w:r>
        <w:rPr>
          <w:rFonts w:hint="eastAsia" w:ascii="宋体" w:hAnsi="宋体" w:eastAsia="仿宋"/>
        </w:rPr>
        <w:t xml:space="preserve">第四章  </w:t>
      </w:r>
      <w:r>
        <w:rPr>
          <w:rFonts w:hint="eastAsia" w:ascii="Calibri" w:hAnsi="Calibri" w:eastAsia="仿宋"/>
        </w:rPr>
        <w:t>协商程序</w:t>
      </w:r>
      <w:bookmarkEnd w:id="577"/>
    </w:p>
    <w:bookmarkEnd w:id="568"/>
    <w:bookmarkEnd w:id="569"/>
    <w:bookmarkEnd w:id="570"/>
    <w:bookmarkEnd w:id="571"/>
    <w:bookmarkEnd w:id="572"/>
    <w:bookmarkEnd w:id="573"/>
    <w:bookmarkEnd w:id="574"/>
    <w:bookmarkEnd w:id="575"/>
    <w:bookmarkEnd w:id="576"/>
    <w:bookmarkEnd w:id="578"/>
    <w:bookmarkEnd w:id="579"/>
    <w:p w14:paraId="3A522FD2">
      <w:pPr>
        <w:spacing w:line="360" w:lineRule="auto"/>
        <w:jc w:val="center"/>
        <w:outlineLvl w:val="1"/>
        <w:rPr>
          <w:rFonts w:eastAsia="仿宋"/>
          <w:b/>
          <w:sz w:val="28"/>
        </w:rPr>
      </w:pPr>
      <w:r>
        <w:rPr>
          <w:rFonts w:hint="eastAsia" w:eastAsia="仿宋"/>
          <w:b/>
          <w:sz w:val="28"/>
        </w:rPr>
        <w:t>协商前附表</w:t>
      </w:r>
    </w:p>
    <w:p w14:paraId="7E016978">
      <w:pPr>
        <w:widowControl/>
        <w:adjustRightInd w:val="0"/>
        <w:snapToGrid w:val="0"/>
        <w:spacing w:line="360" w:lineRule="auto"/>
        <w:ind w:firstLine="482" w:firstLineChars="200"/>
        <w:rPr>
          <w:rFonts w:hint="eastAsia" w:ascii="宋体" w:hAnsi="宋体" w:eastAsia="仿宋"/>
          <w:b/>
          <w:bCs/>
          <w:sz w:val="24"/>
        </w:rPr>
      </w:pPr>
      <w:r>
        <w:rPr>
          <w:rFonts w:hint="eastAsia" w:ascii="宋体" w:hAnsi="宋体" w:eastAsia="仿宋"/>
          <w:b/>
          <w:bCs/>
          <w:sz w:val="24"/>
        </w:rPr>
        <w:t>本《协商前附表》是对本章《协商程序》的具体补充和修改，如有不一致，以本《协商前附表》为准。</w:t>
      </w:r>
    </w:p>
    <w:p w14:paraId="17382D29">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Calibri" w:hAnsi="Calibri" w:eastAsia="仿宋"/>
          <w:b/>
          <w:sz w:val="24"/>
        </w:rPr>
        <w:t>1. 资格审查标准</w:t>
      </w:r>
    </w:p>
    <w:tbl>
      <w:tblPr>
        <w:tblStyle w:val="46"/>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517"/>
        <w:gridCol w:w="5420"/>
        <w:gridCol w:w="2499"/>
      </w:tblGrid>
      <w:tr w14:paraId="54F9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50" w:type="pct"/>
            <w:tcBorders>
              <w:bottom w:val="single" w:color="auto" w:sz="4" w:space="0"/>
            </w:tcBorders>
            <w:vAlign w:val="center"/>
          </w:tcPr>
          <w:p w14:paraId="61294E71">
            <w:pPr>
              <w:adjustRightInd w:val="0"/>
              <w:snapToGrid w:val="0"/>
              <w:ind w:right="-10"/>
              <w:jc w:val="center"/>
              <w:rPr>
                <w:rFonts w:hint="eastAsia" w:ascii="宋体" w:hAnsi="宋体"/>
                <w:sz w:val="24"/>
              </w:rPr>
            </w:pPr>
            <w:r>
              <w:rPr>
                <w:rFonts w:hint="eastAsia" w:ascii="宋体" w:hAnsi="宋体"/>
                <w:sz w:val="24"/>
              </w:rPr>
              <w:t>条款号</w:t>
            </w:r>
          </w:p>
        </w:tc>
        <w:tc>
          <w:tcPr>
            <w:tcW w:w="731" w:type="pct"/>
            <w:tcBorders>
              <w:bottom w:val="single" w:color="auto" w:sz="4" w:space="0"/>
            </w:tcBorders>
            <w:vAlign w:val="center"/>
          </w:tcPr>
          <w:p w14:paraId="08B32902">
            <w:pPr>
              <w:pStyle w:val="177"/>
              <w:pBdr>
                <w:bottom w:val="none" w:color="auto" w:sz="0" w:space="0"/>
              </w:pBdr>
              <w:tabs>
                <w:tab w:val="clear" w:pos="4153"/>
                <w:tab w:val="clear" w:pos="8306"/>
              </w:tabs>
              <w:snapToGrid w:val="0"/>
              <w:spacing w:line="240" w:lineRule="auto"/>
              <w:ind w:right="-10"/>
              <w:textAlignment w:val="auto"/>
              <w:rPr>
                <w:rFonts w:hint="eastAsia" w:ascii="宋体" w:hAnsi="宋体"/>
                <w:kern w:val="2"/>
                <w:szCs w:val="24"/>
              </w:rPr>
            </w:pPr>
            <w:r>
              <w:rPr>
                <w:rFonts w:hint="eastAsia" w:ascii="宋体" w:hAnsi="宋体"/>
                <w:kern w:val="2"/>
                <w:szCs w:val="24"/>
              </w:rPr>
              <w:t>审查因素</w:t>
            </w:r>
          </w:p>
        </w:tc>
        <w:tc>
          <w:tcPr>
            <w:tcW w:w="2612" w:type="pct"/>
            <w:tcBorders>
              <w:bottom w:val="single" w:color="auto" w:sz="4" w:space="0"/>
            </w:tcBorders>
            <w:vAlign w:val="center"/>
          </w:tcPr>
          <w:p w14:paraId="5C38F10A">
            <w:pPr>
              <w:adjustRightInd w:val="0"/>
              <w:snapToGrid w:val="0"/>
              <w:ind w:right="-10"/>
              <w:jc w:val="center"/>
              <w:rPr>
                <w:rFonts w:hint="eastAsia" w:ascii="宋体" w:hAnsi="宋体"/>
                <w:sz w:val="24"/>
              </w:rPr>
            </w:pPr>
            <w:r>
              <w:rPr>
                <w:rFonts w:hint="eastAsia" w:ascii="宋体" w:hAnsi="宋体"/>
                <w:sz w:val="24"/>
              </w:rPr>
              <w:t>审查标准</w:t>
            </w:r>
          </w:p>
        </w:tc>
        <w:tc>
          <w:tcPr>
            <w:tcW w:w="1205" w:type="pct"/>
            <w:tcBorders>
              <w:bottom w:val="single" w:color="auto" w:sz="4" w:space="0"/>
            </w:tcBorders>
            <w:vAlign w:val="center"/>
          </w:tcPr>
          <w:p w14:paraId="0F83F922">
            <w:pPr>
              <w:adjustRightInd w:val="0"/>
              <w:snapToGrid w:val="0"/>
              <w:ind w:right="-10"/>
              <w:jc w:val="center"/>
              <w:rPr>
                <w:rFonts w:hint="eastAsia" w:ascii="宋体" w:hAnsi="宋体"/>
                <w:sz w:val="24"/>
              </w:rPr>
            </w:pPr>
            <w:r>
              <w:rPr>
                <w:rFonts w:hint="eastAsia" w:ascii="宋体" w:hAnsi="宋体"/>
                <w:sz w:val="24"/>
              </w:rPr>
              <w:t>格式及材料要求</w:t>
            </w:r>
          </w:p>
        </w:tc>
      </w:tr>
      <w:tr w14:paraId="2F8A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restart"/>
            <w:vAlign w:val="center"/>
          </w:tcPr>
          <w:p w14:paraId="794FD5A6">
            <w:pPr>
              <w:adjustRightInd w:val="0"/>
              <w:snapToGrid w:val="0"/>
              <w:ind w:right="-10"/>
              <w:jc w:val="center"/>
              <w:rPr>
                <w:rFonts w:hint="eastAsia" w:ascii="宋体" w:hAnsi="宋体"/>
                <w:sz w:val="24"/>
              </w:rPr>
            </w:pPr>
            <w:r>
              <w:rPr>
                <w:rFonts w:hint="eastAsia" w:ascii="宋体" w:hAnsi="宋体"/>
                <w:sz w:val="24"/>
              </w:rPr>
              <w:t>1.1</w:t>
            </w:r>
          </w:p>
        </w:tc>
        <w:tc>
          <w:tcPr>
            <w:tcW w:w="731" w:type="pct"/>
            <w:tcBorders>
              <w:bottom w:val="single" w:color="auto" w:sz="4" w:space="0"/>
            </w:tcBorders>
            <w:vAlign w:val="center"/>
          </w:tcPr>
          <w:p w14:paraId="06C44675">
            <w:pPr>
              <w:spacing w:after="50"/>
              <w:ind w:right="-10"/>
              <w:jc w:val="center"/>
              <w:rPr>
                <w:rFonts w:hint="eastAsia" w:ascii="宋体" w:hAnsi="宋体" w:eastAsia="仿宋"/>
                <w:sz w:val="24"/>
              </w:rPr>
            </w:pPr>
            <w:r>
              <w:rPr>
                <w:rFonts w:hint="eastAsia" w:ascii="宋体" w:hAnsi="宋体" w:eastAsia="仿宋"/>
                <w:sz w:val="24"/>
              </w:rPr>
              <w:t>营业执照等证明材料</w:t>
            </w:r>
          </w:p>
        </w:tc>
        <w:tc>
          <w:tcPr>
            <w:tcW w:w="2612" w:type="pct"/>
            <w:tcBorders>
              <w:bottom w:val="single" w:color="auto" w:sz="4" w:space="0"/>
            </w:tcBorders>
            <w:vAlign w:val="center"/>
          </w:tcPr>
          <w:p w14:paraId="32CFA170">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供应商为企业（包括公司、合伙企业、个人独资企业）的，提供有效的营业执照；</w:t>
            </w:r>
          </w:p>
          <w:p w14:paraId="62712299">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供应商为事业单位的，提供有效的事业单位法人证书；</w:t>
            </w:r>
          </w:p>
          <w:p w14:paraId="29492A6A">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供应商为社会团体的，提供有效的社会团体法人登记证书；</w:t>
            </w:r>
          </w:p>
          <w:p w14:paraId="76ECEE62">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供应商为个体工商户的，提供有效的营业执照；</w:t>
            </w:r>
          </w:p>
          <w:p w14:paraId="7A82298C">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供应商为不具法人资格的专业服务机构的，提供有效的执业许可证等证明材料；</w:t>
            </w:r>
          </w:p>
          <w:p w14:paraId="6E80DB1D">
            <w:pPr>
              <w:spacing w:after="50"/>
              <w:ind w:right="-10"/>
              <w:jc w:val="left"/>
              <w:rPr>
                <w:rFonts w:hint="eastAsia" w:ascii="仿宋" w:hAnsi="仿宋" w:eastAsia="仿宋" w:cs="仿宋"/>
                <w:sz w:val="24"/>
                <w:szCs w:val="28"/>
              </w:rPr>
            </w:pPr>
            <w:r>
              <w:rPr>
                <w:rFonts w:hint="eastAsia" w:ascii="仿宋" w:hAnsi="仿宋" w:eastAsia="仿宋" w:cs="仿宋"/>
                <w:sz w:val="24"/>
                <w:szCs w:val="28"/>
              </w:rPr>
              <w:t>供应商为自然人的，提供有效的自然人身份证明；</w:t>
            </w:r>
          </w:p>
          <w:p w14:paraId="6062E018">
            <w:pPr>
              <w:spacing w:after="50"/>
              <w:ind w:right="-10"/>
              <w:jc w:val="left"/>
              <w:rPr>
                <w:rFonts w:hint="eastAsia" w:ascii="宋体" w:hAnsi="宋体"/>
                <w:sz w:val="24"/>
                <w:szCs w:val="28"/>
              </w:rPr>
            </w:pPr>
            <w:r>
              <w:rPr>
                <w:rFonts w:hint="eastAsia" w:ascii="仿宋" w:hAnsi="仿宋" w:eastAsia="仿宋" w:cs="仿宋"/>
                <w:sz w:val="24"/>
                <w:szCs w:val="28"/>
              </w:rPr>
              <w:t>其他供应商应按照有关法律、法规和规章规定，提供有效的相应证明材料。</w:t>
            </w:r>
          </w:p>
        </w:tc>
        <w:tc>
          <w:tcPr>
            <w:tcW w:w="1205" w:type="pct"/>
            <w:vAlign w:val="center"/>
          </w:tcPr>
          <w:p w14:paraId="4C3BDC99">
            <w:pPr>
              <w:spacing w:after="50"/>
              <w:ind w:right="-10"/>
              <w:jc w:val="left"/>
              <w:rPr>
                <w:rFonts w:hint="eastAsia" w:ascii="宋体" w:hAnsi="宋体"/>
                <w:sz w:val="24"/>
              </w:rPr>
            </w:pPr>
            <w:r>
              <w:rPr>
                <w:rFonts w:hint="eastAsia" w:ascii="仿宋" w:hAnsi="仿宋" w:eastAsia="仿宋" w:cs="仿宋"/>
                <w:sz w:val="24"/>
              </w:rPr>
              <w:t>提供原件扫描件或电子证照</w:t>
            </w:r>
          </w:p>
        </w:tc>
      </w:tr>
      <w:tr w14:paraId="466C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77CCDF7F">
            <w:pPr>
              <w:adjustRightInd w:val="0"/>
              <w:snapToGrid w:val="0"/>
              <w:ind w:right="-10"/>
              <w:jc w:val="center"/>
              <w:rPr>
                <w:rFonts w:hint="eastAsia" w:ascii="宋体" w:hAnsi="宋体"/>
                <w:sz w:val="24"/>
              </w:rPr>
            </w:pPr>
          </w:p>
        </w:tc>
        <w:tc>
          <w:tcPr>
            <w:tcW w:w="731" w:type="pct"/>
            <w:tcBorders>
              <w:bottom w:val="single" w:color="auto" w:sz="4" w:space="0"/>
            </w:tcBorders>
            <w:vAlign w:val="center"/>
          </w:tcPr>
          <w:p w14:paraId="09A70B91">
            <w:pPr>
              <w:spacing w:after="50"/>
              <w:ind w:right="-10"/>
              <w:jc w:val="center"/>
              <w:rPr>
                <w:rFonts w:hint="eastAsia" w:ascii="宋体" w:hAnsi="宋体" w:eastAsia="仿宋"/>
                <w:sz w:val="24"/>
              </w:rPr>
            </w:pPr>
            <w:r>
              <w:rPr>
                <w:rFonts w:hint="eastAsia" w:ascii="宋体" w:hAnsi="宋体" w:eastAsia="仿宋"/>
                <w:sz w:val="24"/>
              </w:rPr>
              <w:t>信用状况</w:t>
            </w:r>
          </w:p>
        </w:tc>
        <w:tc>
          <w:tcPr>
            <w:tcW w:w="2612" w:type="pct"/>
            <w:tcBorders>
              <w:bottom w:val="single" w:color="auto" w:sz="4" w:space="0"/>
            </w:tcBorders>
            <w:vAlign w:val="center"/>
          </w:tcPr>
          <w:p w14:paraId="68737A09">
            <w:pPr>
              <w:spacing w:after="50"/>
              <w:ind w:right="-10"/>
              <w:jc w:val="left"/>
              <w:rPr>
                <w:rFonts w:hint="eastAsia" w:ascii="仿宋" w:hAnsi="仿宋" w:eastAsia="仿宋" w:cs="仿宋"/>
                <w:sz w:val="24"/>
                <w:szCs w:val="28"/>
              </w:rPr>
            </w:pPr>
            <w:r>
              <w:rPr>
                <w:rFonts w:hint="eastAsia" w:ascii="宋体" w:hAnsi="宋体" w:eastAsia="仿宋"/>
                <w:kern w:val="0"/>
                <w:sz w:val="24"/>
              </w:rPr>
              <w:t>符合第二章“供应商须知”正文第</w:t>
            </w:r>
            <w:r>
              <w:rPr>
                <w:rFonts w:hint="eastAsia" w:ascii="仿宋" w:hAnsi="仿宋" w:eastAsia="仿宋" w:cs="仿宋"/>
                <w:sz w:val="24"/>
                <w:szCs w:val="28"/>
              </w:rPr>
              <w:t>1.3.3项要求，信用状况只依据下述查询平台（网址）发布的信息：</w:t>
            </w:r>
          </w:p>
          <w:p w14:paraId="311DAC99">
            <w:pPr>
              <w:spacing w:after="50"/>
              <w:ind w:right="-10"/>
              <w:jc w:val="left"/>
              <w:rPr>
                <w:rFonts w:hint="eastAsia" w:ascii="仿宋" w:hAnsi="仿宋" w:eastAsia="仿宋" w:cs="仿宋"/>
                <w:sz w:val="24"/>
                <w:szCs w:val="28"/>
              </w:rPr>
            </w:pPr>
            <w:r>
              <w:rPr>
                <w:rFonts w:hint="eastAsia" w:ascii="仿宋" w:hAnsi="仿宋" w:eastAsia="仿宋" w:cs="仿宋"/>
                <w:sz w:val="24"/>
                <w:szCs w:val="28"/>
              </w:rPr>
              <w:t>（1）信用中国网站</w:t>
            </w:r>
          </w:p>
          <w:p w14:paraId="5A7330B0">
            <w:pPr>
              <w:spacing w:after="50"/>
              <w:ind w:right="-10"/>
              <w:jc w:val="left"/>
              <w:rPr>
                <w:rFonts w:hint="eastAsia" w:ascii="仿宋" w:hAnsi="仿宋" w:eastAsia="仿宋" w:cs="仿宋"/>
                <w:sz w:val="24"/>
                <w:szCs w:val="28"/>
              </w:rPr>
            </w:pPr>
            <w:r>
              <w:rPr>
                <w:rFonts w:hint="eastAsia" w:ascii="仿宋" w:hAnsi="仿宋" w:eastAsia="仿宋" w:cs="仿宋"/>
                <w:sz w:val="24"/>
                <w:szCs w:val="28"/>
              </w:rPr>
              <w:t>（www.creditchina.gov.cn）；</w:t>
            </w:r>
          </w:p>
          <w:p w14:paraId="101FB83E">
            <w:pPr>
              <w:spacing w:after="50"/>
              <w:ind w:right="-10"/>
              <w:jc w:val="left"/>
              <w:rPr>
                <w:rFonts w:hint="eastAsia" w:ascii="仿宋" w:hAnsi="仿宋" w:eastAsia="仿宋" w:cs="仿宋"/>
                <w:sz w:val="24"/>
                <w:szCs w:val="28"/>
              </w:rPr>
            </w:pPr>
            <w:r>
              <w:rPr>
                <w:rFonts w:hint="eastAsia" w:ascii="仿宋" w:hAnsi="仿宋" w:eastAsia="仿宋" w:cs="仿宋"/>
                <w:sz w:val="24"/>
                <w:szCs w:val="28"/>
              </w:rPr>
              <w:t>（2）中国执行信息公开网</w:t>
            </w:r>
          </w:p>
          <w:p w14:paraId="2BEBD002">
            <w:pPr>
              <w:spacing w:after="50"/>
              <w:ind w:right="-10"/>
              <w:jc w:val="left"/>
              <w:rPr>
                <w:rFonts w:hint="eastAsia" w:ascii="仿宋" w:hAnsi="仿宋" w:eastAsia="仿宋" w:cs="仿宋"/>
                <w:sz w:val="24"/>
                <w:szCs w:val="28"/>
              </w:rPr>
            </w:pPr>
            <w:r>
              <w:rPr>
                <w:rFonts w:hint="eastAsia" w:ascii="仿宋" w:hAnsi="仿宋" w:eastAsia="仿宋" w:cs="仿宋"/>
                <w:sz w:val="24"/>
                <w:szCs w:val="28"/>
              </w:rPr>
              <w:t>（http://zxgk.court.gov.cn/）；</w:t>
            </w:r>
          </w:p>
          <w:p w14:paraId="10979A05">
            <w:pPr>
              <w:spacing w:after="50"/>
              <w:ind w:right="-10"/>
              <w:jc w:val="left"/>
              <w:rPr>
                <w:rFonts w:hint="eastAsia" w:ascii="仿宋" w:hAnsi="仿宋" w:eastAsia="仿宋" w:cs="仿宋"/>
                <w:sz w:val="24"/>
                <w:szCs w:val="28"/>
              </w:rPr>
            </w:pPr>
            <w:r>
              <w:rPr>
                <w:rFonts w:hint="eastAsia" w:ascii="仿宋" w:hAnsi="仿宋" w:eastAsia="仿宋" w:cs="仿宋"/>
                <w:sz w:val="24"/>
                <w:szCs w:val="28"/>
              </w:rPr>
              <w:t>（3）中国政府采购网</w:t>
            </w:r>
          </w:p>
          <w:p w14:paraId="22FC7B9F">
            <w:pPr>
              <w:spacing w:after="50"/>
              <w:ind w:right="-10"/>
              <w:jc w:val="left"/>
              <w:rPr>
                <w:rFonts w:hint="eastAsia" w:ascii="仿宋" w:hAnsi="仿宋" w:eastAsia="仿宋" w:cs="仿宋"/>
                <w:sz w:val="24"/>
                <w:szCs w:val="28"/>
              </w:rPr>
            </w:pPr>
            <w:r>
              <w:rPr>
                <w:rFonts w:hint="eastAsia" w:ascii="仿宋" w:hAnsi="仿宋" w:eastAsia="仿宋" w:cs="仿宋"/>
                <w:sz w:val="24"/>
                <w:szCs w:val="28"/>
              </w:rPr>
              <w:t>（http://www.ccgp.gov.cn/）；</w:t>
            </w:r>
          </w:p>
          <w:p w14:paraId="4B1F5961">
            <w:pPr>
              <w:spacing w:after="50"/>
              <w:ind w:right="-10"/>
              <w:jc w:val="left"/>
              <w:rPr>
                <w:rFonts w:hint="eastAsia" w:ascii="仿宋" w:hAnsi="仿宋" w:eastAsia="仿宋" w:cs="仿宋"/>
                <w:sz w:val="24"/>
                <w:szCs w:val="28"/>
              </w:rPr>
            </w:pPr>
            <w:r>
              <w:rPr>
                <w:rFonts w:hint="eastAsia" w:ascii="仿宋" w:hAnsi="仿宋" w:eastAsia="仿宋" w:cs="仿宋"/>
                <w:sz w:val="24"/>
                <w:szCs w:val="28"/>
              </w:rPr>
              <w:t>（4）国家企业信用信息公示系统</w:t>
            </w:r>
          </w:p>
          <w:p w14:paraId="0CB4B72E">
            <w:pPr>
              <w:spacing w:after="50"/>
              <w:ind w:right="-10"/>
              <w:jc w:val="left"/>
              <w:rPr>
                <w:rFonts w:hint="eastAsia" w:ascii="仿宋" w:hAnsi="仿宋" w:eastAsia="仿宋" w:cs="仿宋"/>
                <w:sz w:val="24"/>
                <w:szCs w:val="28"/>
              </w:rPr>
            </w:pPr>
            <w:r>
              <w:rPr>
                <w:rFonts w:hint="eastAsia" w:ascii="仿宋" w:hAnsi="仿宋" w:eastAsia="仿宋" w:cs="仿宋"/>
                <w:sz w:val="24"/>
                <w:szCs w:val="28"/>
              </w:rPr>
              <w:t>（http://www.gsxt.gov.cn/）。</w:t>
            </w:r>
          </w:p>
        </w:tc>
        <w:tc>
          <w:tcPr>
            <w:tcW w:w="1205" w:type="pct"/>
            <w:vAlign w:val="center"/>
          </w:tcPr>
          <w:p w14:paraId="0BE42A7E">
            <w:pPr>
              <w:widowControl/>
              <w:adjustRightInd w:val="0"/>
              <w:snapToGrid w:val="0"/>
              <w:spacing w:line="360" w:lineRule="auto"/>
              <w:rPr>
                <w:rFonts w:hint="eastAsia" w:ascii="宋体" w:hAnsi="宋体" w:eastAsia="仿宋" w:cs="宋体"/>
                <w:sz w:val="24"/>
              </w:rPr>
            </w:pPr>
            <w:r>
              <w:rPr>
                <w:rFonts w:hint="eastAsia" w:ascii="宋体" w:hAnsi="宋体" w:eastAsia="仿宋" w:cs="宋体"/>
                <w:sz w:val="24"/>
              </w:rPr>
              <w:t>采购人或采购代理机构查询，并留存查询记录</w:t>
            </w:r>
          </w:p>
          <w:p w14:paraId="4B3EE1E3">
            <w:pPr>
              <w:adjustRightInd w:val="0"/>
              <w:snapToGrid w:val="0"/>
              <w:ind w:right="-10"/>
              <w:jc w:val="left"/>
              <w:rPr>
                <w:rFonts w:hint="eastAsia" w:ascii="仿宋" w:hAnsi="仿宋" w:eastAsia="仿宋" w:cs="仿宋"/>
                <w:sz w:val="24"/>
              </w:rPr>
            </w:pPr>
          </w:p>
        </w:tc>
      </w:tr>
      <w:tr w14:paraId="2D9C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52E48A99">
            <w:pPr>
              <w:adjustRightInd w:val="0"/>
              <w:snapToGrid w:val="0"/>
              <w:ind w:right="-10"/>
              <w:jc w:val="center"/>
              <w:rPr>
                <w:rFonts w:hint="eastAsia" w:ascii="宋体" w:hAnsi="宋体"/>
                <w:sz w:val="24"/>
              </w:rPr>
            </w:pPr>
          </w:p>
        </w:tc>
        <w:tc>
          <w:tcPr>
            <w:tcW w:w="731" w:type="pct"/>
            <w:tcBorders>
              <w:bottom w:val="single" w:color="auto" w:sz="4" w:space="0"/>
            </w:tcBorders>
            <w:vAlign w:val="center"/>
          </w:tcPr>
          <w:p w14:paraId="24A5ECA5">
            <w:pPr>
              <w:spacing w:after="50"/>
              <w:ind w:right="-10"/>
              <w:jc w:val="center"/>
              <w:rPr>
                <w:rFonts w:hint="eastAsia" w:ascii="宋体" w:hAnsi="宋体" w:eastAsia="仿宋"/>
                <w:sz w:val="24"/>
              </w:rPr>
            </w:pPr>
            <w:r>
              <w:rPr>
                <w:rFonts w:hint="eastAsia" w:ascii="宋体" w:hAnsi="宋体" w:eastAsia="仿宋"/>
                <w:sz w:val="24"/>
              </w:rPr>
              <w:t>政府采购供应商资格承诺函</w:t>
            </w:r>
          </w:p>
        </w:tc>
        <w:tc>
          <w:tcPr>
            <w:tcW w:w="2612" w:type="pct"/>
            <w:tcBorders>
              <w:bottom w:val="single" w:color="auto" w:sz="4" w:space="0"/>
            </w:tcBorders>
            <w:vAlign w:val="center"/>
          </w:tcPr>
          <w:p w14:paraId="0C744059">
            <w:pPr>
              <w:spacing w:after="50"/>
              <w:ind w:right="-10"/>
              <w:jc w:val="center"/>
              <w:rPr>
                <w:rFonts w:hint="eastAsia" w:ascii="仿宋" w:hAnsi="仿宋" w:eastAsia="仿宋" w:cs="仿宋"/>
                <w:sz w:val="24"/>
                <w:szCs w:val="28"/>
              </w:rPr>
            </w:pPr>
            <w:r>
              <w:rPr>
                <w:rFonts w:hint="eastAsia" w:ascii="宋体" w:hAnsi="宋体" w:eastAsia="仿宋"/>
                <w:sz w:val="24"/>
              </w:rPr>
              <w:t>格式、填写要求符合招标文件规定并加盖投标人电子签章。</w:t>
            </w:r>
          </w:p>
        </w:tc>
        <w:tc>
          <w:tcPr>
            <w:tcW w:w="1205" w:type="pct"/>
            <w:vAlign w:val="center"/>
          </w:tcPr>
          <w:p w14:paraId="62D557F8">
            <w:pPr>
              <w:adjustRightInd w:val="0"/>
              <w:snapToGrid w:val="0"/>
              <w:ind w:right="-10"/>
              <w:jc w:val="left"/>
              <w:rPr>
                <w:rFonts w:hint="eastAsia" w:ascii="仿宋" w:hAnsi="仿宋" w:eastAsia="仿宋" w:cs="仿宋"/>
                <w:sz w:val="24"/>
              </w:rPr>
            </w:pPr>
            <w:r>
              <w:rPr>
                <w:rFonts w:hint="eastAsia" w:ascii="宋体" w:hAnsi="宋体" w:eastAsia="仿宋"/>
                <w:sz w:val="24"/>
              </w:rPr>
              <w:t>详见第六章投标文件格式八（二）</w:t>
            </w:r>
          </w:p>
        </w:tc>
      </w:tr>
      <w:tr w14:paraId="4395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6D3680BC">
            <w:pPr>
              <w:adjustRightInd w:val="0"/>
              <w:snapToGrid w:val="0"/>
              <w:ind w:right="-10"/>
              <w:jc w:val="center"/>
              <w:rPr>
                <w:rFonts w:hint="eastAsia" w:ascii="宋体" w:hAnsi="宋体"/>
                <w:sz w:val="24"/>
              </w:rPr>
            </w:pPr>
          </w:p>
        </w:tc>
        <w:tc>
          <w:tcPr>
            <w:tcW w:w="731" w:type="pct"/>
            <w:tcBorders>
              <w:bottom w:val="single" w:color="auto" w:sz="4" w:space="0"/>
            </w:tcBorders>
            <w:vAlign w:val="center"/>
          </w:tcPr>
          <w:p w14:paraId="5EF59AF7">
            <w:pPr>
              <w:spacing w:after="50"/>
              <w:ind w:right="-10"/>
              <w:jc w:val="center"/>
              <w:rPr>
                <w:rFonts w:hint="eastAsia" w:ascii="宋体" w:hAnsi="宋体" w:eastAsia="仿宋"/>
                <w:sz w:val="24"/>
              </w:rPr>
            </w:pPr>
            <w:r>
              <w:rPr>
                <w:rFonts w:hint="eastAsia" w:ascii="宋体" w:hAnsi="宋体" w:eastAsia="仿宋"/>
                <w:sz w:val="24"/>
              </w:rPr>
              <w:t>资质要求</w:t>
            </w:r>
          </w:p>
          <w:p w14:paraId="0F46DA83">
            <w:pPr>
              <w:spacing w:after="50"/>
              <w:ind w:right="-10"/>
              <w:jc w:val="center"/>
              <w:rPr>
                <w:rFonts w:hint="eastAsia" w:ascii="宋体" w:hAnsi="宋体" w:eastAsia="仿宋"/>
                <w:sz w:val="24"/>
              </w:rPr>
            </w:pPr>
            <w:r>
              <w:rPr>
                <w:rFonts w:hint="eastAsia" w:ascii="宋体" w:hAnsi="宋体" w:eastAsia="仿宋"/>
                <w:sz w:val="24"/>
              </w:rPr>
              <w:t>（如有）</w:t>
            </w:r>
          </w:p>
        </w:tc>
        <w:tc>
          <w:tcPr>
            <w:tcW w:w="2612" w:type="pct"/>
            <w:tcBorders>
              <w:bottom w:val="single" w:color="auto" w:sz="4" w:space="0"/>
            </w:tcBorders>
            <w:vAlign w:val="center"/>
          </w:tcPr>
          <w:p w14:paraId="2C3992D5">
            <w:pPr>
              <w:spacing w:after="50"/>
              <w:ind w:right="-10"/>
              <w:jc w:val="center"/>
              <w:rPr>
                <w:rFonts w:hint="eastAsia" w:ascii="仿宋" w:hAnsi="仿宋" w:eastAsia="仿宋" w:cs="仿宋"/>
                <w:sz w:val="24"/>
                <w:szCs w:val="28"/>
              </w:rPr>
            </w:pPr>
            <w:r>
              <w:rPr>
                <w:rFonts w:hint="eastAsia" w:ascii="宋体" w:hAnsi="宋体" w:eastAsia="仿宋"/>
                <w:sz w:val="24"/>
              </w:rPr>
              <w:t>符合采购公告中资格要求。</w:t>
            </w:r>
          </w:p>
        </w:tc>
        <w:tc>
          <w:tcPr>
            <w:tcW w:w="1205" w:type="pct"/>
            <w:vAlign w:val="center"/>
          </w:tcPr>
          <w:p w14:paraId="37C2B48B">
            <w:pPr>
              <w:spacing w:after="50"/>
              <w:ind w:right="-10"/>
              <w:jc w:val="left"/>
              <w:rPr>
                <w:rFonts w:hint="eastAsia" w:ascii="仿宋" w:hAnsi="仿宋" w:eastAsia="仿宋" w:cs="仿宋"/>
                <w:sz w:val="24"/>
              </w:rPr>
            </w:pPr>
            <w:r>
              <w:rPr>
                <w:rFonts w:hint="eastAsia" w:ascii="宋体" w:hAnsi="宋体" w:eastAsia="仿宋"/>
                <w:sz w:val="24"/>
              </w:rPr>
              <w:t>提供符合供应商资格中要求的资质证书扫描件或电子证照</w:t>
            </w:r>
          </w:p>
        </w:tc>
      </w:tr>
      <w:tr w14:paraId="5300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continue"/>
            <w:vAlign w:val="center"/>
          </w:tcPr>
          <w:p w14:paraId="49A256C4">
            <w:pPr>
              <w:adjustRightInd w:val="0"/>
              <w:snapToGrid w:val="0"/>
              <w:ind w:right="-10"/>
              <w:jc w:val="center"/>
              <w:rPr>
                <w:rFonts w:hint="eastAsia" w:ascii="宋体" w:hAnsi="宋体"/>
                <w:sz w:val="24"/>
              </w:rPr>
            </w:pPr>
          </w:p>
        </w:tc>
        <w:tc>
          <w:tcPr>
            <w:tcW w:w="731" w:type="pct"/>
            <w:tcBorders>
              <w:bottom w:val="single" w:color="auto" w:sz="4" w:space="0"/>
            </w:tcBorders>
            <w:vAlign w:val="center"/>
          </w:tcPr>
          <w:p w14:paraId="73E77F82">
            <w:pPr>
              <w:pStyle w:val="151"/>
              <w:adjustRightInd w:val="0"/>
              <w:jc w:val="center"/>
              <w:rPr>
                <w:rFonts w:hint="eastAsia" w:ascii="宋体" w:hAnsi="宋体" w:eastAsia="仿宋"/>
                <w:sz w:val="24"/>
                <w:szCs w:val="24"/>
              </w:rPr>
            </w:pPr>
            <w:r>
              <w:rPr>
                <w:rFonts w:hint="eastAsia" w:ascii="宋体" w:hAnsi="宋体" w:eastAsia="仿宋"/>
                <w:sz w:val="24"/>
                <w:szCs w:val="24"/>
              </w:rPr>
              <w:t>业绩要求</w:t>
            </w:r>
          </w:p>
          <w:p w14:paraId="1313840F">
            <w:pPr>
              <w:pStyle w:val="151"/>
              <w:adjustRightInd w:val="0"/>
              <w:jc w:val="center"/>
              <w:rPr>
                <w:rFonts w:hint="eastAsia" w:ascii="宋体" w:hAnsi="宋体"/>
                <w:sz w:val="24"/>
                <w:szCs w:val="28"/>
              </w:rPr>
            </w:pPr>
            <w:r>
              <w:rPr>
                <w:rFonts w:hint="eastAsia" w:ascii="宋体" w:hAnsi="宋体" w:eastAsia="仿宋"/>
                <w:sz w:val="24"/>
                <w:szCs w:val="24"/>
              </w:rPr>
              <w:t>（如有）</w:t>
            </w:r>
          </w:p>
        </w:tc>
        <w:tc>
          <w:tcPr>
            <w:tcW w:w="2612" w:type="pct"/>
            <w:tcBorders>
              <w:bottom w:val="single" w:color="auto" w:sz="4" w:space="0"/>
            </w:tcBorders>
            <w:vAlign w:val="center"/>
          </w:tcPr>
          <w:p w14:paraId="6EBDE13A">
            <w:pPr>
              <w:pStyle w:val="151"/>
              <w:adjustRightInd w:val="0"/>
              <w:jc w:val="center"/>
              <w:rPr>
                <w:rFonts w:ascii="Calibri" w:hAnsi="Calibri"/>
              </w:rPr>
            </w:pPr>
            <w:r>
              <w:rPr>
                <w:rFonts w:hint="eastAsia" w:ascii="宋体" w:hAnsi="宋体" w:eastAsia="仿宋"/>
                <w:sz w:val="24"/>
                <w:szCs w:val="24"/>
              </w:rPr>
              <w:t>符合采购公告中资格要求。</w:t>
            </w:r>
          </w:p>
        </w:tc>
        <w:tc>
          <w:tcPr>
            <w:tcW w:w="1205" w:type="pct"/>
            <w:tcBorders>
              <w:bottom w:val="single" w:color="auto" w:sz="4" w:space="0"/>
            </w:tcBorders>
            <w:vAlign w:val="center"/>
          </w:tcPr>
          <w:p w14:paraId="05766D9A">
            <w:pPr>
              <w:widowControl/>
              <w:adjustRightInd w:val="0"/>
              <w:jc w:val="left"/>
              <w:rPr>
                <w:rFonts w:hint="eastAsia" w:ascii="宋体" w:hAnsi="宋体" w:eastAsia="仿宋"/>
                <w:kern w:val="0"/>
                <w:sz w:val="24"/>
              </w:rPr>
            </w:pPr>
            <w:r>
              <w:rPr>
                <w:rFonts w:hint="eastAsia" w:ascii="宋体" w:hAnsi="宋体" w:eastAsia="仿宋"/>
                <w:kern w:val="0"/>
                <w:sz w:val="24"/>
              </w:rPr>
              <w:t>提供合同扫描件</w:t>
            </w:r>
          </w:p>
          <w:p w14:paraId="2B57666B">
            <w:pPr>
              <w:widowControl/>
              <w:adjustRightInd w:val="0"/>
              <w:jc w:val="left"/>
              <w:rPr>
                <w:rFonts w:hint="eastAsia" w:ascii="宋体" w:hAnsi="宋体"/>
                <w:sz w:val="24"/>
              </w:rPr>
            </w:pPr>
            <w:r>
              <w:rPr>
                <w:rFonts w:hint="eastAsia" w:ascii="宋体" w:hAnsi="宋体" w:eastAsia="仿宋"/>
                <w:kern w:val="0"/>
                <w:sz w:val="24"/>
              </w:rPr>
              <w:t>详见第六章投标文件格式八（三）</w:t>
            </w:r>
          </w:p>
        </w:tc>
      </w:tr>
    </w:tbl>
    <w:p w14:paraId="623414EC">
      <w:pPr>
        <w:pStyle w:val="152"/>
        <w:adjustRightInd w:val="0"/>
        <w:snapToGrid w:val="0"/>
        <w:spacing w:before="0" w:line="360" w:lineRule="auto"/>
        <w:ind w:firstLine="482" w:firstLineChars="200"/>
        <w:rPr>
          <w:rFonts w:hint="eastAsia" w:ascii="楷体_GB2312" w:hAnsi="宋体" w:eastAsia="仿宋"/>
          <w:b/>
          <w:i/>
          <w:sz w:val="24"/>
          <w:szCs w:val="24"/>
        </w:rPr>
      </w:pPr>
      <w:bookmarkStart w:id="580" w:name="_Toc324404867"/>
      <w:bookmarkStart w:id="581" w:name="_Toc417623587"/>
      <w:r>
        <w:rPr>
          <w:rFonts w:hint="eastAsia" w:ascii="Calibri" w:hAnsi="Calibri" w:eastAsia="仿宋"/>
          <w:b/>
          <w:kern w:val="2"/>
          <w:sz w:val="24"/>
          <w:szCs w:val="24"/>
        </w:rPr>
        <w:t xml:space="preserve">2. </w:t>
      </w:r>
      <w:r>
        <w:rPr>
          <w:rFonts w:hint="eastAsia" w:ascii="宋体" w:hAnsi="宋体" w:eastAsia="仿宋"/>
          <w:b/>
          <w:bCs/>
          <w:sz w:val="24"/>
        </w:rPr>
        <w:t>符合性审查标准</w:t>
      </w:r>
    </w:p>
    <w:tbl>
      <w:tblPr>
        <w:tblStyle w:val="46"/>
        <w:tblW w:w="9494"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6"/>
        <w:gridCol w:w="2157"/>
        <w:gridCol w:w="6231"/>
      </w:tblGrid>
      <w:tr w14:paraId="044B5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Align w:val="center"/>
          </w:tcPr>
          <w:p w14:paraId="03138DEF">
            <w:pPr>
              <w:widowControl/>
              <w:jc w:val="center"/>
              <w:rPr>
                <w:rFonts w:hint="eastAsia" w:ascii="宋体" w:hAnsi="宋体"/>
                <w:b/>
                <w:kern w:val="0"/>
                <w:sz w:val="24"/>
              </w:rPr>
            </w:pPr>
            <w:r>
              <w:rPr>
                <w:rFonts w:hint="eastAsia" w:ascii="宋体" w:hAnsi="宋体" w:eastAsia="仿宋"/>
                <w:b/>
                <w:kern w:val="0"/>
                <w:sz w:val="24"/>
              </w:rPr>
              <w:t>条款号</w:t>
            </w:r>
          </w:p>
        </w:tc>
        <w:tc>
          <w:tcPr>
            <w:tcW w:w="2157" w:type="dxa"/>
            <w:vAlign w:val="center"/>
          </w:tcPr>
          <w:p w14:paraId="2038C864">
            <w:pPr>
              <w:widowControl/>
              <w:jc w:val="center"/>
              <w:rPr>
                <w:rFonts w:hint="eastAsia" w:ascii="宋体" w:hAnsi="宋体"/>
                <w:b/>
                <w:kern w:val="0"/>
                <w:sz w:val="24"/>
              </w:rPr>
            </w:pPr>
            <w:r>
              <w:rPr>
                <w:rFonts w:hint="eastAsia" w:ascii="宋体" w:hAnsi="宋体" w:eastAsia="仿宋"/>
                <w:b/>
                <w:kern w:val="0"/>
                <w:sz w:val="24"/>
              </w:rPr>
              <w:t>审查因素</w:t>
            </w:r>
          </w:p>
        </w:tc>
        <w:tc>
          <w:tcPr>
            <w:tcW w:w="6231" w:type="dxa"/>
            <w:vAlign w:val="center"/>
          </w:tcPr>
          <w:p w14:paraId="3D6C7182">
            <w:pPr>
              <w:widowControl/>
              <w:jc w:val="center"/>
              <w:rPr>
                <w:rFonts w:hint="eastAsia" w:ascii="宋体" w:hAnsi="宋体"/>
                <w:b/>
                <w:kern w:val="0"/>
                <w:sz w:val="24"/>
              </w:rPr>
            </w:pPr>
            <w:r>
              <w:rPr>
                <w:rFonts w:hint="eastAsia" w:ascii="宋体" w:hAnsi="宋体" w:eastAsia="仿宋"/>
                <w:b/>
                <w:kern w:val="0"/>
                <w:sz w:val="24"/>
              </w:rPr>
              <w:t>审查标准</w:t>
            </w:r>
          </w:p>
        </w:tc>
      </w:tr>
      <w:tr w14:paraId="3B0E7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restart"/>
            <w:vAlign w:val="center"/>
          </w:tcPr>
          <w:p w14:paraId="5934EC69">
            <w:pPr>
              <w:widowControl/>
              <w:jc w:val="center"/>
              <w:rPr>
                <w:rFonts w:hint="eastAsia" w:ascii="宋体" w:hAnsi="宋体" w:eastAsia="仿宋"/>
                <w:kern w:val="0"/>
                <w:sz w:val="24"/>
              </w:rPr>
            </w:pPr>
            <w:r>
              <w:rPr>
                <w:rFonts w:hint="eastAsia" w:ascii="宋体" w:hAnsi="宋体" w:eastAsia="仿宋"/>
                <w:kern w:val="0"/>
                <w:sz w:val="24"/>
              </w:rPr>
              <w:t>1.2</w:t>
            </w:r>
          </w:p>
        </w:tc>
        <w:tc>
          <w:tcPr>
            <w:tcW w:w="2157" w:type="dxa"/>
            <w:vAlign w:val="center"/>
          </w:tcPr>
          <w:p w14:paraId="5E5E549B">
            <w:pPr>
              <w:widowControl/>
              <w:jc w:val="left"/>
              <w:rPr>
                <w:rFonts w:hint="eastAsia" w:ascii="宋体" w:hAnsi="宋体"/>
                <w:kern w:val="0"/>
                <w:sz w:val="24"/>
              </w:rPr>
            </w:pPr>
            <w:r>
              <w:rPr>
                <w:rFonts w:hint="eastAsia" w:ascii="宋体" w:hAnsi="宋体" w:eastAsia="仿宋"/>
                <w:kern w:val="0"/>
                <w:sz w:val="24"/>
              </w:rPr>
              <w:t>供应商名称</w:t>
            </w:r>
          </w:p>
        </w:tc>
        <w:tc>
          <w:tcPr>
            <w:tcW w:w="6231" w:type="dxa"/>
            <w:vAlign w:val="center"/>
          </w:tcPr>
          <w:p w14:paraId="63E09DB1">
            <w:pPr>
              <w:widowControl/>
              <w:jc w:val="left"/>
              <w:rPr>
                <w:rFonts w:hint="eastAsia" w:ascii="宋体" w:hAnsi="宋体"/>
                <w:kern w:val="0"/>
                <w:sz w:val="24"/>
              </w:rPr>
            </w:pPr>
            <w:r>
              <w:rPr>
                <w:rFonts w:hint="eastAsia" w:ascii="宋体" w:hAnsi="宋体" w:eastAsia="仿宋"/>
                <w:kern w:val="0"/>
                <w:sz w:val="24"/>
              </w:rPr>
              <w:t>与营业执照（或事业单位法人证书等证明材料）一致</w:t>
            </w:r>
          </w:p>
        </w:tc>
      </w:tr>
      <w:tr w14:paraId="41680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3434AC9F">
            <w:pPr>
              <w:widowControl/>
              <w:jc w:val="center"/>
              <w:rPr>
                <w:rFonts w:hint="eastAsia" w:ascii="宋体" w:hAnsi="宋体"/>
                <w:kern w:val="0"/>
                <w:sz w:val="24"/>
              </w:rPr>
            </w:pPr>
          </w:p>
        </w:tc>
        <w:tc>
          <w:tcPr>
            <w:tcW w:w="2157" w:type="dxa"/>
            <w:vAlign w:val="center"/>
          </w:tcPr>
          <w:p w14:paraId="63CF1358">
            <w:pPr>
              <w:widowControl/>
              <w:jc w:val="left"/>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文件签署</w:t>
            </w:r>
          </w:p>
        </w:tc>
        <w:tc>
          <w:tcPr>
            <w:tcW w:w="6231" w:type="dxa"/>
            <w:vAlign w:val="center"/>
          </w:tcPr>
          <w:p w14:paraId="1A261108">
            <w:pPr>
              <w:widowControl/>
              <w:jc w:val="left"/>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文件签字盖章符合</w:t>
            </w:r>
            <w:r>
              <w:rPr>
                <w:rFonts w:hint="eastAsia" w:ascii="Calibri" w:hAnsi="Calibri" w:eastAsia="仿宋"/>
                <w:kern w:val="0"/>
                <w:sz w:val="24"/>
              </w:rPr>
              <w:t>单一来源采购文件</w:t>
            </w:r>
            <w:r>
              <w:rPr>
                <w:rFonts w:hint="eastAsia" w:ascii="宋体" w:hAnsi="宋体" w:eastAsia="仿宋"/>
                <w:kern w:val="0"/>
                <w:sz w:val="24"/>
              </w:rPr>
              <w:t>规定</w:t>
            </w:r>
          </w:p>
        </w:tc>
      </w:tr>
      <w:tr w14:paraId="46CA4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trPr>
        <w:tc>
          <w:tcPr>
            <w:tcW w:w="1106" w:type="dxa"/>
            <w:vMerge w:val="continue"/>
            <w:vAlign w:val="center"/>
          </w:tcPr>
          <w:p w14:paraId="501E4F63">
            <w:pPr>
              <w:widowControl/>
              <w:jc w:val="center"/>
              <w:rPr>
                <w:rFonts w:hint="eastAsia" w:ascii="宋体" w:hAnsi="宋体"/>
                <w:kern w:val="0"/>
                <w:sz w:val="24"/>
              </w:rPr>
            </w:pPr>
          </w:p>
        </w:tc>
        <w:tc>
          <w:tcPr>
            <w:tcW w:w="2157" w:type="dxa"/>
            <w:vAlign w:val="center"/>
          </w:tcPr>
          <w:p w14:paraId="35D85ED5">
            <w:pPr>
              <w:spacing w:line="240" w:lineRule="exact"/>
              <w:rPr>
                <w:rFonts w:hint="eastAsia" w:ascii="宋体" w:hAnsi="宋体"/>
                <w:sz w:val="24"/>
              </w:rPr>
            </w:pPr>
            <w:r>
              <w:rPr>
                <w:rFonts w:hint="eastAsia" w:ascii="宋体" w:hAnsi="宋体" w:eastAsia="仿宋"/>
                <w:sz w:val="24"/>
              </w:rPr>
              <w:t>法定代表人（单位负责人）身份证明及授权委托书</w:t>
            </w:r>
          </w:p>
        </w:tc>
        <w:tc>
          <w:tcPr>
            <w:tcW w:w="6231" w:type="dxa"/>
            <w:vAlign w:val="center"/>
          </w:tcPr>
          <w:p w14:paraId="48BAF15D">
            <w:pPr>
              <w:spacing w:line="240" w:lineRule="exact"/>
              <w:rPr>
                <w:rFonts w:hint="eastAsia" w:ascii="宋体" w:hAnsi="宋体"/>
                <w:sz w:val="24"/>
              </w:rPr>
            </w:pPr>
            <w:r>
              <w:rPr>
                <w:rFonts w:hint="eastAsia" w:ascii="宋体" w:hAnsi="宋体" w:eastAsia="仿宋"/>
                <w:sz w:val="24"/>
              </w:rPr>
              <w:t>法定代表人（单位负责人）身份证明及授权委托书符合采购文件规定的格式，按规定格式签字盖章</w:t>
            </w:r>
          </w:p>
        </w:tc>
      </w:tr>
      <w:tr w14:paraId="3FF64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59957EE0">
            <w:pPr>
              <w:widowControl/>
              <w:jc w:val="center"/>
              <w:rPr>
                <w:rFonts w:hint="eastAsia" w:ascii="宋体" w:hAnsi="宋体"/>
                <w:kern w:val="0"/>
                <w:sz w:val="24"/>
              </w:rPr>
            </w:pPr>
          </w:p>
        </w:tc>
        <w:tc>
          <w:tcPr>
            <w:tcW w:w="2157" w:type="dxa"/>
            <w:vAlign w:val="center"/>
          </w:tcPr>
          <w:p w14:paraId="57314452">
            <w:pPr>
              <w:widowControl/>
              <w:jc w:val="left"/>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文件格式</w:t>
            </w:r>
          </w:p>
        </w:tc>
        <w:tc>
          <w:tcPr>
            <w:tcW w:w="6231" w:type="dxa"/>
            <w:vAlign w:val="center"/>
          </w:tcPr>
          <w:p w14:paraId="1816DBAD">
            <w:pPr>
              <w:widowControl/>
              <w:jc w:val="left"/>
              <w:rPr>
                <w:rFonts w:hint="eastAsia" w:ascii="宋体" w:hAnsi="宋体"/>
                <w:kern w:val="0"/>
                <w:sz w:val="24"/>
              </w:rPr>
            </w:pPr>
            <w:r>
              <w:rPr>
                <w:rFonts w:hint="eastAsia" w:ascii="宋体" w:hAnsi="宋体" w:eastAsia="仿宋"/>
                <w:kern w:val="0"/>
                <w:sz w:val="24"/>
              </w:rPr>
              <w:t>符合</w:t>
            </w:r>
            <w:r>
              <w:rPr>
                <w:rFonts w:hint="eastAsia" w:ascii="Calibri" w:hAnsi="Calibri" w:eastAsia="仿宋"/>
                <w:kern w:val="0"/>
                <w:sz w:val="24"/>
              </w:rPr>
              <w:t>单一来源采购文件</w:t>
            </w:r>
            <w:r>
              <w:rPr>
                <w:rFonts w:hint="eastAsia" w:ascii="宋体" w:hAnsi="宋体" w:eastAsia="仿宋"/>
                <w:kern w:val="0"/>
                <w:sz w:val="24"/>
              </w:rPr>
              <w:t>给定格式要求，实质性内容齐全，关键内容、字迹清晰可辨</w:t>
            </w:r>
          </w:p>
        </w:tc>
      </w:tr>
      <w:tr w14:paraId="26DBE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65EF0D61">
            <w:pPr>
              <w:widowControl/>
              <w:jc w:val="center"/>
              <w:rPr>
                <w:rFonts w:hint="eastAsia" w:ascii="宋体" w:hAnsi="宋体"/>
                <w:kern w:val="0"/>
                <w:sz w:val="24"/>
              </w:rPr>
            </w:pPr>
          </w:p>
        </w:tc>
        <w:tc>
          <w:tcPr>
            <w:tcW w:w="2157" w:type="dxa"/>
            <w:vAlign w:val="center"/>
          </w:tcPr>
          <w:p w14:paraId="1EE124B2">
            <w:pPr>
              <w:widowControl/>
              <w:jc w:val="left"/>
              <w:rPr>
                <w:rFonts w:hint="eastAsia" w:ascii="宋体" w:hAnsi="宋体"/>
                <w:kern w:val="0"/>
                <w:sz w:val="24"/>
              </w:rPr>
            </w:pPr>
            <w:r>
              <w:rPr>
                <w:rFonts w:hint="eastAsia" w:ascii="宋体" w:hAnsi="宋体" w:eastAsia="仿宋"/>
                <w:kern w:val="0"/>
                <w:sz w:val="24"/>
              </w:rPr>
              <w:t>联合体</w:t>
            </w:r>
            <w:r>
              <w:rPr>
                <w:rFonts w:hint="eastAsia" w:ascii="Calibri" w:hAnsi="Calibri" w:eastAsia="仿宋"/>
                <w:kern w:val="0"/>
                <w:sz w:val="24"/>
              </w:rPr>
              <w:t>响应</w:t>
            </w:r>
          </w:p>
        </w:tc>
        <w:tc>
          <w:tcPr>
            <w:tcW w:w="6231" w:type="dxa"/>
            <w:vAlign w:val="center"/>
          </w:tcPr>
          <w:p w14:paraId="3E498E11">
            <w:pPr>
              <w:widowControl/>
              <w:jc w:val="left"/>
              <w:rPr>
                <w:rFonts w:hint="eastAsia" w:ascii="宋体" w:hAnsi="宋体"/>
                <w:kern w:val="0"/>
                <w:sz w:val="24"/>
              </w:rPr>
            </w:pPr>
            <w:r>
              <w:rPr>
                <w:rFonts w:hint="eastAsia" w:ascii="宋体" w:hAnsi="宋体" w:eastAsia="仿宋"/>
                <w:kern w:val="0"/>
                <w:sz w:val="24"/>
              </w:rPr>
              <w:t>提供联合体协议书，并明确联合体牵头人</w:t>
            </w:r>
          </w:p>
        </w:tc>
      </w:tr>
      <w:tr w14:paraId="67555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5E466F4F">
            <w:pPr>
              <w:widowControl/>
              <w:jc w:val="center"/>
              <w:rPr>
                <w:rFonts w:hint="eastAsia" w:ascii="宋体" w:hAnsi="宋体"/>
                <w:kern w:val="0"/>
                <w:sz w:val="24"/>
              </w:rPr>
            </w:pPr>
          </w:p>
        </w:tc>
        <w:tc>
          <w:tcPr>
            <w:tcW w:w="2157" w:type="dxa"/>
            <w:vAlign w:val="center"/>
          </w:tcPr>
          <w:p w14:paraId="4F290676">
            <w:pPr>
              <w:widowControl/>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范围</w:t>
            </w:r>
          </w:p>
        </w:tc>
        <w:tc>
          <w:tcPr>
            <w:tcW w:w="6231" w:type="dxa"/>
            <w:vAlign w:val="center"/>
          </w:tcPr>
          <w:p w14:paraId="73E9B1C2">
            <w:pPr>
              <w:widowControl/>
              <w:jc w:val="left"/>
              <w:rPr>
                <w:rFonts w:hint="eastAsia" w:ascii="宋体" w:hAnsi="宋体"/>
                <w:kern w:val="0"/>
                <w:sz w:val="24"/>
              </w:rPr>
            </w:pPr>
            <w:r>
              <w:rPr>
                <w:rFonts w:hint="eastAsia" w:ascii="宋体" w:hAnsi="宋体" w:eastAsia="仿宋"/>
                <w:kern w:val="0"/>
                <w:sz w:val="24"/>
              </w:rPr>
              <w:t>除可能实质性变动的条款外，符合</w:t>
            </w:r>
            <w:r>
              <w:rPr>
                <w:rFonts w:hint="eastAsia" w:ascii="Calibri" w:hAnsi="Calibri" w:eastAsia="仿宋"/>
                <w:kern w:val="0"/>
                <w:sz w:val="24"/>
              </w:rPr>
              <w:t>单一来源采购文件</w:t>
            </w:r>
            <w:r>
              <w:rPr>
                <w:rFonts w:hint="eastAsia" w:ascii="宋体" w:hAnsi="宋体" w:eastAsia="仿宋"/>
                <w:kern w:val="0"/>
                <w:sz w:val="24"/>
              </w:rPr>
              <w:t>要求</w:t>
            </w:r>
          </w:p>
        </w:tc>
      </w:tr>
      <w:tr w14:paraId="488FC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501C5534">
            <w:pPr>
              <w:widowControl/>
              <w:jc w:val="center"/>
              <w:rPr>
                <w:rFonts w:hint="eastAsia" w:ascii="宋体" w:hAnsi="宋体"/>
                <w:kern w:val="0"/>
                <w:sz w:val="24"/>
              </w:rPr>
            </w:pPr>
          </w:p>
        </w:tc>
        <w:tc>
          <w:tcPr>
            <w:tcW w:w="2157" w:type="dxa"/>
            <w:vAlign w:val="center"/>
          </w:tcPr>
          <w:p w14:paraId="69FD87C0">
            <w:pPr>
              <w:widowControl/>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报价</w:t>
            </w:r>
          </w:p>
        </w:tc>
        <w:tc>
          <w:tcPr>
            <w:tcW w:w="6231" w:type="dxa"/>
          </w:tcPr>
          <w:p w14:paraId="3E4DC51D">
            <w:pPr>
              <w:widowControl/>
              <w:jc w:val="left"/>
              <w:rPr>
                <w:rFonts w:hint="eastAsia" w:ascii="宋体" w:hAnsi="宋体"/>
                <w:kern w:val="0"/>
                <w:sz w:val="24"/>
              </w:rPr>
            </w:pPr>
            <w:r>
              <w:rPr>
                <w:rFonts w:hint="eastAsia" w:ascii="Calibri" w:hAnsi="Calibri" w:eastAsia="仿宋"/>
                <w:kern w:val="0"/>
                <w:sz w:val="24"/>
              </w:rPr>
              <w:t>响应</w:t>
            </w:r>
            <w:r>
              <w:rPr>
                <w:rFonts w:hint="eastAsia" w:ascii="宋体" w:hAnsi="宋体" w:eastAsia="仿宋" w:cs="仿宋_GB2312"/>
                <w:sz w:val="24"/>
                <w:lang w:val="zh-CN"/>
              </w:rPr>
              <w:t>报价不得超过</w:t>
            </w:r>
            <w:r>
              <w:rPr>
                <w:rFonts w:hint="eastAsia" w:ascii="宋体" w:hAnsi="宋体" w:eastAsia="仿宋" w:cs="仿宋_GB2312"/>
                <w:sz w:val="24"/>
              </w:rPr>
              <w:t>预算金额或</w:t>
            </w:r>
            <w:r>
              <w:rPr>
                <w:rFonts w:hint="eastAsia" w:ascii="宋体" w:hAnsi="宋体" w:eastAsia="仿宋" w:cs="仿宋_GB2312"/>
                <w:sz w:val="24"/>
                <w:lang w:val="zh-CN"/>
              </w:rPr>
              <w:t>最高限价，</w:t>
            </w:r>
            <w:r>
              <w:rPr>
                <w:rFonts w:hint="eastAsia" w:ascii="宋体" w:hAnsi="宋体" w:eastAsia="仿宋"/>
                <w:sz w:val="24"/>
              </w:rPr>
              <w:t>只能有一个有效报价，不得提交选择性报价</w:t>
            </w:r>
          </w:p>
        </w:tc>
      </w:tr>
      <w:tr w14:paraId="7B944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4EC865BA">
            <w:pPr>
              <w:widowControl/>
              <w:jc w:val="center"/>
              <w:rPr>
                <w:rFonts w:hint="eastAsia" w:ascii="宋体" w:hAnsi="宋体"/>
                <w:kern w:val="0"/>
                <w:sz w:val="24"/>
              </w:rPr>
            </w:pPr>
          </w:p>
        </w:tc>
        <w:tc>
          <w:tcPr>
            <w:tcW w:w="2157" w:type="dxa"/>
            <w:vAlign w:val="center"/>
          </w:tcPr>
          <w:p w14:paraId="78F37053">
            <w:pPr>
              <w:widowControl/>
              <w:rPr>
                <w:rFonts w:ascii="Calibri" w:hAnsi="Calibri" w:eastAsia="仿宋"/>
                <w:kern w:val="0"/>
                <w:sz w:val="24"/>
              </w:rPr>
            </w:pPr>
            <w:r>
              <w:rPr>
                <w:rFonts w:hint="eastAsia" w:ascii="Calibri" w:hAnsi="Calibri" w:eastAsia="仿宋"/>
                <w:kern w:val="0"/>
                <w:sz w:val="24"/>
              </w:rPr>
              <w:t>协商保证金</w:t>
            </w:r>
          </w:p>
        </w:tc>
        <w:tc>
          <w:tcPr>
            <w:tcW w:w="6231" w:type="dxa"/>
            <w:vAlign w:val="center"/>
          </w:tcPr>
          <w:p w14:paraId="2E29259A">
            <w:pPr>
              <w:widowControl/>
              <w:jc w:val="left"/>
              <w:rPr>
                <w:rFonts w:ascii="Calibri" w:hAnsi="Calibri" w:eastAsia="仿宋"/>
                <w:kern w:val="0"/>
                <w:sz w:val="24"/>
              </w:rPr>
            </w:pPr>
            <w:r>
              <w:rPr>
                <w:rFonts w:hint="eastAsia" w:ascii="宋体" w:hAnsi="宋体" w:eastAsia="仿宋"/>
                <w:kern w:val="0"/>
                <w:sz w:val="24"/>
              </w:rPr>
              <w:t>符合</w:t>
            </w:r>
            <w:r>
              <w:rPr>
                <w:rFonts w:hint="eastAsia" w:ascii="Calibri" w:hAnsi="Calibri" w:eastAsia="仿宋"/>
                <w:kern w:val="0"/>
                <w:sz w:val="24"/>
              </w:rPr>
              <w:t>单一来源采购文件</w:t>
            </w:r>
            <w:r>
              <w:rPr>
                <w:rFonts w:hint="eastAsia" w:ascii="宋体" w:hAnsi="宋体" w:eastAsia="仿宋"/>
                <w:kern w:val="0"/>
                <w:sz w:val="24"/>
              </w:rPr>
              <w:t>要求</w:t>
            </w:r>
          </w:p>
        </w:tc>
      </w:tr>
      <w:tr w14:paraId="38A2F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032AF78B">
            <w:pPr>
              <w:widowControl/>
              <w:jc w:val="center"/>
              <w:rPr>
                <w:rFonts w:hint="eastAsia" w:ascii="宋体" w:hAnsi="宋体"/>
                <w:kern w:val="0"/>
                <w:sz w:val="24"/>
              </w:rPr>
            </w:pPr>
          </w:p>
        </w:tc>
        <w:tc>
          <w:tcPr>
            <w:tcW w:w="2157" w:type="dxa"/>
            <w:vAlign w:val="center"/>
          </w:tcPr>
          <w:p w14:paraId="22674D77">
            <w:pPr>
              <w:pStyle w:val="151"/>
              <w:rPr>
                <w:rFonts w:hint="eastAsia" w:ascii="宋体" w:hAnsi="宋体" w:eastAsia="仿宋"/>
                <w:sz w:val="24"/>
                <w:szCs w:val="24"/>
              </w:rPr>
            </w:pPr>
            <w:r>
              <w:rPr>
                <w:rFonts w:hint="eastAsia" w:ascii="宋体" w:hAnsi="宋体" w:eastAsia="仿宋"/>
                <w:sz w:val="24"/>
                <w:szCs w:val="24"/>
              </w:rPr>
              <w:t>采购需求</w:t>
            </w:r>
          </w:p>
        </w:tc>
        <w:tc>
          <w:tcPr>
            <w:tcW w:w="6231" w:type="dxa"/>
            <w:vAlign w:val="center"/>
          </w:tcPr>
          <w:p w14:paraId="70138A06">
            <w:pPr>
              <w:pStyle w:val="151"/>
              <w:rPr>
                <w:rFonts w:hint="eastAsia" w:ascii="宋体" w:hAnsi="宋体" w:eastAsia="仿宋"/>
                <w:strike/>
                <w:sz w:val="24"/>
                <w:szCs w:val="24"/>
              </w:rPr>
            </w:pPr>
            <w:r>
              <w:rPr>
                <w:rFonts w:hint="eastAsia" w:ascii="宋体" w:hAnsi="宋体" w:eastAsia="仿宋"/>
                <w:sz w:val="24"/>
              </w:rPr>
              <w:t>符合第三章《采购需求》中全部内容</w:t>
            </w:r>
          </w:p>
        </w:tc>
      </w:tr>
      <w:tr w14:paraId="67EB3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5EED6725">
            <w:pPr>
              <w:widowControl/>
              <w:jc w:val="center"/>
              <w:rPr>
                <w:rFonts w:hint="eastAsia" w:ascii="宋体" w:hAnsi="宋体"/>
                <w:kern w:val="0"/>
                <w:sz w:val="24"/>
              </w:rPr>
            </w:pPr>
          </w:p>
        </w:tc>
        <w:tc>
          <w:tcPr>
            <w:tcW w:w="2157" w:type="dxa"/>
            <w:vAlign w:val="center"/>
          </w:tcPr>
          <w:p w14:paraId="549AEF13">
            <w:pPr>
              <w:widowControl/>
              <w:rPr>
                <w:rFonts w:hint="eastAsia" w:ascii="宋体" w:hAnsi="宋体"/>
                <w:kern w:val="0"/>
                <w:sz w:val="24"/>
              </w:rPr>
            </w:pPr>
            <w:r>
              <w:rPr>
                <w:rFonts w:hint="eastAsia" w:ascii="Calibri" w:hAnsi="Calibri" w:eastAsia="仿宋"/>
                <w:kern w:val="0"/>
                <w:sz w:val="24"/>
              </w:rPr>
              <w:t>响应</w:t>
            </w:r>
            <w:r>
              <w:rPr>
                <w:rFonts w:hint="eastAsia" w:ascii="宋体" w:hAnsi="宋体" w:eastAsia="仿宋"/>
                <w:kern w:val="0"/>
                <w:sz w:val="24"/>
              </w:rPr>
              <w:t>有效期</w:t>
            </w:r>
          </w:p>
        </w:tc>
        <w:tc>
          <w:tcPr>
            <w:tcW w:w="6231" w:type="dxa"/>
            <w:vAlign w:val="center"/>
          </w:tcPr>
          <w:p w14:paraId="56D296AD">
            <w:pPr>
              <w:widowControl/>
              <w:jc w:val="left"/>
              <w:rPr>
                <w:rFonts w:hint="eastAsia" w:ascii="宋体" w:hAnsi="宋体"/>
                <w:kern w:val="0"/>
                <w:sz w:val="24"/>
              </w:rPr>
            </w:pPr>
            <w:r>
              <w:rPr>
                <w:rFonts w:hint="eastAsia" w:ascii="宋体" w:hAnsi="宋体" w:eastAsia="仿宋"/>
                <w:kern w:val="0"/>
                <w:sz w:val="24"/>
              </w:rPr>
              <w:t>符合</w:t>
            </w:r>
            <w:r>
              <w:rPr>
                <w:rFonts w:hint="eastAsia" w:ascii="Calibri" w:hAnsi="Calibri" w:eastAsia="仿宋"/>
                <w:kern w:val="0"/>
                <w:sz w:val="24"/>
              </w:rPr>
              <w:t>单一来源采购文件</w:t>
            </w:r>
            <w:r>
              <w:rPr>
                <w:rFonts w:hint="eastAsia" w:ascii="宋体" w:hAnsi="宋体" w:eastAsia="仿宋"/>
                <w:kern w:val="0"/>
                <w:sz w:val="24"/>
              </w:rPr>
              <w:t>要求</w:t>
            </w:r>
          </w:p>
        </w:tc>
      </w:tr>
      <w:tr w14:paraId="67E45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tcPr>
          <w:p w14:paraId="46C85058">
            <w:pPr>
              <w:widowControl/>
              <w:jc w:val="center"/>
              <w:rPr>
                <w:rFonts w:hint="eastAsia" w:ascii="宋体" w:hAnsi="宋体"/>
                <w:kern w:val="0"/>
                <w:sz w:val="24"/>
              </w:rPr>
            </w:pPr>
          </w:p>
        </w:tc>
        <w:tc>
          <w:tcPr>
            <w:tcW w:w="2157" w:type="dxa"/>
            <w:vAlign w:val="center"/>
          </w:tcPr>
          <w:p w14:paraId="0DBF1624">
            <w:pPr>
              <w:widowControl/>
              <w:rPr>
                <w:rFonts w:hint="eastAsia" w:ascii="宋体" w:hAnsi="宋体"/>
                <w:kern w:val="0"/>
                <w:sz w:val="24"/>
              </w:rPr>
            </w:pPr>
            <w:r>
              <w:rPr>
                <w:rFonts w:hint="eastAsia" w:ascii="宋体" w:hAnsi="宋体" w:eastAsia="仿宋"/>
                <w:kern w:val="0"/>
                <w:sz w:val="24"/>
              </w:rPr>
              <w:t>权利义务</w:t>
            </w:r>
          </w:p>
        </w:tc>
        <w:tc>
          <w:tcPr>
            <w:tcW w:w="6231" w:type="dxa"/>
            <w:vAlign w:val="center"/>
          </w:tcPr>
          <w:p w14:paraId="76C11234">
            <w:pPr>
              <w:widowControl/>
              <w:jc w:val="left"/>
              <w:rPr>
                <w:rFonts w:hint="eastAsia" w:ascii="宋体" w:hAnsi="宋体"/>
                <w:kern w:val="0"/>
                <w:sz w:val="24"/>
              </w:rPr>
            </w:pPr>
            <w:r>
              <w:rPr>
                <w:rFonts w:hint="eastAsia" w:ascii="宋体" w:hAnsi="宋体" w:eastAsia="仿宋"/>
                <w:kern w:val="0"/>
                <w:sz w:val="24"/>
              </w:rPr>
              <w:t>符合</w:t>
            </w:r>
            <w:r>
              <w:rPr>
                <w:rFonts w:hint="eastAsia" w:ascii="Calibri" w:hAnsi="Calibri" w:eastAsia="仿宋"/>
                <w:kern w:val="0"/>
                <w:sz w:val="24"/>
              </w:rPr>
              <w:t>单一来源采购文件</w:t>
            </w:r>
            <w:r>
              <w:rPr>
                <w:rFonts w:hint="eastAsia" w:ascii="宋体" w:hAnsi="宋体" w:eastAsia="仿宋"/>
                <w:kern w:val="0"/>
                <w:sz w:val="24"/>
              </w:rPr>
              <w:t>合同条款要求，未另行设定采购人不能接受的采购人应承担的义务，未对供应商的义务予以削弱</w:t>
            </w:r>
          </w:p>
        </w:tc>
      </w:tr>
      <w:tr w14:paraId="1606F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tcPr>
          <w:p w14:paraId="3F141AB5">
            <w:pPr>
              <w:widowControl/>
              <w:jc w:val="center"/>
              <w:rPr>
                <w:rFonts w:hint="eastAsia" w:ascii="宋体" w:hAnsi="宋体"/>
                <w:kern w:val="0"/>
                <w:sz w:val="24"/>
              </w:rPr>
            </w:pPr>
          </w:p>
        </w:tc>
        <w:tc>
          <w:tcPr>
            <w:tcW w:w="2157" w:type="dxa"/>
            <w:vAlign w:val="center"/>
          </w:tcPr>
          <w:p w14:paraId="0151709E">
            <w:pPr>
              <w:pStyle w:val="151"/>
              <w:rPr>
                <w:rFonts w:hint="eastAsia" w:ascii="宋体" w:hAnsi="宋体"/>
                <w:sz w:val="24"/>
                <w:szCs w:val="24"/>
              </w:rPr>
            </w:pPr>
            <w:r>
              <w:rPr>
                <w:rFonts w:hint="eastAsia" w:ascii="宋体" w:hAnsi="宋体" w:eastAsia="仿宋"/>
                <w:sz w:val="24"/>
                <w:szCs w:val="24"/>
              </w:rPr>
              <w:t>其他要求</w:t>
            </w:r>
          </w:p>
        </w:tc>
        <w:tc>
          <w:tcPr>
            <w:tcW w:w="6231" w:type="dxa"/>
            <w:vAlign w:val="center"/>
          </w:tcPr>
          <w:p w14:paraId="2C5A0F3A">
            <w:pPr>
              <w:pStyle w:val="151"/>
              <w:rPr>
                <w:rFonts w:hint="eastAsia" w:ascii="宋体" w:hAnsi="宋体" w:eastAsia="仿宋"/>
                <w:sz w:val="24"/>
                <w:szCs w:val="24"/>
              </w:rPr>
            </w:pPr>
            <w:r>
              <w:rPr>
                <w:rFonts w:hint="eastAsia" w:ascii="宋体" w:hAnsi="宋体" w:eastAsia="仿宋"/>
                <w:sz w:val="24"/>
                <w:szCs w:val="24"/>
              </w:rPr>
              <w:t>符合法律、行政法规规定的其他条件或单一来源采购文件列明的其他要求</w:t>
            </w:r>
          </w:p>
        </w:tc>
      </w:tr>
    </w:tbl>
    <w:p w14:paraId="24141EA8">
      <w:pPr>
        <w:pStyle w:val="3"/>
        <w:rPr>
          <w:rStyle w:val="102"/>
          <w:rFonts w:hint="eastAsia" w:ascii="宋体" w:hAnsi="宋体" w:eastAsia="仿宋"/>
          <w:b/>
          <w:bCs/>
          <w:sz w:val="24"/>
          <w:szCs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580"/>
    <w:bookmarkEnd w:id="581"/>
    <w:p w14:paraId="32E8E7AA">
      <w:pPr>
        <w:pStyle w:val="3"/>
        <w:widowControl/>
        <w:adjustRightInd w:val="0"/>
        <w:spacing w:before="0" w:after="0" w:line="360" w:lineRule="auto"/>
        <w:ind w:firstLine="482" w:firstLineChars="200"/>
        <w:rPr>
          <w:rFonts w:hint="eastAsia" w:ascii="宋体" w:hAnsi="宋体" w:eastAsia="仿宋"/>
          <w:bCs w:val="0"/>
          <w:sz w:val="24"/>
          <w:szCs w:val="24"/>
        </w:rPr>
      </w:pPr>
      <w:bookmarkStart w:id="582" w:name="_Toc466024569"/>
      <w:bookmarkStart w:id="583" w:name="_Toc455587286"/>
      <w:bookmarkStart w:id="584" w:name="_Toc445554770"/>
      <w:bookmarkStart w:id="585" w:name="_Toc455587102"/>
      <w:bookmarkStart w:id="586" w:name="_Toc466024568"/>
      <w:bookmarkStart w:id="587" w:name="_Toc455587101"/>
      <w:bookmarkStart w:id="588" w:name="_Toc445554769"/>
      <w:bookmarkStart w:id="589" w:name="_Toc455587285"/>
      <w:r>
        <w:rPr>
          <w:rFonts w:hint="eastAsia" w:ascii="宋体" w:hAnsi="宋体" w:eastAsia="仿宋"/>
          <w:bCs w:val="0"/>
          <w:sz w:val="24"/>
          <w:szCs w:val="24"/>
        </w:rPr>
        <w:t xml:space="preserve">1. </w:t>
      </w:r>
      <w:bookmarkEnd w:id="582"/>
      <w:bookmarkEnd w:id="583"/>
      <w:bookmarkEnd w:id="584"/>
      <w:bookmarkEnd w:id="585"/>
      <w:r>
        <w:rPr>
          <w:rFonts w:hint="eastAsia" w:ascii="宋体" w:hAnsi="宋体" w:eastAsia="仿宋"/>
          <w:bCs w:val="0"/>
          <w:sz w:val="24"/>
          <w:szCs w:val="24"/>
        </w:rPr>
        <w:t>协商程序</w:t>
      </w:r>
    </w:p>
    <w:p w14:paraId="2C0C31AC">
      <w:pPr>
        <w:pStyle w:val="151"/>
        <w:adjustRightInd w:val="0"/>
        <w:snapToGrid w:val="0"/>
        <w:spacing w:line="360" w:lineRule="auto"/>
        <w:ind w:firstLine="482" w:firstLineChars="200"/>
        <w:rPr>
          <w:rFonts w:hint="eastAsia" w:ascii="宋体" w:hAnsi="宋体" w:eastAsia="仿宋"/>
          <w:b/>
          <w:sz w:val="24"/>
          <w:szCs w:val="24"/>
        </w:rPr>
      </w:pPr>
      <w:r>
        <w:rPr>
          <w:rFonts w:hint="eastAsia" w:ascii="宋体" w:hAnsi="宋体" w:eastAsia="仿宋"/>
          <w:b/>
          <w:sz w:val="24"/>
          <w:szCs w:val="24"/>
        </w:rPr>
        <w:t>1.1 资格审查</w:t>
      </w:r>
    </w:p>
    <w:p w14:paraId="6ADA6B8F">
      <w:pPr>
        <w:pStyle w:val="151"/>
        <w:adjustRightInd w:val="0"/>
        <w:snapToGrid w:val="0"/>
        <w:spacing w:line="360" w:lineRule="auto"/>
        <w:ind w:firstLine="480" w:firstLineChars="200"/>
        <w:rPr>
          <w:rFonts w:hint="eastAsia" w:ascii="宋体" w:hAnsi="宋体" w:eastAsia="仿宋"/>
          <w:bCs/>
          <w:sz w:val="24"/>
          <w:szCs w:val="24"/>
        </w:rPr>
      </w:pPr>
      <w:r>
        <w:rPr>
          <w:rFonts w:hint="eastAsia" w:ascii="宋体" w:hAnsi="宋体" w:eastAsia="仿宋"/>
          <w:bCs/>
          <w:sz w:val="24"/>
          <w:szCs w:val="24"/>
        </w:rPr>
        <w:t>单一来源采购人员</w:t>
      </w:r>
      <w:r>
        <w:rPr>
          <w:rFonts w:ascii="宋体" w:hAnsi="宋体" w:eastAsia="仿宋"/>
          <w:bCs/>
          <w:sz w:val="24"/>
          <w:szCs w:val="24"/>
        </w:rPr>
        <w:t>按照</w:t>
      </w:r>
      <w:r>
        <w:rPr>
          <w:rFonts w:hint="eastAsia" w:ascii="宋体" w:hAnsi="宋体" w:eastAsia="仿宋"/>
          <w:bCs/>
          <w:sz w:val="24"/>
          <w:szCs w:val="24"/>
        </w:rPr>
        <w:t>资格审查前附表</w:t>
      </w:r>
      <w:r>
        <w:rPr>
          <w:rFonts w:ascii="宋体" w:hAnsi="宋体" w:eastAsia="仿宋"/>
          <w:bCs/>
          <w:sz w:val="24"/>
          <w:szCs w:val="24"/>
        </w:rPr>
        <w:t>规定的审查标准，对供应商进行审查。有一项不符合审查标准的，资格审查不合格，其</w:t>
      </w:r>
      <w:r>
        <w:rPr>
          <w:rFonts w:hint="eastAsia" w:ascii="宋体" w:hAnsi="宋体" w:eastAsia="仿宋"/>
          <w:bCs/>
          <w:sz w:val="24"/>
          <w:szCs w:val="24"/>
        </w:rPr>
        <w:t>响应</w:t>
      </w:r>
      <w:r>
        <w:rPr>
          <w:rFonts w:ascii="宋体" w:hAnsi="宋体" w:eastAsia="仿宋"/>
          <w:bCs/>
          <w:sz w:val="24"/>
          <w:szCs w:val="24"/>
        </w:rPr>
        <w:t>无效。</w:t>
      </w:r>
    </w:p>
    <w:p w14:paraId="585D4DDD">
      <w:pPr>
        <w:pStyle w:val="151"/>
        <w:adjustRightInd w:val="0"/>
        <w:snapToGrid w:val="0"/>
        <w:spacing w:line="360" w:lineRule="auto"/>
        <w:ind w:firstLine="482" w:firstLineChars="200"/>
        <w:rPr>
          <w:rFonts w:hint="eastAsia" w:ascii="宋体" w:hAnsi="宋体" w:eastAsia="仿宋"/>
          <w:b/>
          <w:sz w:val="24"/>
          <w:szCs w:val="24"/>
        </w:rPr>
      </w:pPr>
      <w:r>
        <w:rPr>
          <w:rFonts w:hint="eastAsia" w:ascii="宋体" w:hAnsi="宋体" w:eastAsia="仿宋"/>
          <w:b/>
          <w:sz w:val="24"/>
          <w:szCs w:val="24"/>
        </w:rPr>
        <w:t>1.2 符合性审查</w:t>
      </w:r>
    </w:p>
    <w:p w14:paraId="0E80F1BA">
      <w:pPr>
        <w:pStyle w:val="151"/>
        <w:adjustRightInd w:val="0"/>
        <w:snapToGrid w:val="0"/>
        <w:spacing w:line="360" w:lineRule="auto"/>
        <w:ind w:firstLine="480" w:firstLineChars="200"/>
        <w:rPr>
          <w:rFonts w:hint="eastAsia" w:ascii="宋体" w:hAnsi="宋体" w:eastAsia="仿宋"/>
          <w:bCs/>
          <w:sz w:val="24"/>
          <w:szCs w:val="24"/>
        </w:rPr>
      </w:pPr>
      <w:r>
        <w:rPr>
          <w:rFonts w:hint="eastAsia" w:ascii="宋体" w:hAnsi="宋体" w:eastAsia="仿宋"/>
          <w:bCs/>
          <w:sz w:val="24"/>
          <w:szCs w:val="24"/>
        </w:rPr>
        <w:t>单一来源采购人员</w:t>
      </w:r>
      <w:r>
        <w:rPr>
          <w:rFonts w:ascii="宋体" w:hAnsi="宋体" w:eastAsia="仿宋"/>
          <w:bCs/>
          <w:sz w:val="24"/>
          <w:szCs w:val="24"/>
        </w:rPr>
        <w:t>按照</w:t>
      </w:r>
      <w:r>
        <w:rPr>
          <w:rFonts w:hint="eastAsia" w:ascii="宋体" w:hAnsi="宋体" w:eastAsia="仿宋"/>
          <w:bCs/>
          <w:sz w:val="24"/>
          <w:szCs w:val="24"/>
        </w:rPr>
        <w:t>符合性审查前附表</w:t>
      </w:r>
      <w:r>
        <w:rPr>
          <w:rFonts w:ascii="宋体" w:hAnsi="宋体" w:eastAsia="仿宋"/>
          <w:bCs/>
          <w:sz w:val="24"/>
          <w:szCs w:val="24"/>
        </w:rPr>
        <w:t>规定的审查标准，</w:t>
      </w:r>
      <w:r>
        <w:rPr>
          <w:rFonts w:hint="eastAsia" w:ascii="宋体" w:hAnsi="宋体" w:eastAsia="仿宋"/>
          <w:bCs/>
          <w:sz w:val="24"/>
          <w:szCs w:val="24"/>
        </w:rPr>
        <w:t>对响应文件进行符合性审查，以确定其是否满足采购文件的实质性要求。</w:t>
      </w:r>
      <w:r>
        <w:rPr>
          <w:rFonts w:ascii="宋体" w:hAnsi="宋体" w:eastAsia="仿宋"/>
          <w:bCs/>
          <w:sz w:val="24"/>
          <w:szCs w:val="24"/>
        </w:rPr>
        <w:t>有一项不符合审查标准的，</w:t>
      </w:r>
      <w:r>
        <w:rPr>
          <w:rFonts w:hint="eastAsia" w:ascii="宋体" w:hAnsi="宋体" w:eastAsia="仿宋"/>
          <w:bCs/>
          <w:sz w:val="24"/>
          <w:szCs w:val="24"/>
        </w:rPr>
        <w:t>符合性审查</w:t>
      </w:r>
      <w:r>
        <w:rPr>
          <w:rFonts w:ascii="宋体" w:hAnsi="宋体" w:eastAsia="仿宋"/>
          <w:bCs/>
          <w:sz w:val="24"/>
          <w:szCs w:val="24"/>
        </w:rPr>
        <w:t>不合格，其</w:t>
      </w:r>
      <w:r>
        <w:rPr>
          <w:rFonts w:hint="eastAsia" w:ascii="宋体" w:hAnsi="宋体" w:eastAsia="仿宋"/>
          <w:bCs/>
          <w:sz w:val="24"/>
          <w:szCs w:val="24"/>
        </w:rPr>
        <w:t>响应</w:t>
      </w:r>
      <w:r>
        <w:rPr>
          <w:rFonts w:ascii="宋体" w:hAnsi="宋体" w:eastAsia="仿宋"/>
          <w:bCs/>
          <w:sz w:val="24"/>
          <w:szCs w:val="24"/>
        </w:rPr>
        <w:t>无效。</w:t>
      </w:r>
    </w:p>
    <w:bookmarkEnd w:id="586"/>
    <w:bookmarkEnd w:id="587"/>
    <w:bookmarkEnd w:id="588"/>
    <w:bookmarkEnd w:id="589"/>
    <w:p w14:paraId="03C62944">
      <w:pPr>
        <w:pStyle w:val="151"/>
        <w:adjustRightInd w:val="0"/>
        <w:snapToGrid w:val="0"/>
        <w:spacing w:line="360" w:lineRule="auto"/>
        <w:ind w:firstLine="482" w:firstLineChars="200"/>
        <w:rPr>
          <w:rFonts w:hint="eastAsia" w:ascii="宋体" w:hAnsi="宋体" w:eastAsia="仿宋"/>
          <w:b/>
          <w:sz w:val="24"/>
          <w:szCs w:val="24"/>
        </w:rPr>
      </w:pPr>
      <w:r>
        <w:rPr>
          <w:rFonts w:hint="eastAsia" w:ascii="宋体" w:hAnsi="宋体" w:eastAsia="仿宋"/>
          <w:b/>
          <w:sz w:val="24"/>
          <w:szCs w:val="24"/>
        </w:rPr>
        <w:t>1.3 商定合理价格</w:t>
      </w:r>
    </w:p>
    <w:p w14:paraId="6429CE1F">
      <w:pPr>
        <w:pStyle w:val="151"/>
        <w:adjustRightInd w:val="0"/>
        <w:snapToGrid w:val="0"/>
        <w:spacing w:line="360" w:lineRule="auto"/>
        <w:ind w:firstLine="480" w:firstLineChars="200"/>
        <w:rPr>
          <w:rFonts w:hint="eastAsia" w:ascii="宋体" w:hAnsi="宋体" w:eastAsia="仿宋"/>
          <w:bCs/>
          <w:sz w:val="24"/>
          <w:szCs w:val="24"/>
        </w:rPr>
      </w:pPr>
      <w:bookmarkStart w:id="590" w:name="_Toc497923239"/>
      <w:bookmarkStart w:id="591" w:name="_Toc500009131"/>
      <w:r>
        <w:rPr>
          <w:rFonts w:hint="eastAsia" w:ascii="宋体" w:hAnsi="宋体" w:eastAsia="仿宋"/>
          <w:bCs/>
          <w:sz w:val="24"/>
          <w:szCs w:val="24"/>
        </w:rPr>
        <w:t>单一来源采购人员与供应商商定合理的价格并保证采购项目质量。</w:t>
      </w:r>
    </w:p>
    <w:bookmarkEnd w:id="590"/>
    <w:bookmarkEnd w:id="591"/>
    <w:p w14:paraId="32D572D9">
      <w:pPr>
        <w:pStyle w:val="3"/>
        <w:widowControl/>
        <w:adjustRightInd w:val="0"/>
        <w:spacing w:before="0" w:after="0" w:line="360" w:lineRule="auto"/>
        <w:ind w:firstLine="482" w:firstLineChars="200"/>
        <w:rPr>
          <w:rFonts w:hint="eastAsia" w:ascii="宋体" w:hAnsi="宋体" w:eastAsia="仿宋"/>
          <w:sz w:val="24"/>
          <w:szCs w:val="24"/>
        </w:rPr>
      </w:pPr>
      <w:bookmarkStart w:id="592" w:name="_Toc455587287"/>
      <w:bookmarkStart w:id="593" w:name="_Toc466024570"/>
      <w:bookmarkStart w:id="594" w:name="_Toc455587103"/>
      <w:bookmarkStart w:id="595" w:name="_Toc445554771"/>
      <w:bookmarkStart w:id="596" w:name="_Toc466024571"/>
      <w:bookmarkStart w:id="597" w:name="_Toc455587288"/>
      <w:bookmarkStart w:id="598" w:name="_Toc445554772"/>
      <w:bookmarkStart w:id="599" w:name="_Toc455587104"/>
      <w:r>
        <w:rPr>
          <w:rFonts w:hint="eastAsia" w:ascii="宋体" w:hAnsi="宋体" w:eastAsia="仿宋"/>
          <w:sz w:val="24"/>
          <w:szCs w:val="24"/>
        </w:rPr>
        <w:t>2 响应文件的澄清</w:t>
      </w:r>
      <w:bookmarkEnd w:id="592"/>
      <w:bookmarkEnd w:id="593"/>
      <w:bookmarkEnd w:id="594"/>
      <w:bookmarkEnd w:id="595"/>
    </w:p>
    <w:p w14:paraId="41A3C4C6">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2.1 评审过程中，单一来源采购人员可以要求供应商对响应文件中含义不明确、同类问题表述不一致或者有明显文字和计算错误的内容等作出必要的澄清、说明或者补正。供应商的书面澄清、说明和补正属于响应文件的组成部分。</w:t>
      </w:r>
    </w:p>
    <w:p w14:paraId="42C0C6E2">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2.2 单一来源采购人员要求供应商澄清、说明或者更正响应文件应当以书面形式作出。供应商的澄清、说明或者更正应当由法定代表人（单位负责人）或其授权代表签字或者加盖公章。由授权代表签字的，应当附法定代表人（单位负责人）授权书。供应商为自然人的，应当由本人签字并附身份证明。</w:t>
      </w:r>
    </w:p>
    <w:bookmarkEnd w:id="596"/>
    <w:bookmarkEnd w:id="597"/>
    <w:bookmarkEnd w:id="598"/>
    <w:bookmarkEnd w:id="599"/>
    <w:p w14:paraId="789A959A">
      <w:pPr>
        <w:pStyle w:val="3"/>
        <w:widowControl/>
        <w:adjustRightInd w:val="0"/>
        <w:spacing w:before="0" w:after="0" w:line="360" w:lineRule="auto"/>
        <w:ind w:firstLine="482" w:firstLineChars="200"/>
        <w:rPr>
          <w:rFonts w:hint="eastAsia" w:ascii="宋体" w:hAnsi="宋体" w:eastAsia="仿宋"/>
          <w:sz w:val="24"/>
          <w:szCs w:val="24"/>
        </w:rPr>
      </w:pPr>
      <w:r>
        <w:rPr>
          <w:rFonts w:hint="eastAsia" w:ascii="宋体" w:hAnsi="宋体" w:eastAsia="仿宋"/>
          <w:sz w:val="24"/>
          <w:szCs w:val="24"/>
        </w:rPr>
        <w:t>3 协商结果</w:t>
      </w:r>
    </w:p>
    <w:p w14:paraId="5D6A3C6A">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3.1 符合以下条件的供应商确定为成交供应商：</w:t>
      </w:r>
    </w:p>
    <w:p w14:paraId="4F9C97EE">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（1）符合采购文件的实质性要求；</w:t>
      </w:r>
    </w:p>
    <w:p w14:paraId="457D751B">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（2）合理价格成交原则；</w:t>
      </w:r>
    </w:p>
    <w:p w14:paraId="79025902">
      <w:pPr>
        <w:pStyle w:val="151"/>
        <w:adjustRightInd w:val="0"/>
        <w:spacing w:line="360" w:lineRule="auto"/>
        <w:ind w:firstLine="480" w:firstLineChars="200"/>
        <w:rPr>
          <w:rFonts w:hint="eastAsia" w:ascii="宋体" w:hAnsi="宋体" w:eastAsia="仿宋"/>
          <w:sz w:val="24"/>
          <w:szCs w:val="24"/>
        </w:rPr>
      </w:pPr>
      <w:r>
        <w:rPr>
          <w:rFonts w:hint="eastAsia" w:ascii="Calibri" w:hAnsi="Calibri" w:eastAsia="仿宋"/>
          <w:sz w:val="24"/>
          <w:szCs w:val="24"/>
        </w:rPr>
        <w:t>（3）有良好的执行合同和售后服务能力。</w:t>
      </w:r>
    </w:p>
    <w:p w14:paraId="6A1D9783">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 xml:space="preserve">3.2 </w:t>
      </w:r>
      <w:bookmarkStart w:id="600" w:name="_Toc455587105"/>
      <w:bookmarkStart w:id="601" w:name="_Toc455587289"/>
      <w:bookmarkStart w:id="602" w:name="_Toc445554773"/>
      <w:r>
        <w:rPr>
          <w:rFonts w:hint="eastAsia" w:ascii="Calibri" w:hAnsi="Calibri" w:eastAsia="仿宋"/>
          <w:sz w:val="24"/>
          <w:szCs w:val="24"/>
        </w:rPr>
        <w:t>单一来源采购人员应当编写协商情况记录，主要内容包括：</w:t>
      </w:r>
    </w:p>
    <w:p w14:paraId="0C4A6B1D">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（1）参照《政府采购非招标采购方式管理办法》第三十八条进行公示的，公示情况说明；</w:t>
      </w:r>
    </w:p>
    <w:p w14:paraId="1DFBE7F1">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（2）协商日期和地点，采购人员名单；</w:t>
      </w:r>
    </w:p>
    <w:p w14:paraId="63FDC910">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（3）供应商提供的采购标的成本、同类项目合同价格以及相关专利、专有技术等情况说明；</w:t>
      </w:r>
    </w:p>
    <w:p w14:paraId="1A1753B7">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（4）合同主要条款及价格商定情况。</w:t>
      </w:r>
    </w:p>
    <w:p w14:paraId="0BF35259">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3.3协商情况记录应当由采购全体人员签字认可。对记录有异议的采购人员，应当签署不同意见并说明理由。采购人员拒绝在记录上签字又不书面说明其不同意见和理由的，视为同意。</w:t>
      </w:r>
    </w:p>
    <w:p w14:paraId="10AAE305">
      <w:pPr>
        <w:pStyle w:val="3"/>
        <w:widowControl/>
        <w:adjustRightInd w:val="0"/>
        <w:spacing w:before="0" w:after="0" w:line="360" w:lineRule="auto"/>
        <w:ind w:firstLine="482" w:firstLineChars="200"/>
        <w:rPr>
          <w:rFonts w:ascii="Calibri" w:hAnsi="Calibri" w:eastAsia="仿宋"/>
          <w:bCs w:val="0"/>
          <w:sz w:val="24"/>
          <w:szCs w:val="24"/>
        </w:rPr>
      </w:pPr>
      <w:bookmarkStart w:id="603" w:name="_Toc466024572"/>
      <w:r>
        <w:rPr>
          <w:rFonts w:hint="eastAsia" w:ascii="Calibri" w:hAnsi="Calibri" w:eastAsia="仿宋"/>
          <w:bCs w:val="0"/>
          <w:sz w:val="24"/>
          <w:szCs w:val="24"/>
        </w:rPr>
        <w:t>4. 其他</w:t>
      </w:r>
      <w:bookmarkEnd w:id="600"/>
      <w:bookmarkEnd w:id="601"/>
      <w:bookmarkEnd w:id="602"/>
      <w:bookmarkEnd w:id="603"/>
    </w:p>
    <w:p w14:paraId="06D4039F">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4.1 供应商提供的与采购活动有关的各类证书、证明、文件、资料等的真实性、合法性由供应商负全责。单一来源采购人员一律不负责进行核查确认。单一来源采购人员发现供应商存在弄虚作假嫌疑的，或者由其他利害关系人投诉举报发现供应商存在弄虚作假行为的,提请有关监督部门另行立案调查；有关监督部门调查确认弄虚作假情况属实的，如果该供应商已被确定为成交供应商的，由采购人按照法律法规相关规定处理。</w:t>
      </w:r>
    </w:p>
    <w:p w14:paraId="0E9BA536">
      <w:pPr>
        <w:pStyle w:val="151"/>
        <w:adjustRightInd w:val="0"/>
        <w:spacing w:line="360" w:lineRule="auto"/>
        <w:ind w:firstLine="480" w:firstLineChars="200"/>
        <w:rPr>
          <w:rFonts w:ascii="Calibri" w:hAnsi="Calibri" w:eastAsia="仿宋"/>
          <w:sz w:val="24"/>
          <w:szCs w:val="24"/>
        </w:rPr>
      </w:pPr>
      <w:r>
        <w:rPr>
          <w:rFonts w:hint="eastAsia" w:ascii="Calibri" w:hAnsi="Calibri" w:eastAsia="仿宋"/>
          <w:sz w:val="24"/>
          <w:szCs w:val="24"/>
        </w:rPr>
        <w:t>4.2 供应商提供业绩、荣誉证书、资质资格证书</w:t>
      </w:r>
      <w:r>
        <w:rPr>
          <w:rFonts w:hint="eastAsia" w:ascii="宋体" w:hAnsi="宋体" w:eastAsia="仿宋"/>
          <w:sz w:val="24"/>
          <w:szCs w:val="24"/>
        </w:rPr>
        <w:t>、相关</w:t>
      </w:r>
      <w:r>
        <w:rPr>
          <w:rFonts w:hint="eastAsia" w:ascii="Calibri" w:hAnsi="Calibri" w:eastAsia="仿宋"/>
          <w:sz w:val="24"/>
          <w:szCs w:val="24"/>
        </w:rPr>
        <w:t>证明材料等文件</w:t>
      </w:r>
      <w:r>
        <w:rPr>
          <w:rFonts w:hint="eastAsia" w:ascii="宋体" w:hAnsi="宋体" w:eastAsia="仿宋"/>
          <w:sz w:val="24"/>
          <w:szCs w:val="24"/>
        </w:rPr>
        <w:t>及</w:t>
      </w:r>
      <w:r>
        <w:rPr>
          <w:rFonts w:hint="eastAsia" w:ascii="Calibri" w:hAnsi="Calibri" w:eastAsia="仿宋"/>
          <w:sz w:val="24"/>
          <w:szCs w:val="24"/>
        </w:rPr>
        <w:t>资料均须在响应文件中提供，电子响应文件中提供扫描件</w:t>
      </w:r>
      <w:r>
        <w:rPr>
          <w:rFonts w:hint="eastAsia" w:ascii="宋体" w:hAnsi="宋体" w:eastAsia="仿宋"/>
          <w:sz w:val="24"/>
          <w:szCs w:val="24"/>
        </w:rPr>
        <w:t>或电子证照</w:t>
      </w:r>
      <w:r>
        <w:rPr>
          <w:rFonts w:hint="eastAsia" w:ascii="Calibri" w:hAnsi="Calibri" w:eastAsia="仿宋"/>
          <w:sz w:val="24"/>
          <w:szCs w:val="24"/>
        </w:rPr>
        <w:t>。如未在响应文件中提供，则</w:t>
      </w:r>
      <w:r>
        <w:rPr>
          <w:rFonts w:hint="eastAsia" w:ascii="宋体" w:hAnsi="宋体" w:eastAsia="仿宋"/>
          <w:sz w:val="24"/>
          <w:szCs w:val="24"/>
        </w:rPr>
        <w:t>审查相应项</w:t>
      </w:r>
      <w:r>
        <w:rPr>
          <w:rFonts w:hint="eastAsia" w:ascii="Calibri" w:hAnsi="Calibri" w:eastAsia="仿宋"/>
          <w:sz w:val="24"/>
          <w:szCs w:val="24"/>
        </w:rPr>
        <w:t>视为未响应。</w:t>
      </w:r>
    </w:p>
    <w:p w14:paraId="041DAFCF">
      <w:pPr>
        <w:widowControl/>
        <w:spacing w:line="400" w:lineRule="exact"/>
        <w:ind w:firstLine="480" w:firstLineChars="200"/>
        <w:rPr>
          <w:rFonts w:hint="eastAsia" w:ascii="宋体" w:hAnsi="宋体" w:eastAsia="仿宋"/>
          <w:sz w:val="24"/>
        </w:rPr>
      </w:pPr>
    </w:p>
    <w:p w14:paraId="01EE4B9B">
      <w:pPr>
        <w:widowControl/>
        <w:spacing w:line="400" w:lineRule="exact"/>
        <w:ind w:firstLine="480" w:firstLineChars="200"/>
        <w:rPr>
          <w:rFonts w:hint="eastAsia" w:ascii="宋体" w:hAnsi="宋体" w:eastAsia="仿宋"/>
          <w:sz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DD71DA6">
      <w:pPr>
        <w:pStyle w:val="2"/>
        <w:widowControl/>
        <w:spacing w:before="0" w:after="0" w:line="240" w:lineRule="auto"/>
        <w:jc w:val="center"/>
        <w:rPr>
          <w:rFonts w:hint="eastAsia" w:ascii="宋体" w:hAnsi="宋体" w:eastAsia="仿宋"/>
        </w:rPr>
      </w:pPr>
      <w:bookmarkStart w:id="604" w:name="_Toc445554783"/>
      <w:bookmarkStart w:id="605" w:name="_Toc6780"/>
      <w:bookmarkStart w:id="606" w:name="_Toc466024582"/>
      <w:bookmarkStart w:id="607" w:name="_Toc162331289"/>
      <w:bookmarkStart w:id="608" w:name="_Toc138323410"/>
      <w:bookmarkStart w:id="609" w:name="_Toc199585022"/>
      <w:bookmarkStart w:id="610" w:name="_Toc255490647"/>
      <w:bookmarkStart w:id="611" w:name="_Toc153636085"/>
      <w:bookmarkStart w:id="612" w:name="_Toc165463683"/>
      <w:bookmarkStart w:id="613" w:name="_Toc256955329"/>
      <w:bookmarkStart w:id="614" w:name="_Toc201377864"/>
      <w:bookmarkStart w:id="615" w:name="_Toc153634810"/>
      <w:bookmarkStart w:id="616" w:name="_Toc152696791"/>
      <w:bookmarkStart w:id="617" w:name="_Toc153630652"/>
      <w:bookmarkStart w:id="618" w:name="_Toc177181404"/>
      <w:bookmarkStart w:id="619" w:name="_Toc176927207"/>
      <w:bookmarkStart w:id="620" w:name="_Toc153635713"/>
      <w:bookmarkStart w:id="621" w:name="_Toc162406884"/>
      <w:bookmarkStart w:id="622" w:name="_Toc256409867"/>
      <w:bookmarkStart w:id="623" w:name="_Toc139194404"/>
      <w:bookmarkStart w:id="624" w:name="_Toc221418700"/>
      <w:bookmarkStart w:id="625" w:name="_Toc192231354"/>
      <w:bookmarkStart w:id="626" w:name="_Toc138638816"/>
      <w:bookmarkStart w:id="627" w:name="_Toc162410278"/>
      <w:bookmarkStart w:id="628" w:name="_Toc153485042"/>
      <w:bookmarkStart w:id="629" w:name="_Toc176780575"/>
      <w:bookmarkStart w:id="630" w:name="_Toc256434217"/>
    </w:p>
    <w:p w14:paraId="309946D2">
      <w:pPr>
        <w:pStyle w:val="2"/>
        <w:widowControl/>
        <w:spacing w:before="0" w:after="0" w:line="240" w:lineRule="auto"/>
        <w:jc w:val="center"/>
        <w:rPr>
          <w:rFonts w:hint="eastAsia" w:ascii="宋体" w:hAnsi="宋体" w:eastAsia="仿宋"/>
        </w:rPr>
      </w:pPr>
    </w:p>
    <w:p w14:paraId="033EA4C9">
      <w:pPr>
        <w:pStyle w:val="2"/>
        <w:widowControl/>
        <w:spacing w:before="0" w:after="0" w:line="240" w:lineRule="auto"/>
        <w:jc w:val="center"/>
        <w:rPr>
          <w:rFonts w:hint="eastAsia" w:ascii="宋体" w:hAnsi="宋体" w:eastAsia="仿宋"/>
        </w:rPr>
      </w:pPr>
    </w:p>
    <w:p w14:paraId="154452DE">
      <w:pPr>
        <w:pStyle w:val="2"/>
        <w:widowControl/>
        <w:spacing w:before="0" w:after="0" w:line="240" w:lineRule="auto"/>
        <w:jc w:val="center"/>
        <w:rPr>
          <w:rFonts w:hint="eastAsia" w:ascii="宋体" w:hAnsi="宋体" w:eastAsia="仿宋"/>
        </w:rPr>
      </w:pPr>
    </w:p>
    <w:p w14:paraId="792BC9B1">
      <w:pPr>
        <w:pStyle w:val="2"/>
        <w:widowControl/>
        <w:spacing w:before="0" w:after="0" w:line="240" w:lineRule="auto"/>
        <w:jc w:val="center"/>
        <w:rPr>
          <w:rFonts w:hint="eastAsia" w:ascii="宋体" w:hAnsi="宋体" w:eastAsia="仿宋"/>
        </w:rPr>
      </w:pPr>
    </w:p>
    <w:p w14:paraId="1FE5813D">
      <w:pPr>
        <w:pStyle w:val="2"/>
        <w:widowControl/>
        <w:spacing w:before="0" w:after="0" w:line="240" w:lineRule="auto"/>
        <w:jc w:val="center"/>
        <w:rPr>
          <w:rFonts w:hint="eastAsia" w:ascii="宋体" w:hAnsi="宋体" w:eastAsia="仿宋"/>
        </w:rPr>
      </w:pPr>
    </w:p>
    <w:p w14:paraId="429BD767">
      <w:pPr>
        <w:pStyle w:val="2"/>
        <w:widowControl/>
        <w:spacing w:before="0" w:after="0" w:line="240" w:lineRule="auto"/>
        <w:jc w:val="center"/>
        <w:rPr>
          <w:rFonts w:hint="eastAsia" w:ascii="宋体" w:hAnsi="宋体" w:eastAsia="仿宋"/>
        </w:rPr>
      </w:pPr>
    </w:p>
    <w:p w14:paraId="6FA366E0">
      <w:pPr>
        <w:pStyle w:val="2"/>
        <w:widowControl/>
        <w:spacing w:before="0" w:after="0" w:line="240" w:lineRule="auto"/>
        <w:jc w:val="center"/>
        <w:rPr>
          <w:rFonts w:hint="eastAsia" w:ascii="宋体" w:hAnsi="宋体" w:eastAsia="仿宋"/>
        </w:rPr>
      </w:pPr>
    </w:p>
    <w:p w14:paraId="6AAEA51F">
      <w:pPr>
        <w:pStyle w:val="2"/>
        <w:widowControl/>
        <w:spacing w:before="0" w:after="0" w:line="240" w:lineRule="auto"/>
        <w:jc w:val="center"/>
        <w:rPr>
          <w:rFonts w:hint="eastAsia" w:ascii="宋体" w:hAnsi="宋体" w:eastAsia="仿宋"/>
        </w:rPr>
      </w:pPr>
    </w:p>
    <w:p w14:paraId="490178F1">
      <w:pPr>
        <w:pStyle w:val="2"/>
        <w:widowControl/>
        <w:spacing w:before="0" w:after="0" w:line="240" w:lineRule="auto"/>
        <w:jc w:val="center"/>
        <w:rPr>
          <w:rFonts w:hint="eastAsia" w:ascii="宋体" w:hAnsi="宋体" w:eastAsia="仿宋"/>
        </w:rPr>
      </w:pPr>
    </w:p>
    <w:p w14:paraId="588997DB">
      <w:pPr>
        <w:pStyle w:val="2"/>
        <w:widowControl/>
        <w:spacing w:before="0" w:after="0" w:line="240" w:lineRule="auto"/>
        <w:jc w:val="center"/>
        <w:rPr>
          <w:rFonts w:hint="eastAsia" w:ascii="宋体" w:hAnsi="宋体" w:eastAsia="仿宋"/>
        </w:rPr>
      </w:pPr>
    </w:p>
    <w:p w14:paraId="31939263">
      <w:pPr>
        <w:pStyle w:val="2"/>
        <w:widowControl/>
        <w:spacing w:before="0" w:after="0" w:line="240" w:lineRule="auto"/>
        <w:jc w:val="center"/>
        <w:rPr>
          <w:rFonts w:hint="eastAsia" w:ascii="宋体" w:hAnsi="宋体" w:eastAsia="仿宋"/>
        </w:rPr>
      </w:pPr>
    </w:p>
    <w:p w14:paraId="0563B40A">
      <w:pPr>
        <w:pStyle w:val="2"/>
        <w:widowControl/>
        <w:spacing w:before="0" w:after="0" w:line="240" w:lineRule="auto"/>
        <w:jc w:val="center"/>
        <w:rPr>
          <w:rFonts w:hint="eastAsia" w:ascii="宋体" w:hAnsi="宋体" w:eastAsia="仿宋"/>
        </w:rPr>
      </w:pPr>
    </w:p>
    <w:p w14:paraId="5CFE8F77">
      <w:pPr>
        <w:pStyle w:val="2"/>
        <w:widowControl/>
        <w:spacing w:before="0" w:after="0" w:line="240" w:lineRule="auto"/>
        <w:jc w:val="center"/>
        <w:rPr>
          <w:rFonts w:hint="eastAsia" w:ascii="宋体" w:hAnsi="宋体" w:eastAsia="仿宋"/>
        </w:rPr>
      </w:pPr>
      <w:r>
        <w:rPr>
          <w:rFonts w:hint="eastAsia" w:ascii="宋体" w:hAnsi="宋体" w:eastAsia="仿宋"/>
        </w:rPr>
        <w:t>第五章  合同条款及格式</w:t>
      </w:r>
      <w:bookmarkEnd w:id="604"/>
      <w:bookmarkEnd w:id="605"/>
      <w:bookmarkEnd w:id="606"/>
    </w:p>
    <w:p w14:paraId="2CD2AC09">
      <w:pPr>
        <w:spacing w:line="360" w:lineRule="auto"/>
        <w:rPr>
          <w:rFonts w:hint="eastAsia" w:ascii="宋体" w:hAnsi="宋体" w:eastAsia="仿宋"/>
          <w:sz w:val="24"/>
        </w:rPr>
      </w:pPr>
    </w:p>
    <w:p w14:paraId="291EAD03">
      <w:pPr>
        <w:snapToGrid w:val="0"/>
        <w:spacing w:before="156" w:beforeLines="50"/>
        <w:rPr>
          <w:rFonts w:hint="eastAsia" w:ascii="宋体" w:hAnsi="宋体" w:cs="宋体"/>
          <w:bCs/>
          <w:sz w:val="24"/>
        </w:rPr>
        <w:sectPr>
          <w:footerReference r:id="rId8" w:type="default"/>
          <w:type w:val="continuous"/>
          <w:pgSz w:w="11906" w:h="16838"/>
          <w:pgMar w:top="1440" w:right="1080" w:bottom="1440" w:left="1080" w:header="851" w:footer="851" w:gutter="0"/>
          <w:cols w:space="720" w:num="1"/>
          <w:docGrid w:type="lines" w:linePitch="312" w:charSpace="0"/>
        </w:sectPr>
      </w:pPr>
    </w:p>
    <w:p w14:paraId="18E01A78">
      <w:pPr>
        <w:spacing w:line="845" w:lineRule="exact"/>
        <w:ind w:left="1041" w:right="105"/>
        <w:rPr>
          <w:sz w:val="32"/>
        </w:rPr>
      </w:pPr>
      <w:r>
        <w:rPr>
          <w:b/>
          <w:i/>
          <w:w w:val="95"/>
          <w:sz w:val="67"/>
        </w:rPr>
        <w:t>敬呈：</w:t>
      </w:r>
      <w:r>
        <w:rPr>
          <w:sz w:val="32"/>
        </w:rPr>
        <w:t xml:space="preserve"> </w:t>
      </w:r>
    </w:p>
    <w:p w14:paraId="686420EB">
      <w:pPr>
        <w:spacing w:before="2"/>
        <w:ind w:left="447"/>
        <w:jc w:val="center"/>
        <w:rPr>
          <w:sz w:val="64"/>
        </w:rPr>
      </w:pPr>
      <w:r>
        <w:rPr>
          <w:w w:val="99"/>
          <w:sz w:val="64"/>
        </w:rPr>
        <w:t xml:space="preserve"> </w:t>
      </w:r>
    </w:p>
    <w:p w14:paraId="644FC178">
      <w:pPr>
        <w:spacing w:before="11"/>
        <w:ind w:left="447"/>
        <w:jc w:val="center"/>
        <w:rPr>
          <w:sz w:val="64"/>
        </w:rPr>
      </w:pPr>
      <w:r>
        <w:rPr>
          <w:w w:val="99"/>
          <w:sz w:val="64"/>
        </w:rPr>
        <w:t xml:space="preserve"> </w:t>
      </w:r>
    </w:p>
    <w:p w14:paraId="62BDFA39">
      <w:pPr>
        <w:pStyle w:val="18"/>
        <w:rPr>
          <w:sz w:val="52"/>
        </w:rPr>
      </w:pPr>
      <w:r>
        <w:br w:type="column"/>
      </w:r>
    </w:p>
    <w:p w14:paraId="2D35508C">
      <w:pPr>
        <w:pStyle w:val="18"/>
        <w:rPr>
          <w:sz w:val="52"/>
        </w:rPr>
      </w:pPr>
    </w:p>
    <w:p w14:paraId="715FDDA7">
      <w:pPr>
        <w:pStyle w:val="18"/>
        <w:rPr>
          <w:sz w:val="52"/>
        </w:rPr>
      </w:pPr>
    </w:p>
    <w:p w14:paraId="05C744DC">
      <w:pPr>
        <w:pStyle w:val="18"/>
        <w:spacing w:before="10"/>
        <w:rPr>
          <w:sz w:val="39"/>
        </w:rPr>
      </w:pPr>
    </w:p>
    <w:p w14:paraId="48A962B2">
      <w:pPr>
        <w:ind w:left="1043"/>
        <w:rPr>
          <w:sz w:val="52"/>
        </w:rPr>
      </w:pPr>
      <w:r>
        <w:rPr>
          <w:w w:val="99"/>
          <w:sz w:val="52"/>
        </w:rPr>
        <w:t xml:space="preserve"> </w:t>
      </w:r>
      <w:r>
        <w:rPr>
          <w:spacing w:val="-1"/>
          <w:sz w:val="52"/>
        </w:rPr>
        <w:t xml:space="preserve"> </w:t>
      </w:r>
      <w:r>
        <w:rPr>
          <w:w w:val="99"/>
          <w:sz w:val="52"/>
        </w:rPr>
        <w:t xml:space="preserve"> </w:t>
      </w:r>
      <w:r>
        <w:rPr>
          <w:spacing w:val="-1"/>
          <w:sz w:val="52"/>
        </w:rPr>
        <w:t xml:space="preserve"> </w:t>
      </w:r>
      <w:r>
        <w:rPr>
          <w:w w:val="99"/>
          <w:sz w:val="52"/>
        </w:rPr>
        <w:t xml:space="preserve"> </w:t>
      </w:r>
      <w:r>
        <w:rPr>
          <w:spacing w:val="-1"/>
          <w:sz w:val="52"/>
        </w:rPr>
        <w:t xml:space="preserve"> </w:t>
      </w:r>
      <w:r>
        <w:rPr>
          <w:w w:val="99"/>
          <w:sz w:val="52"/>
        </w:rPr>
        <w:t xml:space="preserve"> </w:t>
      </w:r>
      <w:r>
        <w:rPr>
          <w:spacing w:val="4"/>
          <w:sz w:val="52"/>
        </w:rPr>
        <w:t xml:space="preserve"> </w:t>
      </w:r>
      <w:r>
        <w:rPr>
          <w:w w:val="99"/>
          <w:sz w:val="52"/>
        </w:rPr>
        <w:t xml:space="preserve"> </w:t>
      </w:r>
      <w:r>
        <w:rPr>
          <w:spacing w:val="4"/>
          <w:sz w:val="52"/>
        </w:rPr>
        <w:t xml:space="preserve"> </w:t>
      </w:r>
      <w:r>
        <w:rPr>
          <w:w w:val="99"/>
          <w:sz w:val="52"/>
        </w:rPr>
        <w:t xml:space="preserve"> </w:t>
      </w:r>
    </w:p>
    <w:p w14:paraId="253C180A">
      <w:pPr>
        <w:spacing w:before="4"/>
        <w:ind w:left="2344"/>
        <w:rPr>
          <w:sz w:val="32"/>
        </w:rPr>
      </w:pPr>
      <w:r>
        <w:rPr>
          <w:sz w:val="32"/>
        </w:rPr>
        <w:t xml:space="preserve"> </w:t>
      </w:r>
    </w:p>
    <w:p w14:paraId="0D72F527">
      <w:pPr>
        <w:spacing w:before="8" w:line="242" w:lineRule="auto"/>
        <w:ind w:left="976" w:right="3973" w:firstLine="485"/>
        <w:rPr>
          <w:b/>
          <w:sz w:val="32"/>
        </w:rPr>
      </w:pPr>
      <w:r>
        <w:rPr>
          <w:b/>
          <w:sz w:val="32"/>
        </w:rPr>
        <w:t>智享保A</w:t>
      </w:r>
      <w:r>
        <w:rPr>
          <w:b/>
          <w:spacing w:val="-3"/>
          <w:sz w:val="32"/>
        </w:rPr>
        <w:t xml:space="preserve">合同   </w:t>
      </w:r>
      <w:r>
        <w:rPr>
          <w:b/>
          <w:sz w:val="32"/>
        </w:rPr>
        <w:t>球管服务(TUI</w:t>
      </w:r>
      <w:r>
        <w:rPr>
          <w:b/>
          <w:spacing w:val="-4"/>
          <w:sz w:val="32"/>
        </w:rPr>
        <w:t>)合同</w:t>
      </w:r>
      <w:r>
        <w:rPr>
          <w:b/>
          <w:w w:val="99"/>
          <w:sz w:val="32"/>
        </w:rPr>
        <w:t xml:space="preserve"> </w:t>
      </w:r>
    </w:p>
    <w:p w14:paraId="0E339184">
      <w:pPr>
        <w:spacing w:before="4"/>
        <w:ind w:right="3012"/>
        <w:jc w:val="center"/>
        <w:rPr>
          <w:b/>
          <w:sz w:val="28"/>
        </w:rPr>
      </w:pPr>
      <w:r>
        <w:rPr>
          <w:b/>
          <w:w w:val="98"/>
          <w:sz w:val="28"/>
        </w:rPr>
        <w:t xml:space="preserve"> </w:t>
      </w:r>
    </w:p>
    <w:p w14:paraId="6B623F34">
      <w:pPr>
        <w:spacing w:before="1"/>
        <w:ind w:right="3012"/>
        <w:jc w:val="center"/>
        <w:rPr>
          <w:b/>
          <w:sz w:val="28"/>
        </w:rPr>
      </w:pPr>
      <w:r>
        <w:rPr>
          <w:b/>
          <w:w w:val="98"/>
          <w:sz w:val="28"/>
        </w:rPr>
        <w:t xml:space="preserve"> </w:t>
      </w:r>
    </w:p>
    <w:p w14:paraId="331FAE52">
      <w:pPr>
        <w:tabs>
          <w:tab w:val="left" w:pos="720"/>
        </w:tabs>
        <w:spacing w:before="6"/>
        <w:ind w:right="3011"/>
        <w:jc w:val="center"/>
        <w:rPr>
          <w:b/>
          <w:sz w:val="28"/>
        </w:rPr>
      </w:pPr>
      <w:r>
        <w:rPr>
          <w:b/>
          <w:w w:val="98"/>
          <w:sz w:val="28"/>
        </w:rPr>
        <w:t xml:space="preserve"> </w:t>
      </w:r>
      <w:r>
        <w:rPr>
          <w:b/>
          <w:sz w:val="28"/>
        </w:rPr>
        <w:tab/>
      </w:r>
      <w:r>
        <w:rPr>
          <w:b/>
          <w:w w:val="98"/>
          <w:sz w:val="28"/>
        </w:rPr>
        <w:t xml:space="preserve"> </w:t>
      </w:r>
    </w:p>
    <w:p w14:paraId="616F4027">
      <w:pPr>
        <w:spacing w:before="45"/>
        <w:ind w:right="3017"/>
        <w:jc w:val="center"/>
        <w:rPr>
          <w:b/>
          <w:sz w:val="28"/>
        </w:rPr>
      </w:pPr>
      <w:r>
        <w:rPr>
          <w:sz w:val="32"/>
        </w:rPr>
        <w:t xml:space="preserve">  </w:t>
      </w:r>
      <w:r>
        <w:rPr>
          <w:b/>
          <w:w w:val="98"/>
          <w:sz w:val="28"/>
        </w:rPr>
        <w:t xml:space="preserve"> </w:t>
      </w:r>
    </w:p>
    <w:p w14:paraId="03FCF323">
      <w:pPr>
        <w:jc w:val="center"/>
        <w:rPr>
          <w:sz w:val="28"/>
        </w:rPr>
        <w:sectPr>
          <w:pgSz w:w="12240" w:h="15840"/>
          <w:pgMar w:top="1120" w:right="480" w:bottom="280" w:left="440" w:header="720" w:footer="720" w:gutter="0"/>
          <w:cols w:equalWidth="0" w:num="2">
            <w:col w:w="3104" w:space="373"/>
            <w:col w:w="7843"/>
          </w:cols>
        </w:sectPr>
      </w:pPr>
    </w:p>
    <w:p w14:paraId="1A082676">
      <w:pPr>
        <w:spacing w:before="16"/>
        <w:ind w:left="463"/>
        <w:jc w:val="center"/>
        <w:rPr>
          <w:b/>
          <w:sz w:val="28"/>
        </w:rPr>
      </w:pPr>
      <w:r>
        <w:rPr>
          <w:b/>
          <w:sz w:val="28"/>
        </w:rPr>
        <w:t xml:space="preserve">GE Medical System Trade and Development (Shanghai) Co.,Ltd. </w:t>
      </w:r>
    </w:p>
    <w:p w14:paraId="45B83ECE">
      <w:pPr>
        <w:spacing w:before="4"/>
        <w:ind w:left="479"/>
        <w:jc w:val="center"/>
        <w:rPr>
          <w:b/>
          <w:sz w:val="32"/>
        </w:rPr>
      </w:pPr>
      <w:r>
        <w:rPr>
          <w:b/>
          <w:sz w:val="32"/>
        </w:rPr>
        <w:t>通用电气医疗系统贸易发展（上海）有限公司</w:t>
      </w:r>
      <w:r>
        <w:rPr>
          <w:b/>
          <w:w w:val="99"/>
          <w:sz w:val="32"/>
        </w:rPr>
        <w:t xml:space="preserve"> </w:t>
      </w:r>
    </w:p>
    <w:p w14:paraId="484E38AE">
      <w:pPr>
        <w:spacing w:before="3"/>
        <w:ind w:left="484"/>
        <w:jc w:val="center"/>
        <w:rPr>
          <w:b/>
          <w:sz w:val="32"/>
        </w:rPr>
      </w:pPr>
      <w:r>
        <w:rPr>
          <w:b/>
          <w:w w:val="99"/>
          <w:sz w:val="32"/>
        </w:rPr>
        <w:t xml:space="preserve"> </w:t>
      </w:r>
      <w:r>
        <w:rPr>
          <w:b/>
          <w:sz w:val="32"/>
        </w:rPr>
        <w:t xml:space="preserve"> </w:t>
      </w:r>
      <w:r>
        <w:rPr>
          <w:b/>
          <w:w w:val="99"/>
          <w:sz w:val="32"/>
        </w:rPr>
        <w:t xml:space="preserve"> </w:t>
      </w:r>
      <w:r>
        <w:rPr>
          <w:b/>
          <w:sz w:val="32"/>
        </w:rPr>
        <w:t xml:space="preserve"> </w:t>
      </w:r>
      <w:r>
        <w:rPr>
          <w:b/>
          <w:w w:val="99"/>
          <w:sz w:val="32"/>
        </w:rPr>
        <w:t xml:space="preserve"> </w:t>
      </w:r>
      <w:r>
        <w:rPr>
          <w:b/>
          <w:sz w:val="32"/>
        </w:rPr>
        <w:t xml:space="preserve"> </w:t>
      </w:r>
      <w:r>
        <w:rPr>
          <w:b/>
          <w:w w:val="99"/>
          <w:sz w:val="32"/>
        </w:rPr>
        <w:t xml:space="preserve"> </w:t>
      </w:r>
      <w:r>
        <w:rPr>
          <w:b/>
          <w:sz w:val="32"/>
        </w:rPr>
        <w:t xml:space="preserve"> 年         月         日</w:t>
      </w:r>
      <w:r>
        <w:rPr>
          <w:b/>
          <w:w w:val="99"/>
          <w:sz w:val="32"/>
        </w:rPr>
        <w:t xml:space="preserve"> </w:t>
      </w:r>
    </w:p>
    <w:p w14:paraId="7BE14EDD">
      <w:pPr>
        <w:pStyle w:val="18"/>
        <w:rPr>
          <w:b/>
        </w:rPr>
      </w:pPr>
    </w:p>
    <w:p w14:paraId="0D9B6475">
      <w:pPr>
        <w:pStyle w:val="18"/>
        <w:rPr>
          <w:b/>
        </w:rPr>
      </w:pPr>
    </w:p>
    <w:p w14:paraId="1D698CD6">
      <w:pPr>
        <w:pStyle w:val="18"/>
        <w:rPr>
          <w:b/>
        </w:rPr>
      </w:pPr>
    </w:p>
    <w:p w14:paraId="754CA749">
      <w:pPr>
        <w:pStyle w:val="18"/>
        <w:rPr>
          <w:b/>
        </w:rPr>
      </w:pPr>
    </w:p>
    <w:p w14:paraId="18BA888B">
      <w:pPr>
        <w:pStyle w:val="18"/>
        <w:rPr>
          <w:b/>
        </w:rPr>
      </w:pPr>
    </w:p>
    <w:p w14:paraId="4714FB10">
      <w:pPr>
        <w:pStyle w:val="18"/>
        <w:rPr>
          <w:b/>
        </w:rPr>
      </w:pPr>
    </w:p>
    <w:p w14:paraId="0AF061FE">
      <w:pPr>
        <w:pStyle w:val="18"/>
        <w:rPr>
          <w:b/>
        </w:rPr>
      </w:pPr>
    </w:p>
    <w:p w14:paraId="42EC0432">
      <w:pPr>
        <w:pStyle w:val="18"/>
        <w:rPr>
          <w:b/>
        </w:rPr>
      </w:pPr>
    </w:p>
    <w:p w14:paraId="7369D178">
      <w:pPr>
        <w:pStyle w:val="18"/>
        <w:rPr>
          <w:b/>
        </w:rPr>
      </w:pPr>
    </w:p>
    <w:p w14:paraId="3D95EA98">
      <w:pPr>
        <w:pStyle w:val="18"/>
        <w:rPr>
          <w:b/>
        </w:rPr>
      </w:pPr>
    </w:p>
    <w:p w14:paraId="3B55A8C1">
      <w:pPr>
        <w:pStyle w:val="18"/>
        <w:rPr>
          <w:b/>
        </w:rPr>
      </w:pPr>
    </w:p>
    <w:p w14:paraId="6037BE4A">
      <w:pPr>
        <w:pStyle w:val="18"/>
        <w:rPr>
          <w:b/>
        </w:rPr>
      </w:pPr>
    </w:p>
    <w:p w14:paraId="558C1657">
      <w:pPr>
        <w:pStyle w:val="18"/>
        <w:rPr>
          <w:b/>
        </w:rPr>
      </w:pPr>
    </w:p>
    <w:p w14:paraId="7A41F24D">
      <w:pPr>
        <w:pStyle w:val="18"/>
        <w:rPr>
          <w:b/>
        </w:rPr>
      </w:pPr>
    </w:p>
    <w:p w14:paraId="4EF966FD">
      <w:pPr>
        <w:pStyle w:val="18"/>
        <w:rPr>
          <w:b/>
        </w:rPr>
      </w:pPr>
    </w:p>
    <w:p w14:paraId="50F0CADB">
      <w:pPr>
        <w:pStyle w:val="18"/>
        <w:spacing w:before="4"/>
        <w:rPr>
          <w:b/>
        </w:rPr>
      </w:pPr>
    </w:p>
    <w:p w14:paraId="40A31052">
      <w:pPr>
        <w:pStyle w:val="18"/>
        <w:ind w:right="646"/>
        <w:jc w:val="right"/>
        <w:rPr>
          <w:sz w:val="24"/>
          <w:szCs w:val="20"/>
        </w:rPr>
      </w:pPr>
      <w:r>
        <w:rPr>
          <w:sz w:val="24"/>
          <w:szCs w:val="20"/>
        </w:rPr>
        <w:t>ECHOPVersion220113-2</w:t>
      </w:r>
    </w:p>
    <w:p w14:paraId="4AB5EEAF">
      <w:pPr>
        <w:jc w:val="right"/>
        <w:rPr>
          <w:sz w:val="16"/>
          <w:szCs w:val="20"/>
        </w:rPr>
        <w:sectPr>
          <w:type w:val="continuous"/>
          <w:pgSz w:w="12240" w:h="15840"/>
          <w:pgMar w:top="1120" w:right="480" w:bottom="280" w:left="440" w:header="720" w:footer="720" w:gutter="0"/>
          <w:cols w:space="720" w:num="1"/>
        </w:sectPr>
      </w:pPr>
    </w:p>
    <w:p w14:paraId="409281B2">
      <w:r>
        <w:t>甲 方 ：</w:t>
      </w:r>
      <w:r>
        <w:rPr>
          <w:rFonts w:hint="eastAsia"/>
        </w:rPr>
        <w:t>安徽省公共卫生临床中心</w:t>
      </w:r>
      <w:r>
        <w:t xml:space="preserve"> </w:t>
      </w:r>
      <w:r>
        <w:tab/>
      </w:r>
      <w:r>
        <w:t xml:space="preserve">         </w:t>
      </w:r>
    </w:p>
    <w:p w14:paraId="4F866680">
      <w:r>
        <w:t xml:space="preserve"> </w:t>
      </w:r>
      <w:r>
        <w:tab/>
      </w:r>
      <w:r>
        <w:t>地 址：</w:t>
      </w:r>
      <w:r>
        <w:tab/>
      </w:r>
      <w:r>
        <w:rPr>
          <w:rFonts w:hint="eastAsia"/>
        </w:rPr>
        <w:t xml:space="preserve">                                              </w:t>
      </w:r>
      <w:r>
        <w:t xml:space="preserve">邮编：           </w:t>
      </w:r>
    </w:p>
    <w:p w14:paraId="7217185C">
      <w:r>
        <w:t xml:space="preserve"> </w:t>
      </w:r>
      <w:r>
        <w:tab/>
      </w:r>
      <w:r>
        <w:t xml:space="preserve">法定代表人：           </w:t>
      </w:r>
      <w:r>
        <w:tab/>
      </w:r>
      <w:r>
        <w:t xml:space="preserve"> </w:t>
      </w:r>
    </w:p>
    <w:p w14:paraId="7B0E75C8">
      <w:r>
        <w:t xml:space="preserve"> </w:t>
      </w:r>
      <w:r>
        <w:tab/>
      </w:r>
      <w:r>
        <w:t xml:space="preserve">电 话：           </w:t>
      </w:r>
      <w:r>
        <w:tab/>
      </w:r>
      <w:r>
        <w:t xml:space="preserve"> </w:t>
      </w:r>
    </w:p>
    <w:p w14:paraId="74C97D4D">
      <w:r>
        <w:t xml:space="preserve"> </w:t>
      </w:r>
      <w:r>
        <w:tab/>
      </w:r>
      <w:r>
        <w:t xml:space="preserve">传 真：           </w:t>
      </w:r>
      <w:r>
        <w:tab/>
      </w:r>
      <w:r>
        <w:t xml:space="preserve"> </w:t>
      </w:r>
    </w:p>
    <w:p w14:paraId="70D8F8B8">
      <w:r>
        <w:t>乙  方：</w:t>
      </w:r>
      <w:r>
        <w:tab/>
      </w:r>
      <w:r>
        <w:rPr>
          <w:rFonts w:hint="eastAsia"/>
        </w:rPr>
        <w:t xml:space="preserve">                                              </w:t>
      </w:r>
      <w:r>
        <w:t xml:space="preserve">通用电气医疗系统贸易发展（上海）有限公司 </w:t>
      </w:r>
    </w:p>
    <w:p w14:paraId="4ECA8D86">
      <w:r>
        <w:t xml:space="preserve"> </w:t>
      </w:r>
      <w:r>
        <w:tab/>
      </w:r>
      <w:r>
        <w:t>地 址：上海浦东张江高科技园区华佗路 1 号 1 号楼 4 楼</w:t>
      </w:r>
      <w:r>
        <w:tab/>
      </w:r>
      <w:r>
        <w:t xml:space="preserve">邮编：201203 </w:t>
      </w:r>
    </w:p>
    <w:p w14:paraId="4BA4300F">
      <w:r>
        <w:t xml:space="preserve"> </w:t>
      </w:r>
      <w:r>
        <w:tab/>
      </w:r>
      <w:r>
        <w:t xml:space="preserve">法定代表人：郑杰明 </w:t>
      </w:r>
      <w:r>
        <w:tab/>
      </w:r>
      <w:r>
        <w:t xml:space="preserve"> </w:t>
      </w:r>
    </w:p>
    <w:p w14:paraId="74D49C3E">
      <w:r>
        <w:t xml:space="preserve"> </w:t>
      </w:r>
      <w:r>
        <w:rPr>
          <w:rFonts w:hint="eastAsia"/>
        </w:rPr>
        <w:t xml:space="preserve">  </w:t>
      </w:r>
      <w:r>
        <w:t xml:space="preserve"> 电 话：021-38777888 </w:t>
      </w:r>
      <w:r>
        <w:tab/>
      </w:r>
      <w:r>
        <w:t xml:space="preserve"> </w:t>
      </w:r>
    </w:p>
    <w:p w14:paraId="1B7AECD6">
      <w:r>
        <w:t xml:space="preserve"> </w:t>
      </w:r>
      <w:r>
        <w:tab/>
      </w:r>
      <w:r>
        <w:t xml:space="preserve">传 真：021-38777448 </w:t>
      </w:r>
      <w:r>
        <w:tab/>
      </w:r>
      <w:r>
        <w:t xml:space="preserve"> </w:t>
      </w:r>
    </w:p>
    <w:p w14:paraId="55DCA063">
      <w:r>
        <w:t xml:space="preserve">甲乙双方经过平等协商，达成本合同（以下简称“合同”）。合同内容包括具体条款、附件及合同中提及的其他文件。 </w:t>
      </w:r>
    </w:p>
    <w:p w14:paraId="0C01DD38">
      <w:r>
        <w:t xml:space="preserve"> </w:t>
      </w:r>
    </w:p>
    <w:p w14:paraId="3E906C5C">
      <w:r>
        <w:t xml:space="preserve"> </w:t>
      </w:r>
    </w:p>
    <w:p w14:paraId="4599D60B">
      <w:r>
        <w:t xml:space="preserve">智享保 A 合同部分(合同编号： )： </w:t>
      </w:r>
    </w:p>
    <w:p w14:paraId="39B54EEB">
      <w:r>
        <w:t xml:space="preserve">1. 维修服务所保设备： </w:t>
      </w:r>
    </w:p>
    <w:tbl>
      <w:tblPr>
        <w:tblStyle w:val="181"/>
        <w:tblW w:w="0" w:type="auto"/>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282"/>
        <w:gridCol w:w="1018"/>
        <w:gridCol w:w="1421"/>
        <w:gridCol w:w="1417"/>
        <w:gridCol w:w="1277"/>
        <w:gridCol w:w="1133"/>
        <w:gridCol w:w="1123"/>
      </w:tblGrid>
      <w:tr w14:paraId="60E48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815" w:type="dxa"/>
          </w:tcPr>
          <w:p w14:paraId="7BA16EED">
            <w:r>
              <w:t xml:space="preserve">设备名称（药监局注册名） </w:t>
            </w:r>
          </w:p>
        </w:tc>
        <w:tc>
          <w:tcPr>
            <w:tcW w:w="1282" w:type="dxa"/>
          </w:tcPr>
          <w:p w14:paraId="7B2966F7">
            <w:r>
              <w:t xml:space="preserve">GE 主机系统编号 </w:t>
            </w:r>
          </w:p>
        </w:tc>
        <w:tc>
          <w:tcPr>
            <w:tcW w:w="1018" w:type="dxa"/>
          </w:tcPr>
          <w:p w14:paraId="7E600F15">
            <w:r>
              <w:t xml:space="preserve">装机日期 </w:t>
            </w:r>
          </w:p>
        </w:tc>
        <w:tc>
          <w:tcPr>
            <w:tcW w:w="1421" w:type="dxa"/>
          </w:tcPr>
          <w:p w14:paraId="462F947C">
            <w:r>
              <w:t xml:space="preserve">合同开始日期 </w:t>
            </w:r>
          </w:p>
        </w:tc>
        <w:tc>
          <w:tcPr>
            <w:tcW w:w="1417" w:type="dxa"/>
          </w:tcPr>
          <w:p w14:paraId="2A603CA1">
            <w:r>
              <w:t xml:space="preserve">合同终止日期 </w:t>
            </w:r>
          </w:p>
        </w:tc>
        <w:tc>
          <w:tcPr>
            <w:tcW w:w="1277" w:type="dxa"/>
          </w:tcPr>
          <w:p w14:paraId="4902AF53">
            <w:r>
              <w:t xml:space="preserve">保养次数(每年) </w:t>
            </w:r>
          </w:p>
        </w:tc>
        <w:tc>
          <w:tcPr>
            <w:tcW w:w="1133" w:type="dxa"/>
          </w:tcPr>
          <w:p w14:paraId="070CDDE5">
            <w:r>
              <w:t xml:space="preserve">响应时间 </w:t>
            </w:r>
          </w:p>
        </w:tc>
        <w:tc>
          <w:tcPr>
            <w:tcW w:w="1123" w:type="dxa"/>
          </w:tcPr>
          <w:p w14:paraId="13A94C65">
            <w:r>
              <w:t xml:space="preserve">到场时间 </w:t>
            </w:r>
          </w:p>
        </w:tc>
      </w:tr>
      <w:tr w14:paraId="01B8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15" w:type="dxa"/>
          </w:tcPr>
          <w:p w14:paraId="3B01BEFF">
            <w:r>
              <w:t xml:space="preserve">           </w:t>
            </w:r>
          </w:p>
        </w:tc>
        <w:tc>
          <w:tcPr>
            <w:tcW w:w="1282" w:type="dxa"/>
          </w:tcPr>
          <w:p w14:paraId="4D09047E">
            <w:r>
              <w:t xml:space="preserve">           </w:t>
            </w:r>
          </w:p>
        </w:tc>
        <w:tc>
          <w:tcPr>
            <w:tcW w:w="1018" w:type="dxa"/>
          </w:tcPr>
          <w:p w14:paraId="6DFE3707">
            <w:r>
              <w:t xml:space="preserve">       </w:t>
            </w:r>
          </w:p>
          <w:p w14:paraId="4C91FEE7">
            <w:r>
              <w:t xml:space="preserve">   </w:t>
            </w:r>
          </w:p>
        </w:tc>
        <w:tc>
          <w:tcPr>
            <w:tcW w:w="1421" w:type="dxa"/>
          </w:tcPr>
          <w:p w14:paraId="17ECCB66">
            <w:r>
              <w:t xml:space="preserve">           </w:t>
            </w:r>
          </w:p>
        </w:tc>
        <w:tc>
          <w:tcPr>
            <w:tcW w:w="1417" w:type="dxa"/>
          </w:tcPr>
          <w:p w14:paraId="7243B59C">
            <w:r>
              <w:t xml:space="preserve">           </w:t>
            </w:r>
          </w:p>
        </w:tc>
        <w:tc>
          <w:tcPr>
            <w:tcW w:w="1277" w:type="dxa"/>
          </w:tcPr>
          <w:p w14:paraId="2A9B0C4C">
            <w:r>
              <w:t xml:space="preserve">           </w:t>
            </w:r>
          </w:p>
        </w:tc>
        <w:tc>
          <w:tcPr>
            <w:tcW w:w="1133" w:type="dxa"/>
          </w:tcPr>
          <w:p w14:paraId="1933855F">
            <w:r>
              <w:t xml:space="preserve">2 小时 </w:t>
            </w:r>
          </w:p>
        </w:tc>
        <w:tc>
          <w:tcPr>
            <w:tcW w:w="1123" w:type="dxa"/>
          </w:tcPr>
          <w:p w14:paraId="6890451B">
            <w:r>
              <w:t xml:space="preserve">48 小时 </w:t>
            </w:r>
          </w:p>
        </w:tc>
      </w:tr>
      <w:tr w14:paraId="2F994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15" w:type="dxa"/>
          </w:tcPr>
          <w:p w14:paraId="0DF61C82">
            <w:r>
              <w:t xml:space="preserve">           </w:t>
            </w:r>
          </w:p>
        </w:tc>
        <w:tc>
          <w:tcPr>
            <w:tcW w:w="1282" w:type="dxa"/>
          </w:tcPr>
          <w:p w14:paraId="35B063B2">
            <w:r>
              <w:t xml:space="preserve">           </w:t>
            </w:r>
          </w:p>
        </w:tc>
        <w:tc>
          <w:tcPr>
            <w:tcW w:w="1018" w:type="dxa"/>
          </w:tcPr>
          <w:p w14:paraId="4AED848C">
            <w:r>
              <w:t xml:space="preserve">       </w:t>
            </w:r>
          </w:p>
          <w:p w14:paraId="1502C362">
            <w:r>
              <w:t xml:space="preserve">   </w:t>
            </w:r>
          </w:p>
        </w:tc>
        <w:tc>
          <w:tcPr>
            <w:tcW w:w="1421" w:type="dxa"/>
          </w:tcPr>
          <w:p w14:paraId="260E35E2">
            <w:r>
              <w:t xml:space="preserve">           </w:t>
            </w:r>
          </w:p>
        </w:tc>
        <w:tc>
          <w:tcPr>
            <w:tcW w:w="1417" w:type="dxa"/>
          </w:tcPr>
          <w:p w14:paraId="0A35EA2F">
            <w:r>
              <w:t xml:space="preserve">           </w:t>
            </w:r>
          </w:p>
        </w:tc>
        <w:tc>
          <w:tcPr>
            <w:tcW w:w="1277" w:type="dxa"/>
          </w:tcPr>
          <w:p w14:paraId="5165C0B3">
            <w:r>
              <w:t xml:space="preserve">           </w:t>
            </w:r>
          </w:p>
        </w:tc>
        <w:tc>
          <w:tcPr>
            <w:tcW w:w="1133" w:type="dxa"/>
          </w:tcPr>
          <w:p w14:paraId="479E72A3">
            <w:r>
              <w:t xml:space="preserve">       </w:t>
            </w:r>
          </w:p>
          <w:p w14:paraId="24A0A85D">
            <w:r>
              <w:t xml:space="preserve">   </w:t>
            </w:r>
          </w:p>
        </w:tc>
        <w:tc>
          <w:tcPr>
            <w:tcW w:w="1123" w:type="dxa"/>
          </w:tcPr>
          <w:p w14:paraId="4267C6C2">
            <w:r>
              <w:t xml:space="preserve">       </w:t>
            </w:r>
          </w:p>
          <w:p w14:paraId="2240EB8D">
            <w:r>
              <w:t xml:space="preserve">   </w:t>
            </w:r>
          </w:p>
        </w:tc>
      </w:tr>
      <w:tr w14:paraId="6C0B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815" w:type="dxa"/>
          </w:tcPr>
          <w:p w14:paraId="269FE653">
            <w:r>
              <w:t xml:space="preserve">           </w:t>
            </w:r>
          </w:p>
        </w:tc>
        <w:tc>
          <w:tcPr>
            <w:tcW w:w="1282" w:type="dxa"/>
          </w:tcPr>
          <w:p w14:paraId="5F53D5D1">
            <w:r>
              <w:t xml:space="preserve">           </w:t>
            </w:r>
          </w:p>
        </w:tc>
        <w:tc>
          <w:tcPr>
            <w:tcW w:w="1018" w:type="dxa"/>
          </w:tcPr>
          <w:p w14:paraId="2E3EA0B2">
            <w:r>
              <w:t xml:space="preserve">       </w:t>
            </w:r>
          </w:p>
          <w:p w14:paraId="33A7AA7A">
            <w:r>
              <w:t xml:space="preserve">   </w:t>
            </w:r>
          </w:p>
        </w:tc>
        <w:tc>
          <w:tcPr>
            <w:tcW w:w="1421" w:type="dxa"/>
          </w:tcPr>
          <w:p w14:paraId="4243CDAE">
            <w:r>
              <w:t xml:space="preserve">           </w:t>
            </w:r>
          </w:p>
        </w:tc>
        <w:tc>
          <w:tcPr>
            <w:tcW w:w="1417" w:type="dxa"/>
          </w:tcPr>
          <w:p w14:paraId="3E36715D">
            <w:r>
              <w:t xml:space="preserve">           </w:t>
            </w:r>
          </w:p>
        </w:tc>
        <w:tc>
          <w:tcPr>
            <w:tcW w:w="1277" w:type="dxa"/>
          </w:tcPr>
          <w:p w14:paraId="49A7DEDE">
            <w:r>
              <w:t xml:space="preserve">           </w:t>
            </w:r>
          </w:p>
        </w:tc>
        <w:tc>
          <w:tcPr>
            <w:tcW w:w="1133" w:type="dxa"/>
          </w:tcPr>
          <w:p w14:paraId="481DBB92">
            <w:r>
              <w:t xml:space="preserve">       </w:t>
            </w:r>
          </w:p>
          <w:p w14:paraId="37B1B079">
            <w:r>
              <w:t xml:space="preserve">   </w:t>
            </w:r>
          </w:p>
        </w:tc>
        <w:tc>
          <w:tcPr>
            <w:tcW w:w="1123" w:type="dxa"/>
          </w:tcPr>
          <w:p w14:paraId="36CBE308">
            <w:r>
              <w:t xml:space="preserve">       </w:t>
            </w:r>
          </w:p>
          <w:p w14:paraId="46D171EA">
            <w:r>
              <w:t xml:space="preserve">   </w:t>
            </w:r>
          </w:p>
        </w:tc>
      </w:tr>
    </w:tbl>
    <w:p w14:paraId="1FA38EDD">
      <w:r>
        <w:t xml:space="preserve"> </w:t>
      </w:r>
    </w:p>
    <w:p w14:paraId="60AC7625">
      <w:r>
        <w:t xml:space="preserve">附加设备系统/服务：           </w:t>
      </w:r>
    </w:p>
    <w:p w14:paraId="533D5CAE">
      <w:r>
        <w:t xml:space="preserve"> </w:t>
      </w:r>
    </w:p>
    <w:p w14:paraId="741966FC">
      <w:r>
        <w:t xml:space="preserve">Option 选件 </w:t>
      </w:r>
    </w:p>
    <w:p w14:paraId="0D90C158">
      <w:r>
        <w:t xml:space="preserve"> </w:t>
      </w:r>
    </w:p>
    <w:p w14:paraId="055600C0">
      <w:r>
        <w:t xml:space="preserve">心电导联保修： </w:t>
      </w:r>
    </w:p>
    <w:p w14:paraId="4F676691">
      <w:r>
        <w:t xml:space="preserve">在合同有效期内，乙方为甲方提供包含（注明主机System ID） 的心电导联保修服务。 </w:t>
      </w:r>
    </w:p>
    <w:p w14:paraId="4CD6B7F2">
      <w:r>
        <w:t xml:space="preserve"> </w:t>
      </w:r>
    </w:p>
    <w:p w14:paraId="645B8EA3">
      <w:r>
        <w:t xml:space="preserve">晶体，光电倍增管保修 </w:t>
      </w:r>
    </w:p>
    <w:p w14:paraId="277BE73F">
      <w:r>
        <w:t xml:space="preserve">在合同有效期内，乙方为甲方提供包含 ECT 设备（注明主机System ID）         的晶体及光电倍增管保修服务。 </w:t>
      </w:r>
    </w:p>
    <w:p w14:paraId="5763222B">
      <w:r>
        <w:t xml:space="preserve"> </w:t>
      </w:r>
    </w:p>
    <w:p w14:paraId="1122B400">
      <w:r>
        <w:t xml:space="preserve"> </w:t>
      </w:r>
    </w:p>
    <w:p w14:paraId="7B601872">
      <w:r>
        <w:t xml:space="preserve">探测器保修 </w:t>
      </w:r>
    </w:p>
    <w:p w14:paraId="3096D350">
      <w:r>
        <w:t>乙方为甲方提供包含（注明主机System ID）</w:t>
      </w:r>
      <w:r>
        <w:rPr>
          <w:u w:val="single"/>
        </w:rPr>
        <w:t xml:space="preserve">          </w:t>
      </w:r>
      <w:r>
        <w:t xml:space="preserve">探测器的保修服务。 </w:t>
      </w:r>
    </w:p>
    <w:p w14:paraId="25356E52">
      <w:r>
        <w:rPr>
          <w:rFonts w:hint="eastAsia"/>
        </w:rPr>
        <w:t>在乙方提供合同约定服务前，乙方</w:t>
      </w:r>
      <w:r>
        <w:t>检查甲方</w:t>
      </w:r>
      <w:r>
        <w:rPr>
          <w:rFonts w:hint="eastAsia"/>
        </w:rPr>
        <w:t>原有</w:t>
      </w:r>
      <w:r>
        <w:t>探测器</w:t>
      </w:r>
      <w:r>
        <w:rPr>
          <w:rFonts w:hint="eastAsia"/>
        </w:rPr>
        <w:t>的使用状况，并给出以下书面判断:</w:t>
      </w:r>
    </w:p>
    <w:p w14:paraId="0DD5F37E">
      <w:r>
        <w:t>乙方判断甲方原有探测器</w:t>
      </w:r>
      <w:r>
        <w:rPr>
          <w:rFonts w:hint="eastAsia"/>
        </w:rPr>
        <w:t>尚可使用</w:t>
      </w:r>
      <w:r>
        <w:t>，则在合同期间甲方可继续使用甲方原有探测器。如在合同期内，如甲方原有探测器或乙方提供的探测器发生损坏，甲方需将损坏的探测器交付或返还给乙方，乙方重新提供给甲方可供使用的探测器替代损坏的探测器；在合同期间内探测器使用权归甲方所有，乙方提供的探测器及甲方交付给乙方 的探测器的产权归乙方所有。合同期满，甲乙双方同意甲方拥有正在使用的探测器的使用权及产权。质量担保：</w:t>
      </w:r>
    </w:p>
    <w:p w14:paraId="63EAE8FC">
      <w:pPr>
        <w:sectPr>
          <w:footerReference r:id="rId9" w:type="default"/>
          <w:pgSz w:w="12240" w:h="15840"/>
          <w:pgMar w:top="1080" w:right="480" w:bottom="1340" w:left="440" w:header="0" w:footer="1153" w:gutter="0"/>
          <w:cols w:space="720" w:num="1"/>
        </w:sectPr>
      </w:pPr>
    </w:p>
    <w:p w14:paraId="45F8FEF0">
      <w:r>
        <w:t>乙方保证按本合同提供的探测器，符合 GE 公司全球生产工艺方面的要求和产品在生产地装运时的产品说明书和</w:t>
      </w:r>
    </w:p>
    <w:p w14:paraId="7C590C89">
      <w:r>
        <w:t xml:space="preserve">/或使用说明书中的质量标准，没有任何材料和使用上的缺陷。 </w:t>
      </w:r>
    </w:p>
    <w:p w14:paraId="7F42CB51">
      <w:r>
        <w:t xml:space="preserve">甲方应在新配件更换后三日之内把旧配件退还给乙方，如果无特殊理由因甲方原因不能退还备件，甲方另行支付乙方不超过该备件购买价的 30%作为补偿。 </w:t>
      </w:r>
    </w:p>
    <w:p w14:paraId="407EE3D4">
      <w:r>
        <w:t xml:space="preserve"> </w:t>
      </w:r>
    </w:p>
    <w:p w14:paraId="5EF70A2A">
      <w:r>
        <w:t xml:space="preserve">数字化解决方案服务(APM-IB) </w:t>
      </w:r>
    </w:p>
    <w:p w14:paraId="464DD868">
      <w:r>
        <w:t xml:space="preserve">甲方同意向乙方购买如下相关设备的服务及硬件： </w:t>
      </w:r>
    </w:p>
    <w:tbl>
      <w:tblPr>
        <w:tblStyle w:val="181"/>
        <w:tblW w:w="0" w:type="auto"/>
        <w:tblInd w:w="6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1431"/>
        <w:gridCol w:w="2102"/>
        <w:gridCol w:w="1349"/>
        <w:gridCol w:w="1372"/>
        <w:gridCol w:w="1891"/>
      </w:tblGrid>
      <w:tr w14:paraId="06174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743" w:type="dxa"/>
          </w:tcPr>
          <w:p w14:paraId="3373DDE1">
            <w:r>
              <w:t xml:space="preserve">GE 主机系统编号 </w:t>
            </w:r>
          </w:p>
        </w:tc>
        <w:tc>
          <w:tcPr>
            <w:tcW w:w="1431" w:type="dxa"/>
            <w:tcBorders>
              <w:bottom w:val="single" w:color="000000" w:sz="6" w:space="0"/>
            </w:tcBorders>
          </w:tcPr>
          <w:p w14:paraId="7F13E13E">
            <w:r>
              <w:t>设备型号（药</w:t>
            </w:r>
          </w:p>
          <w:p w14:paraId="38B505EE">
            <w:r>
              <w:t xml:space="preserve">监局注册名） </w:t>
            </w:r>
          </w:p>
        </w:tc>
        <w:tc>
          <w:tcPr>
            <w:tcW w:w="2102" w:type="dxa"/>
            <w:tcBorders>
              <w:bottom w:val="single" w:color="000000" w:sz="6" w:space="0"/>
            </w:tcBorders>
          </w:tcPr>
          <w:p w14:paraId="13B13F6D">
            <w:r>
              <w:t xml:space="preserve">产品名称 </w:t>
            </w:r>
          </w:p>
        </w:tc>
        <w:tc>
          <w:tcPr>
            <w:tcW w:w="1349" w:type="dxa"/>
            <w:tcBorders>
              <w:bottom w:val="single" w:color="000000" w:sz="6" w:space="0"/>
            </w:tcBorders>
          </w:tcPr>
          <w:p w14:paraId="11DAE269">
            <w:r>
              <w:t xml:space="preserve">产品号码 </w:t>
            </w:r>
          </w:p>
        </w:tc>
        <w:tc>
          <w:tcPr>
            <w:tcW w:w="1372" w:type="dxa"/>
            <w:tcBorders>
              <w:bottom w:val="single" w:color="000000" w:sz="6" w:space="0"/>
            </w:tcBorders>
          </w:tcPr>
          <w:p w14:paraId="152C9743">
            <w:r>
              <w:t xml:space="preserve">数量 </w:t>
            </w:r>
          </w:p>
        </w:tc>
        <w:tc>
          <w:tcPr>
            <w:tcW w:w="1891" w:type="dxa"/>
            <w:tcBorders>
              <w:bottom w:val="single" w:color="000000" w:sz="6" w:space="0"/>
            </w:tcBorders>
          </w:tcPr>
          <w:p w14:paraId="6AB392E5">
            <w:r>
              <w:t xml:space="preserve">服务期间 </w:t>
            </w:r>
          </w:p>
        </w:tc>
      </w:tr>
      <w:tr w14:paraId="7CEC4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45DE289C">
            <w:r>
              <w:t xml:space="preserve">           </w:t>
            </w:r>
          </w:p>
        </w:tc>
        <w:tc>
          <w:tcPr>
            <w:tcW w:w="1431" w:type="dxa"/>
            <w:tcBorders>
              <w:top w:val="single" w:color="000000" w:sz="6" w:space="0"/>
              <w:bottom w:val="single" w:color="000000" w:sz="6" w:space="0"/>
            </w:tcBorders>
          </w:tcPr>
          <w:p w14:paraId="76C8BFA9">
            <w:r>
              <w:t xml:space="preserve">           </w:t>
            </w:r>
          </w:p>
        </w:tc>
        <w:tc>
          <w:tcPr>
            <w:tcW w:w="2102" w:type="dxa"/>
            <w:tcBorders>
              <w:top w:val="single" w:color="000000" w:sz="6" w:space="0"/>
              <w:bottom w:val="single" w:color="000000" w:sz="6" w:space="0"/>
            </w:tcBorders>
          </w:tcPr>
          <w:p w14:paraId="0E6DB22E">
            <w:r>
              <w:t xml:space="preserve">           </w:t>
            </w:r>
          </w:p>
        </w:tc>
        <w:tc>
          <w:tcPr>
            <w:tcW w:w="1349" w:type="dxa"/>
            <w:tcBorders>
              <w:top w:val="single" w:color="000000" w:sz="6" w:space="0"/>
              <w:bottom w:val="single" w:color="000000" w:sz="6" w:space="0"/>
            </w:tcBorders>
          </w:tcPr>
          <w:p w14:paraId="215944E3">
            <w:r>
              <w:t xml:space="preserve">           </w:t>
            </w:r>
          </w:p>
        </w:tc>
        <w:tc>
          <w:tcPr>
            <w:tcW w:w="1372" w:type="dxa"/>
            <w:tcBorders>
              <w:top w:val="single" w:color="000000" w:sz="6" w:space="0"/>
              <w:bottom w:val="single" w:color="000000" w:sz="6" w:space="0"/>
            </w:tcBorders>
          </w:tcPr>
          <w:p w14:paraId="78B47873">
            <w:r>
              <w:t xml:space="preserve">/ </w:t>
            </w:r>
          </w:p>
        </w:tc>
        <w:tc>
          <w:tcPr>
            <w:tcW w:w="1891" w:type="dxa"/>
            <w:tcBorders>
              <w:top w:val="single" w:color="000000" w:sz="6" w:space="0"/>
              <w:bottom w:val="single" w:color="000000" w:sz="6" w:space="0"/>
            </w:tcBorders>
          </w:tcPr>
          <w:p w14:paraId="3E7DD8A0">
            <w:r>
              <w:t xml:space="preserve">同主机保修时间 </w:t>
            </w:r>
          </w:p>
        </w:tc>
      </w:tr>
      <w:tr w14:paraId="2EDB3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1075D10B">
            <w:r>
              <w:t xml:space="preserve">           </w:t>
            </w:r>
          </w:p>
        </w:tc>
        <w:tc>
          <w:tcPr>
            <w:tcW w:w="1431" w:type="dxa"/>
            <w:tcBorders>
              <w:top w:val="single" w:color="000000" w:sz="6" w:space="0"/>
              <w:bottom w:val="single" w:color="000000" w:sz="6" w:space="0"/>
            </w:tcBorders>
          </w:tcPr>
          <w:p w14:paraId="12E14DF8">
            <w:r>
              <w:t xml:space="preserve">           </w:t>
            </w:r>
          </w:p>
        </w:tc>
        <w:tc>
          <w:tcPr>
            <w:tcW w:w="2102" w:type="dxa"/>
            <w:tcBorders>
              <w:top w:val="single" w:color="000000" w:sz="6" w:space="0"/>
              <w:bottom w:val="single" w:color="000000" w:sz="6" w:space="0"/>
            </w:tcBorders>
          </w:tcPr>
          <w:p w14:paraId="6878D4B2">
            <w:r>
              <w:t xml:space="preserve">           </w:t>
            </w:r>
          </w:p>
        </w:tc>
        <w:tc>
          <w:tcPr>
            <w:tcW w:w="1349" w:type="dxa"/>
            <w:tcBorders>
              <w:top w:val="single" w:color="000000" w:sz="6" w:space="0"/>
              <w:bottom w:val="single" w:color="000000" w:sz="6" w:space="0"/>
            </w:tcBorders>
          </w:tcPr>
          <w:p w14:paraId="7E8493F1">
            <w:r>
              <w:t xml:space="preserve">           </w:t>
            </w:r>
          </w:p>
        </w:tc>
        <w:tc>
          <w:tcPr>
            <w:tcW w:w="1372" w:type="dxa"/>
            <w:tcBorders>
              <w:top w:val="single" w:color="000000" w:sz="6" w:space="0"/>
              <w:bottom w:val="single" w:color="000000" w:sz="6" w:space="0"/>
            </w:tcBorders>
          </w:tcPr>
          <w:p w14:paraId="3F2C783E">
            <w:r>
              <w:t xml:space="preserve">           </w:t>
            </w:r>
          </w:p>
        </w:tc>
        <w:tc>
          <w:tcPr>
            <w:tcW w:w="1891" w:type="dxa"/>
            <w:tcBorders>
              <w:top w:val="single" w:color="000000" w:sz="6" w:space="0"/>
              <w:bottom w:val="single" w:color="000000" w:sz="6" w:space="0"/>
            </w:tcBorders>
          </w:tcPr>
          <w:p w14:paraId="280DA762">
            <w:r>
              <w:t xml:space="preserve">           </w:t>
            </w:r>
          </w:p>
        </w:tc>
      </w:tr>
      <w:tr w14:paraId="4F593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2A0D4982">
            <w:r>
              <w:t xml:space="preserve">           </w:t>
            </w:r>
          </w:p>
        </w:tc>
        <w:tc>
          <w:tcPr>
            <w:tcW w:w="1431" w:type="dxa"/>
            <w:tcBorders>
              <w:top w:val="single" w:color="000000" w:sz="6" w:space="0"/>
              <w:bottom w:val="single" w:color="000000" w:sz="6" w:space="0"/>
            </w:tcBorders>
          </w:tcPr>
          <w:p w14:paraId="5AC9D8A4">
            <w:r>
              <w:t xml:space="preserve">           </w:t>
            </w:r>
          </w:p>
        </w:tc>
        <w:tc>
          <w:tcPr>
            <w:tcW w:w="2102" w:type="dxa"/>
            <w:tcBorders>
              <w:top w:val="single" w:color="000000" w:sz="6" w:space="0"/>
              <w:bottom w:val="single" w:color="000000" w:sz="6" w:space="0"/>
            </w:tcBorders>
          </w:tcPr>
          <w:p w14:paraId="0C88F24F">
            <w:r>
              <w:t xml:space="preserve">           </w:t>
            </w:r>
          </w:p>
        </w:tc>
        <w:tc>
          <w:tcPr>
            <w:tcW w:w="1349" w:type="dxa"/>
            <w:tcBorders>
              <w:top w:val="single" w:color="000000" w:sz="6" w:space="0"/>
              <w:bottom w:val="single" w:color="000000" w:sz="6" w:space="0"/>
            </w:tcBorders>
          </w:tcPr>
          <w:p w14:paraId="7CC4754C">
            <w:r>
              <w:t xml:space="preserve">           </w:t>
            </w:r>
          </w:p>
        </w:tc>
        <w:tc>
          <w:tcPr>
            <w:tcW w:w="1372" w:type="dxa"/>
            <w:tcBorders>
              <w:top w:val="single" w:color="000000" w:sz="6" w:space="0"/>
              <w:bottom w:val="single" w:color="000000" w:sz="6" w:space="0"/>
            </w:tcBorders>
          </w:tcPr>
          <w:p w14:paraId="17D4D215">
            <w:r>
              <w:t xml:space="preserve">           </w:t>
            </w:r>
          </w:p>
        </w:tc>
        <w:tc>
          <w:tcPr>
            <w:tcW w:w="1891" w:type="dxa"/>
            <w:tcBorders>
              <w:top w:val="single" w:color="000000" w:sz="6" w:space="0"/>
              <w:bottom w:val="single" w:color="000000" w:sz="6" w:space="0"/>
            </w:tcBorders>
          </w:tcPr>
          <w:p w14:paraId="5A8C31A4">
            <w:r>
              <w:t xml:space="preserve">           </w:t>
            </w:r>
          </w:p>
        </w:tc>
      </w:tr>
      <w:tr w14:paraId="0D94C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2D484ADD">
            <w:r>
              <w:t xml:space="preserve">           </w:t>
            </w:r>
          </w:p>
        </w:tc>
        <w:tc>
          <w:tcPr>
            <w:tcW w:w="1431" w:type="dxa"/>
            <w:tcBorders>
              <w:top w:val="single" w:color="000000" w:sz="6" w:space="0"/>
            </w:tcBorders>
          </w:tcPr>
          <w:p w14:paraId="496CCA77">
            <w:r>
              <w:t xml:space="preserve">           </w:t>
            </w:r>
          </w:p>
        </w:tc>
        <w:tc>
          <w:tcPr>
            <w:tcW w:w="2102" w:type="dxa"/>
            <w:tcBorders>
              <w:top w:val="single" w:color="000000" w:sz="6" w:space="0"/>
            </w:tcBorders>
          </w:tcPr>
          <w:p w14:paraId="6DA00A53">
            <w:r>
              <w:t xml:space="preserve">           </w:t>
            </w:r>
          </w:p>
        </w:tc>
        <w:tc>
          <w:tcPr>
            <w:tcW w:w="1349" w:type="dxa"/>
            <w:tcBorders>
              <w:top w:val="single" w:color="000000" w:sz="6" w:space="0"/>
            </w:tcBorders>
          </w:tcPr>
          <w:p w14:paraId="2FB8FCDA">
            <w:r>
              <w:t xml:space="preserve">           </w:t>
            </w:r>
          </w:p>
        </w:tc>
        <w:tc>
          <w:tcPr>
            <w:tcW w:w="1372" w:type="dxa"/>
            <w:tcBorders>
              <w:top w:val="single" w:color="000000" w:sz="6" w:space="0"/>
            </w:tcBorders>
          </w:tcPr>
          <w:p w14:paraId="66C903D8">
            <w:r>
              <w:t xml:space="preserve">           </w:t>
            </w:r>
          </w:p>
        </w:tc>
        <w:tc>
          <w:tcPr>
            <w:tcW w:w="1891" w:type="dxa"/>
            <w:tcBorders>
              <w:top w:val="single" w:color="000000" w:sz="6" w:space="0"/>
            </w:tcBorders>
          </w:tcPr>
          <w:p w14:paraId="48A56EB4">
            <w:r>
              <w:t xml:space="preserve">           </w:t>
            </w:r>
          </w:p>
        </w:tc>
      </w:tr>
    </w:tbl>
    <w:p w14:paraId="1F5D7517">
      <w:r>
        <w:t xml:space="preserve">   乙方应按照本合同所规定的条款和条件： </w:t>
      </w:r>
    </w:p>
    <w:p w14:paraId="5F61C51A">
      <w:r>
        <w:t xml:space="preserve">   1）向甲方出售本合同项下服务相关的硬件并按照第 3.3 条的规定向甲方交付硬件； </w:t>
      </w:r>
    </w:p>
    <w:p w14:paraId="44D356CE">
      <w:r>
        <w:t xml:space="preserve">   2）根据第 2 条的规定，向甲方提供服务。 </w:t>
      </w:r>
    </w:p>
    <w:p w14:paraId="7AB5E6F0">
      <w:r>
        <w:t xml:space="preserve"> </w:t>
      </w:r>
    </w:p>
    <w:p w14:paraId="2F6977AE">
      <w:r>
        <w:rPr>
          <w:rFonts w:hint="eastAsia"/>
        </w:rPr>
        <w:t>2.</w:t>
      </w:r>
      <w:r>
        <w:t xml:space="preserve">数字化解决方案： </w:t>
      </w:r>
    </w:p>
    <w:p w14:paraId="7C2116AA">
      <w:r>
        <w:t xml:space="preserve">2.1 甲方可通过登录数字化解决方案网站使用和查阅历史维修报告和相关设备使用报告，通过该网站可获取维修报告和使用报告； </w:t>
      </w:r>
    </w:p>
    <w:p w14:paraId="1C6F6A67">
      <w:r>
        <w:rPr>
          <w:rFonts w:hint="eastAsia"/>
        </w:rPr>
        <w:t>2.2</w:t>
      </w:r>
      <w:r>
        <w:t xml:space="preserve">维修数据包括乙方完成的维修服务记录、远程维修报告、合同管理信息，方便甲方了解设备的维修历史和记录； </w:t>
      </w:r>
    </w:p>
    <w:p w14:paraId="7951A198">
      <w:r>
        <w:rPr>
          <w:rFonts w:hint="eastAsia"/>
        </w:rPr>
        <w:t>2.3</w:t>
      </w:r>
      <w:r>
        <w:t xml:space="preserve">保养数据包括乙方的远程保养记录和报告，现场保养的记录； </w:t>
      </w:r>
    </w:p>
    <w:p w14:paraId="4BB13C8E">
      <w:r>
        <w:rPr>
          <w:rFonts w:hint="eastAsia"/>
        </w:rPr>
        <w:t>2.4</w:t>
      </w:r>
      <w:r>
        <w:t>使用报告（仅限于具有 IPM 功能的机型）：设备使用报告（即Imaging Performance Manager 报告，简称</w:t>
      </w:r>
    </w:p>
    <w:p w14:paraId="696CE2A2">
      <w:r>
        <w:t xml:space="preserve">IPM 报告）包括系统详细的使用统计。 </w:t>
      </w:r>
    </w:p>
    <w:p w14:paraId="113F52E5">
      <w:r>
        <w:t xml:space="preserve"> 3.  交付: </w:t>
      </w:r>
    </w:p>
    <w:p w14:paraId="455BE033">
      <w:r>
        <w:t xml:space="preserve"> 3.1 运输目的地：           </w:t>
      </w:r>
    </w:p>
    <w:p w14:paraId="70B4E987">
      <w:r>
        <w:t xml:space="preserve"> 3.2 运输和保险：由乙方为甲方办理运输和保险 (到运输目的地)，费用由乙方承担。</w:t>
      </w:r>
    </w:p>
    <w:p w14:paraId="676FDA8C">
      <w:r>
        <w:t xml:space="preserve">3.3 硬件的交付: </w:t>
      </w:r>
    </w:p>
    <w:p w14:paraId="49202C76">
      <w:pPr>
        <w:ind w:firstLine="420" w:firstLineChars="200"/>
      </w:pPr>
      <w:r>
        <w:t xml:space="preserve">乙方应在合同生效起 30 天内根据产品周期安排硬件交付。硬件的所有权和风险在交付时转移给甲方。乙方提供硬件的安装调试，甲方接受以电子签名的方式确认服务。 </w:t>
      </w:r>
    </w:p>
    <w:p w14:paraId="72569184">
      <w:r>
        <w:t xml:space="preserve">3.4 硬件保修： </w:t>
      </w:r>
    </w:p>
    <w:p w14:paraId="7E196F4F">
      <w:pPr>
        <w:ind w:firstLine="420" w:firstLineChars="200"/>
      </w:pPr>
      <w:r>
        <w:t xml:space="preserve">硬件保修同本合同主机保修时间，合同中明示不含保修期的除外。如果甲方或任何第三方违反了合同货物的操作保养维护规程，或者甲方或任何第三方对合同货物的构成、设计、功能等有任何变更，影响货物正常使用，乙方有权终止其保修义务。 </w:t>
      </w:r>
    </w:p>
    <w:p w14:paraId="30D01B5E">
      <w:r>
        <w:t xml:space="preserve">3.5 数字化解决方案网站访问权限开通: </w:t>
      </w:r>
    </w:p>
    <w:p w14:paraId="3AB6ADC1">
      <w:r>
        <w:t xml:space="preserve">   乙方应在合同正式生效起 30 天内通过电子邮件形式向甲方提供网站权限开通的必要信息；每个用户可以享</w:t>
      </w:r>
    </w:p>
    <w:p w14:paraId="0D349F55">
      <w:r>
        <w:t xml:space="preserve">有最多不超过 4 个名额且独立使用的用户姓名（即用户账户）。备注：用户帐户的权限请从以下几项中选择其一： </w:t>
      </w:r>
    </w:p>
    <w:p w14:paraId="36D127AB">
      <w:r>
        <w:t xml:space="preserve">院长、设备科主任、医院工程师、设备科其他人员、放射影像科主任、放射科技师长、放射科技师、放射科其他人员、其他科室主任、护士长、超声科主任、超声科技师、超声科护士、超声科医师、超声科其他人员、其他（请详细说明） </w:t>
      </w:r>
    </w:p>
    <w:tbl>
      <w:tblPr>
        <w:tblStyle w:val="181"/>
        <w:tblW w:w="0" w:type="auto"/>
        <w:tblInd w:w="15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2"/>
        <w:gridCol w:w="2181"/>
        <w:gridCol w:w="2330"/>
        <w:gridCol w:w="2474"/>
      </w:tblGrid>
      <w:tr w14:paraId="23488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892" w:type="dxa"/>
          </w:tcPr>
          <w:p w14:paraId="10EB8FE9">
            <w:r>
              <w:t xml:space="preserve">用户姓名 </w:t>
            </w:r>
          </w:p>
        </w:tc>
        <w:tc>
          <w:tcPr>
            <w:tcW w:w="2181" w:type="dxa"/>
            <w:tcBorders>
              <w:bottom w:val="single" w:color="000000" w:sz="6" w:space="0"/>
            </w:tcBorders>
          </w:tcPr>
          <w:p w14:paraId="37FC8761">
            <w:r>
              <w:t xml:space="preserve">工作邮箱地址 </w:t>
            </w:r>
          </w:p>
        </w:tc>
        <w:tc>
          <w:tcPr>
            <w:tcW w:w="2330" w:type="dxa"/>
            <w:tcBorders>
              <w:bottom w:val="single" w:color="000000" w:sz="6" w:space="0"/>
            </w:tcBorders>
          </w:tcPr>
          <w:p w14:paraId="6DE274BE">
            <w:r>
              <w:t xml:space="preserve">联系电话 </w:t>
            </w:r>
          </w:p>
        </w:tc>
        <w:tc>
          <w:tcPr>
            <w:tcW w:w="2474" w:type="dxa"/>
            <w:tcBorders>
              <w:bottom w:val="single" w:color="000000" w:sz="6" w:space="0"/>
            </w:tcBorders>
          </w:tcPr>
          <w:p w14:paraId="23A59B6E">
            <w:r>
              <w:t xml:space="preserve">用户账户权限 </w:t>
            </w:r>
          </w:p>
        </w:tc>
      </w:tr>
      <w:tr w14:paraId="5C54C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319FC3E9">
            <w:r>
              <w:t xml:space="preserve">           </w:t>
            </w:r>
          </w:p>
        </w:tc>
        <w:tc>
          <w:tcPr>
            <w:tcW w:w="2181" w:type="dxa"/>
            <w:tcBorders>
              <w:top w:val="single" w:color="000000" w:sz="6" w:space="0"/>
              <w:bottom w:val="single" w:color="000000" w:sz="6" w:space="0"/>
            </w:tcBorders>
          </w:tcPr>
          <w:p w14:paraId="592B82C2">
            <w:r>
              <w:t xml:space="preserve">           </w:t>
            </w:r>
          </w:p>
        </w:tc>
        <w:tc>
          <w:tcPr>
            <w:tcW w:w="2330" w:type="dxa"/>
            <w:tcBorders>
              <w:top w:val="single" w:color="000000" w:sz="6" w:space="0"/>
              <w:bottom w:val="single" w:color="000000" w:sz="6" w:space="0"/>
            </w:tcBorders>
          </w:tcPr>
          <w:p w14:paraId="75442065">
            <w:r>
              <w:t xml:space="preserve">           </w:t>
            </w:r>
          </w:p>
        </w:tc>
        <w:tc>
          <w:tcPr>
            <w:tcW w:w="2474" w:type="dxa"/>
            <w:tcBorders>
              <w:top w:val="single" w:color="000000" w:sz="6" w:space="0"/>
              <w:bottom w:val="single" w:color="000000" w:sz="6" w:space="0"/>
            </w:tcBorders>
          </w:tcPr>
          <w:p w14:paraId="519BAD50">
            <w:r>
              <w:t xml:space="preserve">           </w:t>
            </w:r>
          </w:p>
        </w:tc>
      </w:tr>
      <w:tr w14:paraId="406A3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3AAA6309">
            <w:r>
              <w:t xml:space="preserve">           </w:t>
            </w:r>
          </w:p>
        </w:tc>
        <w:tc>
          <w:tcPr>
            <w:tcW w:w="2181" w:type="dxa"/>
            <w:tcBorders>
              <w:top w:val="single" w:color="000000" w:sz="6" w:space="0"/>
              <w:bottom w:val="single" w:color="000000" w:sz="6" w:space="0"/>
            </w:tcBorders>
          </w:tcPr>
          <w:p w14:paraId="35A62191">
            <w:r>
              <w:t xml:space="preserve">           </w:t>
            </w:r>
          </w:p>
        </w:tc>
        <w:tc>
          <w:tcPr>
            <w:tcW w:w="2330" w:type="dxa"/>
            <w:tcBorders>
              <w:top w:val="single" w:color="000000" w:sz="6" w:space="0"/>
              <w:bottom w:val="single" w:color="000000" w:sz="6" w:space="0"/>
            </w:tcBorders>
          </w:tcPr>
          <w:p w14:paraId="41629496">
            <w:r>
              <w:t xml:space="preserve">           </w:t>
            </w:r>
          </w:p>
        </w:tc>
        <w:tc>
          <w:tcPr>
            <w:tcW w:w="2474" w:type="dxa"/>
            <w:tcBorders>
              <w:top w:val="single" w:color="000000" w:sz="6" w:space="0"/>
              <w:bottom w:val="single" w:color="000000" w:sz="6" w:space="0"/>
            </w:tcBorders>
          </w:tcPr>
          <w:p w14:paraId="7DEB2152">
            <w:r>
              <w:t xml:space="preserve">           </w:t>
            </w:r>
          </w:p>
        </w:tc>
      </w:tr>
      <w:tr w14:paraId="1AB23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45CE0BA4">
            <w:r>
              <w:t xml:space="preserve">           </w:t>
            </w:r>
          </w:p>
        </w:tc>
        <w:tc>
          <w:tcPr>
            <w:tcW w:w="2181" w:type="dxa"/>
            <w:tcBorders>
              <w:top w:val="single" w:color="000000" w:sz="6" w:space="0"/>
              <w:bottom w:val="single" w:color="000000" w:sz="6" w:space="0"/>
            </w:tcBorders>
          </w:tcPr>
          <w:p w14:paraId="0CA17556">
            <w:r>
              <w:t xml:space="preserve">           </w:t>
            </w:r>
          </w:p>
        </w:tc>
        <w:tc>
          <w:tcPr>
            <w:tcW w:w="2330" w:type="dxa"/>
            <w:tcBorders>
              <w:top w:val="single" w:color="000000" w:sz="6" w:space="0"/>
              <w:bottom w:val="single" w:color="000000" w:sz="6" w:space="0"/>
            </w:tcBorders>
          </w:tcPr>
          <w:p w14:paraId="291F2728">
            <w:r>
              <w:t xml:space="preserve">           </w:t>
            </w:r>
          </w:p>
        </w:tc>
        <w:tc>
          <w:tcPr>
            <w:tcW w:w="2474" w:type="dxa"/>
            <w:tcBorders>
              <w:top w:val="single" w:color="000000" w:sz="6" w:space="0"/>
              <w:bottom w:val="single" w:color="000000" w:sz="6" w:space="0"/>
            </w:tcBorders>
          </w:tcPr>
          <w:p w14:paraId="2B2DE4E0">
            <w:r>
              <w:t xml:space="preserve">           </w:t>
            </w:r>
          </w:p>
        </w:tc>
      </w:tr>
      <w:tr w14:paraId="0C6C0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4260FBF7">
            <w:r>
              <w:t xml:space="preserve">           </w:t>
            </w:r>
          </w:p>
        </w:tc>
        <w:tc>
          <w:tcPr>
            <w:tcW w:w="2181" w:type="dxa"/>
            <w:tcBorders>
              <w:top w:val="single" w:color="000000" w:sz="6" w:space="0"/>
              <w:bottom w:val="single" w:color="000000" w:sz="6" w:space="0"/>
            </w:tcBorders>
          </w:tcPr>
          <w:p w14:paraId="1DAF01EF">
            <w:r>
              <w:t xml:space="preserve">           </w:t>
            </w:r>
          </w:p>
        </w:tc>
        <w:tc>
          <w:tcPr>
            <w:tcW w:w="2330" w:type="dxa"/>
            <w:tcBorders>
              <w:top w:val="single" w:color="000000" w:sz="6" w:space="0"/>
              <w:bottom w:val="single" w:color="000000" w:sz="6" w:space="0"/>
            </w:tcBorders>
          </w:tcPr>
          <w:p w14:paraId="5DE9E113">
            <w:r>
              <w:t xml:space="preserve">           </w:t>
            </w:r>
          </w:p>
        </w:tc>
        <w:tc>
          <w:tcPr>
            <w:tcW w:w="2474" w:type="dxa"/>
            <w:tcBorders>
              <w:top w:val="single" w:color="000000" w:sz="6" w:space="0"/>
              <w:bottom w:val="single" w:color="000000" w:sz="6" w:space="0"/>
            </w:tcBorders>
          </w:tcPr>
          <w:p w14:paraId="706C7908">
            <w:r>
              <w:t xml:space="preserve">           </w:t>
            </w:r>
          </w:p>
        </w:tc>
      </w:tr>
    </w:tbl>
    <w:p w14:paraId="2854D9A6">
      <w:pPr>
        <w:sectPr>
          <w:pgSz w:w="12240" w:h="15840"/>
          <w:pgMar w:top="1080" w:right="480" w:bottom="1340" w:left="440" w:header="0" w:footer="1153" w:gutter="0"/>
          <w:cols w:space="720" w:num="1"/>
        </w:sectPr>
      </w:pPr>
    </w:p>
    <w:p w14:paraId="5A2E7332">
      <w:r>
        <w:t xml:space="preserve"> </w:t>
      </w:r>
    </w:p>
    <w:p w14:paraId="4306205A">
      <w:r>
        <w:t xml:space="preserve">高级临床应用现场培训 </w:t>
      </w:r>
    </w:p>
    <w:p w14:paraId="5D13F8B5">
      <w:r>
        <w:t xml:space="preserve">乙方责任 </w:t>
      </w:r>
    </w:p>
    <w:p w14:paraId="623913B0">
      <w:r>
        <w:rPr>
          <w:rFonts w:hint="eastAsia"/>
        </w:rPr>
        <w:t>1）</w:t>
      </w:r>
      <w:r>
        <w:t xml:space="preserve">乙方对甲方选送的相关人员进行培训。 </w:t>
      </w:r>
    </w:p>
    <w:p w14:paraId="42B54245">
      <w:r>
        <w:rPr>
          <w:rFonts w:hint="eastAsia"/>
        </w:rPr>
        <w:t>2）</w:t>
      </w:r>
      <w:r>
        <w:t xml:space="preserve">乙方为甲方        设备，系统编号         ，提供共         年         次的相关设备临床应用现场培训。 </w:t>
      </w:r>
    </w:p>
    <w:p w14:paraId="3EBC2A28">
      <w:r>
        <w:rPr>
          <w:rFonts w:hint="eastAsia"/>
        </w:rPr>
        <w:t>3）</w:t>
      </w:r>
      <w:r>
        <w:t xml:space="preserve">每次培训时间为 2 天。 </w:t>
      </w:r>
    </w:p>
    <w:p w14:paraId="53AA193F">
      <w:r>
        <w:rPr>
          <w:rFonts w:hint="eastAsia"/>
        </w:rPr>
        <w:t>4）</w:t>
      </w:r>
      <w:r>
        <w:t xml:space="preserve">所有培训内容仅在合同期内有效，合同期内未完成的培训，逾期不补课。 </w:t>
      </w:r>
    </w:p>
    <w:p w14:paraId="3F976220">
      <w:r>
        <w:t xml:space="preserve">甲方责任 </w:t>
      </w:r>
    </w:p>
    <w:p w14:paraId="2D9C301B">
      <w:r>
        <w:rPr>
          <w:rFonts w:hint="eastAsia"/>
        </w:rPr>
        <w:t>1）</w:t>
      </w:r>
      <w:r>
        <w:t xml:space="preserve">甲方应配合乙方开展培训，按照乙方的培训流程，每次培训提供盖章(公章或受训人员所在科室章)的培训确认函和其它支持文件给乙方。 </w:t>
      </w:r>
    </w:p>
    <w:p w14:paraId="5BEE446A">
      <w:r>
        <w:rPr>
          <w:rFonts w:hint="eastAsia"/>
        </w:rPr>
        <w:t>2）</w:t>
      </w:r>
      <w:r>
        <w:t xml:space="preserve">在合同有效期内，若甲方需要将此项培训更换为其他种类的培训，需提供盖章(公章或受训人员所在科室 章)的培训推荐函和其它支持文件给乙方，文件上应注明原培训和更改后的培训名称及人次。此培训更换仅限于提出申请时乙方确认能更换的培训，且仅限于此项培训服务开始之前。甲方更换培训类型之后，原培训类型不再执行。 </w:t>
      </w:r>
    </w:p>
    <w:p w14:paraId="5EC370B8">
      <w:r>
        <w:t xml:space="preserve">信息保密 </w:t>
      </w:r>
    </w:p>
    <w:p w14:paraId="0AC8375C">
      <w:r>
        <w:rPr>
          <w:rFonts w:hint="eastAsia"/>
        </w:rPr>
        <w:t>1）</w:t>
      </w:r>
      <w:r>
        <w:t xml:space="preserve">甲方确认乙方为履行本合同所提供的所有信息，包括乙方为甲方雇员所提供的所有培训材料都属于乙方的财产，未经乙方书面同意，无论甲方或接受培训的甲方雇员都不得违反本合同的规定对乙方信息进行复制或进一步传播，也不得向任何第三方透露。 </w:t>
      </w:r>
    </w:p>
    <w:p w14:paraId="3E008935">
      <w:r>
        <w:rPr>
          <w:rFonts w:hint="eastAsia"/>
        </w:rPr>
        <w:t>2）</w:t>
      </w:r>
      <w:r>
        <w:t xml:space="preserve">甲方应保证其能够接触和获得乙方信息和材料的雇员遵守本保密协议。甲方可以采用与甲方的雇员签订受训人保密协议的方式，或另立包含受训人说明和保密协议条款的文件以满足这个要求。 </w:t>
      </w:r>
    </w:p>
    <w:p w14:paraId="359C865A">
      <w:r>
        <w:t xml:space="preserve">违约责任 </w:t>
      </w:r>
    </w:p>
    <w:p w14:paraId="50DB0B34">
      <w:r>
        <w:rPr>
          <w:rFonts w:hint="eastAsia"/>
        </w:rPr>
        <w:t>1）</w:t>
      </w:r>
      <w:r>
        <w:t xml:space="preserve">因不可抗力或双方不可能控制的情况下，无法履行合同服务或履行服务不符合约定要求的，双方可协商解决。 </w:t>
      </w:r>
    </w:p>
    <w:p w14:paraId="7E49A1EE">
      <w:r>
        <w:rPr>
          <w:rFonts w:hint="eastAsia"/>
        </w:rPr>
        <w:t>2）</w:t>
      </w:r>
      <w:r>
        <w:t xml:space="preserve">培训逾期，或培训无法达到约定要求的，乙方不承担责任，甲方不能要求退款或延迟培训或再培训。 </w:t>
      </w:r>
    </w:p>
    <w:p w14:paraId="69D611B5">
      <w:r>
        <w:t xml:space="preserve"> </w:t>
      </w:r>
    </w:p>
    <w:p w14:paraId="54723C79">
      <w:r>
        <w:t xml:space="preserve">高级临床应用课堂培训 </w:t>
      </w:r>
    </w:p>
    <w:p w14:paraId="3D86C121">
      <w:r>
        <w:t xml:space="preserve">乙方责任 </w:t>
      </w:r>
    </w:p>
    <w:p w14:paraId="75ABDA4A">
      <w:r>
        <w:rPr>
          <w:rFonts w:hint="eastAsia"/>
        </w:rPr>
        <w:t>1)</w:t>
      </w:r>
      <w:r>
        <w:t xml:space="preserve">乙方对甲方选送的相关人员进行培训。 </w:t>
      </w:r>
    </w:p>
    <w:p w14:paraId="5CE237C6">
      <w:r>
        <w:rPr>
          <w:rFonts w:hint="eastAsia"/>
        </w:rPr>
        <w:t>2)</w:t>
      </w:r>
      <w:r>
        <w:t xml:space="preserve">乙方为甲方         设备，系统编号          ，提供共          年          人次的相关设备临床应用课堂培训。 </w:t>
      </w:r>
    </w:p>
    <w:p w14:paraId="6D82A089">
      <w:r>
        <w:rPr>
          <w:rFonts w:hint="eastAsia"/>
        </w:rPr>
        <w:t>3)</w:t>
      </w:r>
      <w:r>
        <w:t xml:space="preserve">每次培训时间为 1~2 天。 </w:t>
      </w:r>
    </w:p>
    <w:p w14:paraId="4755A067">
      <w:r>
        <w:rPr>
          <w:rFonts w:hint="eastAsia"/>
        </w:rPr>
        <w:t>4)</w:t>
      </w:r>
      <w:r>
        <w:t xml:space="preserve">所有培训内容仅在合同期内有效，合同期内未完成的培训，逾期不补课。 </w:t>
      </w:r>
    </w:p>
    <w:p w14:paraId="3AF77A57">
      <w:r>
        <w:rPr>
          <w:rFonts w:hint="eastAsia"/>
        </w:rPr>
        <w:t>5)</w:t>
      </w:r>
      <w:r>
        <w:t xml:space="preserve">乙方承担甲方受训人员在异地培训时发生的部分费用，包括：往返培训地点的交通费、异地培训的住宿费、培训期间的餐费、会务费用、讲师费用。 </w:t>
      </w:r>
    </w:p>
    <w:p w14:paraId="431D3D2A">
      <w:r>
        <w:t xml:space="preserve">甲方责任 </w:t>
      </w:r>
    </w:p>
    <w:p w14:paraId="53C03AC4">
      <w:r>
        <w:rPr>
          <w:rFonts w:hint="eastAsia"/>
        </w:rPr>
        <w:t>1)</w:t>
      </w:r>
      <w:r>
        <w:t xml:space="preserve">甲方应配合乙方开展培训，按照乙方的培训流程，每次培训提供盖章(公章或受训人员所在科室章)的培训确认函和其它支持文件给乙方。 </w:t>
      </w:r>
    </w:p>
    <w:p w14:paraId="109B4820">
      <w:r>
        <w:rPr>
          <w:rFonts w:hint="eastAsia"/>
        </w:rPr>
        <w:t>2)</w:t>
      </w:r>
      <w:r>
        <w:t xml:space="preserve">在合同有效期内，若甲方需要将此项培训更换为其他种类的培训，需提供盖章(公章或受训人员所在科室章) 的培训推荐函和其它支持文件给乙方，文件上应注明原培训和更改后的培训名称及人次。此培训更换仅限于提出申请时乙方确认能更换的培训，且仅限于此项培训服务开始之前。甲方更换培训类型之后，原培训类型不再执行。 </w:t>
      </w:r>
    </w:p>
    <w:p w14:paraId="302A9BB7">
      <w:r>
        <w:t xml:space="preserve">信息保密 </w:t>
      </w:r>
    </w:p>
    <w:p w14:paraId="6DA475C6">
      <w:r>
        <w:rPr>
          <w:rFonts w:hint="eastAsia"/>
        </w:rPr>
        <w:t>1)</w:t>
      </w:r>
      <w:r>
        <w:t xml:space="preserve">甲方确认乙方为履行本合同所提供的所有信息，包括乙方为甲方雇员所提供的所有培训材料都属于乙方的财产，未经乙方书面同意，无论甲方或接受培训的甲方雇员都不得违反本合同的规定对乙方信息进行复制或进一步传播，也不得向任何第三方透露。 </w:t>
      </w:r>
    </w:p>
    <w:p w14:paraId="594712E8">
      <w:r>
        <w:rPr>
          <w:rFonts w:hint="eastAsia"/>
        </w:rPr>
        <w:t>2)</w:t>
      </w:r>
      <w:r>
        <w:t xml:space="preserve">甲方应保证其能够接触和获得乙方信息和材料的雇员遵守本保密协议。甲方可以采用与甲方的雇员签订受训人保密协议的方式，或另立包含受训人说明和保密协议条款的文件以满足这个要求。 </w:t>
      </w:r>
    </w:p>
    <w:p w14:paraId="16AD305D">
      <w:r>
        <w:t xml:space="preserve">违约责任 </w:t>
      </w:r>
    </w:p>
    <w:p w14:paraId="0D2530B6">
      <w:r>
        <w:rPr>
          <w:rFonts w:hint="eastAsia"/>
        </w:rPr>
        <w:t>1)</w:t>
      </w:r>
      <w:r>
        <w:t xml:space="preserve">因不可抗力或双方不可能控制的情况下，无法履行合同服务或履行服务不符合约定要求的，双方可协商解决。 </w:t>
      </w:r>
    </w:p>
    <w:p w14:paraId="66CA702F">
      <w:r>
        <w:rPr>
          <w:rFonts w:hint="eastAsia"/>
        </w:rPr>
        <w:t>2)</w:t>
      </w:r>
      <w:r>
        <w:t xml:space="preserve">培训逾期，或培训无法达到约定要求的，乙方不承担责任，甲方不能要求退款或延迟培训或再培训。 </w:t>
      </w:r>
    </w:p>
    <w:p w14:paraId="7F3EB282">
      <w:r>
        <w:t xml:space="preserve">医疗设备管理培训领航班（EDU_BME） </w:t>
      </w:r>
    </w:p>
    <w:p w14:paraId="23531399">
      <w:r>
        <w:t xml:space="preserve">乙方责任 </w:t>
      </w:r>
    </w:p>
    <w:p w14:paraId="45239D7D">
      <w:r>
        <w:rPr>
          <w:rFonts w:hint="eastAsia"/>
        </w:rPr>
        <w:t>10</w:t>
      </w:r>
      <w:r>
        <w:t xml:space="preserve">乙方对甲方选送的相关人员进行培训。 </w:t>
      </w:r>
    </w:p>
    <w:p w14:paraId="025D9423">
      <w:r>
        <w:rPr>
          <w:rFonts w:hint="eastAsia"/>
        </w:rPr>
        <w:t>2）</w:t>
      </w:r>
      <w:r>
        <w:t xml:space="preserve">合同期内乙方给甲方提供 人次的医疗设备管理培训。 </w:t>
      </w:r>
    </w:p>
    <w:p w14:paraId="5B08C061">
      <w:r>
        <w:rPr>
          <w:rFonts w:hint="eastAsia"/>
        </w:rPr>
        <w:t>3）</w:t>
      </w:r>
      <w:r>
        <w:t xml:space="preserve">该培训为模块式培训，集中授课 3 天，一年内完成。 </w:t>
      </w:r>
    </w:p>
    <w:p w14:paraId="79C935E2">
      <w:r>
        <w:t xml:space="preserve">客户可以要求将当期培训累加至下一年，但是一旦合同到期，所有未使用培训将过期。合同期内未完成的课程内容逾期不予补课。 </w:t>
      </w:r>
    </w:p>
    <w:p w14:paraId="37251E7B">
      <w:r>
        <w:rPr>
          <w:rFonts w:hint="eastAsia"/>
        </w:rPr>
        <w:t>4)</w:t>
      </w:r>
      <w:r>
        <w:t xml:space="preserve">乙方承担甲方受训人员在培训时发生的部分费用，包括：往返培训地点的交通费、异地培训的住宿费、培训 期间的餐费、会务费用、讲师费用。 </w:t>
      </w:r>
    </w:p>
    <w:p w14:paraId="260F266F">
      <w:r>
        <w:t xml:space="preserve">甲方责任 </w:t>
      </w:r>
    </w:p>
    <w:p w14:paraId="2E422A52">
      <w:r>
        <w:rPr>
          <w:rFonts w:hint="eastAsia"/>
        </w:rPr>
        <w:t>1)</w:t>
      </w:r>
      <w:r>
        <w:t xml:space="preserve">甲方应配合乙方开展培训，按照乙方的培训流程，每次培训提供盖章(公章或受训人员所在科室章)的培训确认函和其它支持文件给乙方。 </w:t>
      </w:r>
    </w:p>
    <w:p w14:paraId="3B5E55E5">
      <w:r>
        <w:rPr>
          <w:rFonts w:hint="eastAsia"/>
        </w:rPr>
        <w:t>2)</w:t>
      </w:r>
      <w:r>
        <w:t xml:space="preserve">在合同有效期内，若甲方需要将此项培训更换为其他种类的培训，需提供盖章(公章或受训人员所在科室 章)的培训推荐函和其它支持文件给乙方，文件上应注明原培训和更改后的培训名称及人次。此培训更换仅限于提出申请时乙方确认能更换的培训，且仅限于此项培训服务开始之前。甲方更换培训类型之后，原培训类型不再执行。 </w:t>
      </w:r>
    </w:p>
    <w:p w14:paraId="2D11FE52">
      <w:r>
        <w:t xml:space="preserve">信息保密 </w:t>
      </w:r>
    </w:p>
    <w:p w14:paraId="2656583F">
      <w:r>
        <w:rPr>
          <w:rFonts w:hint="eastAsia"/>
        </w:rPr>
        <w:t>1)</w:t>
      </w:r>
      <w:r>
        <w:t xml:space="preserve">甲方确认乙方为履行本合同所提供的所有信息，包括乙方为甲方雇员所提供的所有培训材料都属于乙方的财产，未经乙方书面同意，无论甲方或接受培训的甲方雇员都不得违反本合同的规定对乙方信息进行复制或进一步传播，也不得向任何第三方透露。 </w:t>
      </w:r>
    </w:p>
    <w:p w14:paraId="5984352A">
      <w:r>
        <w:rPr>
          <w:rFonts w:hint="eastAsia"/>
        </w:rPr>
        <w:t>2)</w:t>
      </w:r>
      <w:r>
        <w:t xml:space="preserve">甲方应保证其能够接触和获得乙方信息和材料的雇员遵守本保密协议。甲方可以采用与甲方的雇员签订受训人保密协议的方式，或另立包含受训人说明和保密协议条款的文件以满足这个要求。 </w:t>
      </w:r>
    </w:p>
    <w:p w14:paraId="3FF862A7">
      <w:r>
        <w:t xml:space="preserve">违约责任 </w:t>
      </w:r>
    </w:p>
    <w:p w14:paraId="36ED64B4">
      <w:r>
        <w:rPr>
          <w:rFonts w:hint="eastAsia"/>
        </w:rPr>
        <w:t>1)</w:t>
      </w:r>
      <w:r>
        <w:t xml:space="preserve">因不可抗力或双方不可能控制的情况下，无法履行合同服务或履行服务不符合约定要求的，双方可协商解决。 </w:t>
      </w:r>
    </w:p>
    <w:p w14:paraId="4C3D2488">
      <w:r>
        <w:rPr>
          <w:rFonts w:hint="eastAsia"/>
        </w:rPr>
        <w:t>2)</w:t>
      </w:r>
      <w:r>
        <w:t xml:space="preserve">培训逾期，或培训无法达到约定要求的，乙方不承担责任，甲方不能要求退款或延迟培训或再培训。 </w:t>
      </w:r>
    </w:p>
    <w:p w14:paraId="60AF58C2"/>
    <w:p w14:paraId="41ED0522">
      <w:r>
        <w:t xml:space="preserve">乙方仅对以上列明的设备及附加设备系统/服务（以下简称“设备”）予以保修。 </w:t>
      </w:r>
    </w:p>
    <w:p w14:paraId="3CEAD074"/>
    <w:p w14:paraId="174BC996">
      <w:r>
        <w:t xml:space="preserve">乙方的责任： </w:t>
      </w:r>
    </w:p>
    <w:p w14:paraId="518131FE">
      <w:r>
        <w:rPr>
          <w:rFonts w:hint="eastAsia"/>
        </w:rPr>
        <w:t>1)</w:t>
      </w:r>
      <w:r>
        <w:t xml:space="preserve">乙方每年提供定期维护，乙方工程师向甲方提供一份计划性的定期维护报告。乙方在预期保养时间之前一周内通知甲方保养时间，如因甲方原因导致不能执行保养，乙方原则上将不对此承担责任。如甲方确有合理原因导致不能执行保养，甲方可在预期保养时间之前一周内通知乙方并与乙方另行约定保养时间；如乙方确因甲方的时间调整而产生额外成本，乙方可要求甲方承担相关费用。原厂标准定期维护服务检测包括设备清洁、性能测试及校准、必要的机械或电气的检查，以及非紧急性质的预防性维护，和确保系统能按照制造商的产品规格运行的其它维护。此项定期维护服务间隔进行。 </w:t>
      </w:r>
    </w:p>
    <w:p w14:paraId="6467C772">
      <w:r>
        <w:rPr>
          <w:rFonts w:hint="eastAsia"/>
        </w:rPr>
        <w:t>2)</w:t>
      </w:r>
      <w:r>
        <w:t xml:space="preserve">乙方提供现场措施（Field Action）。 </w:t>
      </w:r>
    </w:p>
    <w:p w14:paraId="7C5B4903">
      <w:r>
        <w:rPr>
          <w:rFonts w:hint="eastAsia"/>
        </w:rPr>
        <w:t>3）</w:t>
      </w:r>
      <w:r>
        <w:t xml:space="preserve">乙方为甲方提供在线支持、现场检修、零备件更换。 </w:t>
      </w:r>
    </w:p>
    <w:p w14:paraId="550CE7CF">
      <w:r>
        <w:t>3.</w:t>
      </w:r>
      <w:r>
        <w:rPr>
          <w:rFonts w:hint="eastAsia"/>
        </w:rPr>
        <w:t>1</w:t>
      </w:r>
      <w:r>
        <w:t>） 在线支持:协助甲方的工程师分析和维修有关设备。在甲方拨打维修热线后提供电话支援：400-</w:t>
      </w:r>
    </w:p>
    <w:p w14:paraId="6B25C371">
      <w:r>
        <w:t xml:space="preserve">8128188维修热线，乙方资深工程师在线技术支持，答疑；乙方资深工程师即时诊断设备故障，制定维修方案。 </w:t>
      </w:r>
    </w:p>
    <w:p w14:paraId="22C7BEB0">
      <w:r>
        <w:t>3.</w:t>
      </w:r>
      <w:r>
        <w:rPr>
          <w:rFonts w:hint="eastAsia"/>
        </w:rPr>
        <w:t>2</w:t>
      </w:r>
      <w:r>
        <w:t xml:space="preserve">） 现场检修:乙方在接到甲方报修电话后派遣工程师前往维修有关设备。工程师最多不超过本合同约定时间到达现场。原厂认证合格的专业工程师或原厂培训的特约维修队伍将提供快速优质的现场服务。 </w:t>
      </w:r>
    </w:p>
    <w:p w14:paraId="63EB2A7F">
      <w:r>
        <w:t>3</w:t>
      </w:r>
      <w:r>
        <w:rPr>
          <w:rFonts w:hint="eastAsia"/>
        </w:rPr>
        <w:t>.3</w:t>
      </w:r>
      <w:r>
        <w:t xml:space="preserve">） 常用零备件更换：在合同有效期内，本合同服务范围内的设备进行约定维修所发生的费用（更换零部件费，乙方人工费和出差费等），由乙方承担。 </w:t>
      </w:r>
    </w:p>
    <w:p w14:paraId="4FCA2BB1">
      <w:r>
        <w:t>3.</w:t>
      </w:r>
      <w:r>
        <w:rPr>
          <w:rFonts w:hint="eastAsia"/>
        </w:rPr>
        <w:t>4</w:t>
      </w:r>
      <w:r>
        <w:t xml:space="preserve">） 深度保养:在合同有效期内，乙方为本合同服务范围内的IGS设备提供每年壹次的深度保养(具体保养时间及内容以乙方标准为准)，该次保养包含在年度保养次数之内。保养所发生的费用（更换深度保养耗材、乙方人工费和出差费等），由乙方承担。 </w:t>
      </w:r>
    </w:p>
    <w:p w14:paraId="19FB122D">
      <w:r>
        <w:rPr>
          <w:rFonts w:hint="eastAsia"/>
        </w:rPr>
        <w:t>4）</w:t>
      </w:r>
      <w:r>
        <w:t xml:space="preserve">国内保税库零备件优先使用权：在合同有效期内，甲方如需更换零备件，可以具有优先使用乙方国内保税库的备件。乙方应在接到甲方的需求申请后，优先处理其诉求。 </w:t>
      </w:r>
    </w:p>
    <w:p w14:paraId="4FF4F8E7">
      <w:pPr>
        <w:sectPr>
          <w:pgSz w:w="12240" w:h="15840"/>
          <w:pgMar w:top="1080" w:right="480" w:bottom="1380" w:left="440" w:header="0" w:footer="1153" w:gutter="0"/>
          <w:cols w:space="720" w:num="1"/>
        </w:sectPr>
      </w:pPr>
    </w:p>
    <w:p w14:paraId="03FD845F">
      <w:r>
        <w:rPr>
          <w:rFonts w:hint="eastAsia"/>
        </w:rPr>
        <w:t>5）</w:t>
      </w:r>
      <w:r>
        <w:t>开机保证：开机保证率承诺为 95%，计算公式如下：开机保证率承诺为 95%，即每年停机时间不超过 365 天</w:t>
      </w:r>
    </w:p>
    <w:p w14:paraId="2FCBEACF">
      <w:r>
        <w:t xml:space="preserve">*（100%-95%）=18 天。达不到开机保证率的情况下, 对于超出开机率保证的停机时间，每超出一天保修时间顺延一天。凡不在服务范围之内的系统部件损坏而导致停机，不包括在此条款之内。乙方工程师会配合保养计划，针对产品的外部环境、主要参数与性能做质量评估，为设备潜在的问题提供预测性提示，以期减少设备非正常停机的风险，提高医疗设备的正常使用率，帮助医院实现高质量、低风险的医疗服务，确保最佳投资的回报率。 </w:t>
      </w:r>
    </w:p>
    <w:p w14:paraId="3CFBC6D0">
      <w:r>
        <w:rPr>
          <w:rFonts w:hint="eastAsia"/>
        </w:rPr>
        <w:t>6）</w:t>
      </w:r>
      <w:r>
        <w:t xml:space="preserve">服务报告：每次保养、维修后，乙方工程师以邮件或 Email 或现场汇报的形式为甲方提供服务报告。 </w:t>
      </w:r>
    </w:p>
    <w:p w14:paraId="2206FB92">
      <w:r>
        <w:rPr>
          <w:rFonts w:hint="eastAsia"/>
        </w:rPr>
        <w:t>7）</w:t>
      </w:r>
      <w:r>
        <w:t xml:space="preserve">Insite 远程数字化服务（如果设备具有远程接入能力） </w:t>
      </w:r>
    </w:p>
    <w:p w14:paraId="00EDD9FF">
      <w:r>
        <w:t>7.</w:t>
      </w:r>
      <w:r>
        <w:rPr>
          <w:rFonts w:hint="eastAsia"/>
        </w:rPr>
        <w:t>1</w:t>
      </w:r>
      <w:r>
        <w:t xml:space="preserve">） 远程监测以及维护：甲方（1）提供接入设备的宽带设施或（2）通过乙方的网络连接设施，将设备与GE 医疗 InSite 智能数字化服务平台连接，以便乙方在合同有效期内为设备提供 24 小时远程检测以及每年提供贰次远程预防性保养，从而帮助医院有效提高设备使用效率。 </w:t>
      </w:r>
    </w:p>
    <w:p w14:paraId="3FD0C9D4">
      <w:r>
        <w:t>7.</w:t>
      </w:r>
      <w:r>
        <w:rPr>
          <w:rFonts w:hint="eastAsia"/>
        </w:rPr>
        <w:t>2</w:t>
      </w:r>
      <w:r>
        <w:t xml:space="preserve">） 远程设备应用指导服务：在合同有效期内，乙方在收到甲方拨打维修服务电话后，与甲方协商安排时间，为甲方提供远程设备应用指导服务，服务期间由于甲方原因造成无法提供应用指导服务，乙方不承担任何责任。 </w:t>
      </w:r>
    </w:p>
    <w:p w14:paraId="47DB9AB7">
      <w:r>
        <w:t>7.</w:t>
      </w:r>
      <w:r>
        <w:rPr>
          <w:rFonts w:hint="eastAsia"/>
        </w:rPr>
        <w:t>3</w:t>
      </w:r>
      <w:r>
        <w:t>） 甲方应负责为设备的正常运行和远程接入提供安全稳定的网络环境。如果甲方选择禁用 InSite 或者甲方的网络设施不支持设备的远程接入，导致乙方无法提供上述远程数字化服务的，乙方不承担任何责任。</w:t>
      </w:r>
    </w:p>
    <w:p w14:paraId="4ECB3579">
      <w:r>
        <w:t>7.</w:t>
      </w:r>
      <w:r>
        <w:rPr>
          <w:rFonts w:hint="eastAsia"/>
        </w:rPr>
        <w:t>4</w:t>
      </w:r>
      <w:r>
        <w:t xml:space="preserve">） 甲方同意将设备与 GE 医疗 InSite 智能数字化服务平台连接（如果设备具有远程接入能力）；甲方应在设备与 GE 医疗 InSite 智能数字化服务平台连接安装过程中予以配合支持）允许乙方远程访问设备，收集设备运行数据（如温湿度等)，以便乙方在甲方因设备故障而发生有偿服务需求时进行快速响应。甲方应负责为设备的正常运行和远程接入提供安全稳定的网络环境。甲乙双方可以随时书面沟通以取消设备的远程连接，一经取消，乙方有权回收由乙方提供的网络连接设备，甲方应予配合支持。在甲方并非设备最终用户的情况下，甲方应将本条规定的内容告知最终用户，并取得最终用户关于设备远程连接的同意。 </w:t>
      </w:r>
    </w:p>
    <w:p w14:paraId="64CF3860">
      <w:r>
        <w:rPr>
          <w:rFonts w:hint="eastAsia"/>
        </w:rPr>
        <w:t>8）</w:t>
      </w:r>
      <w:r>
        <w:t xml:space="preserve">关键手术原厂FE 现场待命：乙方为本合同保修范围内的血管机提供关键手术原厂FE 现场待命服务， 每年不超过四次，每次不超过四小时，甲方需提前一个月向乙方预约。 </w:t>
      </w:r>
    </w:p>
    <w:p w14:paraId="7CB29768">
      <w:r>
        <w:rPr>
          <w:rFonts w:hint="eastAsia"/>
        </w:rPr>
        <w:t>9）</w:t>
      </w:r>
      <w:r>
        <w:t xml:space="preserve">血管机球管和探测器外壳破碎保用：乙方为本合同保修范围内的血管机提供球管和探测器外壳破碎保用服务, 在合同期内，如甲方原有外壳或乙方提供的外壳发生损坏，甲方需将损坏的外壳交付或返还给乙方，乙方重新提供给甲方可供使用的外壳替代损坏的外壳；甲方应在新配件更换后三日之内把旧配件退还给乙方，如果无特殊理由因甲方原因不能退还备件，甲方另行支付乙方不超过该备件购买价的 30%作为补偿。 </w:t>
      </w:r>
    </w:p>
    <w:p w14:paraId="6A677D7F">
      <w:r>
        <w:t xml:space="preserve"> </w:t>
      </w:r>
    </w:p>
    <w:p w14:paraId="1F464FC6">
      <w:r>
        <w:t xml:space="preserve">球管服务(TUI)合同部分(合同编号： )： </w:t>
      </w:r>
    </w:p>
    <w:p w14:paraId="676F2237">
      <w:r>
        <w:t xml:space="preserve"> </w:t>
      </w:r>
    </w:p>
    <w:p w14:paraId="2D80762B">
      <w:r>
        <w:rPr>
          <w:rFonts w:hint="eastAsia"/>
        </w:rPr>
        <w:t>1.</w:t>
      </w:r>
      <w:r>
        <w:t xml:space="preserve">球管保用内容： </w:t>
      </w:r>
    </w:p>
    <w:tbl>
      <w:tblPr>
        <w:tblStyle w:val="181"/>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994"/>
        <w:gridCol w:w="1133"/>
        <w:gridCol w:w="976"/>
        <w:gridCol w:w="1010"/>
        <w:gridCol w:w="1272"/>
        <w:gridCol w:w="1138"/>
        <w:gridCol w:w="1099"/>
        <w:gridCol w:w="936"/>
        <w:gridCol w:w="945"/>
      </w:tblGrid>
      <w:tr w14:paraId="6F562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566" w:type="dxa"/>
          </w:tcPr>
          <w:p w14:paraId="34420F76">
            <w:r>
              <w:t xml:space="preserve">设备型号（药监局注册名） </w:t>
            </w:r>
          </w:p>
        </w:tc>
        <w:tc>
          <w:tcPr>
            <w:tcW w:w="994" w:type="dxa"/>
          </w:tcPr>
          <w:p w14:paraId="6557F26A">
            <w:r>
              <w:t>GE 主机</w:t>
            </w:r>
          </w:p>
          <w:p w14:paraId="79FBB075">
            <w:r>
              <w:t xml:space="preserve">系统编号 </w:t>
            </w:r>
          </w:p>
        </w:tc>
        <w:tc>
          <w:tcPr>
            <w:tcW w:w="1133" w:type="dxa"/>
          </w:tcPr>
          <w:p w14:paraId="47AD848B">
            <w:r>
              <w:t xml:space="preserve">CT 球管料号 </w:t>
            </w:r>
          </w:p>
        </w:tc>
        <w:tc>
          <w:tcPr>
            <w:tcW w:w="976" w:type="dxa"/>
          </w:tcPr>
          <w:p w14:paraId="66C2B511">
            <w:r>
              <w:t xml:space="preserve">生产企业 </w:t>
            </w:r>
          </w:p>
        </w:tc>
        <w:tc>
          <w:tcPr>
            <w:tcW w:w="1010" w:type="dxa"/>
          </w:tcPr>
          <w:p w14:paraId="56A92E95">
            <w:r>
              <w:t xml:space="preserve">注册证号 </w:t>
            </w:r>
          </w:p>
        </w:tc>
        <w:tc>
          <w:tcPr>
            <w:tcW w:w="1272" w:type="dxa"/>
          </w:tcPr>
          <w:p w14:paraId="336CE910">
            <w:r>
              <w:t>年曝光量</w:t>
            </w:r>
          </w:p>
          <w:p w14:paraId="7435E9F8">
            <w:r>
              <w:t xml:space="preserve">（填秒次） </w:t>
            </w:r>
          </w:p>
        </w:tc>
        <w:tc>
          <w:tcPr>
            <w:tcW w:w="1138" w:type="dxa"/>
          </w:tcPr>
          <w:p w14:paraId="535DC328">
            <w:r>
              <w:t xml:space="preserve">合同开始日期 </w:t>
            </w:r>
          </w:p>
        </w:tc>
        <w:tc>
          <w:tcPr>
            <w:tcW w:w="1099" w:type="dxa"/>
          </w:tcPr>
          <w:p w14:paraId="4F14BD4E">
            <w:r>
              <w:t xml:space="preserve">合同终止日期 </w:t>
            </w:r>
          </w:p>
        </w:tc>
        <w:tc>
          <w:tcPr>
            <w:tcW w:w="936" w:type="dxa"/>
          </w:tcPr>
          <w:p w14:paraId="69AF4920">
            <w:r>
              <w:t xml:space="preserve">响应时间 </w:t>
            </w:r>
          </w:p>
        </w:tc>
        <w:tc>
          <w:tcPr>
            <w:tcW w:w="945" w:type="dxa"/>
          </w:tcPr>
          <w:p w14:paraId="04955122">
            <w:r>
              <w:t xml:space="preserve">到场时间 </w:t>
            </w:r>
          </w:p>
        </w:tc>
      </w:tr>
      <w:tr w14:paraId="19544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tcPr>
          <w:p w14:paraId="57032EE3">
            <w:r>
              <w:t xml:space="preserve">           </w:t>
            </w:r>
          </w:p>
        </w:tc>
        <w:tc>
          <w:tcPr>
            <w:tcW w:w="994" w:type="dxa"/>
          </w:tcPr>
          <w:p w14:paraId="302AB0A1">
            <w:r>
              <w:t xml:space="preserve">     </w:t>
            </w:r>
          </w:p>
          <w:p w14:paraId="70C6D51F">
            <w:r>
              <w:t xml:space="preserve">     </w:t>
            </w:r>
          </w:p>
        </w:tc>
        <w:tc>
          <w:tcPr>
            <w:tcW w:w="1133" w:type="dxa"/>
          </w:tcPr>
          <w:p w14:paraId="16EAEECA">
            <w:r>
              <w:t xml:space="preserve">       </w:t>
            </w:r>
          </w:p>
          <w:p w14:paraId="4DD77DD8">
            <w:r>
              <w:t xml:space="preserve">   </w:t>
            </w:r>
          </w:p>
        </w:tc>
        <w:tc>
          <w:tcPr>
            <w:tcW w:w="976" w:type="dxa"/>
          </w:tcPr>
          <w:p w14:paraId="5F03A5BA">
            <w:r>
              <w:t xml:space="preserve">     </w:t>
            </w:r>
          </w:p>
          <w:p w14:paraId="29F9BDBE">
            <w:r>
              <w:t xml:space="preserve">     </w:t>
            </w:r>
          </w:p>
        </w:tc>
        <w:tc>
          <w:tcPr>
            <w:tcW w:w="1010" w:type="dxa"/>
          </w:tcPr>
          <w:p w14:paraId="6CF0EE73">
            <w:r>
              <w:t xml:space="preserve">       </w:t>
            </w:r>
          </w:p>
          <w:p w14:paraId="71F8961B">
            <w:r>
              <w:t xml:space="preserve">   </w:t>
            </w:r>
          </w:p>
        </w:tc>
        <w:tc>
          <w:tcPr>
            <w:tcW w:w="1272" w:type="dxa"/>
          </w:tcPr>
          <w:p w14:paraId="68A36C0A">
            <w:r>
              <w:t xml:space="preserve">           </w:t>
            </w:r>
          </w:p>
        </w:tc>
        <w:tc>
          <w:tcPr>
            <w:tcW w:w="1138" w:type="dxa"/>
          </w:tcPr>
          <w:p w14:paraId="60749A91">
            <w:r>
              <w:t xml:space="preserve">       </w:t>
            </w:r>
          </w:p>
          <w:p w14:paraId="745A8BD5">
            <w:r>
              <w:t xml:space="preserve">   </w:t>
            </w:r>
          </w:p>
        </w:tc>
        <w:tc>
          <w:tcPr>
            <w:tcW w:w="1099" w:type="dxa"/>
          </w:tcPr>
          <w:p w14:paraId="50B35E71">
            <w:r>
              <w:t xml:space="preserve">       </w:t>
            </w:r>
          </w:p>
          <w:p w14:paraId="0C3AFCD4">
            <w:r>
              <w:t xml:space="preserve">   </w:t>
            </w:r>
          </w:p>
        </w:tc>
        <w:tc>
          <w:tcPr>
            <w:tcW w:w="936" w:type="dxa"/>
          </w:tcPr>
          <w:p w14:paraId="4E021A72">
            <w:r>
              <w:t xml:space="preserve">24 小时 </w:t>
            </w:r>
          </w:p>
        </w:tc>
        <w:tc>
          <w:tcPr>
            <w:tcW w:w="945" w:type="dxa"/>
          </w:tcPr>
          <w:p w14:paraId="41BD618E">
            <w:r>
              <w:t xml:space="preserve">48 小时 </w:t>
            </w:r>
          </w:p>
        </w:tc>
      </w:tr>
      <w:tr w14:paraId="2CC73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566" w:type="dxa"/>
          </w:tcPr>
          <w:p w14:paraId="51EB8D79">
            <w:r>
              <w:t xml:space="preserve">设备型号（药监局注册名） </w:t>
            </w:r>
          </w:p>
        </w:tc>
        <w:tc>
          <w:tcPr>
            <w:tcW w:w="994" w:type="dxa"/>
          </w:tcPr>
          <w:p w14:paraId="549F2AAE">
            <w:r>
              <w:t xml:space="preserve">GE 主机系统编号 </w:t>
            </w:r>
          </w:p>
        </w:tc>
        <w:tc>
          <w:tcPr>
            <w:tcW w:w="1133" w:type="dxa"/>
          </w:tcPr>
          <w:p w14:paraId="7935393D">
            <w:r>
              <w:t>8M/Optima 660/680</w:t>
            </w:r>
          </w:p>
          <w:p w14:paraId="09E1C5CF">
            <w:r>
              <w:t>球管料</w:t>
            </w:r>
          </w:p>
          <w:p w14:paraId="356E585D">
            <w:r>
              <w:t xml:space="preserve">号 </w:t>
            </w:r>
          </w:p>
        </w:tc>
        <w:tc>
          <w:tcPr>
            <w:tcW w:w="976" w:type="dxa"/>
          </w:tcPr>
          <w:p w14:paraId="6540AA2B">
            <w:r>
              <w:t xml:space="preserve">生产企业 </w:t>
            </w:r>
          </w:p>
        </w:tc>
        <w:tc>
          <w:tcPr>
            <w:tcW w:w="1010" w:type="dxa"/>
          </w:tcPr>
          <w:p w14:paraId="7CCD3146">
            <w:r>
              <w:t xml:space="preserve">注册证号 </w:t>
            </w:r>
          </w:p>
        </w:tc>
        <w:tc>
          <w:tcPr>
            <w:tcW w:w="1272" w:type="dxa"/>
          </w:tcPr>
          <w:p w14:paraId="66E83BB8">
            <w:r>
              <w:t xml:space="preserve">年病人量 </w:t>
            </w:r>
          </w:p>
          <w:p w14:paraId="7647F442">
            <w:r>
              <w:t xml:space="preserve">（填人数） </w:t>
            </w:r>
          </w:p>
        </w:tc>
        <w:tc>
          <w:tcPr>
            <w:tcW w:w="1138" w:type="dxa"/>
          </w:tcPr>
          <w:p w14:paraId="41726FD4">
            <w:r>
              <w:t xml:space="preserve">合同开始日期 </w:t>
            </w:r>
          </w:p>
        </w:tc>
        <w:tc>
          <w:tcPr>
            <w:tcW w:w="1099" w:type="dxa"/>
          </w:tcPr>
          <w:p w14:paraId="5E38E890">
            <w:r>
              <w:t xml:space="preserve">合同终止日期 </w:t>
            </w:r>
          </w:p>
        </w:tc>
        <w:tc>
          <w:tcPr>
            <w:tcW w:w="936" w:type="dxa"/>
          </w:tcPr>
          <w:p w14:paraId="483EC044">
            <w:r>
              <w:t xml:space="preserve">响应时间 </w:t>
            </w:r>
          </w:p>
        </w:tc>
        <w:tc>
          <w:tcPr>
            <w:tcW w:w="945" w:type="dxa"/>
          </w:tcPr>
          <w:p w14:paraId="2A62D662">
            <w:r>
              <w:t xml:space="preserve">到场时间 </w:t>
            </w:r>
          </w:p>
        </w:tc>
      </w:tr>
      <w:tr w14:paraId="0D69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566" w:type="dxa"/>
          </w:tcPr>
          <w:p w14:paraId="71188DBC">
            <w:r>
              <w:t xml:space="preserve">           </w:t>
            </w:r>
          </w:p>
        </w:tc>
        <w:tc>
          <w:tcPr>
            <w:tcW w:w="994" w:type="dxa"/>
          </w:tcPr>
          <w:p w14:paraId="5602485A">
            <w:r>
              <w:t xml:space="preserve">     </w:t>
            </w:r>
          </w:p>
          <w:p w14:paraId="309E83A1">
            <w:r>
              <w:t xml:space="preserve">     </w:t>
            </w:r>
          </w:p>
        </w:tc>
        <w:tc>
          <w:tcPr>
            <w:tcW w:w="1133" w:type="dxa"/>
          </w:tcPr>
          <w:p w14:paraId="4C2C96A6">
            <w:r>
              <w:t xml:space="preserve">       </w:t>
            </w:r>
          </w:p>
          <w:p w14:paraId="659C2C01">
            <w:r>
              <w:t xml:space="preserve">   </w:t>
            </w:r>
          </w:p>
        </w:tc>
        <w:tc>
          <w:tcPr>
            <w:tcW w:w="976" w:type="dxa"/>
          </w:tcPr>
          <w:p w14:paraId="33510A11">
            <w:r>
              <w:t xml:space="preserve">     </w:t>
            </w:r>
          </w:p>
          <w:p w14:paraId="46FBF0A3">
            <w:r>
              <w:t xml:space="preserve">     </w:t>
            </w:r>
          </w:p>
        </w:tc>
        <w:tc>
          <w:tcPr>
            <w:tcW w:w="1010" w:type="dxa"/>
          </w:tcPr>
          <w:p w14:paraId="4A4B7B79">
            <w:r>
              <w:t xml:space="preserve">     </w:t>
            </w:r>
          </w:p>
          <w:p w14:paraId="4CCCBE21">
            <w:r>
              <w:t xml:space="preserve">     </w:t>
            </w:r>
          </w:p>
        </w:tc>
        <w:tc>
          <w:tcPr>
            <w:tcW w:w="1272" w:type="dxa"/>
          </w:tcPr>
          <w:p w14:paraId="65A6C46A">
            <w:r>
              <w:t xml:space="preserve">           </w:t>
            </w:r>
          </w:p>
        </w:tc>
        <w:tc>
          <w:tcPr>
            <w:tcW w:w="1138" w:type="dxa"/>
          </w:tcPr>
          <w:p w14:paraId="49C9FAD6">
            <w:r>
              <w:t xml:space="preserve">       </w:t>
            </w:r>
          </w:p>
          <w:p w14:paraId="64A8C5E5">
            <w:r>
              <w:t xml:space="preserve">   </w:t>
            </w:r>
          </w:p>
        </w:tc>
        <w:tc>
          <w:tcPr>
            <w:tcW w:w="1099" w:type="dxa"/>
          </w:tcPr>
          <w:p w14:paraId="39BCE072">
            <w:r>
              <w:t xml:space="preserve">       </w:t>
            </w:r>
          </w:p>
          <w:p w14:paraId="1DFB51BA">
            <w:r>
              <w:t xml:space="preserve">   </w:t>
            </w:r>
          </w:p>
        </w:tc>
        <w:tc>
          <w:tcPr>
            <w:tcW w:w="936" w:type="dxa"/>
          </w:tcPr>
          <w:p w14:paraId="4D7B1E04">
            <w:r>
              <w:t xml:space="preserve">24 小时 </w:t>
            </w:r>
          </w:p>
        </w:tc>
        <w:tc>
          <w:tcPr>
            <w:tcW w:w="945" w:type="dxa"/>
          </w:tcPr>
          <w:p w14:paraId="073B6A4E">
            <w:r>
              <w:t xml:space="preserve">48 小时 </w:t>
            </w:r>
          </w:p>
        </w:tc>
      </w:tr>
    </w:tbl>
    <w:p w14:paraId="32BEECF1">
      <w:r>
        <w:t xml:space="preserve"> </w:t>
      </w:r>
    </w:p>
    <w:p w14:paraId="6194B017">
      <w:r>
        <w:t xml:space="preserve">说明： </w:t>
      </w:r>
    </w:p>
    <w:p w14:paraId="20345AB1">
      <w:r>
        <w:t xml:space="preserve">1.1） 在乙方提供合同约定服务前，乙方检查甲方原有球管的使用状况，并给出以下书面判断： </w:t>
      </w:r>
    </w:p>
    <w:p w14:paraId="13880734">
      <w:pPr>
        <w:sectPr>
          <w:pgSz w:w="12240" w:h="15840"/>
          <w:pgMar w:top="1080" w:right="480" w:bottom="1380" w:left="440" w:header="0" w:footer="1153" w:gutter="0"/>
          <w:cols w:space="720" w:num="1"/>
        </w:sectPr>
      </w:pPr>
    </w:p>
    <w:p w14:paraId="648913A1">
      <w:r>
        <w:t xml:space="preserve">乙方判断甲方原有 CT 球管尚可使用，则在合同期间甲方可继续使用甲方原有球管。如在合同期内，如甲方原有球管或乙方提供的球管发生损坏，甲方需将损坏的球管交付或返还给乙方，乙方重新提供给甲方可供使用的球管替代损坏的球管；在合同期间内球管使用权归甲方所有，乙方提供的球管或甲方交付给乙方的球管的产权归乙方所有。合同期满，甲乙双方同意甲方拥有正在使用的球管的使用权及产权。 </w:t>
      </w:r>
    </w:p>
    <w:p w14:paraId="79C2FB19">
      <w:r>
        <w:t xml:space="preserve">乙方判断甲方原有 8M/Optima 660/680 球管尚可使用，则在合同期间甲方可继续使用甲方原有球管。如在合同期内，如甲方原有球管或乙方提供的球管发生损坏，甲方需将损坏的球管交付或返还给乙方，乙方重新提供给甲方可供使用的球管替代损坏的球管；在合同期间内球管使用权归甲方所有，乙方提供的球管或甲方交付给乙方的球管的产权归乙方所有。合同期满，甲乙双方同意甲方拥有正在使用的球管的使用权及产权。 </w:t>
      </w:r>
    </w:p>
    <w:p w14:paraId="4827F8B3">
      <w:r>
        <w:t xml:space="preserve">1.2） 甲方应当在球管安装调试完毕后 7 日内将旧管套退还给乙方。如果因甲方原因导致旧管套无法退还，甲方须另行支付本合同价的 30%作为旧管套购买价。 </w:t>
      </w:r>
    </w:p>
    <w:p w14:paraId="407CC65D">
      <w:r>
        <w:t xml:space="preserve">1.3） 球管保用合同有效期 </w:t>
      </w:r>
    </w:p>
    <w:p w14:paraId="0DD2C7BD">
      <w:r>
        <w:t xml:space="preserve">CT 球管保用合同有效期 3 年或 3 年以上。 </w:t>
      </w:r>
    </w:p>
    <w:p w14:paraId="6A454AFD">
      <w:r>
        <w:t xml:space="preserve">8M/Optima 660/680 球管保用合同有效期 3 年或 3 年以上。 </w:t>
      </w:r>
    </w:p>
    <w:p w14:paraId="7F5AC7FD"/>
    <w:p w14:paraId="58B72D52">
      <w:r>
        <w:rPr>
          <w:rFonts w:hint="eastAsia"/>
        </w:rPr>
        <w:t>2.</w:t>
      </w:r>
      <w:r>
        <w:t xml:space="preserve">发货日期及条件： </w:t>
      </w:r>
    </w:p>
    <w:p w14:paraId="065278BC">
      <w:r>
        <w:t xml:space="preserve">在合同有效期内，如果球管出现无法使用的故障，经乙方工程师确认后，且甲方已付清本合同当期费用，并且CT/8M/Optima 660/680 球管服务合同结算清超出+5%年曝光量/病人量的费用后，由乙方负责免费更换球管。发货时间为乙方确认后的两个工作日内。 </w:t>
      </w:r>
    </w:p>
    <w:p w14:paraId="24EE84E3">
      <w:r>
        <w:t xml:space="preserve"> </w:t>
      </w:r>
    </w:p>
    <w:p w14:paraId="6D6CC1F8">
      <w:r>
        <w:rPr>
          <w:rFonts w:hint="eastAsia"/>
        </w:rPr>
        <w:t>3.</w:t>
      </w:r>
      <w:r>
        <w:t xml:space="preserve">质量担保： </w:t>
      </w:r>
    </w:p>
    <w:p w14:paraId="005A2834">
      <w:r>
        <w:t xml:space="preserve">乙方保证按本合同提供的球管，符合 GE 公司全球生产工艺方面的要求和产品在生产地装运时的产品说明书和/或使用说明书中的质量标准，没有任何材料和使用上的缺陷。 </w:t>
      </w:r>
    </w:p>
    <w:p w14:paraId="1DC515F4"/>
    <w:p w14:paraId="2CE7FAEC">
      <w:r>
        <w:t xml:space="preserve">CT 球管服务(TUI)合同价款说明： </w:t>
      </w:r>
    </w:p>
    <w:p w14:paraId="5A920A52">
      <w:r>
        <w:t xml:space="preserve">球管保用合同计算价格=年曝光量X 单位曝光价格X 合同有效年限（3 年以上）; </w:t>
      </w:r>
    </w:p>
    <w:p w14:paraId="2FA2DCC8">
      <w:r>
        <w:t xml:space="preserve">合同价格应以满足下列的条件为前提：当年实际总曝光量应在年曝光量的+10%范围内。如果超过+10%，应在合同年度付款时（最后一年在合同结束时）予以清算。甲方需要额外付清清算费用=(当年实际总曝光量-年曝光量)* 单位曝光价 </w:t>
      </w:r>
    </w:p>
    <w:p w14:paraId="15FCBB34">
      <w:r>
        <w:t xml:space="preserve"> </w:t>
      </w:r>
    </w:p>
    <w:p w14:paraId="1BA66580">
      <w:r>
        <w:t xml:space="preserve">8M/Optima 660/680 球管服务(TUI)合同价款说明： </w:t>
      </w:r>
    </w:p>
    <w:p w14:paraId="5990AE66">
      <w:r>
        <w:t xml:space="preserve">8M 球管保用合同计算价格=[基础价格+每个病人价格 X（年病人量-6000 个病人）]X 合同有效年限（3 年以上）。 </w:t>
      </w:r>
    </w:p>
    <w:p w14:paraId="1E7F6329">
      <w:r>
        <w:t xml:space="preserve">660/680 球管保用合同计算价格=[基础价格+每个病人价格 X（年病人量-10000 个病人）]X 合同有效年限（3 年以上）。 </w:t>
      </w:r>
    </w:p>
    <w:p w14:paraId="180BE926">
      <w:r>
        <w:t xml:space="preserve"> </w:t>
      </w:r>
    </w:p>
    <w:p w14:paraId="1BFC14B3">
      <w:r>
        <w:t xml:space="preserve">合同价格应以满足下列的条件为前提：当年实际总病人量应在上一年总病人量的+5%范围内。如果超过+5%， 应在合同年度付款时（最后一年在合同结束时）予以清算。 </w:t>
      </w:r>
    </w:p>
    <w:p w14:paraId="30B2CBDA"/>
    <w:p w14:paraId="56434635">
      <w:r>
        <w:rPr>
          <w:b/>
          <w:bCs/>
        </w:rPr>
        <w:t xml:space="preserve">球管服务(TUI)合同其他商务条款和法律条款 </w:t>
      </w:r>
    </w:p>
    <w:p w14:paraId="6DE93B30">
      <w:r>
        <w:rPr>
          <w:rFonts w:hint="eastAsia"/>
        </w:rPr>
        <w:t>1.</w:t>
      </w:r>
      <w:r>
        <w:t xml:space="preserve">制造厂商： </w:t>
      </w:r>
    </w:p>
    <w:p w14:paraId="27909BC5">
      <w:r>
        <w:t xml:space="preserve">GE 原厂制造商或经 GE 认证符合条件的供应商。 </w:t>
      </w:r>
    </w:p>
    <w:p w14:paraId="71B4ADCE">
      <w:r>
        <w:t xml:space="preserve"> </w:t>
      </w:r>
    </w:p>
    <w:p w14:paraId="3B7C9E7D">
      <w:r>
        <w:rPr>
          <w:rFonts w:hint="eastAsia"/>
        </w:rPr>
        <w:t>2.</w:t>
      </w:r>
      <w:r>
        <w:t xml:space="preserve">包装： </w:t>
      </w:r>
    </w:p>
    <w:p w14:paraId="36D8F58E">
      <w:r>
        <w:t xml:space="preserve">按乙方标准货物包装。 </w:t>
      </w:r>
    </w:p>
    <w:p w14:paraId="3C5121C0">
      <w:r>
        <w:t xml:space="preserve"> </w:t>
      </w:r>
    </w:p>
    <w:p w14:paraId="0F88A270">
      <w:r>
        <w:rPr>
          <w:rFonts w:hint="eastAsia"/>
        </w:rPr>
        <w:t>3.</w:t>
      </w:r>
      <w:r>
        <w:t xml:space="preserve">运输方式及费用： </w:t>
      </w:r>
    </w:p>
    <w:p w14:paraId="07CC5472">
      <w:r>
        <w:t xml:space="preserve">由乙方为甲方办理运输和保险，费用由乙方承担。 </w:t>
      </w:r>
    </w:p>
    <w:p w14:paraId="44D03DE7">
      <w:r>
        <w:t xml:space="preserve"> </w:t>
      </w:r>
    </w:p>
    <w:p w14:paraId="03E3B25E">
      <w:r>
        <w:t xml:space="preserve">4.到货地点：           </w:t>
      </w:r>
    </w:p>
    <w:p w14:paraId="513E85C2">
      <w:pPr>
        <w:sectPr>
          <w:pgSz w:w="12240" w:h="15840"/>
          <w:pgMar w:top="1080" w:right="480" w:bottom="1380" w:left="440" w:header="0" w:footer="1153" w:gutter="0"/>
          <w:cols w:space="720" w:num="1"/>
        </w:sectPr>
      </w:pPr>
    </w:p>
    <w:p w14:paraId="669E337F">
      <w:r>
        <w:t xml:space="preserve"> </w:t>
      </w:r>
    </w:p>
    <w:p w14:paraId="5E2A8F0A">
      <w:r>
        <w:rPr>
          <w:rFonts w:hint="eastAsia"/>
        </w:rPr>
        <w:t>5.</w:t>
      </w:r>
      <w:r>
        <w:t xml:space="preserve">安装和调试: </w:t>
      </w:r>
    </w:p>
    <w:p w14:paraId="21BE4ECC">
      <w:r>
        <w:t xml:space="preserve">甲方应根据乙方规定的适当仓储和环境条件，负责最初的安置和仓储。甲方拆包时，乙方应派代表到场。 甲方应当在检验期间内（到货后一个工作日内）及时将货物的数量和外观质量不符合约定的情形通知乙方， 怠于通知的，视为货物的数量和外观质量符合约定。 </w:t>
      </w:r>
    </w:p>
    <w:p w14:paraId="1CE1AB9F">
      <w:r>
        <w:t xml:space="preserve">安装费用由乙方承担。 </w:t>
      </w:r>
    </w:p>
    <w:p w14:paraId="1881BF7E">
      <w:r>
        <w:t xml:space="preserve"> </w:t>
      </w:r>
    </w:p>
    <w:p w14:paraId="449BF840">
      <w:r>
        <w:rPr>
          <w:rFonts w:hint="eastAsia"/>
        </w:rPr>
        <w:t>6.</w:t>
      </w:r>
      <w:r>
        <w:t xml:space="preserve">远程连接： </w:t>
      </w:r>
    </w:p>
    <w:p w14:paraId="2E8F80EC">
      <w:r>
        <w:t>甲方同意将设备与 GE 医疗 InSite 智能数字化服务平台连接（如果设备具有远程接入能力）；甲方应在设备与</w:t>
      </w:r>
    </w:p>
    <w:p w14:paraId="5251B71F">
      <w:r>
        <w:t>GE 医疗 InSite 智能数字化服务平台连接安装过程中予以配合支持）允许乙方远程访问设备，收集设备运行数据</w:t>
      </w:r>
    </w:p>
    <w:p w14:paraId="23EB14DA">
      <w:r>
        <w:t>（如温湿度等)，以便乙方在甲方因设备故障而发生有偿服务需求时进行快速响应。甲方应负责为设备的正常运行和远程接入提供安全稳定的网络环境。甲乙双方可以随时书面沟通以取消设备的远程连接，一经取消，乙方有权回收由乙方提供的网络连接设备，甲方应予配合支持。在甲方并非设备最终用户的情况下，甲方应将本条规定的内容告知最终用户，并取得最终用户关于设备远程连接的同意。（本条款适用于配有 3.5M 及以上球管的CT 产品</w:t>
      </w:r>
      <w:r>
        <w:rPr>
          <w:rFonts w:hint="eastAsia"/>
        </w:rPr>
        <w:t>）</w:t>
      </w:r>
    </w:p>
    <w:p w14:paraId="0C8BBAF4">
      <w:pPr>
        <w:rPr>
          <w:b/>
          <w:bCs/>
        </w:rPr>
      </w:pPr>
      <w:r>
        <w:rPr>
          <w:b/>
          <w:bCs/>
        </w:rPr>
        <w:t xml:space="preserve"> </w:t>
      </w:r>
    </w:p>
    <w:p w14:paraId="678FC841">
      <w:r>
        <w:rPr>
          <w:b/>
          <w:bCs/>
        </w:rPr>
        <w:t xml:space="preserve">其他商务条款和法律条款部分 </w:t>
      </w:r>
    </w:p>
    <w:p w14:paraId="12024680">
      <w:r>
        <w:t xml:space="preserve"> </w:t>
      </w:r>
    </w:p>
    <w:p w14:paraId="7C574AA7">
      <w:r>
        <w:rPr>
          <w:rFonts w:hint="eastAsia"/>
        </w:rPr>
        <w:t>1.</w:t>
      </w:r>
      <w:r>
        <w:t xml:space="preserve">合同总价款、付款方式及乙方账号： </w:t>
      </w:r>
    </w:p>
    <w:p w14:paraId="3BD7E4AD">
      <w:r>
        <w:t xml:space="preserve">总价（人民币）：          元；（大写）：          元 </w:t>
      </w:r>
    </w:p>
    <w:p w14:paraId="646C8C00">
      <w:r>
        <w:t>在合同生效后，甲方应在如下规定时间 30 日内将当期款项以电汇，转账或支票方式付至乙方账号。</w:t>
      </w:r>
    </w:p>
    <w:p w14:paraId="3343BCF5">
      <w:r>
        <w:t xml:space="preserve">第 一 期 ： 年 月 日 人 民 币 元 ； </w:t>
      </w:r>
    </w:p>
    <w:p w14:paraId="48B4DE7E">
      <w:r>
        <w:t xml:space="preserve">第 二 期 ：          年          月          日 人 民 币    元 ； </w:t>
      </w:r>
    </w:p>
    <w:p w14:paraId="5DC8594B">
      <w:r>
        <w:t xml:space="preserve">           </w:t>
      </w:r>
    </w:p>
    <w:p w14:paraId="6A16840F">
      <w:r>
        <w:t xml:space="preserve">账  户：通用电气医疗系统贸易发展（上海）有限公司账 号 ：31001577914050003427 </w:t>
      </w:r>
    </w:p>
    <w:p w14:paraId="7CD53047">
      <w:r>
        <w:t xml:space="preserve">开户行：中国建设银行上海金杨支行 </w:t>
      </w:r>
    </w:p>
    <w:p w14:paraId="19AA052A">
      <w:r>
        <w:t xml:space="preserve"> </w:t>
      </w:r>
    </w:p>
    <w:p w14:paraId="2A94C8FE">
      <w:r>
        <w:rPr>
          <w:rFonts w:hint="eastAsia"/>
        </w:rPr>
        <w:t>2.</w:t>
      </w:r>
      <w:r>
        <w:t xml:space="preserve">热线服务时间、响应时间和服务时间: 400 电话热线：4008128188。 </w:t>
      </w:r>
    </w:p>
    <w:p w14:paraId="28EF7C9C">
      <w:r>
        <w:t xml:space="preserve">400 电话服务时间：周一至周日 7：00 至 22：00。 </w:t>
      </w:r>
    </w:p>
    <w:p w14:paraId="068C3954">
      <w:r>
        <w:t xml:space="preserve">响应时间：乙方应在收到甲方拨打 400 电话后按本合同约定时间内响应。服务时间：周一至周五 8:30 至 17:30，国家法定假日除外。 </w:t>
      </w:r>
    </w:p>
    <w:p w14:paraId="4C7FF806">
      <w:r>
        <w:t xml:space="preserve"> </w:t>
      </w:r>
    </w:p>
    <w:p w14:paraId="645AD3F8">
      <w:r>
        <w:rPr>
          <w:rFonts w:hint="eastAsia"/>
        </w:rPr>
        <w:t>3.</w:t>
      </w:r>
      <w:r>
        <w:t xml:space="preserve">甲方的责任： </w:t>
      </w:r>
    </w:p>
    <w:p w14:paraId="0B82D07A">
      <w:r>
        <w:t xml:space="preserve">甲方应保证设备进保时为符合产品注册要求的原厂配置并处于良好状态，若甲方隐瞒其故障或改用非原厂 认证配置，则可能扩大维修风险，提高维修成本，乙方有权要求甲方补偿其由此产生的额外费用同时也可 拒绝承担非原厂认证配置部分的维修担保责任。 如届时甲乙双方不能对前述费用补偿及责任承担达成一致， 乙方有权取消合同。 </w:t>
      </w:r>
    </w:p>
    <w:p w14:paraId="348483B4">
      <w:r>
        <w:t xml:space="preserve">若续签保修合同时已超过上一次保修结束日期3个月以上，该设备需完成乙方的质量检测后方可进保。 </w:t>
      </w:r>
    </w:p>
    <w:p w14:paraId="5ABD70BF">
      <w:r>
        <w:t xml:space="preserve">甲方应按设备操作手册的要求进行操作及日常维护，保证设备的电气环境（电源质量、接地、温湿度、电磁干扰、腐蚀性气体等）符合设备安装手册中的要求，保证设备所需电源、水源、有活性的辐射源（适用于PET/CT等核医学设备）的正常供应及开启和关闭。由于甲方原因造成设备不能正常运转或无法提供维修或保养，乙方不承担维修或保养责任。 </w:t>
      </w:r>
    </w:p>
    <w:p w14:paraId="309B3FDB">
      <w:r>
        <w:t xml:space="preserve">在乙方贴加识别追踪标签的设备保修期间，甲方应对保修状态下的设备、零备件及零备件识别追踪标签进行妥善监管，如有未经乙方授权的零备件的更换或GE识别追踪标签被破坏，乙方不承担相关备件的维修责任。 </w:t>
      </w:r>
    </w:p>
    <w:p w14:paraId="4EED80AF">
      <w:r>
        <w:t xml:space="preserve">本次合同服务相关的化学品（如酒精，高压油等）以及产生的相关废物，甲方应按照国家相关法律法规要求进行管理和处置。 </w:t>
      </w:r>
    </w:p>
    <w:p w14:paraId="086EA866">
      <w:r>
        <w:t xml:space="preserve">甲方接受以电子签名方式对乙方服务予以确认。 </w:t>
      </w:r>
    </w:p>
    <w:p w14:paraId="183EF6F9">
      <w:pPr>
        <w:sectPr>
          <w:pgSz w:w="12240" w:h="15840"/>
          <w:pgMar w:top="1080" w:right="480" w:bottom="1380" w:left="440" w:header="0" w:footer="1153" w:gutter="0"/>
          <w:cols w:space="720" w:num="1"/>
        </w:sectPr>
      </w:pPr>
    </w:p>
    <w:p w14:paraId="42955E7C">
      <w:r>
        <w:t>若本合同包含保养服务，为确保维护保养效果，甲方须提供相应的保养时间，即每次保养不少于４小时的正常工作时间（8:00am – 18:00pm）。其所用保养时间不计入停机时间。</w:t>
      </w:r>
    </w:p>
    <w:p w14:paraId="7756A571">
      <w:r>
        <w:t xml:space="preserve">甲方应按合同约定的方式按时向乙方支付合同规定的费用。 </w:t>
      </w:r>
    </w:p>
    <w:p w14:paraId="5215DD8E">
      <w:r>
        <w:t xml:space="preserve">甲方应在新备件更换后三日之内把旧备件退还给乙方，乙方授权的快递人员会上门提取旧备件，如果无特殊理由因甲方原因不能退还备件，甲方另行支付乙方不超过该备件购买价的30%作为补偿。 </w:t>
      </w:r>
    </w:p>
    <w:p w14:paraId="2BE17404">
      <w:r>
        <w:t xml:space="preserve">数据保护及使用： </w:t>
      </w:r>
    </w:p>
    <w:p w14:paraId="032C98B8">
      <w:r>
        <w:t xml:space="preserve">双方应共同遵守数据安全和个人信息保护方面适用的法律法规，依法履行各自的义务和责任。如果GE在对 设备进行远程/现场维护或故障诊断的过程中，或者在被授予数据访问权限期间接触或接收到与患者、医疗 专业人员、用户人员或其他使用设备或本合同项下服务的人员相关的个人信息（以下合称“个人信息”）， GE应在相关法律法规和本合同允许的范围内使用、处理、保存和传输该等个人信息。如果相关法律法规有 所要求，用户应在向GE提供个人信息前依法取得个人信息主体的同意，或者对相关个人信息进行去标识化 处理等安全举措。为提供本合同项下服务之目的，GE可以依法收集和处理设备在运行和维护过程中产生的 不包含个人信息的数据，包括设备的维护记录和日志报告等信息（以下合称“设备数据”），并将设备数 据用于提供维修支持、提高运行效率、以及产品和服务的研发、改进和培训等合法用途。 </w:t>
      </w:r>
    </w:p>
    <w:p w14:paraId="60EB8776"/>
    <w:p w14:paraId="46B891AF">
      <w:r>
        <w:rPr>
          <w:rFonts w:hint="eastAsia"/>
        </w:rPr>
        <w:t>4.</w:t>
      </w:r>
      <w:r>
        <w:t xml:space="preserve">合同的变更和转让： </w:t>
      </w:r>
    </w:p>
    <w:p w14:paraId="31B9D2EC">
      <w:r>
        <w:t xml:space="preserve">合同有效期内，任何一方不得擅自变更合同的权利和义务，除非双方的授权代表以书面的方式确认。在必要的情况下为了合同项目的顺利实施，乙方可将合同的部分或全部转让给其关联公司或特约保养维护商，但乙方应保证此转让以不损害甲方利益为前提且乙方需保证转让后的履行应符合合同约定的所有质量标准。 </w:t>
      </w:r>
    </w:p>
    <w:p w14:paraId="40DD743D">
      <w:r>
        <w:t xml:space="preserve"> </w:t>
      </w:r>
    </w:p>
    <w:p w14:paraId="0AC10D19">
      <w:r>
        <w:rPr>
          <w:rFonts w:hint="eastAsia"/>
        </w:rPr>
        <w:t>5.</w:t>
      </w:r>
      <w:r>
        <w:t xml:space="preserve">豁免及限制： </w:t>
      </w:r>
    </w:p>
    <w:p w14:paraId="2B202FC1">
      <w:r>
        <w:t xml:space="preserve">本合同不包括下列服务项目（甲方如果要求乙方提供下列服务，则按照乙方“付费维修服务”付费） </w:t>
      </w:r>
    </w:p>
    <w:p w14:paraId="0CD4D762">
      <w:r>
        <w:t xml:space="preserve">1.1） 该设备拆机、翻新、重装、迁移、搬动及相应的费用及保险费用。 </w:t>
      </w:r>
    </w:p>
    <w:p w14:paraId="5C577D07">
      <w:r>
        <w:t xml:space="preserve">1.2） 非乙方指派或甲方请第三方修理调整设备、换装零件、改装设备及备件，或其它乙方不能控制的任何原因所造成设备损坏而需乙方维护者。 </w:t>
      </w:r>
    </w:p>
    <w:p w14:paraId="236458C0">
      <w:r>
        <w:t xml:space="preserve">1.3） 乙方应甲方要求进行维修服务前，甲方隐瞒其设备曾自行或请第三方修理调整、换装零件、改装设备及备件，导致乙方在维修时发生备件损坏。 </w:t>
      </w:r>
    </w:p>
    <w:p w14:paraId="5BAD841B">
      <w:r>
        <w:t xml:space="preserve">1.4） 甲方或其代表未遵照保养及操作手册上的程序所进行操作所引起的设备故障。 </w:t>
      </w:r>
    </w:p>
    <w:p w14:paraId="2AB1EF27">
      <w:r>
        <w:t xml:space="preserve">1.5） 甲方不允许乙方远程Insite接入，无法使用乙方的远程维修工具而造成乙方无法完成响应时间和开机保证率的约定。 </w:t>
      </w:r>
    </w:p>
    <w:p w14:paraId="073081DD">
      <w:r>
        <w:t xml:space="preserve">本设备配置的外周设备，如工作站（思创、DELL、杏翔、Sun、思越星、Super Micro Compure 采集工作站、青兰、Radworks、DragonView、Terra、惠普等）、激光相机、洗片机、高压注射器、病人监护仪、定位仪、稳压器、空气压缩机、水冷机、天吊式无影灯以及铅防护装置、床旁铅防护装置、视频转换系统、对讲机 系统、不间断电源（包括 DSA 透视 20KVA 的 UPS）、随机临床附件（头托、肩托、臂托/支撑、延长导轨、床垫、非 GE 生产的大屏幕设备、输液架、压迫带、麻醉屏幕支架、推车等）、非 GE 生产的图像监视器、稳压电源、不间断电源(UPS)等，属于非 GE 生产的设备，乙方对该等外周设备的质量不作出任何明示或默示的保证和声明，包括任何默示的适销性、符合特定目的方面的保证和声明，本合同不包括外周设备的维护 和保养。其中上述外周设备中的不间断电源 UPS、稳压电源等第三方设备涉及用电安全，应由甲方关注用电使用安全。上述外周设备，经双方协商，乙方可另外提供有偿的维修服务。 </w:t>
      </w:r>
    </w:p>
    <w:p w14:paraId="6AF2B4D4">
      <w:r>
        <w:t>本设备配置的以下设备，如在本合同中无具体说明，乙方不提供保修：图像工作站（AW 等）；CT--探测器、球管；MR--冷头、氦压机及氦压机专用水冷机（如阿尔西或 Demlex 水冷机）、吸附器、液氦、磁体、线圈； XR--球管、探测器、影像增强器、摄像管、CCD、电池；NM--晶体、光电倍增管、球管（包括高压系统）、 探测器；放射源；Millennium MG/MPR/MPS 系列,除上述外，还不包括 I/N Board，Framing Board。回旋加 速器--功率电子管（Power  Tube），耗材（耗材包括离子源、靶膜、密封圈、真空泵油、过滤器、支架、产品管道、碳膜、去离子交换树脂、靶体等）。PETCT--CT 探测器、球管，PET 探测器组或探测器模块组</w:t>
      </w:r>
    </w:p>
    <w:p w14:paraId="7C101608">
      <w:r>
        <w:t xml:space="preserve">（Detector Assy. 或 Detector Module Assy.）、锗 68 放射源（Ge68 Pin Source）。 </w:t>
      </w:r>
    </w:p>
    <w:p w14:paraId="102A3C34">
      <w:r>
        <w:t>除了本合同中明确规定的质量保证条款，乙方不作出任何一种关于信息或者相关资料的明示或默示的保证和声明，包括任何默示的适销性、符合特定目的方面的保证和声明。由于下述的问题，可能会产生数据的不准确性：数据源的多样性、内在的不可预知的电子数据误差及排版错误。</w:t>
      </w:r>
    </w:p>
    <w:p w14:paraId="3F543DC7">
      <w:r>
        <w:t>.</w:t>
      </w:r>
    </w:p>
    <w:p w14:paraId="1DD2DF8D">
      <w:pPr>
        <w:sectPr>
          <w:pgSz w:w="12240" w:h="15840"/>
          <w:pgMar w:top="1080" w:right="480" w:bottom="1380" w:left="440" w:header="0" w:footer="1153" w:gutter="0"/>
          <w:cols w:space="720" w:num="1"/>
        </w:sectPr>
      </w:pPr>
    </w:p>
    <w:p w14:paraId="3DD6D90C">
      <w:r>
        <w:rPr>
          <w:rFonts w:hint="eastAsia"/>
        </w:rPr>
        <w:t>6.</w:t>
      </w:r>
      <w:r>
        <w:t xml:space="preserve">知识产权： </w:t>
      </w:r>
    </w:p>
    <w:p w14:paraId="76517D5E">
      <w:r>
        <w:t xml:space="preserve">乙方在本合同项下提供的服务和相关产品的知识产权，包括但不限于乙方及设备厂家的名称，商标，专利，设备包装等均归属乙方及设备生产商所有。甲方或最终用户不得使用或模仿乙方商标、商号或产品包装，不得复制、出售、或出版乙方提供的软件及任何书面文件。 </w:t>
      </w:r>
    </w:p>
    <w:p w14:paraId="2F438173">
      <w:r>
        <w:t xml:space="preserve"> </w:t>
      </w:r>
    </w:p>
    <w:p w14:paraId="4BC9EDD2">
      <w:r>
        <w:rPr>
          <w:rFonts w:hint="eastAsia"/>
        </w:rPr>
        <w:t>7.</w:t>
      </w:r>
      <w:r>
        <w:t xml:space="preserve">信息保密： </w:t>
      </w:r>
    </w:p>
    <w:p w14:paraId="1CB5715A">
      <w:r>
        <w:t xml:space="preserve">甲乙双方对涉及本合同价格、服务或产品的详细配置信息以及涉及乙方知识产权的相关信息均负有保密义务。未经另一方事先书面同意，任何一方不得将该信息的任何部分向任何第三方或社会公众披露。如最终用户或政府部门要求甲方或乙方提供保密信息，该方应将此要求及时通知另一方。 </w:t>
      </w:r>
    </w:p>
    <w:p w14:paraId="77CA37EC">
      <w:r>
        <w:t xml:space="preserve"> </w:t>
      </w:r>
    </w:p>
    <w:p w14:paraId="23D05BB6">
      <w:r>
        <w:rPr>
          <w:rFonts w:hint="eastAsia"/>
        </w:rPr>
        <w:t>8.</w:t>
      </w:r>
      <w:r>
        <w:t xml:space="preserve">违约责任： </w:t>
      </w:r>
    </w:p>
    <w:p w14:paraId="0B5B1C14">
      <w:r>
        <w:t xml:space="preserve">由于不可抗力事件导致任何一方无法全部或部分履行其在本合同/协议项下的义务，该一方无需为此承担违约责任。受不可抗力事件影响的一方应在不可抗力事件发生后及时通知另一方，并在合理期限内提供相关证明或说明。双方应当根据不可抗力事件对本合同/协议履行的影响，协商决定是否终止或推迟履行，或部分或全部免除受影响一方的义务。本条所称的不可抗力事件是指不能预见、不能避免、不能克服并使受影响一方无法全部或部分履行本协议/合同项下义务（金钱给付义务除外）的客观事件，包括但不限于火灾、爆炸、洪水、地震及其他自然灾害、严重传染病、罢工、战争、暴乱、恐怖袭击、法律变化、政府命令或行为、贸易制裁、禁运、供应链中断，以及其他重大或突发事件。 </w:t>
      </w:r>
    </w:p>
    <w:p w14:paraId="4150DF44">
      <w:r>
        <w:t xml:space="preserve">除不可抗力或乙方不可能控制的因素导致的情形外，如乙方由于非甲方的原因而不再履行本合同，甲方有 权解除合同，因此给甲方造成损失的，乙方负责赔偿。除不可抗力或甲方不可能控制的因素导致的情形外， 如甲方由于非乙方的原因而不再履行本合同，乙方有权解除合同，甲方除付清至合同解除日期前应付的款 项外，因此给乙方造成损失的，甲方负责赔偿。在任何情况下任何一方因本合同而承担的责任不超过本合 同签署时双方约定的设备当期服务合同价款，且不承担间接损失（如利润或收益损失）。 </w:t>
      </w:r>
    </w:p>
    <w:p w14:paraId="56920FCA">
      <w:r>
        <w:t xml:space="preserve">在合同有效期内，未经乙方认可甲方擅自维修、移机、保养及更换第三方零备件及耗材，乙方有权解除合同。对于合同解除前乙方已提供的服务，甲方仍有义务支付相应款项。 </w:t>
      </w:r>
    </w:p>
    <w:p w14:paraId="3C749B4A">
      <w:r>
        <w:t xml:space="preserve">如果甲方在本合同付款条款规定期限30天内还未支付相关款项，乙方有权中止或解除合同，并可要求甲方支付所有中止或解除日前已到期的应付款，及违约金（违约金按每7天以合同总价格的0.3%算）及其他相关费用。在中止或解除合同之前，乙方将书面通知甲方。 </w:t>
      </w:r>
    </w:p>
    <w:p w14:paraId="607636BB">
      <w:r>
        <w:rPr>
          <w:rFonts w:hint="eastAsia"/>
        </w:rPr>
        <w:t>9.</w:t>
      </w:r>
      <w:r>
        <w:t xml:space="preserve">其他: </w:t>
      </w:r>
    </w:p>
    <w:p w14:paraId="321E7D66">
      <w:r>
        <w:t>乙方有权依据《民法典》规定将合同项下的应收账款部分或全部转让给关联企业或合作金融机构（保理业</w:t>
      </w:r>
    </w:p>
    <w:p w14:paraId="56BD873F">
      <w:r>
        <w:t xml:space="preserve">务）。乙方及关联企业或合作金融机构为应收账款转让目的而采取的相关行为（包括但不限于转让之前的合同风险评估等准备工作以及应收账款转让的具体实施）将不受本合同的合同转让及信息保密条款约束。在应收账款转让至关联企业或合作金融机构（保理业务）之前，乙方应提前向甲方书面通知应收账款的转让。应收账款转让之后，乙方应继续按照合同约定履行其对甲方的合同义务。 </w:t>
      </w:r>
    </w:p>
    <w:p w14:paraId="3FFA69E2">
      <w:r>
        <w:t xml:space="preserve"> </w:t>
      </w:r>
    </w:p>
    <w:p w14:paraId="04BCCF75">
      <w:r>
        <w:rPr>
          <w:rFonts w:hint="eastAsia"/>
        </w:rPr>
        <w:t>10.</w:t>
      </w:r>
      <w:r>
        <w:t xml:space="preserve">争议解决及法律适用： </w:t>
      </w:r>
    </w:p>
    <w:p w14:paraId="5A6F7280">
      <w:r>
        <w:rPr>
          <w:rFonts w:hint="eastAsia"/>
        </w:rPr>
        <w:t xml:space="preserve">        双方应本着友好协商的原则解决争议。如协商不成，应提交甲方所在地人民法院进行诉讼。</w:t>
      </w:r>
    </w:p>
    <w:p w14:paraId="00887EC8">
      <w:r>
        <w:rPr>
          <w:rFonts w:hint="eastAsia"/>
        </w:rPr>
        <w:t xml:space="preserve">        本合同适用中华人民共和国法律。</w:t>
      </w:r>
    </w:p>
    <w:p w14:paraId="0F746FD0"/>
    <w:p w14:paraId="00F2380A">
      <w:r>
        <w:t xml:space="preserve"> </w:t>
      </w:r>
    </w:p>
    <w:p w14:paraId="675C7C75">
      <w:r>
        <w:rPr>
          <w:rFonts w:hint="eastAsia"/>
        </w:rPr>
        <w:t>11.</w:t>
      </w:r>
      <w:r>
        <w:t>合同正本一式</w:t>
      </w:r>
      <w:r>
        <w:rPr>
          <w:rFonts w:hint="eastAsia"/>
        </w:rPr>
        <w:t>肆</w:t>
      </w:r>
      <w:r>
        <w:t>份，</w:t>
      </w:r>
      <w:r>
        <w:rPr>
          <w:rFonts w:hint="eastAsia"/>
        </w:rPr>
        <w:t>甲方执壹份，乙方执叁份。</w:t>
      </w:r>
      <w:r>
        <w:t>经双方签字盖章生效，甲乙双方同意任何对合同条款的手写改动均无效。</w:t>
      </w:r>
    </w:p>
    <w:p w14:paraId="621F8C20">
      <w:r>
        <w:t xml:space="preserve">合同附件清单：（可删除没有的部分）。 </w:t>
      </w:r>
    </w:p>
    <w:p w14:paraId="6F4F9FBC">
      <w:r>
        <w:t xml:space="preserve">1、本合同的附件是合同的有机组成部分，具有补充、解释或修改合同的作用，对双方有约束力。 </w:t>
      </w:r>
    </w:p>
    <w:p w14:paraId="5CAFCFA7"/>
    <w:p w14:paraId="5FBE2A49"/>
    <w:p w14:paraId="1D690C96"/>
    <w:p w14:paraId="621496B4"/>
    <w:p w14:paraId="4AE66AC8"/>
    <w:p w14:paraId="049B4A02"/>
    <w:p w14:paraId="5472EFEA"/>
    <w:p w14:paraId="586ABEE5"/>
    <w:p w14:paraId="122A3DB2">
      <w:pPr>
        <w:sectPr>
          <w:pgSz w:w="12240" w:h="15840"/>
          <w:pgMar w:top="1080" w:right="480" w:bottom="1380" w:left="440" w:header="0" w:footer="1153" w:gutter="0"/>
          <w:cols w:space="720" w:num="1"/>
        </w:sectPr>
      </w:pPr>
    </w:p>
    <w:p w14:paraId="798D9BB8">
      <w:r>
        <w:t xml:space="preserve">甲 方 ： </w:t>
      </w:r>
    </w:p>
    <w:p w14:paraId="489BDBAD">
      <w:r>
        <w:t xml:space="preserve">（盖章） </w:t>
      </w:r>
    </w:p>
    <w:tbl>
      <w:tblPr>
        <w:tblStyle w:val="181"/>
        <w:tblpPr w:leftFromText="180" w:rightFromText="180" w:vertAnchor="text" w:horzAnchor="page" w:tblpX="1643" w:tblpY="750"/>
        <w:tblW w:w="7996" w:type="dxa"/>
        <w:tblInd w:w="0" w:type="dxa"/>
        <w:tblLayout w:type="fixed"/>
        <w:tblCellMar>
          <w:top w:w="0" w:type="dxa"/>
          <w:left w:w="0" w:type="dxa"/>
          <w:bottom w:w="0" w:type="dxa"/>
          <w:right w:w="0" w:type="dxa"/>
        </w:tblCellMar>
      </w:tblPr>
      <w:tblGrid>
        <w:gridCol w:w="1378"/>
        <w:gridCol w:w="375"/>
        <w:gridCol w:w="202"/>
        <w:gridCol w:w="404"/>
        <w:gridCol w:w="1434"/>
        <w:gridCol w:w="2517"/>
        <w:gridCol w:w="277"/>
        <w:gridCol w:w="202"/>
        <w:gridCol w:w="404"/>
        <w:gridCol w:w="404"/>
        <w:gridCol w:w="399"/>
      </w:tblGrid>
      <w:tr w14:paraId="69DF98AA">
        <w:tblPrEx>
          <w:tblCellMar>
            <w:top w:w="0" w:type="dxa"/>
            <w:left w:w="0" w:type="dxa"/>
            <w:bottom w:w="0" w:type="dxa"/>
            <w:right w:w="0" w:type="dxa"/>
          </w:tblCellMar>
        </w:tblPrEx>
        <w:trPr>
          <w:trHeight w:val="600" w:hRule="atLeast"/>
        </w:trPr>
        <w:tc>
          <w:tcPr>
            <w:tcW w:w="1378" w:type="dxa"/>
          </w:tcPr>
          <w:p w14:paraId="1E47632D">
            <w:r>
              <w:t xml:space="preserve">授权代表： </w:t>
            </w:r>
          </w:p>
          <w:p w14:paraId="33B47B55">
            <w:r>
              <w:t xml:space="preserve">（签字） </w:t>
            </w:r>
          </w:p>
        </w:tc>
        <w:tc>
          <w:tcPr>
            <w:tcW w:w="375" w:type="dxa"/>
          </w:tcPr>
          <w:p w14:paraId="2DEC3862">
            <w:r>
              <w:t xml:space="preserve"> </w:t>
            </w:r>
          </w:p>
        </w:tc>
        <w:tc>
          <w:tcPr>
            <w:tcW w:w="202" w:type="dxa"/>
          </w:tcPr>
          <w:p w14:paraId="5A3BCC89">
            <w:r>
              <w:t xml:space="preserve"> </w:t>
            </w:r>
          </w:p>
        </w:tc>
        <w:tc>
          <w:tcPr>
            <w:tcW w:w="404" w:type="dxa"/>
          </w:tcPr>
          <w:p w14:paraId="432281CE">
            <w:r>
              <w:t xml:space="preserve">   </w:t>
            </w:r>
          </w:p>
          <w:p w14:paraId="1DDA941B">
            <w:r>
              <w:t xml:space="preserve"> </w:t>
            </w:r>
          </w:p>
        </w:tc>
        <w:tc>
          <w:tcPr>
            <w:tcW w:w="1434" w:type="dxa"/>
          </w:tcPr>
          <w:p w14:paraId="6570823C">
            <w:r>
              <w:t xml:space="preserve">   </w:t>
            </w:r>
          </w:p>
        </w:tc>
        <w:tc>
          <w:tcPr>
            <w:tcW w:w="2517" w:type="dxa"/>
          </w:tcPr>
          <w:p w14:paraId="28411B01">
            <w:r>
              <w:t xml:space="preserve">法定代表人： </w:t>
            </w:r>
          </w:p>
          <w:p w14:paraId="64B5BBB8">
            <w:r>
              <w:t xml:space="preserve">（签字） </w:t>
            </w:r>
          </w:p>
        </w:tc>
        <w:tc>
          <w:tcPr>
            <w:tcW w:w="277" w:type="dxa"/>
          </w:tcPr>
          <w:p w14:paraId="2AEF7130">
            <w:r>
              <w:t xml:space="preserve"> </w:t>
            </w:r>
          </w:p>
        </w:tc>
        <w:tc>
          <w:tcPr>
            <w:tcW w:w="202" w:type="dxa"/>
          </w:tcPr>
          <w:p w14:paraId="3ED61521">
            <w:r>
              <w:t xml:space="preserve"> </w:t>
            </w:r>
          </w:p>
        </w:tc>
        <w:tc>
          <w:tcPr>
            <w:tcW w:w="404" w:type="dxa"/>
          </w:tcPr>
          <w:p w14:paraId="35F572E6"/>
        </w:tc>
        <w:tc>
          <w:tcPr>
            <w:tcW w:w="404" w:type="dxa"/>
          </w:tcPr>
          <w:p w14:paraId="2445A837">
            <w:r>
              <w:t xml:space="preserve">   </w:t>
            </w:r>
          </w:p>
          <w:p w14:paraId="1F530479">
            <w:r>
              <w:t xml:space="preserve"> </w:t>
            </w:r>
          </w:p>
        </w:tc>
        <w:tc>
          <w:tcPr>
            <w:tcW w:w="399" w:type="dxa"/>
          </w:tcPr>
          <w:p w14:paraId="4EDF5C2A">
            <w:r>
              <w:t xml:space="preserve">   </w:t>
            </w:r>
          </w:p>
        </w:tc>
      </w:tr>
      <w:tr w14:paraId="3AFE0E01">
        <w:tblPrEx>
          <w:tblCellMar>
            <w:top w:w="0" w:type="dxa"/>
            <w:left w:w="0" w:type="dxa"/>
            <w:bottom w:w="0" w:type="dxa"/>
            <w:right w:w="0" w:type="dxa"/>
          </w:tblCellMar>
        </w:tblPrEx>
        <w:trPr>
          <w:trHeight w:val="737" w:hRule="atLeast"/>
        </w:trPr>
        <w:tc>
          <w:tcPr>
            <w:tcW w:w="1378" w:type="dxa"/>
          </w:tcPr>
          <w:p w14:paraId="41F090B1">
            <w:r>
              <w:t xml:space="preserve">职 位 ： </w:t>
            </w:r>
          </w:p>
        </w:tc>
        <w:tc>
          <w:tcPr>
            <w:tcW w:w="375" w:type="dxa"/>
          </w:tcPr>
          <w:p w14:paraId="44EBB576">
            <w:r>
              <w:t xml:space="preserve"> </w:t>
            </w:r>
          </w:p>
          <w:p w14:paraId="219D3D92">
            <w:r>
              <w:t xml:space="preserve"> </w:t>
            </w:r>
          </w:p>
        </w:tc>
        <w:tc>
          <w:tcPr>
            <w:tcW w:w="202" w:type="dxa"/>
          </w:tcPr>
          <w:p w14:paraId="284FCB61">
            <w:r>
              <w:t xml:space="preserve"> </w:t>
            </w:r>
          </w:p>
        </w:tc>
        <w:tc>
          <w:tcPr>
            <w:tcW w:w="404" w:type="dxa"/>
          </w:tcPr>
          <w:p w14:paraId="183A0AB4">
            <w:r>
              <w:t xml:space="preserve">   </w:t>
            </w:r>
          </w:p>
        </w:tc>
        <w:tc>
          <w:tcPr>
            <w:tcW w:w="1434" w:type="dxa"/>
          </w:tcPr>
          <w:p w14:paraId="05B9534B">
            <w:r>
              <w:t xml:space="preserve">   </w:t>
            </w:r>
          </w:p>
        </w:tc>
        <w:tc>
          <w:tcPr>
            <w:tcW w:w="2517" w:type="dxa"/>
          </w:tcPr>
          <w:p w14:paraId="31BD04B1">
            <w:r>
              <w:t xml:space="preserve">职 位 ： </w:t>
            </w:r>
          </w:p>
        </w:tc>
        <w:tc>
          <w:tcPr>
            <w:tcW w:w="277" w:type="dxa"/>
          </w:tcPr>
          <w:p w14:paraId="3B69C6BA">
            <w:r>
              <w:t xml:space="preserve"> </w:t>
            </w:r>
          </w:p>
          <w:p w14:paraId="63F9B1E6">
            <w:r>
              <w:t xml:space="preserve"> </w:t>
            </w:r>
          </w:p>
        </w:tc>
        <w:tc>
          <w:tcPr>
            <w:tcW w:w="202" w:type="dxa"/>
          </w:tcPr>
          <w:p w14:paraId="7D2AA6B5">
            <w:r>
              <w:t xml:space="preserve"> </w:t>
            </w:r>
          </w:p>
        </w:tc>
        <w:tc>
          <w:tcPr>
            <w:tcW w:w="404" w:type="dxa"/>
          </w:tcPr>
          <w:p w14:paraId="684A6C02"/>
        </w:tc>
        <w:tc>
          <w:tcPr>
            <w:tcW w:w="404" w:type="dxa"/>
          </w:tcPr>
          <w:p w14:paraId="0A1E651E">
            <w:r>
              <w:t xml:space="preserve">   </w:t>
            </w:r>
          </w:p>
        </w:tc>
        <w:tc>
          <w:tcPr>
            <w:tcW w:w="399" w:type="dxa"/>
          </w:tcPr>
          <w:p w14:paraId="4B19E1F3">
            <w:r>
              <w:t xml:space="preserve">   </w:t>
            </w:r>
          </w:p>
        </w:tc>
      </w:tr>
      <w:tr w14:paraId="7E36019F">
        <w:tblPrEx>
          <w:tblCellMar>
            <w:top w:w="0" w:type="dxa"/>
            <w:left w:w="0" w:type="dxa"/>
            <w:bottom w:w="0" w:type="dxa"/>
            <w:right w:w="0" w:type="dxa"/>
          </w:tblCellMar>
        </w:tblPrEx>
        <w:trPr>
          <w:trHeight w:val="597" w:hRule="atLeast"/>
        </w:trPr>
        <w:tc>
          <w:tcPr>
            <w:tcW w:w="1378" w:type="dxa"/>
          </w:tcPr>
          <w:p w14:paraId="3F6C1754">
            <w:r>
              <w:t xml:space="preserve">日 期 ： </w:t>
            </w:r>
          </w:p>
        </w:tc>
        <w:tc>
          <w:tcPr>
            <w:tcW w:w="375" w:type="dxa"/>
          </w:tcPr>
          <w:p w14:paraId="30C7B8A0">
            <w:r>
              <w:t xml:space="preserve"> </w:t>
            </w:r>
          </w:p>
        </w:tc>
        <w:tc>
          <w:tcPr>
            <w:tcW w:w="202" w:type="dxa"/>
          </w:tcPr>
          <w:p w14:paraId="7902940F">
            <w:r>
              <w:t xml:space="preserve"> </w:t>
            </w:r>
          </w:p>
        </w:tc>
        <w:tc>
          <w:tcPr>
            <w:tcW w:w="404" w:type="dxa"/>
          </w:tcPr>
          <w:p w14:paraId="72F6FDA8">
            <w:r>
              <w:t xml:space="preserve">   </w:t>
            </w:r>
          </w:p>
          <w:p w14:paraId="086DF9C4">
            <w:r>
              <w:t xml:space="preserve"> </w:t>
            </w:r>
          </w:p>
        </w:tc>
        <w:tc>
          <w:tcPr>
            <w:tcW w:w="1434" w:type="dxa"/>
          </w:tcPr>
          <w:p w14:paraId="7E137EAF">
            <w:r>
              <w:t xml:space="preserve">   </w:t>
            </w:r>
          </w:p>
        </w:tc>
        <w:tc>
          <w:tcPr>
            <w:tcW w:w="2517" w:type="dxa"/>
          </w:tcPr>
          <w:p w14:paraId="4CEFFF67">
            <w:r>
              <w:t xml:space="preserve">日 期 ： </w:t>
            </w:r>
          </w:p>
        </w:tc>
        <w:tc>
          <w:tcPr>
            <w:tcW w:w="277" w:type="dxa"/>
          </w:tcPr>
          <w:p w14:paraId="2E25E7C3">
            <w:r>
              <w:t xml:space="preserve"> </w:t>
            </w:r>
          </w:p>
        </w:tc>
        <w:tc>
          <w:tcPr>
            <w:tcW w:w="202" w:type="dxa"/>
          </w:tcPr>
          <w:p w14:paraId="7F38F968">
            <w:r>
              <w:t xml:space="preserve"> </w:t>
            </w:r>
          </w:p>
        </w:tc>
        <w:tc>
          <w:tcPr>
            <w:tcW w:w="404" w:type="dxa"/>
          </w:tcPr>
          <w:p w14:paraId="47C4F541"/>
        </w:tc>
        <w:tc>
          <w:tcPr>
            <w:tcW w:w="404" w:type="dxa"/>
          </w:tcPr>
          <w:p w14:paraId="6A019CCC">
            <w:r>
              <w:t xml:space="preserve">   </w:t>
            </w:r>
          </w:p>
          <w:p w14:paraId="5AE9244F">
            <w:r>
              <w:t xml:space="preserve"> </w:t>
            </w:r>
          </w:p>
        </w:tc>
        <w:tc>
          <w:tcPr>
            <w:tcW w:w="399" w:type="dxa"/>
          </w:tcPr>
          <w:p w14:paraId="3D22E19C">
            <w:r>
              <w:t xml:space="preserve">   </w:t>
            </w:r>
          </w:p>
        </w:tc>
      </w:tr>
    </w:tbl>
    <w:p w14:paraId="78E93CCD">
      <w:pPr>
        <w:rPr>
          <w:b/>
        </w:rPr>
      </w:pPr>
      <w:r>
        <w:br w:type="column"/>
      </w:r>
      <w:r>
        <w:rPr>
          <w:b/>
        </w:rPr>
        <w:t xml:space="preserve">乙 方 ： </w:t>
      </w:r>
    </w:p>
    <w:p w14:paraId="26CE710C">
      <w:pPr>
        <w:rPr>
          <w:b/>
        </w:rPr>
      </w:pPr>
      <w:r>
        <w:rPr>
          <w:b/>
          <w:sz w:val="20"/>
        </w:rPr>
        <w:t>（盖章）</w:t>
      </w:r>
    </w:p>
    <w:p w14:paraId="58D3947A">
      <w:pPr>
        <w:spacing w:before="3"/>
        <w:ind w:left="1168"/>
        <w:rPr>
          <w:b/>
          <w:sz w:val="20"/>
        </w:rPr>
      </w:pPr>
      <w:r>
        <w:rPr>
          <w:b/>
          <w:sz w:val="20"/>
        </w:rPr>
        <w:t xml:space="preserve"> </w:t>
      </w:r>
    </w:p>
    <w:p w14:paraId="47F3F239">
      <w:pPr>
        <w:spacing w:before="73" w:line="242" w:lineRule="auto"/>
        <w:ind w:right="1659"/>
        <w:rPr>
          <w:b/>
          <w:sz w:val="20"/>
        </w:rPr>
        <w:sectPr>
          <w:type w:val="continuous"/>
          <w:pgSz w:w="12240" w:h="15840"/>
          <w:pgMar w:top="1120" w:right="480" w:bottom="280" w:left="440" w:header="720" w:footer="720" w:gutter="0"/>
          <w:cols w:equalWidth="0" w:num="3">
            <w:col w:w="2314" w:space="2512"/>
            <w:col w:w="2273" w:space="39"/>
            <w:col w:w="4182"/>
          </w:cols>
        </w:sectPr>
      </w:pPr>
      <w:r>
        <w:br w:type="column"/>
      </w:r>
      <w:r>
        <w:rPr>
          <w:b/>
          <w:sz w:val="20"/>
        </w:rPr>
        <w:t>通用电气医疗系统贸易发展（上海）有限</w:t>
      </w:r>
      <w:r>
        <w:rPr>
          <w:rFonts w:hint="eastAsia"/>
          <w:b/>
          <w:sz w:val="20"/>
        </w:rPr>
        <w:t>公司</w:t>
      </w:r>
    </w:p>
    <w:p w14:paraId="74A04FBE">
      <w:pPr>
        <w:pStyle w:val="33"/>
        <w:rPr>
          <w:snapToGrid w:val="0"/>
          <w:kern w:val="0"/>
        </w:rPr>
      </w:pPr>
      <w:r>
        <w:rPr>
          <w:rFonts w:hint="eastAsia"/>
          <w:snapToGrid w:val="0"/>
          <w:kern w:val="0"/>
        </w:rPr>
        <w:t>医药卫生机构医药产品廉洁购销合同</w:t>
      </w:r>
    </w:p>
    <w:p w14:paraId="45202076">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甲方（医疗卫生机构）：</w:t>
      </w:r>
      <w:r>
        <w:rPr>
          <w:rFonts w:hint="eastAsia" w:ascii="宋体" w:hAnsi="宋体" w:cs="宋体"/>
          <w:bCs/>
          <w:sz w:val="24"/>
        </w:rPr>
        <w:t>安徽省公共卫生临床中心</w:t>
      </w:r>
    </w:p>
    <w:p w14:paraId="7C8A3331">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乙方（医药生产经营企业及其代理人）：</w:t>
      </w:r>
    </w:p>
    <w:p w14:paraId="5CDAE752">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为进一步加强医疗卫生行风建设 ，规范医疗卫生机构医药购销行为，有效防范商业贿赂行为，营造公平交易、诚实守信的购销环境，经甲、乙双方协商，同意签订本合同 ，并共同遵守：</w:t>
      </w:r>
    </w:p>
    <w:p w14:paraId="54E90CD4">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一、甲乙双方按照《民法典》及医药产品购销合同约定购销药品、医用耗材、医用设备等医药产品。</w:t>
      </w:r>
    </w:p>
    <w:p w14:paraId="0B9E0B44">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二、甲方应当严格执行医药产品购销合同验收、入库制度，对釆购医药产品及发票进行查验，不得违反有关规定合同外采购、违价釆购或从非规定渠道采购。</w:t>
      </w:r>
    </w:p>
    <w:p w14:paraId="4922F8E8">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三、甲方严禁接受乙方以任何名义、形式给予的回扣，不得将接受捐赠资助与釆购挂钩。甲方工作人员不得参加乙方安排并支付费用的营业性娱乐场所的娱乐活动，不得以任何形式向乙方索要现金、有价证券、支付凭证和贵重礼品等。被迫接受乙方给予的钱物，应予以退还，无法退还的，有责任如实向有关纪检监察部门反映情况。</w:t>
      </w:r>
    </w:p>
    <w:p w14:paraId="5DB3C7E0">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四、严禁甲方工作人员利用任何途径和方式，为乙方统计医师个人及临床科室有关医药产品用量信息，或为乙方统计提供便利。</w:t>
      </w:r>
    </w:p>
    <w:p w14:paraId="5507D648">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五、乙方不得以回扣、宴请等方式影响甲方工作人员釆购或使用医药产品的选择权，不得在学术活动中提供旅游、超标准支付食宿费用。</w:t>
      </w:r>
    </w:p>
    <w:p w14:paraId="28B4764D">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六、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E2B4243">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七、乙方如违反本合同，一经发现，甲方有权终止购销合同，并向有关卫生健康行政部门报告。如乙方被列入商业贿赂不良记录，则严格按照《安徽省医药购销领域商业贿赂不良记录管理办法》相关规定处理。</w:t>
      </w:r>
    </w:p>
    <w:p w14:paraId="4C99D975">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八、本合同作为医药产品购销合同的重要组成部分，与购销合同一并执行，具有同等的法律效力。</w:t>
      </w:r>
    </w:p>
    <w:p w14:paraId="45384488">
      <w:pPr>
        <w:widowControl/>
        <w:kinsoku w:val="0"/>
        <w:autoSpaceDE w:val="0"/>
        <w:autoSpaceDN w:val="0"/>
        <w:adjustRightInd w:val="0"/>
        <w:snapToGrid w:val="0"/>
        <w:spacing w:before="120"/>
        <w:ind w:firstLine="452" w:firstLineChars="200"/>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九、本合同一式肆份，甲方执俩份乙方执壹份，甲方纪检监察部门（基层医疗卫生机构上报上级卫生健康行政部门）执一份，并从签订之日起生效。</w:t>
      </w:r>
    </w:p>
    <w:p w14:paraId="1AA9E5E2">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p>
    <w:p w14:paraId="02E4C5BA">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p>
    <w:p w14:paraId="1D823402">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p>
    <w:p w14:paraId="2711F67D">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甲方（盖章）：                           乙方（盖章）：</w:t>
      </w:r>
    </w:p>
    <w:p w14:paraId="7729E802">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法定代表人（负责人）：                  法定代表人（负责人）：</w:t>
      </w:r>
    </w:p>
    <w:p w14:paraId="1DB68353">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委托代理人：                             委托代理人：</w:t>
      </w:r>
    </w:p>
    <w:p w14:paraId="7DD8BE85">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经办人签名：                             经办人签名：</w:t>
      </w:r>
    </w:p>
    <w:p w14:paraId="7F11FD6F">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000000"/>
          <w:spacing w:val="-7"/>
          <w:kern w:val="0"/>
          <w:sz w:val="24"/>
        </w:rPr>
      </w:pPr>
      <w:r>
        <w:rPr>
          <w:rFonts w:hint="eastAsia" w:cs="微软雅黑" w:asciiTheme="minorEastAsia" w:hAnsiTheme="minorEastAsia"/>
          <w:snapToGrid w:val="0"/>
          <w:color w:val="000000"/>
          <w:spacing w:val="-7"/>
          <w:kern w:val="0"/>
          <w:sz w:val="24"/>
        </w:rPr>
        <w:t>年   月   日                              年   月   日</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14:paraId="703474BF">
      <w:pPr>
        <w:widowControl/>
        <w:rPr>
          <w:rFonts w:hint="eastAsia" w:ascii="宋体" w:hAnsi="宋体" w:eastAsia="仿宋"/>
        </w:rPr>
      </w:pPr>
    </w:p>
    <w:p w14:paraId="276FB31B">
      <w:pPr>
        <w:pStyle w:val="2"/>
        <w:widowControl/>
        <w:jc w:val="center"/>
        <w:rPr>
          <w:rFonts w:hint="eastAsia" w:ascii="宋体" w:hAnsi="宋体" w:eastAsia="仿宋"/>
          <w:sz w:val="30"/>
          <w:szCs w:val="30"/>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336E60F">
      <w:pPr>
        <w:pStyle w:val="2"/>
        <w:widowControl/>
        <w:spacing w:before="0" w:after="0" w:line="240" w:lineRule="auto"/>
        <w:jc w:val="center"/>
        <w:rPr>
          <w:rFonts w:hint="eastAsia" w:ascii="楷体_GB2312" w:hAnsi="楷体_GB2312" w:eastAsia="仿宋"/>
        </w:rPr>
      </w:pPr>
      <w:bookmarkStart w:id="631" w:name="_Toc529209267"/>
      <w:bookmarkStart w:id="632" w:name="_Toc445554784"/>
      <w:bookmarkStart w:id="633" w:name="_Toc8866"/>
      <w:bookmarkStart w:id="634" w:name="_Toc466024585"/>
      <w:r>
        <w:rPr>
          <w:rFonts w:hint="eastAsia" w:ascii="楷体_GB2312" w:hAnsi="楷体_GB2312" w:eastAsia="仿宋"/>
        </w:rPr>
        <w:t>第六章  响应文件格式</w:t>
      </w:r>
      <w:bookmarkEnd w:id="631"/>
      <w:bookmarkEnd w:id="632"/>
      <w:bookmarkEnd w:id="633"/>
      <w:bookmarkEnd w:id="634"/>
    </w:p>
    <w:p w14:paraId="6C24795B">
      <w:pPr>
        <w:widowControl/>
        <w:adjustRightInd w:val="0"/>
        <w:snapToGrid w:val="0"/>
        <w:spacing w:before="48" w:beforeLines="20" w:after="48" w:afterLines="20" w:line="540" w:lineRule="exact"/>
        <w:rPr>
          <w:rFonts w:ascii="Calibri" w:hAnsi="Calibri" w:eastAsia="仿宋"/>
          <w:sz w:val="36"/>
        </w:rPr>
      </w:pPr>
    </w:p>
    <w:p w14:paraId="4E5082D5">
      <w:pPr>
        <w:widowControl/>
        <w:adjustRightInd w:val="0"/>
        <w:snapToGrid w:val="0"/>
        <w:spacing w:before="48" w:beforeLines="20" w:after="48" w:afterLines="20" w:line="540" w:lineRule="exact"/>
        <w:rPr>
          <w:rFonts w:ascii="Calibri" w:hAnsi="Calibri" w:eastAsia="仿宋"/>
          <w:sz w:val="36"/>
        </w:rPr>
      </w:pPr>
    </w:p>
    <w:p w14:paraId="01B81002">
      <w:pPr>
        <w:widowControl/>
        <w:adjustRightInd w:val="0"/>
        <w:snapToGrid w:val="0"/>
        <w:spacing w:line="360" w:lineRule="auto"/>
        <w:ind w:firstLine="480" w:firstLineChars="200"/>
        <w:rPr>
          <w:rFonts w:ascii="Cambria" w:hAnsi="Calibri" w:eastAsia="仿宋"/>
          <w:sz w:val="24"/>
        </w:rPr>
      </w:pPr>
      <w:r>
        <w:rPr>
          <w:rFonts w:hint="eastAsia" w:ascii="Cambria" w:hAnsi="Calibri" w:eastAsia="仿宋"/>
          <w:sz w:val="24"/>
        </w:rPr>
        <w:t>注：</w:t>
      </w:r>
    </w:p>
    <w:p w14:paraId="0D4ABC0D">
      <w:pPr>
        <w:widowControl/>
        <w:adjustRightInd w:val="0"/>
        <w:snapToGrid w:val="0"/>
        <w:spacing w:line="360" w:lineRule="auto"/>
        <w:ind w:firstLine="480" w:firstLineChars="200"/>
        <w:rPr>
          <w:rFonts w:ascii="Cambria" w:hAnsi="Calibri" w:eastAsia="仿宋"/>
          <w:sz w:val="24"/>
        </w:rPr>
      </w:pPr>
      <w:r>
        <w:rPr>
          <w:rFonts w:hint="eastAsia" w:ascii="Cambria" w:hAnsi="Calibri" w:eastAsia="仿宋"/>
          <w:sz w:val="24"/>
        </w:rPr>
        <w:t>1.供应商应按给定格式编制响应文件，相关格式可以扩展。协商程序、单一来源采购文件澄清修改等单一来源采购文件要求提供相关材料的，此处未给出格式、章节的，请供应商自定格式，编制在响应文件内。</w:t>
      </w:r>
    </w:p>
    <w:p w14:paraId="071CEF5B">
      <w:pPr>
        <w:widowControl/>
        <w:spacing w:line="560" w:lineRule="exact"/>
        <w:ind w:firstLine="480" w:firstLineChars="200"/>
        <w:jc w:val="left"/>
        <w:rPr>
          <w:rFonts w:ascii="Cambria" w:hAnsi="Calibri" w:eastAsia="仿宋"/>
          <w:sz w:val="24"/>
        </w:rPr>
      </w:pPr>
      <w:r>
        <w:rPr>
          <w:rFonts w:hint="eastAsia" w:ascii="Cambria" w:hAnsi="Calibri" w:eastAsia="仿宋"/>
          <w:sz w:val="24"/>
        </w:rPr>
        <w:t>2.采用全流程电子招标采购时，响应文件格式要求盖章的，可为电子签章，或盖章后的扫描件。响应文件格式要求签字的，电子响应文件中，应采用签字后的扫描件。</w:t>
      </w:r>
    </w:p>
    <w:p w14:paraId="7C173C1B">
      <w:pPr>
        <w:widowControl/>
        <w:spacing w:line="560" w:lineRule="exact"/>
        <w:ind w:firstLine="420" w:firstLineChars="200"/>
        <w:jc w:val="center"/>
        <w:rPr>
          <w:rFonts w:hint="eastAsia" w:ascii="宋体" w:hAnsi="宋体" w:eastAsia="仿宋"/>
          <w:szCs w:val="21"/>
        </w:rPr>
      </w:pPr>
      <w:r>
        <w:rPr>
          <w:rFonts w:ascii="宋体" w:hAnsi="宋体" w:eastAsia="仿宋"/>
          <w:szCs w:val="21"/>
        </w:rPr>
        <w:br w:type="page"/>
      </w:r>
    </w:p>
    <w:p w14:paraId="2269C263">
      <w:pPr>
        <w:widowControl/>
        <w:spacing w:line="560" w:lineRule="exact"/>
        <w:ind w:firstLine="420" w:firstLineChars="200"/>
        <w:jc w:val="center"/>
        <w:rPr>
          <w:rFonts w:hint="eastAsia" w:ascii="宋体" w:hAnsi="宋体" w:eastAsia="仿宋"/>
          <w:szCs w:val="21"/>
        </w:rPr>
      </w:pPr>
    </w:p>
    <w:p w14:paraId="4E53162C">
      <w:pPr>
        <w:widowControl/>
        <w:spacing w:line="560" w:lineRule="exact"/>
        <w:ind w:firstLine="420" w:firstLineChars="200"/>
        <w:jc w:val="center"/>
        <w:rPr>
          <w:rFonts w:hint="eastAsia" w:ascii="宋体" w:hAnsi="宋体" w:eastAsia="仿宋"/>
          <w:szCs w:val="21"/>
        </w:rPr>
      </w:pPr>
    </w:p>
    <w:p w14:paraId="64867764">
      <w:pPr>
        <w:widowControl/>
        <w:spacing w:line="560" w:lineRule="exact"/>
        <w:ind w:firstLine="420" w:firstLineChars="200"/>
        <w:jc w:val="center"/>
        <w:rPr>
          <w:rFonts w:hint="eastAsia" w:ascii="宋体" w:hAnsi="宋体" w:eastAsia="仿宋"/>
          <w:szCs w:val="21"/>
        </w:rPr>
      </w:pPr>
    </w:p>
    <w:p w14:paraId="159F1644">
      <w:pPr>
        <w:widowControl/>
        <w:spacing w:line="560" w:lineRule="exact"/>
        <w:ind w:firstLine="420" w:firstLineChars="200"/>
        <w:jc w:val="center"/>
        <w:rPr>
          <w:rFonts w:hint="eastAsia" w:ascii="宋体" w:hAnsi="宋体" w:cs="宋体"/>
          <w:szCs w:val="21"/>
        </w:rPr>
      </w:pPr>
    </w:p>
    <w:p w14:paraId="1325E780">
      <w:pPr>
        <w:widowControl/>
        <w:spacing w:line="560" w:lineRule="exact"/>
        <w:ind w:firstLine="880" w:firstLineChars="200"/>
        <w:jc w:val="center"/>
        <w:rPr>
          <w:rFonts w:hint="eastAsia" w:ascii="宋体" w:hAnsi="宋体" w:cs="宋体"/>
          <w:sz w:val="44"/>
          <w:szCs w:val="44"/>
        </w:rPr>
      </w:pPr>
      <w:r>
        <w:rPr>
          <w:rFonts w:hint="eastAsia" w:ascii="宋体" w:hAnsi="宋体" w:cs="宋体"/>
          <w:sz w:val="44"/>
          <w:szCs w:val="44"/>
          <w:u w:val="single"/>
        </w:rPr>
        <w:t xml:space="preserve">             </w:t>
      </w:r>
      <w:r>
        <w:rPr>
          <w:rFonts w:hint="eastAsia" w:ascii="宋体" w:hAnsi="宋体" w:cs="宋体"/>
          <w:sz w:val="44"/>
          <w:szCs w:val="44"/>
        </w:rPr>
        <w:t>（项目名称）采购</w:t>
      </w:r>
    </w:p>
    <w:p w14:paraId="302EE734">
      <w:pPr>
        <w:widowControl/>
        <w:spacing w:line="560" w:lineRule="exact"/>
        <w:ind w:firstLine="400" w:firstLineChars="200"/>
        <w:jc w:val="center"/>
        <w:rPr>
          <w:rFonts w:hint="eastAsia" w:ascii="宋体" w:hAnsi="宋体" w:cs="宋体"/>
          <w:sz w:val="20"/>
          <w:szCs w:val="20"/>
        </w:rPr>
      </w:pPr>
    </w:p>
    <w:p w14:paraId="1268773B">
      <w:pPr>
        <w:widowControl/>
        <w:spacing w:line="560" w:lineRule="exact"/>
        <w:ind w:firstLine="400" w:firstLineChars="200"/>
        <w:jc w:val="center"/>
        <w:rPr>
          <w:rFonts w:hint="eastAsia" w:ascii="宋体" w:hAnsi="宋体" w:cs="宋体"/>
          <w:sz w:val="20"/>
          <w:szCs w:val="20"/>
        </w:rPr>
      </w:pPr>
    </w:p>
    <w:p w14:paraId="4CB2D4E5">
      <w:pPr>
        <w:widowControl/>
        <w:ind w:firstLine="1440" w:firstLineChars="200"/>
        <w:jc w:val="center"/>
        <w:rPr>
          <w:rFonts w:hint="eastAsia" w:ascii="宋体" w:hAnsi="宋体" w:cs="宋体"/>
          <w:sz w:val="28"/>
          <w:szCs w:val="28"/>
        </w:rPr>
      </w:pPr>
      <w:r>
        <w:rPr>
          <w:rFonts w:hint="eastAsia" w:ascii="宋体" w:hAnsi="宋体" w:cs="宋体"/>
          <w:sz w:val="72"/>
          <w:szCs w:val="72"/>
        </w:rPr>
        <w:t>响  应  文  件</w:t>
      </w:r>
    </w:p>
    <w:p w14:paraId="039E3375">
      <w:pPr>
        <w:widowControl/>
        <w:spacing w:line="560" w:lineRule="exact"/>
        <w:ind w:firstLine="560" w:firstLineChars="200"/>
        <w:rPr>
          <w:rFonts w:hint="eastAsia" w:ascii="宋体" w:hAnsi="宋体" w:cs="宋体"/>
          <w:sz w:val="28"/>
          <w:szCs w:val="28"/>
        </w:rPr>
      </w:pPr>
    </w:p>
    <w:p w14:paraId="6728AFF2">
      <w:pPr>
        <w:widowControl/>
        <w:spacing w:line="560" w:lineRule="exact"/>
        <w:ind w:firstLine="560" w:firstLineChars="200"/>
        <w:rPr>
          <w:rFonts w:hint="eastAsia" w:ascii="宋体" w:hAnsi="宋体" w:cs="宋体"/>
          <w:sz w:val="28"/>
          <w:szCs w:val="28"/>
        </w:rPr>
      </w:pPr>
    </w:p>
    <w:p w14:paraId="1EF2C9B5">
      <w:pPr>
        <w:widowControl/>
        <w:spacing w:line="560" w:lineRule="exact"/>
        <w:ind w:firstLine="560" w:firstLineChars="200"/>
        <w:rPr>
          <w:rFonts w:hint="eastAsia" w:ascii="宋体" w:hAnsi="宋体" w:cs="宋体"/>
          <w:sz w:val="28"/>
          <w:szCs w:val="28"/>
        </w:rPr>
      </w:pPr>
    </w:p>
    <w:p w14:paraId="6330E2B8">
      <w:pPr>
        <w:widowControl/>
        <w:spacing w:line="560" w:lineRule="exact"/>
        <w:ind w:firstLine="560" w:firstLineChars="200"/>
        <w:rPr>
          <w:rFonts w:hint="eastAsia" w:ascii="宋体" w:hAnsi="宋体" w:cs="宋体"/>
          <w:sz w:val="28"/>
          <w:szCs w:val="28"/>
        </w:rPr>
      </w:pPr>
    </w:p>
    <w:p w14:paraId="65768EFF">
      <w:pPr>
        <w:widowControl/>
        <w:spacing w:line="560" w:lineRule="exact"/>
        <w:ind w:firstLine="560" w:firstLineChars="200"/>
        <w:rPr>
          <w:rFonts w:hint="eastAsia" w:ascii="宋体" w:hAnsi="宋体" w:cs="宋体"/>
          <w:sz w:val="28"/>
          <w:szCs w:val="28"/>
        </w:rPr>
      </w:pPr>
    </w:p>
    <w:p w14:paraId="1058CAE5">
      <w:pPr>
        <w:widowControl/>
        <w:spacing w:line="560" w:lineRule="exact"/>
        <w:ind w:firstLine="560" w:firstLineChars="200"/>
        <w:rPr>
          <w:rFonts w:hint="eastAsia" w:ascii="宋体" w:hAnsi="宋体" w:cs="宋体"/>
          <w:sz w:val="28"/>
          <w:szCs w:val="28"/>
          <w:u w:val="single"/>
        </w:rPr>
      </w:pPr>
      <w:r>
        <w:rPr>
          <w:rFonts w:hint="eastAsia" w:ascii="宋体" w:hAnsi="宋体" w:cs="宋体"/>
          <w:sz w:val="28"/>
          <w:szCs w:val="28"/>
        </w:rPr>
        <w:t>供应商名称：</w:t>
      </w:r>
      <w:r>
        <w:rPr>
          <w:rFonts w:hint="eastAsia" w:ascii="宋体" w:hAnsi="宋体" w:cs="宋体"/>
          <w:sz w:val="28"/>
          <w:szCs w:val="28"/>
          <w:u w:val="single"/>
        </w:rPr>
        <w:t xml:space="preserve">                                  </w:t>
      </w:r>
      <w:r>
        <w:rPr>
          <w:rFonts w:hint="eastAsia" w:ascii="宋体" w:hAnsi="宋体" w:cs="宋体"/>
          <w:sz w:val="28"/>
          <w:szCs w:val="28"/>
        </w:rPr>
        <w:t xml:space="preserve"> </w:t>
      </w:r>
    </w:p>
    <w:p w14:paraId="396C6924">
      <w:pPr>
        <w:widowControl/>
        <w:spacing w:line="560" w:lineRule="exact"/>
        <w:ind w:firstLine="560" w:firstLineChars="200"/>
        <w:rPr>
          <w:rFonts w:hint="eastAsia" w:ascii="宋体" w:hAnsi="宋体" w:cs="宋体"/>
          <w:sz w:val="28"/>
          <w:szCs w:val="28"/>
        </w:rPr>
      </w:pPr>
    </w:p>
    <w:p w14:paraId="0F0A5B87">
      <w:pPr>
        <w:widowControl/>
        <w:spacing w:line="560" w:lineRule="exact"/>
        <w:ind w:firstLine="560" w:firstLineChars="200"/>
        <w:rPr>
          <w:rFonts w:hint="eastAsia" w:ascii="宋体" w:hAnsi="宋体" w:cs="宋体"/>
          <w:sz w:val="28"/>
          <w:szCs w:val="28"/>
        </w:rPr>
      </w:pPr>
      <w:r>
        <w:rPr>
          <w:rFonts w:hint="eastAsia" w:ascii="宋体" w:hAnsi="宋体" w:cs="宋体"/>
          <w:sz w:val="28"/>
          <w:szCs w:val="28"/>
        </w:rPr>
        <w:t>法定代表人（单位负责人）或其委托代理人：</w:t>
      </w:r>
      <w:r>
        <w:rPr>
          <w:rFonts w:hint="eastAsia" w:ascii="宋体" w:hAnsi="宋体" w:cs="宋体"/>
          <w:sz w:val="28"/>
          <w:szCs w:val="28"/>
          <w:u w:val="single"/>
        </w:rPr>
        <w:t xml:space="preserve">                    </w:t>
      </w:r>
      <w:r>
        <w:rPr>
          <w:rFonts w:hint="eastAsia" w:ascii="宋体" w:hAnsi="宋体" w:cs="宋体"/>
          <w:sz w:val="28"/>
          <w:szCs w:val="28"/>
        </w:rPr>
        <w:t xml:space="preserve"> </w:t>
      </w:r>
    </w:p>
    <w:p w14:paraId="1B660E88">
      <w:pPr>
        <w:widowControl/>
        <w:spacing w:line="560" w:lineRule="exact"/>
        <w:ind w:firstLine="2800" w:firstLineChars="1000"/>
        <w:rPr>
          <w:rFonts w:hint="eastAsia" w:ascii="宋体" w:hAnsi="宋体" w:cs="宋体"/>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35482BA2">
      <w:pPr>
        <w:widowControl/>
        <w:jc w:val="center"/>
        <w:rPr>
          <w:rFonts w:hint="eastAsia" w:ascii="宋体" w:hAnsi="宋体" w:cs="宋体"/>
          <w:b/>
          <w:bCs/>
          <w:sz w:val="44"/>
          <w:szCs w:val="44"/>
        </w:rPr>
      </w:pPr>
    </w:p>
    <w:p w14:paraId="2CBEB07B">
      <w:pPr>
        <w:widowControl/>
        <w:jc w:val="center"/>
        <w:rPr>
          <w:rFonts w:hint="eastAsia" w:ascii="宋体" w:hAnsi="宋体" w:cs="宋体"/>
          <w:b/>
          <w:bCs/>
          <w:sz w:val="44"/>
          <w:szCs w:val="44"/>
        </w:rPr>
      </w:pPr>
    </w:p>
    <w:p w14:paraId="2A85353A">
      <w:pPr>
        <w:widowControl/>
        <w:jc w:val="center"/>
        <w:rPr>
          <w:rFonts w:hint="eastAsia" w:ascii="宋体" w:hAnsi="宋体" w:cs="宋体"/>
          <w:b/>
          <w:bCs/>
          <w:sz w:val="44"/>
          <w:szCs w:val="4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57C40A">
      <w:pPr>
        <w:widowControl/>
        <w:jc w:val="center"/>
        <w:rPr>
          <w:rFonts w:hint="eastAsia" w:ascii="宋体" w:hAnsi="宋体" w:cs="宋体"/>
          <w:b/>
          <w:bCs/>
          <w:sz w:val="44"/>
          <w:szCs w:val="44"/>
        </w:rPr>
      </w:pPr>
      <w:r>
        <w:rPr>
          <w:rFonts w:hint="eastAsia" w:ascii="宋体" w:hAnsi="宋体" w:cs="宋体"/>
          <w:b/>
          <w:bCs/>
          <w:sz w:val="44"/>
          <w:szCs w:val="44"/>
        </w:rPr>
        <w:t>目  录</w:t>
      </w:r>
    </w:p>
    <w:p w14:paraId="6908A8E5">
      <w:pPr>
        <w:widowControl/>
        <w:rPr>
          <w:rFonts w:hint="eastAsia" w:ascii="宋体" w:hAnsi="宋体" w:cs="宋体"/>
          <w:bCs/>
          <w:sz w:val="28"/>
          <w:szCs w:val="28"/>
        </w:rPr>
      </w:pPr>
    </w:p>
    <w:p w14:paraId="0C443D4D">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响应函</w:t>
      </w:r>
    </w:p>
    <w:p w14:paraId="30F059DD">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响应报价一览表</w:t>
      </w:r>
    </w:p>
    <w:p w14:paraId="0FB4312E">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分项报价表</w:t>
      </w:r>
    </w:p>
    <w:p w14:paraId="0ECF668A">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协商保证金</w:t>
      </w:r>
    </w:p>
    <w:p w14:paraId="459D71C8">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法定代表人（单位负责人）身份证明或授权委托书</w:t>
      </w:r>
    </w:p>
    <w:p w14:paraId="4422E198">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联合体协议书(如有)</w:t>
      </w:r>
    </w:p>
    <w:p w14:paraId="09355931">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资格审查材料</w:t>
      </w:r>
    </w:p>
    <w:p w14:paraId="5EAB5F87">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商务要求偏离表</w:t>
      </w:r>
    </w:p>
    <w:p w14:paraId="6F7C96C1">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技术要求偏离表</w:t>
      </w:r>
    </w:p>
    <w:p w14:paraId="19B06CB7">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供应商须知前附表规定的其他材料</w:t>
      </w:r>
    </w:p>
    <w:p w14:paraId="20477309">
      <w:pPr>
        <w:widowControl/>
        <w:numPr>
          <w:ilvl w:val="0"/>
          <w:numId w:val="3"/>
        </w:numPr>
        <w:adjustRightInd w:val="0"/>
        <w:snapToGrid w:val="0"/>
        <w:spacing w:line="360" w:lineRule="auto"/>
        <w:ind w:firstLine="420"/>
        <w:rPr>
          <w:rFonts w:hint="eastAsia" w:ascii="宋体" w:hAnsi="宋体" w:cs="宋体"/>
          <w:szCs w:val="21"/>
        </w:rPr>
      </w:pPr>
      <w:r>
        <w:rPr>
          <w:rFonts w:hint="eastAsia" w:ascii="宋体" w:hAnsi="宋体" w:cs="宋体"/>
          <w:szCs w:val="21"/>
        </w:rPr>
        <w:t>供应商认为应该提供的其他材料</w:t>
      </w:r>
    </w:p>
    <w:p w14:paraId="7014EFD7">
      <w:pPr>
        <w:widowControl/>
        <w:rPr>
          <w:rFonts w:hint="eastAsia" w:ascii="宋体" w:hAnsi="宋体" w:cs="宋体"/>
          <w:bCs/>
        </w:rPr>
      </w:pPr>
    </w:p>
    <w:p w14:paraId="6E42078F">
      <w:pPr>
        <w:pStyle w:val="3"/>
        <w:widowControl/>
        <w:spacing w:before="120" w:after="120" w:line="240" w:lineRule="auto"/>
        <w:jc w:val="center"/>
        <w:rPr>
          <w:rStyle w:val="102"/>
          <w:rFonts w:hint="eastAsia" w:ascii="宋体" w:hAnsi="宋体" w:eastAsia="宋体" w:cs="宋体"/>
          <w:b/>
          <w:bCs/>
          <w:sz w:val="30"/>
          <w:szCs w:val="30"/>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7628EDE9">
      <w:pPr>
        <w:widowControl/>
        <w:rPr>
          <w:rFonts w:hint="eastAsia" w:ascii="宋体" w:hAnsi="宋体" w:cs="宋体"/>
          <w:b/>
          <w:szCs w:val="21"/>
        </w:rPr>
      </w:pPr>
    </w:p>
    <w:p w14:paraId="1B3BF251">
      <w:pPr>
        <w:pStyle w:val="3"/>
        <w:widowControl/>
        <w:spacing w:before="120" w:after="120" w:line="240" w:lineRule="auto"/>
        <w:jc w:val="center"/>
        <w:rPr>
          <w:rStyle w:val="102"/>
          <w:rFonts w:hint="eastAsia" w:ascii="宋体" w:hAnsi="宋体" w:eastAsia="宋体" w:cs="宋体"/>
          <w:b/>
          <w:bCs w:val="0"/>
          <w:sz w:val="30"/>
          <w:szCs w:val="30"/>
        </w:rPr>
      </w:pPr>
      <w:bookmarkStart w:id="635" w:name="_Toc466024587"/>
      <w:bookmarkStart w:id="636" w:name="_Toc445554786"/>
      <w:r>
        <w:rPr>
          <w:rStyle w:val="102"/>
          <w:rFonts w:hint="eastAsia" w:ascii="宋体" w:hAnsi="宋体" w:eastAsia="宋体" w:cs="宋体"/>
          <w:b/>
          <w:bCs w:val="0"/>
          <w:sz w:val="30"/>
          <w:szCs w:val="30"/>
        </w:rPr>
        <w:t>一、响应函</w:t>
      </w:r>
    </w:p>
    <w:p w14:paraId="65CBCBD7">
      <w:pPr>
        <w:widowControl/>
        <w:tabs>
          <w:tab w:val="left" w:leader="underscore" w:pos="2880"/>
        </w:tabs>
        <w:spacing w:line="400" w:lineRule="exact"/>
        <w:rPr>
          <w:rFonts w:hint="eastAsia" w:ascii="宋体" w:hAnsi="宋体" w:cs="宋体"/>
          <w:b/>
          <w:szCs w:val="21"/>
        </w:rPr>
      </w:pPr>
      <w:r>
        <w:rPr>
          <w:rFonts w:hint="eastAsia" w:ascii="宋体" w:hAnsi="宋体" w:cs="宋体"/>
          <w:szCs w:val="21"/>
        </w:rPr>
        <w:t>致：【采购人名称】（采购人名称)</w:t>
      </w:r>
    </w:p>
    <w:p w14:paraId="5657DCB5">
      <w:pPr>
        <w:widowControl/>
        <w:spacing w:line="400" w:lineRule="exact"/>
        <w:ind w:firstLine="420" w:firstLineChars="200"/>
        <w:rPr>
          <w:rFonts w:hint="eastAsia" w:ascii="宋体" w:hAnsi="宋体" w:cs="宋体"/>
          <w:szCs w:val="21"/>
        </w:rPr>
      </w:pPr>
      <w:r>
        <w:rPr>
          <w:rFonts w:hint="eastAsia" w:ascii="宋体" w:hAnsi="宋体" w:cs="宋体"/>
          <w:szCs w:val="21"/>
          <w:u w:val="single"/>
        </w:rPr>
        <w:t xml:space="preserve">  安徽省招标集团股份有限公司  </w:t>
      </w:r>
      <w:r>
        <w:rPr>
          <w:rFonts w:hint="eastAsia" w:ascii="宋体" w:hAnsi="宋体" w:cs="宋体"/>
          <w:szCs w:val="21"/>
        </w:rPr>
        <w:t>（采购代理名称)</w:t>
      </w:r>
    </w:p>
    <w:p w14:paraId="03BAF149">
      <w:pPr>
        <w:widowControl/>
        <w:spacing w:line="400" w:lineRule="exact"/>
        <w:ind w:firstLine="420" w:firstLineChars="200"/>
        <w:rPr>
          <w:rFonts w:hint="eastAsia" w:ascii="宋体" w:hAnsi="宋体" w:cs="宋体"/>
          <w:szCs w:val="21"/>
        </w:rPr>
      </w:pPr>
    </w:p>
    <w:p w14:paraId="35C735B7">
      <w:pPr>
        <w:widowControl/>
        <w:spacing w:line="400" w:lineRule="exact"/>
        <w:ind w:firstLine="420" w:firstLineChars="200"/>
        <w:rPr>
          <w:rFonts w:hint="eastAsia" w:ascii="宋体" w:hAnsi="宋体" w:cs="宋体"/>
          <w:szCs w:val="21"/>
        </w:rPr>
      </w:pPr>
      <w:r>
        <w:rPr>
          <w:rFonts w:hint="eastAsia" w:ascii="宋体" w:hAnsi="宋体" w:cs="宋体"/>
          <w:szCs w:val="21"/>
        </w:rPr>
        <w:t>1.我方已仔细研究了编号为【项目编号】的【项目名称】采购文件的全部内容，接受你方在单一来源采购文件中对供应商的约束条件。我方愿意以我方提交的最后报价，按照合同的约定履行合同义务。</w:t>
      </w:r>
    </w:p>
    <w:p w14:paraId="36649029">
      <w:pPr>
        <w:widowControl/>
        <w:spacing w:line="400" w:lineRule="exact"/>
        <w:ind w:firstLine="420" w:firstLineChars="200"/>
        <w:rPr>
          <w:rFonts w:hint="eastAsia" w:ascii="宋体" w:hAnsi="宋体" w:cs="宋体"/>
          <w:szCs w:val="21"/>
        </w:rPr>
      </w:pPr>
      <w:r>
        <w:rPr>
          <w:rFonts w:hint="eastAsia" w:ascii="宋体" w:hAnsi="宋体" w:cs="宋体"/>
          <w:szCs w:val="21"/>
        </w:rPr>
        <w:t>2.我方承诺在单一来源采购文件规定的响应有效期内不修改、撤销响应文件</w:t>
      </w:r>
      <w:r>
        <w:rPr>
          <w:rFonts w:hint="eastAsia" w:ascii="宋体" w:hAnsi="宋体" w:cs="宋体"/>
        </w:rPr>
        <w:t>，且随时准备接受你方发出的成交通知书</w:t>
      </w:r>
      <w:r>
        <w:rPr>
          <w:rFonts w:hint="eastAsia" w:ascii="宋体" w:hAnsi="宋体" w:cs="宋体"/>
          <w:szCs w:val="21"/>
        </w:rPr>
        <w:t>。</w:t>
      </w:r>
    </w:p>
    <w:p w14:paraId="4AFB5733">
      <w:pPr>
        <w:widowControl/>
        <w:spacing w:line="400" w:lineRule="exact"/>
        <w:ind w:firstLine="420" w:firstLineChars="200"/>
        <w:rPr>
          <w:rFonts w:hint="eastAsia" w:ascii="宋体" w:hAnsi="宋体" w:cs="宋体"/>
          <w:szCs w:val="21"/>
        </w:rPr>
      </w:pPr>
      <w:r>
        <w:rPr>
          <w:rFonts w:hint="eastAsia" w:ascii="宋体" w:hAnsi="宋体" w:cs="宋体"/>
          <w:szCs w:val="21"/>
        </w:rPr>
        <w:t>3.我方已详细审查全部单一来源采购文件，包括全部澄清、修改、答疑和补充文件。我们完全理解并同意放弃对这方面有不明及误解的权力。</w:t>
      </w:r>
    </w:p>
    <w:p w14:paraId="274D255B">
      <w:pPr>
        <w:widowControl/>
        <w:spacing w:line="400" w:lineRule="exact"/>
        <w:ind w:firstLine="420" w:firstLineChars="200"/>
        <w:rPr>
          <w:rFonts w:hint="eastAsia" w:ascii="宋体" w:hAnsi="宋体" w:cs="宋体"/>
          <w:szCs w:val="21"/>
        </w:rPr>
      </w:pPr>
      <w:r>
        <w:rPr>
          <w:rFonts w:hint="eastAsia" w:ascii="宋体" w:hAnsi="宋体" w:cs="宋体"/>
          <w:szCs w:val="21"/>
        </w:rPr>
        <w:t>4.我方在此声明，所提交的响应文件及有关资料内容完整、真实和准确，且不存在单一来源采购文件第二章“供应商须知”第1.3.3项规定的任何一种情形。</w:t>
      </w:r>
    </w:p>
    <w:p w14:paraId="559EE821">
      <w:pPr>
        <w:widowControl/>
        <w:spacing w:line="400" w:lineRule="exact"/>
        <w:ind w:firstLine="420" w:firstLineChars="200"/>
        <w:rPr>
          <w:rFonts w:hint="eastAsia" w:ascii="宋体" w:hAnsi="宋体" w:cs="宋体"/>
          <w:szCs w:val="21"/>
        </w:rPr>
      </w:pPr>
      <w:r>
        <w:rPr>
          <w:rFonts w:hint="eastAsia" w:ascii="宋体" w:hAnsi="宋体" w:cs="宋体"/>
          <w:szCs w:val="21"/>
        </w:rPr>
        <w:t>5.如我方被确定为成交供应商：</w:t>
      </w:r>
    </w:p>
    <w:p w14:paraId="4C3C0C2F">
      <w:pPr>
        <w:widowControl/>
        <w:spacing w:line="400" w:lineRule="exact"/>
        <w:ind w:firstLine="420" w:firstLineChars="200"/>
        <w:rPr>
          <w:rFonts w:hint="eastAsia" w:ascii="宋体" w:hAnsi="宋体" w:cs="宋体"/>
          <w:szCs w:val="21"/>
        </w:rPr>
      </w:pPr>
      <w:r>
        <w:rPr>
          <w:rFonts w:hint="eastAsia" w:ascii="宋体" w:hAnsi="宋体" w:cs="宋体"/>
          <w:szCs w:val="21"/>
        </w:rPr>
        <w:t>（1）我方承诺在收到成交通知书后，在成交通知书规定的期限内与你方签订合同；</w:t>
      </w:r>
    </w:p>
    <w:p w14:paraId="36AC4AE1">
      <w:pPr>
        <w:widowControl/>
        <w:spacing w:line="400" w:lineRule="exact"/>
        <w:ind w:firstLine="420" w:firstLineChars="200"/>
        <w:rPr>
          <w:rFonts w:hint="eastAsia" w:ascii="宋体" w:hAnsi="宋体" w:cs="宋体"/>
          <w:szCs w:val="21"/>
        </w:rPr>
      </w:pPr>
      <w:r>
        <w:rPr>
          <w:rFonts w:hint="eastAsia" w:ascii="宋体" w:hAnsi="宋体" w:cs="宋体"/>
          <w:szCs w:val="21"/>
        </w:rPr>
        <w:t>（2）在签订合同时不向你方提出附加条件；</w:t>
      </w:r>
    </w:p>
    <w:p w14:paraId="0AC1717C">
      <w:pPr>
        <w:widowControl/>
        <w:spacing w:line="400" w:lineRule="exact"/>
        <w:ind w:firstLine="420" w:firstLineChars="200"/>
        <w:rPr>
          <w:rFonts w:hint="eastAsia" w:ascii="宋体" w:hAnsi="宋体" w:cs="宋体"/>
          <w:szCs w:val="21"/>
        </w:rPr>
      </w:pPr>
      <w:r>
        <w:rPr>
          <w:rFonts w:hint="eastAsia" w:ascii="宋体" w:hAnsi="宋体" w:cs="宋体"/>
          <w:szCs w:val="21"/>
        </w:rPr>
        <w:t>（3）我方承诺按照采购文件规定向你方递交履约保证金；</w:t>
      </w:r>
    </w:p>
    <w:p w14:paraId="3A2B4A0F">
      <w:pPr>
        <w:widowControl/>
        <w:spacing w:line="400" w:lineRule="exact"/>
        <w:ind w:firstLine="420" w:firstLineChars="200"/>
        <w:rPr>
          <w:rFonts w:hint="eastAsia" w:ascii="宋体" w:hAnsi="宋体" w:cs="宋体"/>
          <w:szCs w:val="21"/>
        </w:rPr>
      </w:pPr>
      <w:r>
        <w:rPr>
          <w:rFonts w:hint="eastAsia" w:ascii="宋体" w:hAnsi="宋体" w:cs="宋体"/>
          <w:szCs w:val="21"/>
        </w:rPr>
        <w:t>（4）我方承诺在合同约定的期限内提供并交付货物及服务，履行合同规定的各项义务。</w:t>
      </w:r>
    </w:p>
    <w:p w14:paraId="29C4FB24">
      <w:pPr>
        <w:widowControl/>
        <w:spacing w:line="400" w:lineRule="exact"/>
        <w:ind w:firstLine="420" w:firstLineChars="200"/>
        <w:rPr>
          <w:rFonts w:hint="eastAsia" w:ascii="宋体" w:hAnsi="宋体" w:cs="宋体"/>
          <w:szCs w:val="21"/>
        </w:rPr>
      </w:pPr>
      <w:r>
        <w:rPr>
          <w:rFonts w:hint="eastAsia" w:ascii="宋体" w:hAnsi="宋体" w:cs="宋体"/>
          <w:szCs w:val="21"/>
        </w:rPr>
        <w:t>6.我方同意按照你方要求提供与我方响应有关的一切数据或资料，完全理解你方不一定接受最低价的响应或收到的任何响应。</w:t>
      </w:r>
    </w:p>
    <w:p w14:paraId="04E357D1">
      <w:pPr>
        <w:widowControl/>
        <w:spacing w:line="400" w:lineRule="exact"/>
        <w:ind w:firstLine="420" w:firstLineChars="200"/>
        <w:rPr>
          <w:rFonts w:hint="eastAsia" w:ascii="宋体" w:hAnsi="宋体" w:cs="宋体"/>
          <w:szCs w:val="21"/>
        </w:rPr>
      </w:pPr>
      <w:r>
        <w:rPr>
          <w:rFonts w:hint="eastAsia" w:ascii="宋体" w:hAnsi="宋体" w:cs="宋体"/>
          <w:szCs w:val="21"/>
        </w:rPr>
        <w:t>7.我方对响应文件中所提供资料、文件、证书及证件的真实性、合法性和有效性负责。</w:t>
      </w:r>
    </w:p>
    <w:p w14:paraId="20ACA832">
      <w:pPr>
        <w:widowControl/>
        <w:tabs>
          <w:tab w:val="left" w:leader="underscore" w:pos="3600"/>
          <w:tab w:val="left" w:leader="underscore" w:pos="5400"/>
        </w:tabs>
        <w:spacing w:line="400" w:lineRule="exact"/>
        <w:ind w:firstLine="422" w:firstLineChars="200"/>
        <w:rPr>
          <w:rFonts w:hint="eastAsia" w:ascii="宋体" w:hAnsi="宋体" w:cs="宋体"/>
          <w:b/>
          <w:u w:val="single"/>
        </w:rPr>
      </w:pPr>
      <w:r>
        <w:rPr>
          <w:rFonts w:hint="eastAsia" w:ascii="宋体" w:hAnsi="宋体" w:cs="宋体"/>
          <w:b/>
        </w:rPr>
        <w:t>8.其他补充说明：</w:t>
      </w:r>
      <w:r>
        <w:rPr>
          <w:rFonts w:hint="eastAsia" w:ascii="宋体" w:hAnsi="宋体" w:cs="宋体"/>
          <w:b/>
          <w:u w:val="single"/>
        </w:rPr>
        <w:t xml:space="preserve">                                               </w:t>
      </w:r>
    </w:p>
    <w:p w14:paraId="1ABD53A4">
      <w:pPr>
        <w:widowControl/>
        <w:tabs>
          <w:tab w:val="left" w:leader="underscore" w:pos="3600"/>
          <w:tab w:val="left" w:leader="underscore" w:pos="5400"/>
        </w:tabs>
        <w:spacing w:line="400" w:lineRule="exact"/>
        <w:ind w:firstLine="422" w:firstLineChars="200"/>
        <w:rPr>
          <w:rFonts w:hint="eastAsia" w:ascii="宋体" w:hAnsi="宋体" w:cs="宋体"/>
          <w:b/>
        </w:rPr>
      </w:pPr>
    </w:p>
    <w:p w14:paraId="6C3E8D5F">
      <w:pPr>
        <w:pStyle w:val="151"/>
        <w:spacing w:line="390" w:lineRule="atLeast"/>
        <w:rPr>
          <w:rFonts w:hint="eastAsia" w:ascii="宋体" w:hAnsi="宋体" w:cs="宋体"/>
        </w:rPr>
      </w:pPr>
      <w:r>
        <w:rPr>
          <w:rFonts w:hint="eastAsia" w:ascii="宋体" w:hAnsi="宋体" w:cs="宋体"/>
        </w:rPr>
        <w:t>供应商：</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（盖</w:t>
      </w:r>
      <w:r>
        <w:rPr>
          <w:rFonts w:hint="eastAsia" w:ascii="宋体" w:hAnsi="宋体" w:cs="宋体"/>
          <w:spacing w:val="-1"/>
        </w:rPr>
        <w:t>单</w:t>
      </w:r>
      <w:r>
        <w:rPr>
          <w:rFonts w:hint="eastAsia" w:ascii="宋体" w:hAnsi="宋体" w:cs="宋体"/>
        </w:rPr>
        <w:t>位章）</w:t>
      </w:r>
    </w:p>
    <w:p w14:paraId="36C26AB3">
      <w:pPr>
        <w:pStyle w:val="151"/>
        <w:spacing w:line="390" w:lineRule="atLeast"/>
        <w:rPr>
          <w:rFonts w:hint="eastAsia" w:ascii="宋体" w:hAnsi="宋体" w:cs="宋体"/>
        </w:rPr>
      </w:pPr>
      <w:r>
        <w:rPr>
          <w:rFonts w:hint="eastAsia" w:ascii="宋体" w:hAnsi="宋体" w:cs="宋体"/>
        </w:rPr>
        <w:t>法定代表人（单位负责人）或其委托代理人</w:t>
      </w:r>
      <w:r>
        <w:rPr>
          <w:rFonts w:hint="eastAsia" w:ascii="宋体" w:hAnsi="宋体" w:cs="宋体"/>
          <w:spacing w:val="1"/>
        </w:rPr>
        <w:t>：</w:t>
      </w:r>
      <w:r>
        <w:rPr>
          <w:rFonts w:hint="eastAsia" w:ascii="宋体" w:hAnsi="宋体" w:cs="宋体"/>
          <w:spacing w:val="42"/>
          <w:u w:val="single"/>
        </w:rPr>
        <w:t xml:space="preserve">            </w:t>
      </w:r>
      <w:r>
        <w:rPr>
          <w:rFonts w:hint="eastAsia" w:ascii="宋体" w:hAnsi="宋体" w:cs="宋体"/>
        </w:rPr>
        <w:t>（签字或盖章）</w:t>
      </w:r>
    </w:p>
    <w:p w14:paraId="5B843229">
      <w:pPr>
        <w:pStyle w:val="151"/>
        <w:spacing w:line="390" w:lineRule="atLeast"/>
        <w:rPr>
          <w:rFonts w:hint="eastAsia" w:ascii="宋体" w:hAnsi="宋体" w:cs="宋体"/>
        </w:rPr>
      </w:pPr>
      <w:r>
        <w:rPr>
          <w:rFonts w:hint="eastAsia" w:ascii="宋体" w:hAnsi="宋体" w:cs="宋体"/>
          <w:spacing w:val="-1"/>
        </w:rPr>
        <w:t>地</w:t>
      </w:r>
      <w:r>
        <w:rPr>
          <w:rFonts w:hint="eastAsia" w:ascii="宋体" w:hAnsi="宋体" w:cs="宋体"/>
          <w:spacing w:val="1"/>
        </w:rPr>
        <w:t>址</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spacing w:val="-1"/>
        </w:rPr>
        <w:t>邮</w:t>
      </w:r>
      <w:r>
        <w:rPr>
          <w:rFonts w:hint="eastAsia" w:ascii="宋体" w:hAnsi="宋体" w:cs="宋体"/>
        </w:rPr>
        <w:t>编</w:t>
      </w:r>
      <w:r>
        <w:rPr>
          <w:rFonts w:hint="eastAsia" w:ascii="宋体" w:hAnsi="宋体" w:cs="宋体"/>
          <w:u w:val="single"/>
        </w:rPr>
        <w:t xml:space="preserve">                            </w:t>
      </w:r>
    </w:p>
    <w:p w14:paraId="798546A0">
      <w:pPr>
        <w:pStyle w:val="151"/>
        <w:spacing w:line="390" w:lineRule="atLeast"/>
        <w:rPr>
          <w:rFonts w:hint="eastAsia" w:ascii="宋体" w:hAnsi="宋体" w:cs="宋体"/>
        </w:rPr>
      </w:pPr>
      <w:r>
        <w:rPr>
          <w:rFonts w:hint="eastAsia" w:ascii="宋体" w:hAnsi="宋体" w:cs="宋体"/>
          <w:spacing w:val="-1"/>
        </w:rPr>
        <w:t>电</w:t>
      </w:r>
      <w:r>
        <w:rPr>
          <w:rFonts w:hint="eastAsia" w:ascii="宋体" w:hAnsi="宋体" w:cs="宋体"/>
          <w:spacing w:val="1"/>
        </w:rPr>
        <w:t>话</w:t>
      </w:r>
      <w:r>
        <w:rPr>
          <w:rFonts w:hint="eastAsia" w:ascii="宋体" w:hAnsi="宋体" w:cs="宋体"/>
          <w:u w:val="single"/>
        </w:rPr>
        <w:t xml:space="preserve">                        </w:t>
      </w:r>
      <w:r>
        <w:rPr>
          <w:rFonts w:hint="eastAsia" w:ascii="宋体" w:hAnsi="宋体" w:cs="宋体"/>
          <w:spacing w:val="-1"/>
        </w:rPr>
        <w:t>传</w:t>
      </w:r>
      <w:r>
        <w:rPr>
          <w:rFonts w:hint="eastAsia" w:ascii="宋体" w:hAnsi="宋体" w:cs="宋体"/>
        </w:rPr>
        <w:t>真</w:t>
      </w:r>
      <w:r>
        <w:rPr>
          <w:rFonts w:hint="eastAsia" w:ascii="宋体" w:hAnsi="宋体" w:cs="宋体"/>
          <w:u w:val="single"/>
        </w:rPr>
        <w:t xml:space="preserve">                       </w:t>
      </w:r>
    </w:p>
    <w:p w14:paraId="08F3725F">
      <w:pPr>
        <w:pStyle w:val="151"/>
        <w:spacing w:line="390" w:lineRule="atLeast"/>
        <w:rPr>
          <w:rFonts w:hint="eastAsia" w:ascii="宋体" w:hAnsi="宋体" w:cs="宋体"/>
        </w:rPr>
      </w:pPr>
      <w:r>
        <w:rPr>
          <w:rFonts w:hint="eastAsia" w:ascii="宋体" w:hAnsi="宋体" w:cs="宋体"/>
        </w:rPr>
        <w:t>电子邮箱</w:t>
      </w:r>
      <w:r>
        <w:rPr>
          <w:rFonts w:hint="eastAsia" w:ascii="宋体" w:hAnsi="宋体" w:cs="宋体"/>
          <w:u w:val="single"/>
        </w:rPr>
        <w:t xml:space="preserve">                  </w:t>
      </w:r>
      <w:r>
        <w:rPr>
          <w:rFonts w:hint="eastAsia" w:ascii="宋体" w:hAnsi="宋体" w:cs="宋体"/>
        </w:rPr>
        <w:t>网址：</w:t>
      </w:r>
      <w:r>
        <w:rPr>
          <w:rFonts w:hint="eastAsia" w:ascii="宋体" w:hAnsi="宋体" w:cs="宋体"/>
          <w:u w:val="single"/>
        </w:rPr>
        <w:t xml:space="preserve">                       </w:t>
      </w:r>
    </w:p>
    <w:p w14:paraId="7E775EEE">
      <w:pPr>
        <w:pStyle w:val="151"/>
        <w:spacing w:line="200" w:lineRule="atLeast"/>
        <w:rPr>
          <w:rFonts w:hint="eastAsia" w:ascii="宋体" w:hAnsi="宋体" w:cs="宋体"/>
          <w:sz w:val="20"/>
          <w:szCs w:val="20"/>
        </w:rPr>
      </w:pPr>
      <w:r>
        <w:rPr>
          <w:rFonts w:hint="eastAsia" w:ascii="宋体" w:hAnsi="宋体" w:cs="宋体"/>
          <w:sz w:val="20"/>
          <w:szCs w:val="20"/>
        </w:rPr>
        <w:t xml:space="preserve">                       </w:t>
      </w:r>
    </w:p>
    <w:p w14:paraId="4481C80C">
      <w:pPr>
        <w:pStyle w:val="151"/>
        <w:spacing w:line="200" w:lineRule="atLeast"/>
        <w:rPr>
          <w:rFonts w:hint="eastAsia" w:ascii="宋体" w:hAnsi="宋体" w:cs="宋体"/>
          <w:sz w:val="20"/>
          <w:szCs w:val="20"/>
        </w:rPr>
      </w:pPr>
    </w:p>
    <w:p w14:paraId="41E44A4D">
      <w:pPr>
        <w:pStyle w:val="151"/>
        <w:spacing w:line="200" w:lineRule="atLeast"/>
        <w:rPr>
          <w:rFonts w:hint="eastAsia" w:ascii="宋体" w:hAnsi="宋体" w:cs="宋体"/>
        </w:rPr>
      </w:pPr>
      <w:r>
        <w:rPr>
          <w:rFonts w:hint="eastAsia" w:ascii="宋体" w:hAnsi="宋体" w:cs="宋体"/>
          <w:sz w:val="20"/>
          <w:szCs w:val="20"/>
        </w:rPr>
        <w:t xml:space="preserve"> </w:t>
      </w:r>
      <w:r>
        <w:rPr>
          <w:rFonts w:hint="eastAsia" w:ascii="宋体" w:hAnsi="宋体" w:cs="宋体"/>
          <w:u w:val="single"/>
        </w:rPr>
        <w:t xml:space="preserve">       </w:t>
      </w:r>
      <w:r>
        <w:rPr>
          <w:rFonts w:hint="eastAsia" w:ascii="宋体" w:hAnsi="宋体" w:cs="宋体"/>
        </w:rPr>
        <w:t>年</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月</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日</w:t>
      </w:r>
    </w:p>
    <w:p w14:paraId="6E0352EC">
      <w:pPr>
        <w:pStyle w:val="151"/>
        <w:spacing w:line="200" w:lineRule="atLeast"/>
        <w:rPr>
          <w:rFonts w:hint="eastAsia" w:ascii="宋体" w:hAnsi="宋体" w:cs="宋体"/>
          <w:sz w:val="20"/>
          <w:szCs w:val="20"/>
        </w:rPr>
      </w:pPr>
    </w:p>
    <w:p w14:paraId="1091179B">
      <w:pPr>
        <w:pStyle w:val="151"/>
        <w:spacing w:before="6" w:line="220" w:lineRule="atLeast"/>
        <w:rPr>
          <w:rFonts w:hint="eastAsia" w:ascii="宋体" w:hAnsi="宋体" w:cs="宋体"/>
          <w:sz w:val="22"/>
          <w:szCs w:val="22"/>
        </w:rPr>
      </w:pPr>
    </w:p>
    <w:p w14:paraId="29435021">
      <w:pPr>
        <w:pStyle w:val="151"/>
        <w:ind w:left="120" w:right="-20"/>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1665CC05">
      <w:pPr>
        <w:pStyle w:val="3"/>
        <w:widowControl/>
        <w:spacing w:before="120" w:after="120" w:line="240" w:lineRule="auto"/>
        <w:jc w:val="center"/>
        <w:rPr>
          <w:rStyle w:val="102"/>
          <w:rFonts w:hint="eastAsia" w:ascii="宋体" w:hAnsi="宋体" w:eastAsia="宋体" w:cs="宋体"/>
          <w:b/>
          <w:bCs w:val="0"/>
          <w:sz w:val="30"/>
          <w:szCs w:val="30"/>
        </w:rPr>
      </w:pPr>
      <w:r>
        <w:rPr>
          <w:rStyle w:val="102"/>
          <w:rFonts w:hint="eastAsia" w:ascii="宋体" w:hAnsi="宋体" w:eastAsia="宋体" w:cs="宋体"/>
          <w:b/>
          <w:bCs w:val="0"/>
          <w:sz w:val="30"/>
          <w:szCs w:val="30"/>
        </w:rPr>
        <w:t>二、</w:t>
      </w:r>
      <w:bookmarkEnd w:id="635"/>
      <w:bookmarkEnd w:id="636"/>
      <w:r>
        <w:rPr>
          <w:rStyle w:val="102"/>
          <w:rFonts w:hint="eastAsia" w:ascii="宋体" w:hAnsi="宋体" w:eastAsia="宋体" w:cs="宋体"/>
          <w:b/>
          <w:bCs w:val="0"/>
          <w:sz w:val="30"/>
          <w:szCs w:val="30"/>
        </w:rPr>
        <w:t>响应报价一览表</w:t>
      </w:r>
    </w:p>
    <w:p w14:paraId="5A50A0F9">
      <w:pPr>
        <w:widowControl/>
        <w:spacing w:line="333" w:lineRule="atLeast"/>
        <w:jc w:val="right"/>
        <w:rPr>
          <w:rFonts w:hint="eastAsia" w:ascii="宋体" w:hAnsi="宋体" w:cs="宋体"/>
          <w:kern w:val="0"/>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6"/>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78E70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623C6365">
            <w:pPr>
              <w:widowControl/>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715" w:type="dxa"/>
            <w:vAlign w:val="center"/>
          </w:tcPr>
          <w:p w14:paraId="41BE0BF5">
            <w:pPr>
              <w:widowControl/>
              <w:adjustRightInd w:val="0"/>
              <w:snapToGrid w:val="0"/>
              <w:jc w:val="center"/>
              <w:rPr>
                <w:rFonts w:hint="eastAsia" w:ascii="宋体" w:hAnsi="宋体" w:cs="宋体"/>
                <w:b/>
                <w:kern w:val="0"/>
                <w:szCs w:val="21"/>
              </w:rPr>
            </w:pPr>
            <w:r>
              <w:rPr>
                <w:rFonts w:hint="eastAsia" w:ascii="宋体" w:hAnsi="宋体" w:cs="宋体"/>
                <w:b/>
                <w:kern w:val="0"/>
                <w:szCs w:val="21"/>
              </w:rPr>
              <w:t>项目</w:t>
            </w:r>
          </w:p>
        </w:tc>
        <w:tc>
          <w:tcPr>
            <w:tcW w:w="6095" w:type="dxa"/>
            <w:vAlign w:val="center"/>
          </w:tcPr>
          <w:p w14:paraId="32DD8FEB">
            <w:pPr>
              <w:widowControl/>
              <w:adjustRightInd w:val="0"/>
              <w:snapToGrid w:val="0"/>
              <w:jc w:val="center"/>
              <w:rPr>
                <w:rFonts w:hint="eastAsia" w:ascii="宋体" w:hAnsi="宋体" w:cs="宋体"/>
                <w:b/>
                <w:kern w:val="0"/>
                <w:szCs w:val="21"/>
              </w:rPr>
            </w:pPr>
            <w:r>
              <w:rPr>
                <w:rFonts w:hint="eastAsia" w:ascii="宋体" w:hAnsi="宋体" w:cs="宋体"/>
                <w:b/>
                <w:kern w:val="0"/>
                <w:szCs w:val="21"/>
              </w:rPr>
              <w:t>内容</w:t>
            </w:r>
          </w:p>
        </w:tc>
      </w:tr>
      <w:tr w14:paraId="6BDFD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516B5F5C">
            <w:pPr>
              <w:widowControl/>
              <w:adjustRightInd w:val="0"/>
              <w:snapToGrid w:val="0"/>
              <w:jc w:val="center"/>
              <w:rPr>
                <w:rFonts w:hint="eastAsia" w:ascii="宋体" w:hAnsi="宋体" w:cs="宋体"/>
                <w:kern w:val="0"/>
                <w:szCs w:val="21"/>
              </w:rPr>
            </w:pPr>
            <w:r>
              <w:rPr>
                <w:rFonts w:hint="eastAsia" w:ascii="宋体" w:hAnsi="宋体" w:cs="宋体"/>
                <w:kern w:val="0"/>
                <w:szCs w:val="21"/>
              </w:rPr>
              <w:t>1</w:t>
            </w:r>
          </w:p>
        </w:tc>
        <w:tc>
          <w:tcPr>
            <w:tcW w:w="2715" w:type="dxa"/>
            <w:vAlign w:val="center"/>
          </w:tcPr>
          <w:p w14:paraId="1F361B2D">
            <w:pPr>
              <w:widowControl/>
              <w:adjustRightInd w:val="0"/>
              <w:snapToGrid w:val="0"/>
              <w:jc w:val="center"/>
              <w:rPr>
                <w:rFonts w:hint="eastAsia" w:ascii="宋体" w:hAnsi="宋体" w:cs="宋体"/>
                <w:kern w:val="0"/>
                <w:szCs w:val="21"/>
              </w:rPr>
            </w:pPr>
            <w:r>
              <w:rPr>
                <w:rFonts w:hint="eastAsia" w:ascii="宋体" w:hAnsi="宋体" w:cs="宋体"/>
                <w:kern w:val="0"/>
                <w:szCs w:val="21"/>
              </w:rPr>
              <w:t>项目名称</w:t>
            </w:r>
          </w:p>
        </w:tc>
        <w:tc>
          <w:tcPr>
            <w:tcW w:w="6095" w:type="dxa"/>
            <w:vAlign w:val="center"/>
          </w:tcPr>
          <w:p w14:paraId="79BD3D26">
            <w:pPr>
              <w:widowControl/>
              <w:adjustRightInd w:val="0"/>
              <w:snapToGrid w:val="0"/>
              <w:rPr>
                <w:rFonts w:hint="eastAsia" w:ascii="宋体" w:hAnsi="宋体" w:cs="宋体"/>
                <w:kern w:val="0"/>
                <w:szCs w:val="21"/>
              </w:rPr>
            </w:pPr>
          </w:p>
        </w:tc>
      </w:tr>
      <w:tr w14:paraId="4595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053AF4FA">
            <w:pPr>
              <w:widowControl/>
              <w:adjustRightInd w:val="0"/>
              <w:snapToGrid w:val="0"/>
              <w:jc w:val="center"/>
              <w:rPr>
                <w:rFonts w:hint="eastAsia" w:ascii="宋体" w:hAnsi="宋体" w:cs="宋体"/>
                <w:kern w:val="0"/>
                <w:szCs w:val="21"/>
              </w:rPr>
            </w:pPr>
            <w:r>
              <w:rPr>
                <w:rFonts w:hint="eastAsia" w:ascii="宋体" w:hAnsi="宋体" w:cs="宋体"/>
                <w:kern w:val="0"/>
                <w:szCs w:val="21"/>
              </w:rPr>
              <w:t>2</w:t>
            </w:r>
          </w:p>
        </w:tc>
        <w:tc>
          <w:tcPr>
            <w:tcW w:w="2715" w:type="dxa"/>
            <w:vAlign w:val="center"/>
          </w:tcPr>
          <w:p w14:paraId="41D4DDBB">
            <w:pPr>
              <w:widowControl/>
              <w:adjustRightInd w:val="0"/>
              <w:snapToGrid w:val="0"/>
              <w:jc w:val="center"/>
              <w:rPr>
                <w:rFonts w:hint="eastAsia" w:ascii="宋体" w:hAnsi="宋体" w:cs="宋体"/>
                <w:kern w:val="0"/>
                <w:szCs w:val="21"/>
              </w:rPr>
            </w:pPr>
            <w:r>
              <w:rPr>
                <w:rFonts w:hint="eastAsia" w:ascii="宋体" w:hAnsi="宋体" w:cs="宋体"/>
                <w:kern w:val="0"/>
                <w:szCs w:val="21"/>
              </w:rPr>
              <w:t>项目编号</w:t>
            </w:r>
          </w:p>
        </w:tc>
        <w:tc>
          <w:tcPr>
            <w:tcW w:w="6095" w:type="dxa"/>
            <w:vAlign w:val="center"/>
          </w:tcPr>
          <w:p w14:paraId="1E4B30A4">
            <w:pPr>
              <w:widowControl/>
              <w:adjustRightInd w:val="0"/>
              <w:snapToGrid w:val="0"/>
              <w:rPr>
                <w:rFonts w:hint="eastAsia" w:ascii="宋体" w:hAnsi="宋体" w:cs="宋体"/>
                <w:kern w:val="0"/>
                <w:szCs w:val="21"/>
              </w:rPr>
            </w:pPr>
          </w:p>
        </w:tc>
      </w:tr>
      <w:tr w14:paraId="49678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208D2CDB">
            <w:pPr>
              <w:widowControl/>
              <w:adjustRightInd w:val="0"/>
              <w:snapToGrid w:val="0"/>
              <w:jc w:val="center"/>
              <w:rPr>
                <w:rFonts w:hint="eastAsia" w:ascii="宋体" w:hAnsi="宋体" w:cs="宋体"/>
                <w:kern w:val="0"/>
                <w:szCs w:val="21"/>
              </w:rPr>
            </w:pPr>
            <w:r>
              <w:rPr>
                <w:rFonts w:hint="eastAsia" w:ascii="宋体" w:hAnsi="宋体" w:cs="宋体"/>
                <w:kern w:val="0"/>
                <w:szCs w:val="21"/>
              </w:rPr>
              <w:t>3</w:t>
            </w:r>
          </w:p>
        </w:tc>
        <w:tc>
          <w:tcPr>
            <w:tcW w:w="2715" w:type="dxa"/>
            <w:vAlign w:val="center"/>
          </w:tcPr>
          <w:p w14:paraId="62FE9CC2">
            <w:pPr>
              <w:widowControl/>
              <w:adjustRightInd w:val="0"/>
              <w:snapToGrid w:val="0"/>
              <w:jc w:val="center"/>
              <w:rPr>
                <w:rFonts w:hint="eastAsia" w:ascii="宋体" w:hAnsi="宋体" w:cs="宋体"/>
                <w:kern w:val="0"/>
                <w:szCs w:val="21"/>
              </w:rPr>
            </w:pPr>
            <w:r>
              <w:rPr>
                <w:rFonts w:hint="eastAsia" w:ascii="宋体" w:hAnsi="宋体" w:cs="宋体"/>
                <w:kern w:val="0"/>
                <w:szCs w:val="21"/>
              </w:rPr>
              <w:t>响应报价</w:t>
            </w:r>
          </w:p>
        </w:tc>
        <w:tc>
          <w:tcPr>
            <w:tcW w:w="6095" w:type="dxa"/>
            <w:vAlign w:val="center"/>
          </w:tcPr>
          <w:p w14:paraId="5CD09817">
            <w:pPr>
              <w:widowControl/>
              <w:adjustRightInd w:val="0"/>
              <w:snapToGrid w:val="0"/>
              <w:rPr>
                <w:rFonts w:hint="eastAsia" w:ascii="宋体" w:hAnsi="宋体" w:cs="宋体"/>
                <w:kern w:val="0"/>
                <w:szCs w:val="21"/>
              </w:rPr>
            </w:pPr>
            <w:r>
              <w:rPr>
                <w:rFonts w:hint="eastAsia" w:ascii="宋体" w:hAnsi="宋体" w:cs="宋体"/>
                <w:kern w:val="0"/>
                <w:szCs w:val="21"/>
              </w:rPr>
              <w:t xml:space="preserve">              元/年</w:t>
            </w:r>
          </w:p>
        </w:tc>
      </w:tr>
      <w:tr w14:paraId="392FA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vAlign w:val="center"/>
          </w:tcPr>
          <w:p w14:paraId="24ABB3CD">
            <w:pPr>
              <w:widowControl/>
              <w:adjustRightInd w:val="0"/>
              <w:snapToGrid w:val="0"/>
              <w:jc w:val="center"/>
              <w:rPr>
                <w:rFonts w:hint="eastAsia" w:ascii="宋体" w:hAnsi="宋体" w:cs="宋体"/>
                <w:kern w:val="0"/>
                <w:szCs w:val="21"/>
              </w:rPr>
            </w:pPr>
            <w:r>
              <w:rPr>
                <w:rFonts w:hint="eastAsia" w:ascii="宋体" w:hAnsi="宋体" w:cs="宋体"/>
                <w:kern w:val="0"/>
                <w:szCs w:val="21"/>
              </w:rPr>
              <w:t>…</w:t>
            </w:r>
          </w:p>
        </w:tc>
        <w:tc>
          <w:tcPr>
            <w:tcW w:w="2715" w:type="dxa"/>
            <w:vAlign w:val="center"/>
          </w:tcPr>
          <w:p w14:paraId="6A1D8C92">
            <w:pPr>
              <w:widowControl/>
              <w:adjustRightInd w:val="0"/>
              <w:snapToGrid w:val="0"/>
              <w:rPr>
                <w:rFonts w:hint="eastAsia" w:ascii="宋体" w:hAnsi="宋体" w:cs="宋体"/>
                <w:kern w:val="0"/>
                <w:szCs w:val="21"/>
              </w:rPr>
            </w:pPr>
          </w:p>
        </w:tc>
        <w:tc>
          <w:tcPr>
            <w:tcW w:w="6095" w:type="dxa"/>
            <w:vAlign w:val="center"/>
          </w:tcPr>
          <w:p w14:paraId="0AA6B9B9">
            <w:pPr>
              <w:widowControl/>
              <w:adjustRightInd w:val="0"/>
              <w:snapToGrid w:val="0"/>
              <w:jc w:val="center"/>
              <w:rPr>
                <w:rFonts w:hint="eastAsia" w:ascii="宋体" w:hAnsi="宋体" w:cs="宋体"/>
                <w:kern w:val="0"/>
                <w:szCs w:val="21"/>
              </w:rPr>
            </w:pPr>
          </w:p>
        </w:tc>
      </w:tr>
    </w:tbl>
    <w:p w14:paraId="74CA77B0">
      <w:pPr>
        <w:widowControl/>
        <w:spacing w:line="200" w:lineRule="atLeast"/>
        <w:rPr>
          <w:rFonts w:hint="eastAsia" w:ascii="宋体" w:hAnsi="宋体" w:cs="宋体"/>
          <w:kern w:val="0"/>
          <w:szCs w:val="21"/>
        </w:rPr>
      </w:pPr>
    </w:p>
    <w:p w14:paraId="165EA449">
      <w:pPr>
        <w:widowControl/>
        <w:spacing w:before="18" w:line="280" w:lineRule="atLeast"/>
        <w:rPr>
          <w:rFonts w:hint="eastAsia" w:ascii="宋体" w:hAnsi="宋体" w:cs="宋体"/>
          <w:kern w:val="0"/>
          <w:szCs w:val="21"/>
        </w:rPr>
      </w:pPr>
    </w:p>
    <w:p w14:paraId="47D1360C">
      <w:pPr>
        <w:widowControl/>
        <w:spacing w:line="360" w:lineRule="auto"/>
        <w:ind w:left="2977" w:right="-20"/>
        <w:rPr>
          <w:rFonts w:hint="eastAsia" w:ascii="宋体" w:hAnsi="宋体" w:cs="宋体"/>
          <w:kern w:val="0"/>
          <w:szCs w:val="21"/>
        </w:rPr>
      </w:pPr>
      <w:r>
        <w:rPr>
          <w:rFonts w:hint="eastAsia" w:ascii="宋体" w:hAnsi="宋体" w:cs="宋体"/>
          <w:kern w:val="0"/>
          <w:szCs w:val="21"/>
        </w:rPr>
        <w:t>供 应 商：</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（单位盖章）</w:t>
      </w:r>
    </w:p>
    <w:p w14:paraId="401346AC">
      <w:pPr>
        <w:widowControl/>
        <w:spacing w:before="34" w:line="360" w:lineRule="auto"/>
        <w:ind w:left="2977" w:right="-20"/>
        <w:rPr>
          <w:rFonts w:hint="eastAsia" w:ascii="宋体" w:hAnsi="宋体" w:cs="宋体"/>
          <w:kern w:val="0"/>
          <w:szCs w:val="21"/>
        </w:rPr>
      </w:pPr>
      <w:r>
        <w:rPr>
          <w:rFonts w:hint="eastAsia" w:ascii="宋体" w:hAnsi="宋体" w:cs="宋体"/>
          <w:kern w:val="0"/>
          <w:szCs w:val="21"/>
        </w:rPr>
        <w:t>法定代表人（单位负责人）或其委托代理人</w:t>
      </w:r>
      <w:r>
        <w:rPr>
          <w:rFonts w:hint="eastAsia" w:ascii="宋体" w:hAnsi="宋体" w:cs="宋体"/>
          <w:spacing w:val="-47"/>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（签字或盖章）</w:t>
      </w:r>
    </w:p>
    <w:p w14:paraId="3E8B05EF">
      <w:pPr>
        <w:widowControl/>
        <w:spacing w:before="34" w:line="360" w:lineRule="auto"/>
        <w:ind w:left="5516" w:right="-20"/>
        <w:rPr>
          <w:rFonts w:hint="eastAsia" w:ascii="宋体" w:hAnsi="宋体" w:cs="宋体"/>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w:t>
      </w:r>
    </w:p>
    <w:p w14:paraId="766F664E">
      <w:pPr>
        <w:widowControl/>
        <w:spacing w:line="200" w:lineRule="atLeast"/>
        <w:rPr>
          <w:rFonts w:hint="eastAsia" w:ascii="宋体" w:hAnsi="宋体" w:cs="宋体"/>
          <w:kern w:val="0"/>
          <w:szCs w:val="21"/>
        </w:rPr>
      </w:pPr>
    </w:p>
    <w:p w14:paraId="2AB4BF4A">
      <w:pPr>
        <w:topLinePunct/>
        <w:snapToGrid w:val="0"/>
        <w:spacing w:after="120" w:afterLines="50" w:line="360" w:lineRule="auto"/>
        <w:jc w:val="center"/>
        <w:rPr>
          <w:rFonts w:hint="eastAsia" w:ascii="宋体" w:hAnsi="宋体" w:cs="宋体"/>
          <w:b/>
          <w:sz w:val="24"/>
          <w:szCs w:val="28"/>
        </w:rPr>
      </w:pPr>
      <w:r>
        <w:rPr>
          <w:rFonts w:hint="eastAsia" w:ascii="宋体" w:hAnsi="宋体" w:cs="宋体"/>
          <w:b/>
          <w:sz w:val="24"/>
          <w:szCs w:val="28"/>
        </w:rPr>
        <w:t>最后报价/第</w:t>
      </w:r>
      <w:r>
        <w:rPr>
          <w:rFonts w:hint="eastAsia" w:ascii="宋体" w:hAnsi="宋体" w:cs="宋体"/>
          <w:b/>
          <w:sz w:val="24"/>
          <w:szCs w:val="28"/>
          <w:u w:val="single"/>
        </w:rPr>
        <w:t xml:space="preserve">   </w:t>
      </w:r>
      <w:r>
        <w:rPr>
          <w:rFonts w:hint="eastAsia" w:ascii="宋体" w:hAnsi="宋体" w:cs="宋体"/>
          <w:b/>
          <w:sz w:val="24"/>
          <w:szCs w:val="28"/>
        </w:rPr>
        <w:t>次报价函</w:t>
      </w:r>
    </w:p>
    <w:p w14:paraId="731B4495">
      <w:pPr>
        <w:widowControl/>
        <w:topLinePunct/>
        <w:spacing w:line="333" w:lineRule="atLeast"/>
        <w:jc w:val="right"/>
        <w:rPr>
          <w:rFonts w:hint="eastAsia" w:ascii="宋体" w:hAnsi="宋体" w:cs="宋体"/>
          <w:kern w:val="0"/>
          <w:position w:val="-4"/>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人民币元</w:t>
      </w:r>
    </w:p>
    <w:tbl>
      <w:tblPr>
        <w:tblStyle w:val="46"/>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090C0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78230C00">
            <w:pPr>
              <w:widowControl/>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715" w:type="dxa"/>
            <w:vAlign w:val="center"/>
          </w:tcPr>
          <w:p w14:paraId="73905036">
            <w:pPr>
              <w:widowControl/>
              <w:adjustRightInd w:val="0"/>
              <w:snapToGrid w:val="0"/>
              <w:jc w:val="center"/>
              <w:rPr>
                <w:rFonts w:hint="eastAsia" w:ascii="宋体" w:hAnsi="宋体" w:cs="宋体"/>
                <w:b/>
                <w:kern w:val="0"/>
                <w:szCs w:val="21"/>
              </w:rPr>
            </w:pPr>
            <w:r>
              <w:rPr>
                <w:rFonts w:hint="eastAsia" w:ascii="宋体" w:hAnsi="宋体" w:cs="宋体"/>
                <w:b/>
                <w:kern w:val="0"/>
                <w:szCs w:val="21"/>
              </w:rPr>
              <w:t>项目</w:t>
            </w:r>
          </w:p>
        </w:tc>
        <w:tc>
          <w:tcPr>
            <w:tcW w:w="6095" w:type="dxa"/>
            <w:vAlign w:val="center"/>
          </w:tcPr>
          <w:p w14:paraId="02621D55">
            <w:pPr>
              <w:widowControl/>
              <w:adjustRightInd w:val="0"/>
              <w:snapToGrid w:val="0"/>
              <w:jc w:val="center"/>
              <w:rPr>
                <w:rFonts w:hint="eastAsia" w:ascii="宋体" w:hAnsi="宋体" w:cs="宋体"/>
                <w:b/>
                <w:kern w:val="0"/>
                <w:szCs w:val="21"/>
              </w:rPr>
            </w:pPr>
            <w:r>
              <w:rPr>
                <w:rFonts w:hint="eastAsia" w:ascii="宋体" w:hAnsi="宋体" w:cs="宋体"/>
                <w:b/>
                <w:kern w:val="0"/>
                <w:szCs w:val="21"/>
              </w:rPr>
              <w:t>内容</w:t>
            </w:r>
          </w:p>
        </w:tc>
      </w:tr>
      <w:tr w14:paraId="2991D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2D7AD1F0">
            <w:pPr>
              <w:widowControl/>
              <w:adjustRightInd w:val="0"/>
              <w:snapToGrid w:val="0"/>
              <w:jc w:val="center"/>
              <w:rPr>
                <w:rFonts w:hint="eastAsia" w:ascii="宋体" w:hAnsi="宋体" w:cs="宋体"/>
                <w:kern w:val="0"/>
                <w:szCs w:val="21"/>
              </w:rPr>
            </w:pPr>
            <w:r>
              <w:rPr>
                <w:rFonts w:hint="eastAsia" w:ascii="宋体" w:hAnsi="宋体" w:cs="宋体"/>
                <w:kern w:val="0"/>
                <w:szCs w:val="21"/>
              </w:rPr>
              <w:t>1</w:t>
            </w:r>
          </w:p>
        </w:tc>
        <w:tc>
          <w:tcPr>
            <w:tcW w:w="2715" w:type="dxa"/>
            <w:vAlign w:val="center"/>
          </w:tcPr>
          <w:p w14:paraId="5BD4B733">
            <w:pPr>
              <w:widowControl/>
              <w:adjustRightInd w:val="0"/>
              <w:snapToGrid w:val="0"/>
              <w:jc w:val="center"/>
              <w:rPr>
                <w:rFonts w:hint="eastAsia" w:ascii="宋体" w:hAnsi="宋体" w:cs="宋体"/>
                <w:kern w:val="0"/>
                <w:szCs w:val="21"/>
              </w:rPr>
            </w:pPr>
            <w:r>
              <w:rPr>
                <w:rFonts w:hint="eastAsia" w:ascii="宋体" w:hAnsi="宋体" w:cs="宋体"/>
                <w:kern w:val="0"/>
                <w:szCs w:val="21"/>
              </w:rPr>
              <w:t>项目名称</w:t>
            </w:r>
          </w:p>
        </w:tc>
        <w:tc>
          <w:tcPr>
            <w:tcW w:w="6095" w:type="dxa"/>
            <w:vAlign w:val="center"/>
          </w:tcPr>
          <w:p w14:paraId="0A84F403">
            <w:pPr>
              <w:widowControl/>
              <w:adjustRightInd w:val="0"/>
              <w:snapToGrid w:val="0"/>
              <w:rPr>
                <w:rFonts w:hint="eastAsia" w:ascii="宋体" w:hAnsi="宋体" w:cs="宋体"/>
                <w:kern w:val="0"/>
                <w:szCs w:val="21"/>
              </w:rPr>
            </w:pPr>
          </w:p>
        </w:tc>
      </w:tr>
      <w:tr w14:paraId="619BB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5ACCBA8F">
            <w:pPr>
              <w:widowControl/>
              <w:adjustRightInd w:val="0"/>
              <w:snapToGrid w:val="0"/>
              <w:jc w:val="center"/>
              <w:rPr>
                <w:rFonts w:hint="eastAsia" w:ascii="宋体" w:hAnsi="宋体" w:cs="宋体"/>
                <w:kern w:val="0"/>
                <w:szCs w:val="21"/>
              </w:rPr>
            </w:pPr>
            <w:r>
              <w:rPr>
                <w:rFonts w:hint="eastAsia" w:ascii="宋体" w:hAnsi="宋体" w:cs="宋体"/>
                <w:kern w:val="0"/>
                <w:szCs w:val="21"/>
              </w:rPr>
              <w:t>2</w:t>
            </w:r>
          </w:p>
        </w:tc>
        <w:tc>
          <w:tcPr>
            <w:tcW w:w="2715" w:type="dxa"/>
            <w:vAlign w:val="center"/>
          </w:tcPr>
          <w:p w14:paraId="7B1DEEFD">
            <w:pPr>
              <w:widowControl/>
              <w:adjustRightInd w:val="0"/>
              <w:snapToGrid w:val="0"/>
              <w:jc w:val="center"/>
              <w:rPr>
                <w:rFonts w:hint="eastAsia" w:ascii="宋体" w:hAnsi="宋体" w:cs="宋体"/>
                <w:kern w:val="0"/>
                <w:szCs w:val="21"/>
              </w:rPr>
            </w:pPr>
            <w:r>
              <w:rPr>
                <w:rFonts w:hint="eastAsia" w:ascii="宋体" w:hAnsi="宋体" w:cs="宋体"/>
                <w:kern w:val="0"/>
                <w:szCs w:val="21"/>
              </w:rPr>
              <w:t>项目编号</w:t>
            </w:r>
          </w:p>
        </w:tc>
        <w:tc>
          <w:tcPr>
            <w:tcW w:w="6095" w:type="dxa"/>
            <w:vAlign w:val="center"/>
          </w:tcPr>
          <w:p w14:paraId="46666775">
            <w:pPr>
              <w:widowControl/>
              <w:adjustRightInd w:val="0"/>
              <w:snapToGrid w:val="0"/>
              <w:rPr>
                <w:rFonts w:hint="eastAsia" w:ascii="宋体" w:hAnsi="宋体" w:cs="宋体"/>
                <w:kern w:val="0"/>
                <w:szCs w:val="21"/>
              </w:rPr>
            </w:pPr>
          </w:p>
        </w:tc>
      </w:tr>
      <w:tr w14:paraId="2734B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2EC5D5CD">
            <w:pPr>
              <w:widowControl/>
              <w:adjustRightInd w:val="0"/>
              <w:snapToGrid w:val="0"/>
              <w:jc w:val="center"/>
              <w:rPr>
                <w:rFonts w:hint="eastAsia" w:ascii="宋体" w:hAnsi="宋体" w:cs="宋体"/>
                <w:kern w:val="0"/>
                <w:szCs w:val="21"/>
              </w:rPr>
            </w:pPr>
            <w:r>
              <w:rPr>
                <w:rFonts w:hint="eastAsia" w:ascii="宋体" w:hAnsi="宋体" w:cs="宋体"/>
                <w:kern w:val="0"/>
                <w:szCs w:val="21"/>
              </w:rPr>
              <w:t>3</w:t>
            </w:r>
          </w:p>
        </w:tc>
        <w:tc>
          <w:tcPr>
            <w:tcW w:w="2715" w:type="dxa"/>
            <w:vAlign w:val="center"/>
          </w:tcPr>
          <w:p w14:paraId="76A7E1ED">
            <w:pPr>
              <w:widowControl/>
              <w:adjustRightInd w:val="0"/>
              <w:snapToGrid w:val="0"/>
              <w:jc w:val="center"/>
              <w:rPr>
                <w:rFonts w:hint="eastAsia" w:ascii="宋体" w:hAnsi="宋体" w:cs="宋体"/>
                <w:kern w:val="0"/>
                <w:szCs w:val="21"/>
              </w:rPr>
            </w:pPr>
            <w:r>
              <w:rPr>
                <w:rFonts w:hint="eastAsia" w:ascii="宋体" w:hAnsi="宋体" w:cs="宋体"/>
                <w:kern w:val="0"/>
                <w:szCs w:val="21"/>
              </w:rPr>
              <w:t>响应报价</w:t>
            </w:r>
          </w:p>
        </w:tc>
        <w:tc>
          <w:tcPr>
            <w:tcW w:w="6095" w:type="dxa"/>
            <w:vAlign w:val="center"/>
          </w:tcPr>
          <w:p w14:paraId="219333BD">
            <w:pPr>
              <w:widowControl/>
              <w:adjustRightInd w:val="0"/>
              <w:snapToGrid w:val="0"/>
              <w:rPr>
                <w:rFonts w:hint="eastAsia" w:ascii="宋体" w:hAnsi="宋体" w:cs="宋体"/>
                <w:kern w:val="0"/>
                <w:szCs w:val="21"/>
              </w:rPr>
            </w:pPr>
            <w:r>
              <w:rPr>
                <w:rFonts w:hint="eastAsia" w:ascii="宋体" w:hAnsi="宋体" w:cs="宋体"/>
                <w:kern w:val="0"/>
                <w:szCs w:val="21"/>
              </w:rPr>
              <w:t xml:space="preserve">              元/年</w:t>
            </w:r>
          </w:p>
        </w:tc>
      </w:tr>
      <w:tr w14:paraId="62EE5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vAlign w:val="center"/>
          </w:tcPr>
          <w:p w14:paraId="2B588CDD">
            <w:pPr>
              <w:widowControl/>
              <w:adjustRightInd w:val="0"/>
              <w:snapToGrid w:val="0"/>
              <w:jc w:val="center"/>
              <w:rPr>
                <w:rFonts w:hint="eastAsia" w:ascii="宋体" w:hAnsi="宋体" w:cs="宋体"/>
                <w:kern w:val="0"/>
                <w:szCs w:val="21"/>
              </w:rPr>
            </w:pPr>
            <w:r>
              <w:rPr>
                <w:rFonts w:hint="eastAsia" w:ascii="宋体" w:hAnsi="宋体" w:cs="宋体"/>
                <w:kern w:val="0"/>
                <w:szCs w:val="21"/>
              </w:rPr>
              <w:t>…</w:t>
            </w:r>
          </w:p>
        </w:tc>
        <w:tc>
          <w:tcPr>
            <w:tcW w:w="2715" w:type="dxa"/>
            <w:vAlign w:val="center"/>
          </w:tcPr>
          <w:p w14:paraId="7F20C92E">
            <w:pPr>
              <w:widowControl/>
              <w:adjustRightInd w:val="0"/>
              <w:snapToGrid w:val="0"/>
              <w:jc w:val="center"/>
              <w:rPr>
                <w:rFonts w:hint="eastAsia" w:ascii="宋体" w:hAnsi="宋体" w:cs="宋体"/>
                <w:kern w:val="0"/>
                <w:szCs w:val="21"/>
              </w:rPr>
            </w:pPr>
          </w:p>
        </w:tc>
        <w:tc>
          <w:tcPr>
            <w:tcW w:w="6095" w:type="dxa"/>
            <w:vAlign w:val="center"/>
          </w:tcPr>
          <w:p w14:paraId="27D2F42E">
            <w:pPr>
              <w:widowControl/>
              <w:adjustRightInd w:val="0"/>
              <w:snapToGrid w:val="0"/>
              <w:jc w:val="center"/>
              <w:rPr>
                <w:rFonts w:hint="eastAsia" w:ascii="宋体" w:hAnsi="宋体" w:cs="宋体"/>
                <w:kern w:val="0"/>
                <w:szCs w:val="21"/>
              </w:rPr>
            </w:pPr>
          </w:p>
        </w:tc>
      </w:tr>
    </w:tbl>
    <w:p w14:paraId="6C64A29E">
      <w:pPr>
        <w:widowControl/>
        <w:topLinePunct/>
        <w:spacing w:line="333" w:lineRule="atLeast"/>
        <w:jc w:val="right"/>
        <w:rPr>
          <w:rFonts w:hint="eastAsia" w:ascii="宋体" w:hAnsi="宋体" w:cs="宋体"/>
          <w:kern w:val="0"/>
          <w:szCs w:val="21"/>
        </w:rPr>
      </w:pPr>
    </w:p>
    <w:p w14:paraId="6BBF88F2">
      <w:pPr>
        <w:topLinePunct/>
        <w:spacing w:line="360" w:lineRule="auto"/>
        <w:ind w:firstLine="482" w:firstLineChars="200"/>
        <w:rPr>
          <w:rFonts w:hint="eastAsia" w:ascii="宋体" w:hAnsi="宋体" w:cs="宋体"/>
          <w:bCs/>
          <w:sz w:val="24"/>
        </w:rPr>
      </w:pPr>
      <w:r>
        <w:rPr>
          <w:rFonts w:hint="eastAsia" w:ascii="宋体" w:hAnsi="宋体" w:cs="宋体"/>
          <w:b/>
          <w:bCs/>
          <w:sz w:val="24"/>
        </w:rPr>
        <w:t>注：</w:t>
      </w:r>
      <w:r>
        <w:rPr>
          <w:rFonts w:hint="eastAsia" w:ascii="宋体" w:hAnsi="宋体" w:cs="宋体"/>
          <w:sz w:val="24"/>
        </w:rPr>
        <w:t>考虑报价的方便，供应商在填写最后报价后，（第一轮报价-最后报价）除以第一轮报价后得出的优惠率，视同为采购需求中全部分项内容的优惠率。</w:t>
      </w:r>
      <w:r>
        <w:rPr>
          <w:rFonts w:hint="eastAsia" w:ascii="宋体" w:hAnsi="宋体" w:cs="宋体"/>
          <w:bCs/>
          <w:sz w:val="24"/>
        </w:rPr>
        <w:t>此优惠率调整原则适用于合同内价格的计算及项目增减、变更时价格的计算。</w:t>
      </w:r>
    </w:p>
    <w:p w14:paraId="2DF5AE5E">
      <w:pPr>
        <w:widowControl/>
        <w:topLinePunct/>
        <w:spacing w:before="18" w:line="280" w:lineRule="atLeast"/>
        <w:rPr>
          <w:rFonts w:hint="eastAsia" w:ascii="宋体" w:hAnsi="宋体" w:cs="宋体"/>
          <w:kern w:val="0"/>
          <w:sz w:val="24"/>
        </w:rPr>
      </w:pPr>
    </w:p>
    <w:p w14:paraId="452F08C4">
      <w:pPr>
        <w:widowControl/>
        <w:topLinePunct/>
        <w:spacing w:line="295" w:lineRule="atLeast"/>
        <w:ind w:left="3940" w:right="-20"/>
        <w:rPr>
          <w:rFonts w:hint="eastAsia" w:ascii="宋体" w:hAnsi="宋体" w:cs="宋体"/>
          <w:kern w:val="0"/>
          <w:sz w:val="24"/>
        </w:rPr>
      </w:pPr>
      <w:r>
        <w:rPr>
          <w:rFonts w:hint="eastAsia" w:ascii="宋体" w:hAnsi="宋体" w:cs="宋体"/>
          <w:kern w:val="0"/>
          <w:sz w:val="24"/>
        </w:rPr>
        <w:t>供应商：</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（单位盖章）</w:t>
      </w:r>
    </w:p>
    <w:p w14:paraId="38701F05">
      <w:pPr>
        <w:widowControl/>
        <w:topLinePunct/>
        <w:spacing w:before="34"/>
        <w:ind w:left="3940" w:right="-20"/>
        <w:rPr>
          <w:rFonts w:hint="eastAsia" w:ascii="宋体" w:hAnsi="宋体" w:cs="宋体"/>
          <w:kern w:val="0"/>
          <w:sz w:val="24"/>
        </w:rPr>
      </w:pPr>
      <w:r>
        <w:rPr>
          <w:rFonts w:hint="eastAsia" w:ascii="宋体" w:hAnsi="宋体" w:cs="宋体"/>
          <w:kern w:val="0"/>
          <w:sz w:val="24"/>
        </w:rPr>
        <w:t>或</w:t>
      </w:r>
    </w:p>
    <w:p w14:paraId="4062D829">
      <w:pPr>
        <w:widowControl/>
        <w:topLinePunct/>
        <w:spacing w:before="34"/>
        <w:ind w:left="3940" w:right="-20"/>
        <w:rPr>
          <w:rFonts w:hint="eastAsia" w:ascii="宋体" w:hAnsi="宋体" w:cs="宋体"/>
          <w:kern w:val="0"/>
          <w:sz w:val="24"/>
        </w:rPr>
      </w:pPr>
      <w:r>
        <w:rPr>
          <w:rFonts w:hint="eastAsia" w:ascii="宋体" w:hAnsi="宋体" w:cs="宋体"/>
          <w:kern w:val="0"/>
          <w:sz w:val="24"/>
        </w:rPr>
        <w:t>法定代表人或其委托代理人</w:t>
      </w:r>
      <w:r>
        <w:rPr>
          <w:rFonts w:hint="eastAsia" w:ascii="宋体" w:hAnsi="宋体" w:cs="宋体"/>
          <w:spacing w:val="-47"/>
          <w:kern w:val="0"/>
          <w:sz w:val="24"/>
        </w:rPr>
        <w:t>：</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（签</w:t>
      </w:r>
      <w:r>
        <w:rPr>
          <w:rFonts w:hint="eastAsia" w:ascii="宋体" w:hAnsi="宋体" w:cs="宋体"/>
          <w:kern w:val="0"/>
          <w:sz w:val="24"/>
        </w:rPr>
        <w:t>字或盖章）</w:t>
      </w:r>
    </w:p>
    <w:p w14:paraId="2B0B7277">
      <w:pPr>
        <w:widowControl/>
        <w:topLinePunct/>
        <w:spacing w:before="34"/>
        <w:ind w:left="5516" w:right="-20"/>
        <w:rPr>
          <w:rFonts w:hint="eastAsia" w:ascii="宋体" w:hAnsi="宋体" w:cs="宋体"/>
          <w:kern w:val="0"/>
          <w:sz w:val="24"/>
          <w:u w:val="single"/>
        </w:rPr>
      </w:pPr>
    </w:p>
    <w:p w14:paraId="71330356">
      <w:pPr>
        <w:widowControl/>
        <w:topLinePunct/>
        <w:spacing w:before="34"/>
        <w:ind w:left="5516" w:right="-20"/>
        <w:rPr>
          <w:rFonts w:hint="eastAsia" w:ascii="宋体" w:hAnsi="宋体" w:cs="宋体"/>
          <w:kern w:val="0"/>
          <w:sz w:val="24"/>
        </w:rPr>
      </w:pP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日</w:t>
      </w:r>
    </w:p>
    <w:p w14:paraId="4D13FEB7">
      <w:pPr>
        <w:widowControl/>
        <w:spacing w:line="200" w:lineRule="atLeast"/>
        <w:rPr>
          <w:rFonts w:hint="eastAsia" w:ascii="宋体" w:hAnsi="宋体" w:cs="宋体"/>
          <w:kern w:val="0"/>
          <w:szCs w:val="21"/>
        </w:rPr>
      </w:pPr>
    </w:p>
    <w:p w14:paraId="131F91B8">
      <w:pPr>
        <w:widowControl/>
        <w:spacing w:line="272" w:lineRule="atLeast"/>
        <w:ind w:left="160" w:right="-20"/>
        <w:rPr>
          <w:rFonts w:hint="eastAsia" w:ascii="宋体" w:hAnsi="宋体" w:cs="宋体"/>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D25EE26">
      <w:pPr>
        <w:pStyle w:val="3"/>
        <w:widowControl/>
        <w:spacing w:before="120" w:after="120" w:line="240" w:lineRule="auto"/>
        <w:jc w:val="center"/>
        <w:rPr>
          <w:rStyle w:val="102"/>
          <w:rFonts w:hint="eastAsia" w:ascii="宋体" w:hAnsi="宋体" w:eastAsia="宋体" w:cs="宋体"/>
          <w:b w:val="0"/>
          <w:bCs/>
          <w:sz w:val="30"/>
          <w:szCs w:val="30"/>
        </w:rPr>
      </w:pPr>
      <w:bookmarkStart w:id="637" w:name="_Toc445554787"/>
      <w:bookmarkStart w:id="638" w:name="_Toc466024588"/>
      <w:r>
        <w:rPr>
          <w:rStyle w:val="102"/>
          <w:rFonts w:hint="eastAsia" w:ascii="宋体" w:hAnsi="宋体" w:eastAsia="宋体" w:cs="宋体"/>
          <w:b/>
          <w:bCs w:val="0"/>
          <w:sz w:val="30"/>
          <w:szCs w:val="30"/>
        </w:rPr>
        <w:t>三、分项报价表</w:t>
      </w:r>
      <w:bookmarkEnd w:id="637"/>
      <w:bookmarkEnd w:id="638"/>
    </w:p>
    <w:p w14:paraId="732E0B62">
      <w:pPr>
        <w:widowControl/>
        <w:ind w:left="1503" w:right="1683"/>
        <w:jc w:val="center"/>
        <w:rPr>
          <w:rFonts w:hint="eastAsia" w:ascii="宋体" w:hAnsi="宋体" w:cs="宋体"/>
          <w:kern w:val="0"/>
          <w:sz w:val="28"/>
          <w:szCs w:val="28"/>
        </w:rPr>
      </w:pPr>
    </w:p>
    <w:p w14:paraId="487797CD">
      <w:pPr>
        <w:widowControl/>
        <w:spacing w:line="333" w:lineRule="atLeast"/>
        <w:jc w:val="right"/>
        <w:rPr>
          <w:rFonts w:hint="eastAsia" w:ascii="宋体" w:hAnsi="宋体" w:cs="宋体"/>
          <w:kern w:val="0"/>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897"/>
        <w:gridCol w:w="2054"/>
        <w:gridCol w:w="2056"/>
        <w:gridCol w:w="2056"/>
      </w:tblGrid>
      <w:tr w14:paraId="5CAE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08" w:type="dxa"/>
            <w:vAlign w:val="center"/>
          </w:tcPr>
          <w:p w14:paraId="2F076E36">
            <w:pPr>
              <w:pStyle w:val="179"/>
              <w:snapToGrid w:val="0"/>
              <w:spacing w:before="0" w:beforeAutospacing="0" w:after="0" w:afterAutospacing="0"/>
              <w:jc w:val="center"/>
              <w:rPr>
                <w:rFonts w:hint="eastAsia"/>
              </w:rPr>
            </w:pPr>
            <w:r>
              <w:rPr>
                <w:rFonts w:hint="eastAsia"/>
              </w:rPr>
              <w:t>序号</w:t>
            </w:r>
          </w:p>
        </w:tc>
        <w:tc>
          <w:tcPr>
            <w:tcW w:w="1897" w:type="dxa"/>
            <w:vAlign w:val="center"/>
          </w:tcPr>
          <w:p w14:paraId="4B1BE62F">
            <w:pPr>
              <w:pStyle w:val="179"/>
              <w:snapToGrid w:val="0"/>
              <w:spacing w:before="0" w:beforeAutospacing="0" w:after="0" w:afterAutospacing="0"/>
              <w:jc w:val="center"/>
              <w:rPr>
                <w:rFonts w:hint="eastAsia"/>
              </w:rPr>
            </w:pPr>
            <w:r>
              <w:rPr>
                <w:rFonts w:hint="eastAsia"/>
              </w:rPr>
              <w:t>服务内容</w:t>
            </w:r>
          </w:p>
        </w:tc>
        <w:tc>
          <w:tcPr>
            <w:tcW w:w="2054" w:type="dxa"/>
            <w:vAlign w:val="center"/>
          </w:tcPr>
          <w:p w14:paraId="085A6761">
            <w:pPr>
              <w:pStyle w:val="179"/>
              <w:snapToGrid w:val="0"/>
              <w:spacing w:before="0" w:beforeAutospacing="0" w:after="0" w:afterAutospacing="0"/>
              <w:jc w:val="center"/>
              <w:rPr>
                <w:rFonts w:hint="eastAsia"/>
              </w:rPr>
            </w:pPr>
            <w:r>
              <w:rPr>
                <w:rFonts w:hint="eastAsia"/>
              </w:rPr>
              <w:t>单价</w:t>
            </w:r>
          </w:p>
        </w:tc>
        <w:tc>
          <w:tcPr>
            <w:tcW w:w="2056" w:type="dxa"/>
            <w:vAlign w:val="center"/>
          </w:tcPr>
          <w:p w14:paraId="0F3CA099">
            <w:pPr>
              <w:pStyle w:val="179"/>
              <w:snapToGrid w:val="0"/>
              <w:spacing w:before="0" w:beforeAutospacing="0" w:after="0" w:afterAutospacing="0"/>
              <w:jc w:val="center"/>
              <w:rPr>
                <w:rFonts w:hint="eastAsia"/>
              </w:rPr>
            </w:pPr>
            <w:r>
              <w:rPr>
                <w:rFonts w:hint="eastAsia"/>
              </w:rPr>
              <w:t>数量</w:t>
            </w:r>
          </w:p>
        </w:tc>
        <w:tc>
          <w:tcPr>
            <w:tcW w:w="2056" w:type="dxa"/>
            <w:vAlign w:val="center"/>
          </w:tcPr>
          <w:p w14:paraId="23E9D571">
            <w:pPr>
              <w:pStyle w:val="179"/>
              <w:snapToGrid w:val="0"/>
              <w:spacing w:before="0" w:beforeAutospacing="0" w:after="0" w:afterAutospacing="0"/>
              <w:jc w:val="center"/>
              <w:rPr>
                <w:rFonts w:hint="eastAsia"/>
              </w:rPr>
            </w:pPr>
            <w:r>
              <w:rPr>
                <w:rFonts w:hint="eastAsia"/>
              </w:rPr>
              <w:t>合价</w:t>
            </w:r>
          </w:p>
        </w:tc>
      </w:tr>
      <w:tr w14:paraId="0C1E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1BE6B6EA">
            <w:pPr>
              <w:pStyle w:val="179"/>
              <w:snapToGrid w:val="0"/>
              <w:spacing w:before="0" w:beforeAutospacing="0" w:after="0" w:afterAutospacing="0"/>
              <w:jc w:val="center"/>
              <w:rPr>
                <w:rFonts w:hint="eastAsia"/>
              </w:rPr>
            </w:pPr>
          </w:p>
        </w:tc>
        <w:tc>
          <w:tcPr>
            <w:tcW w:w="1897" w:type="dxa"/>
            <w:vAlign w:val="center"/>
          </w:tcPr>
          <w:p w14:paraId="7D03F00B">
            <w:pPr>
              <w:pStyle w:val="179"/>
              <w:snapToGrid w:val="0"/>
              <w:spacing w:before="0" w:beforeAutospacing="0" w:after="0" w:afterAutospacing="0"/>
              <w:jc w:val="center"/>
              <w:rPr>
                <w:rFonts w:hint="eastAsia"/>
              </w:rPr>
            </w:pPr>
          </w:p>
        </w:tc>
        <w:tc>
          <w:tcPr>
            <w:tcW w:w="2054" w:type="dxa"/>
            <w:vAlign w:val="center"/>
          </w:tcPr>
          <w:p w14:paraId="1B1CC950">
            <w:pPr>
              <w:pStyle w:val="179"/>
              <w:snapToGrid w:val="0"/>
              <w:spacing w:before="0" w:beforeAutospacing="0" w:after="0" w:afterAutospacing="0"/>
              <w:jc w:val="center"/>
              <w:rPr>
                <w:rFonts w:hint="eastAsia"/>
              </w:rPr>
            </w:pPr>
          </w:p>
        </w:tc>
        <w:tc>
          <w:tcPr>
            <w:tcW w:w="2056" w:type="dxa"/>
            <w:vAlign w:val="center"/>
          </w:tcPr>
          <w:p w14:paraId="3A63CA85">
            <w:pPr>
              <w:pStyle w:val="179"/>
              <w:snapToGrid w:val="0"/>
              <w:spacing w:before="0" w:beforeAutospacing="0" w:after="0" w:afterAutospacing="0"/>
              <w:jc w:val="center"/>
              <w:rPr>
                <w:rFonts w:hint="eastAsia"/>
              </w:rPr>
            </w:pPr>
          </w:p>
        </w:tc>
        <w:tc>
          <w:tcPr>
            <w:tcW w:w="2056" w:type="dxa"/>
            <w:vAlign w:val="center"/>
          </w:tcPr>
          <w:p w14:paraId="215D1C98">
            <w:pPr>
              <w:pStyle w:val="179"/>
              <w:snapToGrid w:val="0"/>
              <w:spacing w:before="0" w:beforeAutospacing="0" w:after="0" w:afterAutospacing="0"/>
              <w:jc w:val="center"/>
              <w:rPr>
                <w:rFonts w:hint="eastAsia"/>
              </w:rPr>
            </w:pPr>
          </w:p>
        </w:tc>
      </w:tr>
      <w:tr w14:paraId="4081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14295013">
            <w:pPr>
              <w:pStyle w:val="179"/>
              <w:snapToGrid w:val="0"/>
              <w:spacing w:before="0" w:beforeAutospacing="0" w:after="0" w:afterAutospacing="0"/>
              <w:jc w:val="center"/>
              <w:rPr>
                <w:rFonts w:hint="eastAsia"/>
              </w:rPr>
            </w:pPr>
          </w:p>
        </w:tc>
        <w:tc>
          <w:tcPr>
            <w:tcW w:w="1897" w:type="dxa"/>
            <w:vAlign w:val="center"/>
          </w:tcPr>
          <w:p w14:paraId="0FF199AF">
            <w:pPr>
              <w:pStyle w:val="179"/>
              <w:snapToGrid w:val="0"/>
              <w:spacing w:before="0" w:beforeAutospacing="0" w:after="0" w:afterAutospacing="0"/>
              <w:jc w:val="center"/>
              <w:rPr>
                <w:rFonts w:hint="eastAsia"/>
              </w:rPr>
            </w:pPr>
          </w:p>
        </w:tc>
        <w:tc>
          <w:tcPr>
            <w:tcW w:w="2054" w:type="dxa"/>
            <w:vAlign w:val="center"/>
          </w:tcPr>
          <w:p w14:paraId="42A18B91">
            <w:pPr>
              <w:pStyle w:val="179"/>
              <w:snapToGrid w:val="0"/>
              <w:spacing w:before="0" w:beforeAutospacing="0" w:after="0" w:afterAutospacing="0"/>
              <w:jc w:val="center"/>
              <w:rPr>
                <w:rFonts w:hint="eastAsia"/>
              </w:rPr>
            </w:pPr>
          </w:p>
        </w:tc>
        <w:tc>
          <w:tcPr>
            <w:tcW w:w="2056" w:type="dxa"/>
            <w:vAlign w:val="center"/>
          </w:tcPr>
          <w:p w14:paraId="4A740DF8">
            <w:pPr>
              <w:pStyle w:val="179"/>
              <w:snapToGrid w:val="0"/>
              <w:spacing w:before="0" w:beforeAutospacing="0" w:after="0" w:afterAutospacing="0"/>
              <w:jc w:val="center"/>
              <w:rPr>
                <w:rFonts w:hint="eastAsia"/>
              </w:rPr>
            </w:pPr>
          </w:p>
        </w:tc>
        <w:tc>
          <w:tcPr>
            <w:tcW w:w="2056" w:type="dxa"/>
            <w:vAlign w:val="center"/>
          </w:tcPr>
          <w:p w14:paraId="6148CA32">
            <w:pPr>
              <w:pStyle w:val="179"/>
              <w:snapToGrid w:val="0"/>
              <w:spacing w:before="0" w:beforeAutospacing="0" w:after="0" w:afterAutospacing="0"/>
              <w:jc w:val="center"/>
              <w:rPr>
                <w:rFonts w:hint="eastAsia"/>
              </w:rPr>
            </w:pPr>
          </w:p>
        </w:tc>
      </w:tr>
      <w:tr w14:paraId="6B8B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4B6D8E2C">
            <w:pPr>
              <w:pStyle w:val="179"/>
              <w:snapToGrid w:val="0"/>
              <w:spacing w:before="0" w:beforeAutospacing="0" w:after="0" w:afterAutospacing="0"/>
              <w:jc w:val="center"/>
              <w:rPr>
                <w:rFonts w:hint="eastAsia"/>
              </w:rPr>
            </w:pPr>
          </w:p>
        </w:tc>
        <w:tc>
          <w:tcPr>
            <w:tcW w:w="1897" w:type="dxa"/>
            <w:vAlign w:val="center"/>
          </w:tcPr>
          <w:p w14:paraId="44F41828">
            <w:pPr>
              <w:pStyle w:val="179"/>
              <w:snapToGrid w:val="0"/>
              <w:spacing w:before="0" w:beforeAutospacing="0" w:after="0" w:afterAutospacing="0"/>
              <w:jc w:val="center"/>
              <w:rPr>
                <w:rFonts w:hint="eastAsia"/>
              </w:rPr>
            </w:pPr>
          </w:p>
        </w:tc>
        <w:tc>
          <w:tcPr>
            <w:tcW w:w="2054" w:type="dxa"/>
            <w:vAlign w:val="center"/>
          </w:tcPr>
          <w:p w14:paraId="634F9F21">
            <w:pPr>
              <w:pStyle w:val="179"/>
              <w:snapToGrid w:val="0"/>
              <w:spacing w:before="0" w:beforeAutospacing="0" w:after="0" w:afterAutospacing="0"/>
              <w:jc w:val="center"/>
              <w:rPr>
                <w:rFonts w:hint="eastAsia"/>
              </w:rPr>
            </w:pPr>
          </w:p>
        </w:tc>
        <w:tc>
          <w:tcPr>
            <w:tcW w:w="2056" w:type="dxa"/>
            <w:vAlign w:val="center"/>
          </w:tcPr>
          <w:p w14:paraId="0098A4B6">
            <w:pPr>
              <w:pStyle w:val="179"/>
              <w:snapToGrid w:val="0"/>
              <w:spacing w:before="0" w:beforeAutospacing="0" w:after="0" w:afterAutospacing="0"/>
              <w:jc w:val="center"/>
              <w:rPr>
                <w:rFonts w:hint="eastAsia"/>
              </w:rPr>
            </w:pPr>
          </w:p>
        </w:tc>
        <w:tc>
          <w:tcPr>
            <w:tcW w:w="2056" w:type="dxa"/>
            <w:vAlign w:val="center"/>
          </w:tcPr>
          <w:p w14:paraId="7AF386EC">
            <w:pPr>
              <w:pStyle w:val="179"/>
              <w:snapToGrid w:val="0"/>
              <w:spacing w:before="0" w:beforeAutospacing="0" w:after="0" w:afterAutospacing="0"/>
              <w:jc w:val="center"/>
              <w:rPr>
                <w:rFonts w:hint="eastAsia"/>
              </w:rPr>
            </w:pPr>
          </w:p>
        </w:tc>
      </w:tr>
      <w:tr w14:paraId="0401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74852C8F">
            <w:pPr>
              <w:pStyle w:val="179"/>
              <w:snapToGrid w:val="0"/>
              <w:spacing w:before="0" w:beforeAutospacing="0" w:after="0" w:afterAutospacing="0"/>
              <w:jc w:val="center"/>
              <w:rPr>
                <w:rFonts w:hint="eastAsia"/>
              </w:rPr>
            </w:pPr>
          </w:p>
        </w:tc>
        <w:tc>
          <w:tcPr>
            <w:tcW w:w="1897" w:type="dxa"/>
            <w:vAlign w:val="center"/>
          </w:tcPr>
          <w:p w14:paraId="340B698E">
            <w:pPr>
              <w:pStyle w:val="179"/>
              <w:snapToGrid w:val="0"/>
              <w:spacing w:before="0" w:beforeAutospacing="0" w:after="0" w:afterAutospacing="0"/>
              <w:jc w:val="center"/>
              <w:rPr>
                <w:rFonts w:hint="eastAsia"/>
              </w:rPr>
            </w:pPr>
          </w:p>
        </w:tc>
        <w:tc>
          <w:tcPr>
            <w:tcW w:w="2054" w:type="dxa"/>
            <w:vAlign w:val="center"/>
          </w:tcPr>
          <w:p w14:paraId="34DD2CF3">
            <w:pPr>
              <w:pStyle w:val="179"/>
              <w:snapToGrid w:val="0"/>
              <w:spacing w:before="0" w:beforeAutospacing="0" w:after="0" w:afterAutospacing="0"/>
              <w:jc w:val="center"/>
              <w:rPr>
                <w:rFonts w:hint="eastAsia"/>
              </w:rPr>
            </w:pPr>
          </w:p>
        </w:tc>
        <w:tc>
          <w:tcPr>
            <w:tcW w:w="2056" w:type="dxa"/>
            <w:vAlign w:val="center"/>
          </w:tcPr>
          <w:p w14:paraId="2412413E">
            <w:pPr>
              <w:pStyle w:val="179"/>
              <w:snapToGrid w:val="0"/>
              <w:spacing w:before="0" w:beforeAutospacing="0" w:after="0" w:afterAutospacing="0"/>
              <w:jc w:val="center"/>
              <w:rPr>
                <w:rFonts w:hint="eastAsia"/>
              </w:rPr>
            </w:pPr>
          </w:p>
        </w:tc>
        <w:tc>
          <w:tcPr>
            <w:tcW w:w="2056" w:type="dxa"/>
            <w:vAlign w:val="center"/>
          </w:tcPr>
          <w:p w14:paraId="6B5DAEA1">
            <w:pPr>
              <w:pStyle w:val="179"/>
              <w:snapToGrid w:val="0"/>
              <w:spacing w:before="0" w:beforeAutospacing="0" w:after="0" w:afterAutospacing="0"/>
              <w:jc w:val="center"/>
              <w:rPr>
                <w:rFonts w:hint="eastAsia"/>
              </w:rPr>
            </w:pPr>
          </w:p>
        </w:tc>
      </w:tr>
      <w:tr w14:paraId="5D7D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3ED29F3A">
            <w:pPr>
              <w:pStyle w:val="179"/>
              <w:snapToGrid w:val="0"/>
              <w:spacing w:before="0" w:beforeAutospacing="0" w:after="0" w:afterAutospacing="0"/>
              <w:jc w:val="center"/>
              <w:rPr>
                <w:rFonts w:hint="eastAsia"/>
              </w:rPr>
            </w:pPr>
          </w:p>
        </w:tc>
        <w:tc>
          <w:tcPr>
            <w:tcW w:w="1897" w:type="dxa"/>
            <w:vAlign w:val="center"/>
          </w:tcPr>
          <w:p w14:paraId="313357BA">
            <w:pPr>
              <w:pStyle w:val="179"/>
              <w:snapToGrid w:val="0"/>
              <w:spacing w:before="0" w:beforeAutospacing="0" w:after="0" w:afterAutospacing="0"/>
              <w:jc w:val="center"/>
              <w:rPr>
                <w:rFonts w:hint="eastAsia"/>
              </w:rPr>
            </w:pPr>
          </w:p>
        </w:tc>
        <w:tc>
          <w:tcPr>
            <w:tcW w:w="2054" w:type="dxa"/>
            <w:vAlign w:val="center"/>
          </w:tcPr>
          <w:p w14:paraId="19B94461">
            <w:pPr>
              <w:pStyle w:val="179"/>
              <w:snapToGrid w:val="0"/>
              <w:spacing w:before="0" w:beforeAutospacing="0" w:after="0" w:afterAutospacing="0"/>
              <w:jc w:val="center"/>
              <w:rPr>
                <w:rFonts w:hint="eastAsia"/>
              </w:rPr>
            </w:pPr>
          </w:p>
        </w:tc>
        <w:tc>
          <w:tcPr>
            <w:tcW w:w="2056" w:type="dxa"/>
            <w:vAlign w:val="center"/>
          </w:tcPr>
          <w:p w14:paraId="7380ED7D">
            <w:pPr>
              <w:pStyle w:val="179"/>
              <w:snapToGrid w:val="0"/>
              <w:spacing w:before="0" w:beforeAutospacing="0" w:after="0" w:afterAutospacing="0"/>
              <w:jc w:val="center"/>
              <w:rPr>
                <w:rFonts w:hint="eastAsia"/>
              </w:rPr>
            </w:pPr>
          </w:p>
        </w:tc>
        <w:tc>
          <w:tcPr>
            <w:tcW w:w="2056" w:type="dxa"/>
            <w:vAlign w:val="center"/>
          </w:tcPr>
          <w:p w14:paraId="3423D3B7">
            <w:pPr>
              <w:pStyle w:val="179"/>
              <w:snapToGrid w:val="0"/>
              <w:spacing w:before="0" w:beforeAutospacing="0" w:after="0" w:afterAutospacing="0"/>
              <w:jc w:val="center"/>
              <w:rPr>
                <w:rFonts w:hint="eastAsia"/>
              </w:rPr>
            </w:pPr>
          </w:p>
        </w:tc>
      </w:tr>
      <w:tr w14:paraId="1955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40C74E54">
            <w:pPr>
              <w:pStyle w:val="179"/>
              <w:snapToGrid w:val="0"/>
              <w:spacing w:before="0" w:beforeAutospacing="0" w:after="0" w:afterAutospacing="0"/>
              <w:jc w:val="center"/>
              <w:rPr>
                <w:rFonts w:hint="eastAsia"/>
              </w:rPr>
            </w:pPr>
          </w:p>
        </w:tc>
        <w:tc>
          <w:tcPr>
            <w:tcW w:w="1897" w:type="dxa"/>
            <w:vAlign w:val="center"/>
          </w:tcPr>
          <w:p w14:paraId="3914B220">
            <w:pPr>
              <w:pStyle w:val="179"/>
              <w:snapToGrid w:val="0"/>
              <w:spacing w:before="0" w:beforeAutospacing="0" w:after="0" w:afterAutospacing="0"/>
              <w:jc w:val="center"/>
              <w:rPr>
                <w:rFonts w:hint="eastAsia"/>
              </w:rPr>
            </w:pPr>
          </w:p>
        </w:tc>
        <w:tc>
          <w:tcPr>
            <w:tcW w:w="2054" w:type="dxa"/>
            <w:vAlign w:val="center"/>
          </w:tcPr>
          <w:p w14:paraId="6A0245A5">
            <w:pPr>
              <w:pStyle w:val="179"/>
              <w:snapToGrid w:val="0"/>
              <w:spacing w:before="0" w:beforeAutospacing="0" w:after="0" w:afterAutospacing="0"/>
              <w:jc w:val="center"/>
              <w:rPr>
                <w:rFonts w:hint="eastAsia"/>
              </w:rPr>
            </w:pPr>
          </w:p>
        </w:tc>
        <w:tc>
          <w:tcPr>
            <w:tcW w:w="2056" w:type="dxa"/>
            <w:vAlign w:val="center"/>
          </w:tcPr>
          <w:p w14:paraId="7436CAD7">
            <w:pPr>
              <w:pStyle w:val="179"/>
              <w:snapToGrid w:val="0"/>
              <w:spacing w:before="0" w:beforeAutospacing="0" w:after="0" w:afterAutospacing="0"/>
              <w:jc w:val="center"/>
              <w:rPr>
                <w:rFonts w:hint="eastAsia"/>
              </w:rPr>
            </w:pPr>
          </w:p>
        </w:tc>
        <w:tc>
          <w:tcPr>
            <w:tcW w:w="2056" w:type="dxa"/>
            <w:vAlign w:val="center"/>
          </w:tcPr>
          <w:p w14:paraId="75109CA1">
            <w:pPr>
              <w:pStyle w:val="179"/>
              <w:snapToGrid w:val="0"/>
              <w:spacing w:before="0" w:beforeAutospacing="0" w:after="0" w:afterAutospacing="0"/>
              <w:jc w:val="center"/>
              <w:rPr>
                <w:rFonts w:hint="eastAsia"/>
              </w:rPr>
            </w:pPr>
          </w:p>
        </w:tc>
      </w:tr>
      <w:tr w14:paraId="37E0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08479A55">
            <w:pPr>
              <w:pStyle w:val="179"/>
              <w:snapToGrid w:val="0"/>
              <w:spacing w:before="0" w:beforeAutospacing="0" w:after="0" w:afterAutospacing="0"/>
              <w:jc w:val="center"/>
              <w:rPr>
                <w:rFonts w:hint="eastAsia"/>
              </w:rPr>
            </w:pPr>
          </w:p>
        </w:tc>
        <w:tc>
          <w:tcPr>
            <w:tcW w:w="1897" w:type="dxa"/>
            <w:vAlign w:val="center"/>
          </w:tcPr>
          <w:p w14:paraId="3DF86115">
            <w:pPr>
              <w:pStyle w:val="179"/>
              <w:snapToGrid w:val="0"/>
              <w:spacing w:before="0" w:beforeAutospacing="0" w:after="0" w:afterAutospacing="0"/>
              <w:jc w:val="center"/>
              <w:rPr>
                <w:rFonts w:hint="eastAsia"/>
              </w:rPr>
            </w:pPr>
          </w:p>
        </w:tc>
        <w:tc>
          <w:tcPr>
            <w:tcW w:w="2054" w:type="dxa"/>
            <w:vAlign w:val="center"/>
          </w:tcPr>
          <w:p w14:paraId="7CB130ED">
            <w:pPr>
              <w:pStyle w:val="179"/>
              <w:snapToGrid w:val="0"/>
              <w:spacing w:before="0" w:beforeAutospacing="0" w:after="0" w:afterAutospacing="0"/>
              <w:jc w:val="center"/>
              <w:rPr>
                <w:rFonts w:hint="eastAsia"/>
              </w:rPr>
            </w:pPr>
          </w:p>
        </w:tc>
        <w:tc>
          <w:tcPr>
            <w:tcW w:w="2056" w:type="dxa"/>
            <w:vAlign w:val="center"/>
          </w:tcPr>
          <w:p w14:paraId="34AEED2F">
            <w:pPr>
              <w:pStyle w:val="179"/>
              <w:snapToGrid w:val="0"/>
              <w:spacing w:before="0" w:beforeAutospacing="0" w:after="0" w:afterAutospacing="0"/>
              <w:jc w:val="center"/>
              <w:rPr>
                <w:rFonts w:hint="eastAsia"/>
              </w:rPr>
            </w:pPr>
          </w:p>
        </w:tc>
        <w:tc>
          <w:tcPr>
            <w:tcW w:w="2056" w:type="dxa"/>
            <w:vAlign w:val="center"/>
          </w:tcPr>
          <w:p w14:paraId="35CDEBEE">
            <w:pPr>
              <w:pStyle w:val="179"/>
              <w:snapToGrid w:val="0"/>
              <w:spacing w:before="0" w:beforeAutospacing="0" w:after="0" w:afterAutospacing="0"/>
              <w:jc w:val="center"/>
              <w:rPr>
                <w:rFonts w:hint="eastAsia"/>
              </w:rPr>
            </w:pPr>
          </w:p>
        </w:tc>
      </w:tr>
    </w:tbl>
    <w:p w14:paraId="4A9965D7">
      <w:pPr>
        <w:widowControl/>
        <w:spacing w:before="34" w:line="360" w:lineRule="auto"/>
        <w:ind w:right="-20"/>
        <w:jc w:val="left"/>
        <w:rPr>
          <w:rFonts w:hint="eastAsia" w:ascii="宋体" w:hAnsi="宋体" w:cs="宋体"/>
          <w:kern w:val="0"/>
          <w:sz w:val="24"/>
        </w:rPr>
      </w:pPr>
      <w:r>
        <w:rPr>
          <w:rFonts w:hint="eastAsia" w:ascii="宋体" w:hAnsi="宋体" w:cs="宋体"/>
          <w:kern w:val="0"/>
          <w:sz w:val="24"/>
        </w:rPr>
        <w:t>注：</w:t>
      </w:r>
    </w:p>
    <w:p w14:paraId="79E4D081">
      <w:pPr>
        <w:widowControl/>
        <w:spacing w:before="34" w:line="360" w:lineRule="auto"/>
        <w:ind w:right="-20"/>
        <w:jc w:val="left"/>
        <w:rPr>
          <w:rFonts w:hint="eastAsia" w:ascii="宋体" w:hAnsi="宋体" w:cs="宋体"/>
          <w:kern w:val="0"/>
          <w:sz w:val="24"/>
        </w:rPr>
      </w:pPr>
      <w:r>
        <w:rPr>
          <w:rFonts w:hint="eastAsia" w:ascii="宋体" w:hAnsi="宋体" w:cs="宋体"/>
          <w:kern w:val="0"/>
          <w:sz w:val="24"/>
        </w:rPr>
        <w:t>1. 供应商必须按“分项报价表”的格式详细报出投标总价的各个组成部分的报价。</w:t>
      </w:r>
    </w:p>
    <w:p w14:paraId="5A1FD82D">
      <w:pPr>
        <w:widowControl/>
        <w:spacing w:before="34" w:line="360" w:lineRule="auto"/>
        <w:ind w:right="-20"/>
        <w:jc w:val="left"/>
        <w:rPr>
          <w:rFonts w:hint="eastAsia" w:ascii="宋体" w:hAnsi="宋体" w:cs="宋体"/>
          <w:sz w:val="24"/>
        </w:rPr>
      </w:pPr>
      <w:r>
        <w:rPr>
          <w:rFonts w:hint="eastAsia" w:ascii="宋体" w:hAnsi="宋体" w:cs="宋体"/>
          <w:kern w:val="0"/>
          <w:sz w:val="24"/>
        </w:rPr>
        <w:t>2. “分项报价明细表”各分项报价合计应当与“响应报价一览表”报价合计相等。</w:t>
      </w:r>
    </w:p>
    <w:p w14:paraId="12B5252B">
      <w:pPr>
        <w:pStyle w:val="179"/>
        <w:snapToGrid w:val="0"/>
        <w:spacing w:before="0" w:beforeAutospacing="0" w:after="0" w:afterAutospacing="0" w:line="360" w:lineRule="auto"/>
        <w:rPr>
          <w:rFonts w:hint="eastAsia"/>
          <w:b/>
          <w:bCs/>
        </w:rPr>
      </w:pPr>
      <w:r>
        <w:rPr>
          <w:rFonts w:hint="eastAsia"/>
          <w:b/>
          <w:bCs/>
        </w:rPr>
        <w:t xml:space="preserve"> </w:t>
      </w:r>
    </w:p>
    <w:p w14:paraId="4A5FAEE6">
      <w:pPr>
        <w:spacing w:line="360" w:lineRule="auto"/>
        <w:ind w:firstLine="3700" w:firstLineChars="1762"/>
        <w:jc w:val="right"/>
        <w:rPr>
          <w:rFonts w:hint="eastAsia" w:ascii="宋体" w:hAnsi="宋体" w:cs="宋体"/>
        </w:rPr>
      </w:pPr>
      <w:r>
        <w:rPr>
          <w:rFonts w:hint="eastAsia" w:ascii="宋体" w:hAnsi="宋体" w:cs="宋体"/>
        </w:rPr>
        <w:t>供应商：</w:t>
      </w:r>
      <w:r>
        <w:rPr>
          <w:rFonts w:hint="eastAsia" w:ascii="宋体" w:hAnsi="宋体" w:cs="宋体"/>
          <w:u w:val="single"/>
        </w:rPr>
        <w:t xml:space="preserve">                    </w:t>
      </w:r>
      <w:r>
        <w:rPr>
          <w:rFonts w:hint="eastAsia" w:ascii="宋体" w:hAnsi="宋体" w:cs="宋体"/>
        </w:rPr>
        <w:t xml:space="preserve">（盖单位章） </w:t>
      </w:r>
    </w:p>
    <w:p w14:paraId="53C583F2">
      <w:pPr>
        <w:spacing w:line="360" w:lineRule="auto"/>
        <w:ind w:firstLine="3700" w:firstLineChars="1762"/>
        <w:jc w:val="right"/>
        <w:rPr>
          <w:rFonts w:hint="eastAsia" w:ascii="宋体" w:hAnsi="宋体" w:cs="宋体"/>
          <w:u w:val="single"/>
        </w:rPr>
      </w:pPr>
      <w:r>
        <w:rPr>
          <w:rFonts w:hint="eastAsia" w:ascii="宋体" w:hAnsi="宋体" w:cs="宋体"/>
        </w:rPr>
        <w:br w:type="page"/>
      </w:r>
    </w:p>
    <w:p w14:paraId="5B63C550">
      <w:pPr>
        <w:pStyle w:val="3"/>
        <w:widowControl/>
        <w:numPr>
          <w:ilvl w:val="0"/>
          <w:numId w:val="4"/>
        </w:numPr>
        <w:spacing w:before="120" w:after="120" w:line="240" w:lineRule="auto"/>
        <w:rPr>
          <w:rStyle w:val="102"/>
          <w:rFonts w:hint="eastAsia" w:ascii="宋体" w:hAnsi="宋体" w:eastAsia="宋体" w:cs="宋体"/>
          <w:b w:val="0"/>
          <w:bCs w:val="0"/>
          <w:sz w:val="30"/>
          <w:szCs w:val="30"/>
        </w:rPr>
      </w:pPr>
      <w:bookmarkStart w:id="639" w:name="_Toc10700"/>
      <w:bookmarkStart w:id="640" w:name="_Toc24742"/>
      <w:bookmarkStart w:id="641" w:name="_Toc2924"/>
      <w:bookmarkStart w:id="642" w:name="_Toc1202"/>
      <w:bookmarkStart w:id="643" w:name="_Toc151393515"/>
      <w:bookmarkStart w:id="644" w:name="_Toc5170"/>
      <w:bookmarkStart w:id="645" w:name="_Toc352691666"/>
      <w:bookmarkStart w:id="646" w:name="_Toc152045792"/>
      <w:bookmarkStart w:id="647" w:name="_Toc152042581"/>
      <w:bookmarkStart w:id="648" w:name="_Toc247527832"/>
      <w:bookmarkStart w:id="649" w:name="_Toc247514284"/>
      <w:bookmarkStart w:id="650" w:name="_Toc384308381"/>
      <w:bookmarkStart w:id="651" w:name="_Toc361508757"/>
      <w:bookmarkStart w:id="652" w:name="_Toc144974861"/>
      <w:bookmarkStart w:id="653" w:name="_Toc13469"/>
      <w:bookmarkStart w:id="654" w:name="_Toc300835214"/>
      <w:bookmarkStart w:id="655" w:name="_Toc369531702"/>
      <w:r>
        <w:rPr>
          <w:rStyle w:val="102"/>
          <w:rFonts w:hint="eastAsia" w:ascii="宋体" w:hAnsi="宋体" w:eastAsia="宋体" w:cs="宋体"/>
          <w:b w:val="0"/>
          <w:bCs w:val="0"/>
          <w:sz w:val="30"/>
          <w:szCs w:val="30"/>
        </w:rPr>
        <w:t>协商保证金</w:t>
      </w:r>
      <w:bookmarkEnd w:id="639"/>
      <w:bookmarkEnd w:id="640"/>
      <w:bookmarkEnd w:id="641"/>
      <w:bookmarkEnd w:id="642"/>
      <w:bookmarkEnd w:id="643"/>
      <w:bookmarkEnd w:id="644"/>
    </w:p>
    <w:p w14:paraId="1D956535">
      <w:pPr>
        <w:ind w:left="3605"/>
      </w:pPr>
    </w:p>
    <w:p w14:paraId="07585F40">
      <w:pPr>
        <w:spacing w:line="360" w:lineRule="auto"/>
        <w:ind w:firstLine="420" w:firstLineChars="200"/>
        <w:jc w:val="left"/>
        <w:rPr>
          <w:rFonts w:hint="eastAsia" w:ascii="宋体" w:hAnsi="宋体" w:cs="宋体"/>
          <w:b/>
          <w:bCs/>
          <w:kern w:val="0"/>
          <w:sz w:val="24"/>
          <w:lang w:bidi="en-US"/>
        </w:rPr>
      </w:pPr>
      <w:r>
        <w:rPr>
          <w:rFonts w:hint="eastAsia" w:ascii="宋体" w:hAnsi="宋体" w:cs="宋体"/>
          <w:szCs w:val="21"/>
        </w:rPr>
        <w:t>若采用转账或支票，供应商应在此提供汇款凭证的扫描件。</w:t>
      </w:r>
    </w:p>
    <w:p w14:paraId="644AC82E">
      <w:pPr>
        <w:widowControl/>
        <w:spacing w:line="400" w:lineRule="exact"/>
        <w:ind w:firstLine="420" w:firstLineChars="200"/>
        <w:jc w:val="left"/>
        <w:rPr>
          <w:rFonts w:hint="eastAsia" w:ascii="宋体" w:hAnsi="宋体" w:cs="宋体"/>
          <w:szCs w:val="21"/>
        </w:rPr>
      </w:pPr>
      <w:r>
        <w:rPr>
          <w:rFonts w:hint="eastAsia" w:ascii="宋体" w:hAnsi="宋体" w:cs="宋体"/>
          <w:szCs w:val="21"/>
        </w:rPr>
        <w:t>供应商须知前附表3.4款规定的协商保证金形式中允许采用银行保函的，格式如下：</w:t>
      </w:r>
    </w:p>
    <w:p w14:paraId="23EE73D0">
      <w:pPr>
        <w:spacing w:line="360" w:lineRule="auto"/>
        <w:rPr>
          <w:sz w:val="24"/>
          <w:szCs w:val="22"/>
        </w:rPr>
      </w:pPr>
    </w:p>
    <w:p w14:paraId="0DDDCA02">
      <w:pPr>
        <w:spacing w:line="360" w:lineRule="auto"/>
        <w:rPr>
          <w:szCs w:val="21"/>
        </w:rPr>
      </w:pPr>
    </w:p>
    <w:bookmarkEnd w:id="645"/>
    <w:bookmarkEnd w:id="646"/>
    <w:bookmarkEnd w:id="647"/>
    <w:bookmarkEnd w:id="648"/>
    <w:bookmarkEnd w:id="649"/>
    <w:bookmarkEnd w:id="650"/>
    <w:bookmarkEnd w:id="651"/>
    <w:bookmarkEnd w:id="652"/>
    <w:bookmarkEnd w:id="653"/>
    <w:bookmarkEnd w:id="654"/>
    <w:bookmarkEnd w:id="655"/>
    <w:p w14:paraId="109B613B">
      <w:pPr>
        <w:spacing w:line="360" w:lineRule="auto"/>
        <w:rPr>
          <w:rFonts w:hint="eastAsia" w:ascii="宋体" w:hAnsi="宋体" w:cs="宋体"/>
          <w:sz w:val="24"/>
        </w:rPr>
      </w:pP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bCs/>
          <w:i/>
          <w:sz w:val="24"/>
          <w:u w:val="single"/>
        </w:rPr>
        <w:t>（采购人名称）</w:t>
      </w:r>
      <w:r>
        <w:rPr>
          <w:rFonts w:hint="eastAsia" w:ascii="宋体" w:hAnsi="宋体" w:cs="宋体"/>
          <w:sz w:val="24"/>
        </w:rPr>
        <w:t>：</w:t>
      </w:r>
    </w:p>
    <w:p w14:paraId="33EDD83F">
      <w:pPr>
        <w:spacing w:line="360" w:lineRule="auto"/>
        <w:rPr>
          <w:rFonts w:hint="eastAsia" w:ascii="宋体" w:hAnsi="宋体" w:cs="宋体"/>
          <w:sz w:val="24"/>
        </w:rPr>
      </w:pPr>
    </w:p>
    <w:p w14:paraId="468DAB20">
      <w:pPr>
        <w:spacing w:line="360" w:lineRule="auto"/>
        <w:ind w:firstLine="360" w:firstLineChars="150"/>
        <w:rPr>
          <w:rFonts w:hint="eastAsia" w:ascii="宋体" w:hAnsi="宋体" w:cs="宋体"/>
          <w:sz w:val="24"/>
        </w:rPr>
      </w:pPr>
      <w:r>
        <w:rPr>
          <w:rFonts w:hint="eastAsia" w:ascii="宋体" w:hAnsi="宋体" w:cs="宋体"/>
          <w:sz w:val="24"/>
        </w:rPr>
        <w:t xml:space="preserve">鉴于 </w:t>
      </w:r>
      <w:r>
        <w:rPr>
          <w:rFonts w:hint="eastAsia" w:ascii="宋体" w:hAnsi="宋体" w:cs="宋体"/>
          <w:sz w:val="24"/>
          <w:u w:val="single"/>
        </w:rPr>
        <w:t xml:space="preserve">             </w:t>
      </w:r>
      <w:r>
        <w:rPr>
          <w:rFonts w:hint="eastAsia" w:ascii="宋体" w:hAnsi="宋体" w:cs="宋体"/>
          <w:bCs/>
          <w:i/>
          <w:sz w:val="24"/>
          <w:u w:val="single"/>
        </w:rPr>
        <w:t>（供应商名称）</w:t>
      </w:r>
      <w:r>
        <w:rPr>
          <w:rFonts w:hint="eastAsia" w:ascii="宋体" w:hAnsi="宋体" w:cs="宋体"/>
          <w:sz w:val="24"/>
        </w:rPr>
        <w:t>（以下称“投标人”）于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w:t>
      </w:r>
      <w:r>
        <w:rPr>
          <w:rFonts w:hint="eastAsia" w:ascii="宋体" w:hAnsi="宋体" w:cs="宋体"/>
          <w:sz w:val="24"/>
          <w:u w:val="single"/>
        </w:rPr>
        <w:t xml:space="preserve">              </w:t>
      </w:r>
      <w:r>
        <w:rPr>
          <w:rFonts w:hint="eastAsia" w:ascii="宋体" w:hAnsi="宋体" w:cs="宋体"/>
          <w:bCs/>
          <w:i/>
          <w:sz w:val="24"/>
          <w:u w:val="single"/>
        </w:rPr>
        <w:t>（项目名称）</w:t>
      </w:r>
      <w:r>
        <w:rPr>
          <w:rFonts w:hint="eastAsia" w:ascii="宋体" w:hAnsi="宋体" w:cs="宋体"/>
          <w:sz w:val="24"/>
        </w:rPr>
        <w:t>采购招标的投标，</w:t>
      </w:r>
      <w:r>
        <w:rPr>
          <w:rFonts w:hint="eastAsia" w:ascii="宋体" w:hAnsi="宋体" w:cs="宋体"/>
          <w:sz w:val="24"/>
          <w:u w:val="single"/>
        </w:rPr>
        <w:t xml:space="preserve">         </w:t>
      </w:r>
      <w:r>
        <w:rPr>
          <w:rFonts w:hint="eastAsia" w:ascii="宋体" w:hAnsi="宋体" w:cs="宋体"/>
          <w:sz w:val="24"/>
        </w:rPr>
        <w:t>（担保人名称，以下简称“我方”）无条件地、不可撤销地保证：若供应商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7日内向你方无条件支付人民币（大写）</w:t>
      </w:r>
      <w:r>
        <w:rPr>
          <w:rFonts w:hint="eastAsia" w:ascii="宋体" w:hAnsi="宋体" w:cs="宋体"/>
          <w:sz w:val="24"/>
          <w:u w:val="single"/>
        </w:rPr>
        <w:t xml:space="preserve">         </w:t>
      </w:r>
      <w:r>
        <w:rPr>
          <w:rFonts w:hint="eastAsia" w:ascii="宋体" w:hAnsi="宋体" w:cs="宋体"/>
          <w:sz w:val="24"/>
        </w:rPr>
        <w:t>。</w:t>
      </w:r>
    </w:p>
    <w:p w14:paraId="43EAB3FB">
      <w:pPr>
        <w:spacing w:line="360" w:lineRule="auto"/>
        <w:ind w:firstLine="480" w:firstLineChars="200"/>
        <w:rPr>
          <w:rFonts w:hint="eastAsia" w:ascii="宋体" w:hAnsi="宋体" w:cs="宋体"/>
          <w:sz w:val="24"/>
        </w:rPr>
      </w:pPr>
      <w:r>
        <w:rPr>
          <w:rFonts w:hint="eastAsia" w:ascii="宋体" w:hAnsi="宋体" w:cs="宋体"/>
          <w:sz w:val="24"/>
        </w:rPr>
        <w:t>本保函在投标有效期内保持有效。要求我方承担保证责任的通知应在投标有效期内送达我方。</w:t>
      </w:r>
    </w:p>
    <w:p w14:paraId="1E07775B">
      <w:pPr>
        <w:spacing w:line="360" w:lineRule="auto"/>
        <w:ind w:firstLine="420" w:firstLineChars="200"/>
        <w:rPr>
          <w:rFonts w:hint="eastAsia" w:ascii="宋体" w:hAnsi="宋体" w:cs="宋体"/>
          <w:szCs w:val="21"/>
        </w:rPr>
      </w:pPr>
    </w:p>
    <w:p w14:paraId="1F7AA95D">
      <w:pPr>
        <w:spacing w:line="360" w:lineRule="auto"/>
        <w:rPr>
          <w:rFonts w:hint="eastAsia" w:ascii="宋体" w:hAnsi="宋体" w:cs="宋体"/>
          <w:szCs w:val="21"/>
        </w:rPr>
      </w:pPr>
    </w:p>
    <w:p w14:paraId="3FC01D51">
      <w:pPr>
        <w:spacing w:line="360" w:lineRule="auto"/>
        <w:rPr>
          <w:rFonts w:hint="eastAsia" w:ascii="宋体" w:hAnsi="宋体" w:cs="宋体"/>
          <w:szCs w:val="21"/>
        </w:rPr>
      </w:pPr>
    </w:p>
    <w:p w14:paraId="48317FAC">
      <w:pPr>
        <w:spacing w:line="360" w:lineRule="auto"/>
        <w:rPr>
          <w:rFonts w:hint="eastAsia" w:ascii="宋体" w:hAnsi="宋体" w:cs="宋体"/>
          <w:szCs w:val="21"/>
        </w:rPr>
      </w:pPr>
    </w:p>
    <w:p w14:paraId="2DFBBBC2">
      <w:pPr>
        <w:spacing w:line="360" w:lineRule="auto"/>
        <w:ind w:firstLine="3120" w:firstLineChars="1300"/>
        <w:rPr>
          <w:rFonts w:hint="eastAsia" w:ascii="宋体" w:hAnsi="宋体" w:cs="宋体"/>
          <w:sz w:val="24"/>
        </w:rPr>
      </w:pPr>
      <w:r>
        <w:rPr>
          <w:rFonts w:hint="eastAsia" w:ascii="宋体" w:hAnsi="宋体" w:cs="宋体"/>
          <w:sz w:val="24"/>
        </w:rPr>
        <w:t>担保人名称：</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（盖单位章）</w:t>
      </w:r>
    </w:p>
    <w:p w14:paraId="2D5EC5E3">
      <w:pPr>
        <w:spacing w:line="360" w:lineRule="auto"/>
        <w:ind w:firstLine="3120" w:firstLineChars="1300"/>
        <w:rPr>
          <w:rFonts w:hint="eastAsia" w:ascii="宋体" w:hAnsi="宋体" w:cs="宋体"/>
          <w:sz w:val="24"/>
        </w:rPr>
      </w:pPr>
      <w:r>
        <w:rPr>
          <w:rFonts w:hint="eastAsia" w:ascii="宋体" w:hAnsi="宋体" w:cs="宋体"/>
          <w:sz w:val="24"/>
        </w:rPr>
        <w:t>法定代表人（单位负责人）或委托代理人：</w:t>
      </w:r>
      <w:r>
        <w:rPr>
          <w:rFonts w:hint="eastAsia" w:ascii="宋体" w:hAnsi="宋体" w:cs="宋体"/>
          <w:sz w:val="24"/>
          <w:u w:val="single"/>
        </w:rPr>
        <w:t xml:space="preserve">   </w:t>
      </w:r>
      <w:r>
        <w:rPr>
          <w:rFonts w:hint="eastAsia" w:ascii="宋体" w:hAnsi="宋体" w:cs="宋体"/>
          <w:sz w:val="24"/>
        </w:rPr>
        <w:t xml:space="preserve">（签字）       </w:t>
      </w:r>
    </w:p>
    <w:p w14:paraId="27DA6916">
      <w:pPr>
        <w:spacing w:line="360" w:lineRule="auto"/>
        <w:ind w:firstLine="3120" w:firstLineChars="1300"/>
        <w:rPr>
          <w:rFonts w:hint="eastAsia" w:ascii="宋体" w:hAnsi="宋体" w:cs="宋体"/>
          <w:sz w:val="24"/>
        </w:rPr>
      </w:pPr>
      <w:r>
        <w:rPr>
          <w:rFonts w:hint="eastAsia" w:ascii="宋体" w:hAnsi="宋体" w:cs="宋体"/>
          <w:sz w:val="24"/>
        </w:rPr>
        <w:t>地址：</w:t>
      </w:r>
      <w:r>
        <w:rPr>
          <w:rFonts w:hint="eastAsia" w:ascii="宋体" w:hAnsi="宋体" w:cs="宋体"/>
          <w:sz w:val="24"/>
          <w:u w:val="single"/>
        </w:rPr>
        <w:tab/>
      </w:r>
      <w:r>
        <w:rPr>
          <w:rFonts w:hint="eastAsia" w:ascii="宋体" w:hAnsi="宋体" w:cs="宋体"/>
          <w:sz w:val="24"/>
          <w:u w:val="single"/>
        </w:rPr>
        <w:t xml:space="preserve">                                    </w:t>
      </w:r>
    </w:p>
    <w:p w14:paraId="00FE3FBF">
      <w:pPr>
        <w:spacing w:line="360" w:lineRule="auto"/>
        <w:ind w:firstLine="3120" w:firstLineChars="1300"/>
        <w:rPr>
          <w:rFonts w:hint="eastAsia" w:ascii="宋体" w:hAnsi="宋体" w:cs="宋体"/>
          <w:sz w:val="24"/>
        </w:rPr>
      </w:pPr>
      <w:r>
        <w:rPr>
          <w:rFonts w:hint="eastAsia" w:ascii="宋体" w:hAnsi="宋体" w:cs="宋体"/>
          <w:sz w:val="24"/>
        </w:rPr>
        <w:t>邮政编码：</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r>
        <w:rPr>
          <w:rFonts w:hint="eastAsia" w:ascii="宋体" w:hAnsi="宋体" w:cs="宋体"/>
          <w:sz w:val="24"/>
          <w:u w:val="single"/>
        </w:rPr>
        <w:tab/>
      </w:r>
      <w:bookmarkStart w:id="656" w:name="_Toc352691667"/>
      <w:bookmarkStart w:id="657" w:name="_Toc384308382"/>
      <w:bookmarkStart w:id="658" w:name="_Toc22972"/>
      <w:bookmarkStart w:id="659" w:name="_Toc361508758"/>
      <w:bookmarkStart w:id="660" w:name="_Toc369531703"/>
      <w:r>
        <w:rPr>
          <w:rFonts w:hint="eastAsia" w:ascii="宋体" w:hAnsi="宋体" w:cs="宋体"/>
          <w:sz w:val="24"/>
          <w:u w:val="single"/>
        </w:rPr>
        <w:t xml:space="preserve">        </w:t>
      </w:r>
      <w:r>
        <w:rPr>
          <w:rFonts w:hint="eastAsia" w:ascii="宋体" w:hAnsi="宋体" w:cs="宋体"/>
          <w:sz w:val="24"/>
        </w:rPr>
        <w:t xml:space="preserve">           </w:t>
      </w:r>
    </w:p>
    <w:p w14:paraId="34E03231">
      <w:pPr>
        <w:spacing w:line="360" w:lineRule="auto"/>
        <w:ind w:firstLine="3120" w:firstLineChars="1300"/>
        <w:rPr>
          <w:rFonts w:hint="eastAsia" w:ascii="宋体" w:hAnsi="宋体" w:cs="宋体"/>
          <w:sz w:val="24"/>
        </w:rPr>
      </w:pPr>
      <w:r>
        <w:rPr>
          <w:rFonts w:hint="eastAsia" w:ascii="宋体" w:hAnsi="宋体" w:cs="宋体"/>
          <w:sz w:val="24"/>
        </w:rPr>
        <w:t>电</w:t>
      </w:r>
      <w:bookmarkEnd w:id="656"/>
      <w:bookmarkEnd w:id="657"/>
      <w:bookmarkEnd w:id="658"/>
      <w:bookmarkEnd w:id="659"/>
      <w:bookmarkEnd w:id="660"/>
      <w:r>
        <w:rPr>
          <w:rFonts w:hint="eastAsia" w:ascii="宋体" w:hAnsi="宋体" w:cs="宋体"/>
          <w:sz w:val="24"/>
        </w:rPr>
        <w:t>话：</w:t>
      </w:r>
      <w:r>
        <w:rPr>
          <w:rFonts w:hint="eastAsia" w:ascii="宋体" w:hAnsi="宋体" w:cs="宋体"/>
          <w:sz w:val="24"/>
          <w:u w:val="single"/>
        </w:rPr>
        <w:t xml:space="preserve">                                       </w:t>
      </w:r>
    </w:p>
    <w:p w14:paraId="17F2574C">
      <w:pPr>
        <w:pStyle w:val="3"/>
        <w:widowControl/>
        <w:spacing w:before="120" w:after="120" w:line="240" w:lineRule="auto"/>
        <w:jc w:val="center"/>
        <w:rPr>
          <w:rFonts w:hint="eastAsia" w:ascii="宋体" w:hAnsi="宋体" w:cs="宋体"/>
          <w:bCs w:val="0"/>
          <w:kern w:val="0"/>
          <w:sz w:val="28"/>
          <w:szCs w:val="28"/>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70BC741">
      <w:pPr>
        <w:pStyle w:val="3"/>
        <w:widowControl/>
        <w:spacing w:before="120" w:after="120" w:line="240" w:lineRule="auto"/>
        <w:jc w:val="center"/>
        <w:rPr>
          <w:rFonts w:hint="eastAsia" w:ascii="宋体" w:hAnsi="宋体" w:cs="宋体"/>
          <w:kern w:val="0"/>
          <w:sz w:val="28"/>
          <w:szCs w:val="28"/>
        </w:rPr>
      </w:pPr>
      <w:r>
        <w:rPr>
          <w:rFonts w:hint="eastAsia" w:ascii="宋体" w:hAnsi="宋体" w:cs="宋体"/>
          <w:bCs w:val="0"/>
          <w:kern w:val="0"/>
          <w:sz w:val="28"/>
          <w:szCs w:val="28"/>
        </w:rPr>
        <w:t>五、</w:t>
      </w:r>
      <w:r>
        <w:rPr>
          <w:rFonts w:hint="eastAsia" w:ascii="宋体" w:hAnsi="宋体" w:cs="宋体"/>
          <w:kern w:val="0"/>
          <w:sz w:val="28"/>
          <w:szCs w:val="28"/>
        </w:rPr>
        <w:t>法定代表人（单位负责人）身份证明或授权委托书</w:t>
      </w:r>
    </w:p>
    <w:p w14:paraId="29E7D322">
      <w:pPr>
        <w:jc w:val="center"/>
        <w:rPr>
          <w:rFonts w:hint="eastAsia" w:ascii="宋体" w:hAnsi="宋体" w:cs="宋体"/>
          <w:b/>
        </w:rPr>
      </w:pPr>
      <w:r>
        <w:rPr>
          <w:rFonts w:hint="eastAsia" w:ascii="宋体" w:hAnsi="宋体" w:cs="宋体"/>
          <w:b/>
          <w:kern w:val="0"/>
          <w:sz w:val="28"/>
          <w:szCs w:val="28"/>
        </w:rPr>
        <w:t>法定代表人（单位负责人）身份证明</w:t>
      </w:r>
    </w:p>
    <w:p w14:paraId="3D9B784C">
      <w:pPr>
        <w:widowControl/>
        <w:spacing w:line="360" w:lineRule="auto"/>
        <w:rPr>
          <w:rFonts w:hint="eastAsia" w:ascii="宋体" w:hAnsi="宋体" w:cs="宋体"/>
          <w:spacing w:val="3"/>
          <w:kern w:val="0"/>
        </w:rPr>
      </w:pPr>
      <w:r>
        <w:rPr>
          <w:rFonts w:hint="eastAsia" w:ascii="宋体" w:hAnsi="宋体" w:cs="宋体"/>
          <w:kern w:val="0"/>
        </w:rPr>
        <w:t>供应商名称：</w:t>
      </w:r>
      <w:r>
        <w:rPr>
          <w:rFonts w:hint="eastAsia" w:ascii="宋体" w:hAnsi="宋体" w:cs="宋体"/>
          <w:kern w:val="0"/>
          <w:u w:val="single"/>
        </w:rPr>
        <w:t xml:space="preserve">                                                      </w:t>
      </w:r>
      <w:r>
        <w:rPr>
          <w:rFonts w:hint="eastAsia" w:ascii="宋体" w:hAnsi="宋体" w:cs="宋体"/>
          <w:spacing w:val="3"/>
          <w:kern w:val="0"/>
          <w:u w:val="single"/>
        </w:rPr>
        <w:t xml:space="preserve"> </w:t>
      </w:r>
      <w:r>
        <w:rPr>
          <w:rFonts w:hint="eastAsia" w:ascii="宋体" w:hAnsi="宋体" w:cs="宋体"/>
          <w:spacing w:val="3"/>
          <w:kern w:val="0"/>
        </w:rPr>
        <w:t xml:space="preserve"> </w:t>
      </w:r>
    </w:p>
    <w:p w14:paraId="1062D740">
      <w:pPr>
        <w:widowControl/>
        <w:spacing w:line="360" w:lineRule="auto"/>
        <w:rPr>
          <w:rFonts w:hint="eastAsia" w:ascii="宋体" w:hAnsi="宋体" w:cs="宋体"/>
          <w:spacing w:val="26"/>
          <w:kern w:val="0"/>
        </w:rPr>
      </w:pPr>
      <w:r>
        <w:rPr>
          <w:rFonts w:hint="eastAsia" w:ascii="宋体" w:hAnsi="宋体" w:cs="宋体"/>
          <w:kern w:val="0"/>
        </w:rPr>
        <w:t>单位</w:t>
      </w:r>
      <w:r>
        <w:rPr>
          <w:rFonts w:hint="eastAsia" w:ascii="宋体" w:hAnsi="宋体" w:cs="宋体"/>
          <w:spacing w:val="-1"/>
          <w:kern w:val="0"/>
        </w:rPr>
        <w:t>性</w:t>
      </w:r>
      <w:r>
        <w:rPr>
          <w:rFonts w:hint="eastAsia" w:ascii="宋体" w:hAnsi="宋体" w:cs="宋体"/>
          <w:kern w:val="0"/>
        </w:rPr>
        <w:t>质：</w:t>
      </w:r>
      <w:r>
        <w:rPr>
          <w:rFonts w:hint="eastAsia" w:ascii="宋体" w:hAnsi="宋体" w:cs="宋体"/>
          <w:kern w:val="0"/>
          <w:u w:val="single"/>
        </w:rPr>
        <w:t xml:space="preserve">                                                       </w:t>
      </w:r>
      <w:r>
        <w:rPr>
          <w:rFonts w:hint="eastAsia" w:ascii="宋体" w:hAnsi="宋体" w:cs="宋体"/>
          <w:spacing w:val="26"/>
          <w:kern w:val="0"/>
          <w:u w:val="single"/>
        </w:rPr>
        <w:t xml:space="preserve"> </w:t>
      </w:r>
      <w:r>
        <w:rPr>
          <w:rFonts w:hint="eastAsia" w:ascii="宋体" w:hAnsi="宋体" w:cs="宋体"/>
          <w:spacing w:val="26"/>
          <w:kern w:val="0"/>
        </w:rPr>
        <w:t xml:space="preserve"> </w:t>
      </w:r>
    </w:p>
    <w:p w14:paraId="3AE86B59">
      <w:pPr>
        <w:widowControl/>
        <w:spacing w:line="360" w:lineRule="auto"/>
        <w:rPr>
          <w:rFonts w:hint="eastAsia" w:ascii="宋体" w:hAnsi="宋体" w:cs="宋体"/>
          <w:spacing w:val="10"/>
          <w:kern w:val="0"/>
        </w:rPr>
      </w:pPr>
      <w:r>
        <w:rPr>
          <w:rFonts w:hint="eastAsia" w:ascii="宋体" w:hAnsi="宋体" w:cs="宋体"/>
          <w:kern w:val="0"/>
        </w:rPr>
        <w:t>地    址</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spacing w:val="10"/>
          <w:kern w:val="0"/>
          <w:u w:val="single"/>
        </w:rPr>
        <w:t xml:space="preserve"> </w:t>
      </w:r>
      <w:r>
        <w:rPr>
          <w:rFonts w:hint="eastAsia" w:ascii="宋体" w:hAnsi="宋体" w:cs="宋体"/>
          <w:spacing w:val="10"/>
          <w:kern w:val="0"/>
        </w:rPr>
        <w:t xml:space="preserve"> </w:t>
      </w:r>
    </w:p>
    <w:p w14:paraId="016AF88C">
      <w:pPr>
        <w:widowControl/>
        <w:spacing w:line="360" w:lineRule="auto"/>
        <w:rPr>
          <w:rFonts w:hint="eastAsia" w:ascii="宋体" w:hAnsi="宋体" w:cs="宋体"/>
          <w:kern w:val="0"/>
        </w:rPr>
      </w:pPr>
      <w:r>
        <w:rPr>
          <w:rFonts w:hint="eastAsia" w:ascii="宋体" w:hAnsi="宋体" w:cs="宋体"/>
          <w:kern w:val="0"/>
        </w:rPr>
        <w:t>成立</w:t>
      </w:r>
      <w:r>
        <w:rPr>
          <w:rFonts w:hint="eastAsia" w:ascii="宋体" w:hAnsi="宋体" w:cs="宋体"/>
          <w:spacing w:val="-1"/>
          <w:kern w:val="0"/>
        </w:rPr>
        <w:t>时</w:t>
      </w:r>
      <w:r>
        <w:rPr>
          <w:rFonts w:hint="eastAsia" w:ascii="宋体" w:hAnsi="宋体" w:cs="宋体"/>
          <w:kern w:val="0"/>
        </w:rPr>
        <w:t>间：</w:t>
      </w:r>
      <w:r>
        <w:rPr>
          <w:rFonts w:hint="eastAsia" w:ascii="宋体" w:hAnsi="宋体" w:cs="宋体"/>
          <w:kern w:val="0"/>
          <w:u w:val="single"/>
        </w:rPr>
        <w:t xml:space="preserve">      </w:t>
      </w:r>
      <w:r>
        <w:rPr>
          <w:rFonts w:hint="eastAsia" w:ascii="宋体" w:hAnsi="宋体" w:cs="宋体"/>
          <w:spacing w:val="-6"/>
          <w:kern w:val="0"/>
          <w:u w:val="single"/>
        </w:rPr>
        <w:t xml:space="preserve"> </w:t>
      </w:r>
      <w:r>
        <w:rPr>
          <w:rFonts w:hint="eastAsia" w:ascii="宋体" w:hAnsi="宋体" w:cs="宋体"/>
          <w:spacing w:val="-1"/>
          <w:kern w:val="0"/>
        </w:rPr>
        <w:t>年</w:t>
      </w:r>
      <w:r>
        <w:rPr>
          <w:rFonts w:hint="eastAsia" w:ascii="宋体" w:hAnsi="宋体" w:cs="宋体"/>
          <w:kern w:val="0"/>
          <w:u w:val="single"/>
        </w:rPr>
        <w:t xml:space="preserve">  </w:t>
      </w:r>
      <w:r>
        <w:rPr>
          <w:rFonts w:hint="eastAsia" w:ascii="宋体" w:hAnsi="宋体" w:cs="宋体"/>
          <w:spacing w:val="42"/>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spacing w:val="-49"/>
          <w:kern w:val="0"/>
        </w:rPr>
        <w:t xml:space="preserve"> </w:t>
      </w:r>
      <w:r>
        <w:rPr>
          <w:rFonts w:hint="eastAsia" w:ascii="宋体" w:hAnsi="宋体" w:cs="宋体"/>
          <w:kern w:val="0"/>
        </w:rPr>
        <w:t xml:space="preserve">日 </w:t>
      </w:r>
    </w:p>
    <w:p w14:paraId="7FCDC3B6">
      <w:pPr>
        <w:widowControl/>
        <w:spacing w:line="360" w:lineRule="auto"/>
        <w:rPr>
          <w:rFonts w:hint="eastAsia" w:ascii="宋体" w:hAnsi="宋体" w:cs="宋体"/>
          <w:kern w:val="0"/>
        </w:rPr>
      </w:pPr>
      <w:r>
        <w:rPr>
          <w:rFonts w:hint="eastAsia" w:ascii="宋体" w:hAnsi="宋体" w:cs="宋体"/>
          <w:kern w:val="0"/>
        </w:rPr>
        <w:t>经营</w:t>
      </w:r>
      <w:r>
        <w:rPr>
          <w:rFonts w:hint="eastAsia" w:ascii="宋体" w:hAnsi="宋体" w:cs="宋体"/>
          <w:spacing w:val="-1"/>
          <w:kern w:val="0"/>
        </w:rPr>
        <w:t>期</w:t>
      </w:r>
      <w:r>
        <w:rPr>
          <w:rFonts w:hint="eastAsia" w:ascii="宋体" w:hAnsi="宋体" w:cs="宋体"/>
          <w:kern w:val="0"/>
        </w:rPr>
        <w:t>限：</w:t>
      </w:r>
      <w:r>
        <w:rPr>
          <w:rFonts w:hint="eastAsia" w:ascii="宋体" w:hAnsi="宋体" w:cs="宋体"/>
          <w:kern w:val="0"/>
          <w:u w:val="single"/>
        </w:rPr>
        <w:t xml:space="preserve">                                                         </w:t>
      </w:r>
      <w:r>
        <w:rPr>
          <w:rFonts w:hint="eastAsia" w:ascii="宋体" w:hAnsi="宋体" w:cs="宋体"/>
          <w:spacing w:val="26"/>
          <w:kern w:val="0"/>
          <w:u w:val="single"/>
        </w:rPr>
        <w:t xml:space="preserve"> </w:t>
      </w:r>
    </w:p>
    <w:p w14:paraId="13DA0772">
      <w:pPr>
        <w:widowControl/>
        <w:spacing w:line="360" w:lineRule="auto"/>
        <w:rPr>
          <w:rFonts w:hint="eastAsia" w:ascii="宋体" w:hAnsi="宋体" w:cs="宋体"/>
          <w:kern w:val="0"/>
        </w:rPr>
      </w:pPr>
      <w:r>
        <w:rPr>
          <w:rFonts w:hint="eastAsia" w:ascii="宋体" w:hAnsi="宋体" w:cs="宋体"/>
          <w:kern w:val="0"/>
        </w:rPr>
        <w:t>姓名：</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性别：</w:t>
      </w:r>
      <w:r>
        <w:rPr>
          <w:rFonts w:hint="eastAsia" w:ascii="宋体" w:hAnsi="宋体" w:cs="宋体"/>
          <w:spacing w:val="42"/>
          <w:kern w:val="0"/>
          <w:u w:val="single"/>
        </w:rPr>
        <w:t xml:space="preserve">    </w:t>
      </w:r>
      <w:r>
        <w:rPr>
          <w:rFonts w:hint="eastAsia" w:ascii="宋体" w:hAnsi="宋体" w:cs="宋体"/>
          <w:kern w:val="0"/>
        </w:rPr>
        <w:t>年</w:t>
      </w:r>
      <w:r>
        <w:rPr>
          <w:rFonts w:hint="eastAsia" w:ascii="宋体" w:hAnsi="宋体" w:cs="宋体"/>
          <w:spacing w:val="-1"/>
          <w:kern w:val="0"/>
        </w:rPr>
        <w:t>龄</w:t>
      </w:r>
      <w:r>
        <w:rPr>
          <w:rFonts w:hint="eastAsia" w:ascii="宋体" w:hAnsi="宋体" w:cs="宋体"/>
          <w:kern w:val="0"/>
        </w:rPr>
        <w:t>：</w:t>
      </w:r>
      <w:r>
        <w:rPr>
          <w:rFonts w:hint="eastAsia" w:ascii="宋体" w:hAnsi="宋体" w:cs="宋体"/>
          <w:spacing w:val="42"/>
          <w:kern w:val="0"/>
          <w:u w:val="single"/>
        </w:rPr>
        <w:t xml:space="preserve">   </w:t>
      </w:r>
      <w:r>
        <w:rPr>
          <w:rFonts w:hint="eastAsia" w:ascii="宋体" w:hAnsi="宋体" w:cs="宋体"/>
          <w:kern w:val="0"/>
        </w:rPr>
        <w:t>职务</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kern w:val="0"/>
        </w:rPr>
        <w:t xml:space="preserve"> </w:t>
      </w:r>
    </w:p>
    <w:p w14:paraId="2E5C55D7">
      <w:pPr>
        <w:widowControl/>
        <w:spacing w:line="360" w:lineRule="auto"/>
        <w:rPr>
          <w:rFonts w:hint="eastAsia" w:ascii="宋体" w:hAnsi="宋体" w:cs="宋体"/>
          <w:kern w:val="0"/>
        </w:rPr>
      </w:pPr>
      <w:r>
        <w:rPr>
          <w:rFonts w:hint="eastAsia" w:ascii="宋体" w:hAnsi="宋体" w:cs="宋体"/>
          <w:kern w:val="0"/>
        </w:rPr>
        <w:t>系</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供应商名称）的法定代表人（单位负责人）。</w:t>
      </w:r>
    </w:p>
    <w:p w14:paraId="2755E024">
      <w:pPr>
        <w:widowControl/>
        <w:spacing w:line="360" w:lineRule="auto"/>
        <w:ind w:right="6463"/>
        <w:rPr>
          <w:rFonts w:hint="eastAsia" w:ascii="宋体" w:hAnsi="宋体" w:cs="宋体"/>
          <w:kern w:val="0"/>
        </w:rPr>
      </w:pPr>
      <w:r>
        <w:rPr>
          <w:rFonts w:hint="eastAsia" w:ascii="宋体" w:hAnsi="宋体" w:cs="宋体"/>
          <w:kern w:val="0"/>
        </w:rPr>
        <w:t>特此证明。</w:t>
      </w:r>
    </w:p>
    <w:p w14:paraId="2484800C">
      <w:pPr>
        <w:widowControl/>
        <w:spacing w:before="12" w:line="360" w:lineRule="auto"/>
        <w:rPr>
          <w:rFonts w:hint="eastAsia" w:ascii="宋体" w:hAnsi="宋体" w:cs="宋体"/>
          <w:kern w:val="0"/>
        </w:rPr>
      </w:pPr>
      <w:r>
        <w:rPr>
          <w:rFonts w:hint="eastAsia" w:ascii="宋体" w:hAnsi="宋体" w:cs="宋体"/>
          <w:kern w:val="0"/>
        </w:rPr>
        <w:t>附：法定代表人（单位负责人）身份证扫描件。</w:t>
      </w:r>
    </w:p>
    <w:tbl>
      <w:tblPr>
        <w:tblStyle w:val="46"/>
        <w:tblW w:w="8919"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9"/>
        <w:gridCol w:w="4460"/>
      </w:tblGrid>
      <w:tr w14:paraId="59CB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0" w:hRule="atLeast"/>
        </w:trPr>
        <w:tc>
          <w:tcPr>
            <w:tcW w:w="4459" w:type="dxa"/>
            <w:vAlign w:val="center"/>
          </w:tcPr>
          <w:p w14:paraId="0A312454">
            <w:pPr>
              <w:adjustRightInd w:val="0"/>
              <w:snapToGrid w:val="0"/>
              <w:spacing w:line="360" w:lineRule="auto"/>
              <w:jc w:val="center"/>
              <w:rPr>
                <w:rFonts w:hint="eastAsia"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身份证（正面）</w:t>
            </w:r>
          </w:p>
        </w:tc>
        <w:tc>
          <w:tcPr>
            <w:tcW w:w="4460" w:type="dxa"/>
            <w:vAlign w:val="center"/>
          </w:tcPr>
          <w:p w14:paraId="1A4B676F">
            <w:pPr>
              <w:adjustRightInd w:val="0"/>
              <w:snapToGrid w:val="0"/>
              <w:spacing w:line="360" w:lineRule="auto"/>
              <w:jc w:val="center"/>
              <w:rPr>
                <w:rFonts w:hint="eastAsia"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身份证（反面）</w:t>
            </w:r>
          </w:p>
        </w:tc>
      </w:tr>
    </w:tbl>
    <w:p w14:paraId="7C8FFD86">
      <w:pPr>
        <w:widowControl/>
        <w:spacing w:before="12" w:line="360" w:lineRule="auto"/>
        <w:rPr>
          <w:rFonts w:hint="eastAsia" w:ascii="宋体" w:hAnsi="宋体" w:cs="宋体"/>
          <w:kern w:val="0"/>
        </w:rPr>
      </w:pPr>
    </w:p>
    <w:p w14:paraId="3AFDFB1C">
      <w:pPr>
        <w:widowControl/>
        <w:spacing w:line="360" w:lineRule="auto"/>
        <w:ind w:left="5068" w:right="-20"/>
        <w:rPr>
          <w:rFonts w:hint="eastAsia" w:ascii="宋体" w:hAnsi="宋体" w:cs="宋体"/>
          <w:kern w:val="0"/>
        </w:rPr>
      </w:pPr>
      <w:r>
        <w:rPr>
          <w:rFonts w:hint="eastAsia" w:ascii="宋体" w:hAnsi="宋体" w:cs="宋体"/>
          <w:kern w:val="0"/>
          <w:position w:val="-4"/>
        </w:rPr>
        <w:t>供应商：</w:t>
      </w:r>
      <w:r>
        <w:rPr>
          <w:rFonts w:hint="eastAsia" w:ascii="宋体" w:hAnsi="宋体" w:cs="宋体"/>
          <w:spacing w:val="42"/>
          <w:kern w:val="0"/>
          <w:position w:val="-4"/>
          <w:u w:val="single"/>
        </w:rPr>
        <w:t xml:space="preserve"> </w:t>
      </w:r>
      <w:r>
        <w:rPr>
          <w:rFonts w:hint="eastAsia" w:ascii="宋体" w:hAnsi="宋体" w:cs="宋体"/>
          <w:kern w:val="0"/>
          <w:position w:val="-4"/>
          <w:u w:val="single"/>
        </w:rPr>
        <w:t xml:space="preserve">          </w:t>
      </w:r>
      <w:r>
        <w:rPr>
          <w:rFonts w:hint="eastAsia" w:ascii="宋体" w:hAnsi="宋体" w:cs="宋体"/>
          <w:spacing w:val="-1"/>
          <w:kern w:val="0"/>
          <w:position w:val="-4"/>
        </w:rPr>
        <w:t>（</w:t>
      </w:r>
      <w:r>
        <w:rPr>
          <w:rFonts w:hint="eastAsia" w:ascii="宋体" w:hAnsi="宋体" w:cs="宋体"/>
          <w:kern w:val="0"/>
          <w:position w:val="-4"/>
        </w:rPr>
        <w:t>盖单位章）</w:t>
      </w:r>
    </w:p>
    <w:p w14:paraId="3C973DB5">
      <w:pPr>
        <w:widowControl/>
        <w:spacing w:line="360" w:lineRule="auto"/>
        <w:ind w:right="98"/>
        <w:jc w:val="right"/>
        <w:rPr>
          <w:rFonts w:hint="eastAsia" w:ascii="宋体" w:hAnsi="宋体" w:cs="宋体"/>
          <w:kern w:val="0"/>
        </w:rPr>
      </w:pPr>
      <w:r>
        <w:rPr>
          <w:rFonts w:hint="eastAsia" w:ascii="宋体" w:hAnsi="宋体" w:cs="宋体"/>
          <w:kern w:val="0"/>
          <w:position w:val="-2"/>
          <w:u w:val="single"/>
        </w:rPr>
        <w:t xml:space="preserve">       </w:t>
      </w:r>
      <w:r>
        <w:rPr>
          <w:rFonts w:hint="eastAsia" w:ascii="宋体" w:hAnsi="宋体" w:cs="宋体"/>
          <w:spacing w:val="-1"/>
          <w:kern w:val="0"/>
          <w:position w:val="-2"/>
        </w:rPr>
        <w:t>年</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月</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日</w:t>
      </w:r>
    </w:p>
    <w:p w14:paraId="11272F1C">
      <w:pPr>
        <w:widowControl/>
        <w:ind w:left="2874" w:right="-20"/>
        <w:rPr>
          <w:rFonts w:hint="eastAsia" w:ascii="宋体" w:hAnsi="宋体" w:cs="宋体"/>
          <w:kern w:val="0"/>
          <w:sz w:val="28"/>
          <w:szCs w:val="28"/>
        </w:rPr>
      </w:pPr>
    </w:p>
    <w:p w14:paraId="2746FD4C">
      <w:pPr>
        <w:widowControl/>
        <w:ind w:left="2874" w:right="-20"/>
        <w:rPr>
          <w:rFonts w:hint="eastAsia" w:ascii="宋体" w:hAnsi="宋体" w:cs="宋体"/>
          <w:b/>
          <w:kern w:val="0"/>
          <w:sz w:val="28"/>
          <w:szCs w:val="28"/>
        </w:rPr>
      </w:pPr>
      <w:r>
        <w:rPr>
          <w:rFonts w:hint="eastAsia" w:ascii="宋体" w:hAnsi="宋体" w:cs="宋体"/>
          <w:b/>
          <w:kern w:val="0"/>
          <w:sz w:val="28"/>
          <w:szCs w:val="28"/>
        </w:rPr>
        <w:br w:type="page"/>
      </w:r>
      <w:r>
        <w:rPr>
          <w:rFonts w:hint="eastAsia" w:ascii="宋体" w:hAnsi="宋体" w:cs="宋体"/>
          <w:b/>
          <w:kern w:val="0"/>
          <w:sz w:val="28"/>
          <w:szCs w:val="28"/>
        </w:rPr>
        <w:t>法定代表人（单位负责人）授权委托书</w:t>
      </w:r>
    </w:p>
    <w:p w14:paraId="697001F5">
      <w:pPr>
        <w:widowControl/>
        <w:spacing w:before="3" w:line="260" w:lineRule="atLeast"/>
        <w:rPr>
          <w:rFonts w:hint="eastAsia" w:ascii="宋体" w:hAnsi="宋体" w:cs="宋体"/>
          <w:kern w:val="0"/>
          <w:sz w:val="26"/>
          <w:szCs w:val="26"/>
        </w:rPr>
      </w:pPr>
    </w:p>
    <w:p w14:paraId="0907FA6F">
      <w:pPr>
        <w:widowControl/>
        <w:spacing w:line="360" w:lineRule="auto"/>
        <w:ind w:left="120" w:right="31" w:firstLine="421"/>
        <w:rPr>
          <w:rFonts w:hint="eastAsia" w:ascii="宋体" w:hAnsi="宋体" w:cs="宋体"/>
          <w:kern w:val="0"/>
        </w:rPr>
      </w:pPr>
      <w:r>
        <w:rPr>
          <w:rFonts w:hint="eastAsia" w:ascii="宋体" w:hAnsi="宋体" w:cs="宋体"/>
          <w:kern w:val="0"/>
        </w:rPr>
        <w:t>本人</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w:t>
      </w:r>
      <w:r>
        <w:rPr>
          <w:rFonts w:hint="eastAsia" w:ascii="宋体" w:hAnsi="宋体" w:cs="宋体"/>
          <w:spacing w:val="-1"/>
          <w:kern w:val="0"/>
        </w:rPr>
        <w:t>姓</w:t>
      </w:r>
      <w:r>
        <w:rPr>
          <w:rFonts w:hint="eastAsia" w:ascii="宋体" w:hAnsi="宋体" w:cs="宋体"/>
          <w:kern w:val="0"/>
        </w:rPr>
        <w:t>名）系</w:t>
      </w:r>
      <w:r>
        <w:rPr>
          <w:rFonts w:hint="eastAsia" w:ascii="宋体" w:hAnsi="宋体" w:cs="宋体"/>
          <w:spacing w:val="42"/>
          <w:kern w:val="0"/>
          <w:u w:val="single"/>
        </w:rPr>
        <w:t xml:space="preserve">   </w:t>
      </w:r>
      <w:r>
        <w:rPr>
          <w:rFonts w:hint="eastAsia" w:ascii="宋体" w:hAnsi="宋体" w:cs="宋体"/>
          <w:kern w:val="0"/>
        </w:rPr>
        <w:t>（供应商名称）</w:t>
      </w:r>
      <w:r>
        <w:rPr>
          <w:rFonts w:hint="eastAsia" w:ascii="宋体" w:hAnsi="宋体" w:cs="宋体"/>
          <w:spacing w:val="1"/>
          <w:kern w:val="0"/>
        </w:rPr>
        <w:t>的</w:t>
      </w:r>
      <w:r>
        <w:rPr>
          <w:rFonts w:hint="eastAsia" w:ascii="宋体" w:hAnsi="宋体" w:cs="宋体"/>
          <w:kern w:val="0"/>
        </w:rPr>
        <w:t>法定代表</w:t>
      </w:r>
      <w:r>
        <w:rPr>
          <w:rFonts w:hint="eastAsia" w:ascii="宋体" w:hAnsi="宋体" w:cs="宋体"/>
          <w:spacing w:val="1"/>
          <w:kern w:val="0"/>
        </w:rPr>
        <w:t>人（单位负责人）</w:t>
      </w:r>
      <w:r>
        <w:rPr>
          <w:rFonts w:hint="eastAsia" w:ascii="宋体" w:hAnsi="宋体" w:cs="宋体"/>
          <w:kern w:val="0"/>
        </w:rPr>
        <w:t>，</w:t>
      </w:r>
      <w:r>
        <w:rPr>
          <w:rFonts w:hint="eastAsia" w:ascii="宋体" w:hAnsi="宋体" w:cs="宋体"/>
          <w:spacing w:val="1"/>
          <w:kern w:val="0"/>
        </w:rPr>
        <w:t>现</w:t>
      </w:r>
      <w:r>
        <w:rPr>
          <w:rFonts w:hint="eastAsia" w:ascii="宋体" w:hAnsi="宋体" w:cs="宋体"/>
          <w:kern w:val="0"/>
        </w:rPr>
        <w:t>委托</w:t>
      </w:r>
      <w:r>
        <w:rPr>
          <w:rFonts w:hint="eastAsia" w:ascii="宋体" w:hAnsi="宋体" w:cs="宋体"/>
          <w:spacing w:val="42"/>
          <w:kern w:val="0"/>
          <w:u w:val="single"/>
        </w:rPr>
        <w:t xml:space="preserve">     </w:t>
      </w:r>
      <w:r>
        <w:rPr>
          <w:rFonts w:hint="eastAsia" w:ascii="宋体" w:hAnsi="宋体" w:cs="宋体"/>
          <w:spacing w:val="-1"/>
          <w:kern w:val="0"/>
        </w:rPr>
        <w:t>（</w:t>
      </w:r>
      <w:r>
        <w:rPr>
          <w:rFonts w:hint="eastAsia" w:ascii="宋体" w:hAnsi="宋体" w:cs="宋体"/>
          <w:kern w:val="0"/>
        </w:rPr>
        <w:t>姓名）为我方代理人。代理人根据授权，以我方名义签署、澄清、说明、补正、递交</w:t>
      </w:r>
      <w:r>
        <w:rPr>
          <w:rFonts w:hint="eastAsia" w:ascii="宋体" w:hAnsi="宋体" w:cs="宋体"/>
          <w:spacing w:val="-13"/>
          <w:kern w:val="0"/>
        </w:rPr>
        <w:t>、</w:t>
      </w:r>
      <w:r>
        <w:rPr>
          <w:rFonts w:hint="eastAsia" w:ascii="宋体" w:hAnsi="宋体" w:cs="宋体"/>
          <w:kern w:val="0"/>
        </w:rPr>
        <w:t>撤回</w:t>
      </w:r>
      <w:r>
        <w:rPr>
          <w:rFonts w:hint="eastAsia" w:ascii="宋体" w:hAnsi="宋体" w:cs="宋体"/>
          <w:spacing w:val="-13"/>
          <w:kern w:val="0"/>
        </w:rPr>
        <w:t>、</w:t>
      </w:r>
      <w:r>
        <w:rPr>
          <w:rFonts w:hint="eastAsia" w:ascii="宋体" w:hAnsi="宋体" w:cs="宋体"/>
          <w:kern w:val="0"/>
        </w:rPr>
        <w:t>修改</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（项目名</w:t>
      </w:r>
      <w:r>
        <w:rPr>
          <w:rFonts w:hint="eastAsia" w:ascii="宋体" w:hAnsi="宋体" w:cs="宋体"/>
          <w:spacing w:val="-1"/>
          <w:kern w:val="0"/>
        </w:rPr>
        <w:t>称</w:t>
      </w:r>
      <w:r>
        <w:rPr>
          <w:rFonts w:hint="eastAsia" w:ascii="宋体" w:hAnsi="宋体" w:cs="宋体"/>
          <w:spacing w:val="-13"/>
          <w:kern w:val="0"/>
        </w:rPr>
        <w:t>）</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标包号。未分包的，此处不填写</w:t>
      </w:r>
      <w:r>
        <w:rPr>
          <w:rFonts w:hint="eastAsia" w:ascii="宋体" w:hAnsi="宋体" w:cs="宋体"/>
          <w:spacing w:val="-13"/>
          <w:kern w:val="0"/>
        </w:rPr>
        <w:t>）</w:t>
      </w:r>
      <w:r>
        <w:rPr>
          <w:rFonts w:hint="eastAsia" w:ascii="宋体" w:hAnsi="宋体" w:cs="宋体"/>
          <w:kern w:val="0"/>
        </w:rPr>
        <w:t>响应文件</w:t>
      </w:r>
      <w:r>
        <w:rPr>
          <w:rFonts w:hint="eastAsia" w:ascii="宋体" w:hAnsi="宋体" w:cs="宋体"/>
          <w:spacing w:val="-13"/>
          <w:kern w:val="0"/>
        </w:rPr>
        <w:t>、</w:t>
      </w:r>
      <w:r>
        <w:rPr>
          <w:rFonts w:hint="eastAsia" w:ascii="宋体" w:hAnsi="宋体" w:cs="宋体"/>
          <w:kern w:val="0"/>
        </w:rPr>
        <w:t>签订合同和处理有关事宜，其法律后果由我方承担。</w:t>
      </w:r>
    </w:p>
    <w:p w14:paraId="121F336B">
      <w:pPr>
        <w:widowControl/>
        <w:spacing w:before="12" w:line="360" w:lineRule="auto"/>
        <w:ind w:left="556" w:right="5491" w:hanging="14"/>
        <w:rPr>
          <w:rFonts w:hint="eastAsia" w:ascii="宋体" w:hAnsi="宋体" w:cs="宋体"/>
          <w:kern w:val="0"/>
        </w:rPr>
      </w:pPr>
      <w:r>
        <w:rPr>
          <w:rFonts w:hint="eastAsia" w:ascii="宋体" w:hAnsi="宋体" w:cs="宋体"/>
          <w:kern w:val="0"/>
        </w:rPr>
        <w:t>代理人无转委托权。</w:t>
      </w:r>
    </w:p>
    <w:tbl>
      <w:tblPr>
        <w:tblStyle w:val="46"/>
        <w:tblW w:w="8379"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9"/>
        <w:gridCol w:w="4190"/>
      </w:tblGrid>
      <w:tr w14:paraId="710C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4" w:hRule="atLeast"/>
        </w:trPr>
        <w:tc>
          <w:tcPr>
            <w:tcW w:w="4189" w:type="dxa"/>
            <w:vAlign w:val="center"/>
          </w:tcPr>
          <w:p w14:paraId="52044119">
            <w:pPr>
              <w:adjustRightInd w:val="0"/>
              <w:snapToGrid w:val="0"/>
              <w:spacing w:line="360" w:lineRule="auto"/>
              <w:jc w:val="center"/>
              <w:rPr>
                <w:rFonts w:hint="eastAsia" w:ascii="宋体" w:hAnsi="宋体"/>
                <w:szCs w:val="21"/>
              </w:rPr>
            </w:pPr>
            <w:r>
              <w:rPr>
                <w:rFonts w:hint="eastAsia" w:ascii="宋体" w:hAnsi="宋体"/>
                <w:szCs w:val="21"/>
              </w:rPr>
              <w:t>代理人身份证（正面）</w:t>
            </w:r>
          </w:p>
        </w:tc>
        <w:tc>
          <w:tcPr>
            <w:tcW w:w="4190" w:type="dxa"/>
            <w:vAlign w:val="center"/>
          </w:tcPr>
          <w:p w14:paraId="084242E3">
            <w:pPr>
              <w:adjustRightInd w:val="0"/>
              <w:snapToGrid w:val="0"/>
              <w:spacing w:line="360" w:lineRule="auto"/>
              <w:jc w:val="center"/>
              <w:rPr>
                <w:rFonts w:hint="eastAsia" w:ascii="宋体" w:hAnsi="宋体"/>
                <w:szCs w:val="21"/>
              </w:rPr>
            </w:pPr>
            <w:r>
              <w:rPr>
                <w:rFonts w:hint="eastAsia" w:ascii="宋体" w:hAnsi="宋体"/>
                <w:szCs w:val="21"/>
              </w:rPr>
              <w:t>代理人身份证（反面）</w:t>
            </w:r>
          </w:p>
        </w:tc>
      </w:tr>
      <w:tr w14:paraId="504B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4189" w:type="dxa"/>
            <w:vAlign w:val="center"/>
          </w:tcPr>
          <w:p w14:paraId="1049AE42">
            <w:pPr>
              <w:adjustRightInd w:val="0"/>
              <w:snapToGrid w:val="0"/>
              <w:spacing w:line="360" w:lineRule="auto"/>
              <w:jc w:val="center"/>
              <w:rPr>
                <w:rFonts w:hint="eastAsia"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身份证（正面）</w:t>
            </w:r>
          </w:p>
        </w:tc>
        <w:tc>
          <w:tcPr>
            <w:tcW w:w="4190" w:type="dxa"/>
            <w:vAlign w:val="center"/>
          </w:tcPr>
          <w:p w14:paraId="75AEDC6F">
            <w:pPr>
              <w:adjustRightInd w:val="0"/>
              <w:snapToGrid w:val="0"/>
              <w:spacing w:line="360" w:lineRule="auto"/>
              <w:jc w:val="center"/>
              <w:rPr>
                <w:rFonts w:hint="eastAsia"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身份证（反面）</w:t>
            </w:r>
          </w:p>
        </w:tc>
      </w:tr>
    </w:tbl>
    <w:p w14:paraId="7E513B3B">
      <w:pPr>
        <w:widowControl/>
        <w:spacing w:line="360" w:lineRule="auto"/>
        <w:rPr>
          <w:rFonts w:hint="eastAsia" w:ascii="宋体" w:hAnsi="宋体" w:cs="宋体"/>
          <w:kern w:val="0"/>
        </w:rPr>
      </w:pPr>
    </w:p>
    <w:p w14:paraId="0D5A472A">
      <w:pPr>
        <w:pStyle w:val="151"/>
        <w:spacing w:line="360" w:lineRule="auto"/>
        <w:ind w:firstLine="2604" w:firstLineChars="1240"/>
        <w:rPr>
          <w:rFonts w:hint="eastAsia" w:ascii="宋体" w:hAnsi="宋体" w:cs="宋体"/>
          <w:szCs w:val="24"/>
          <w:u w:val="single"/>
        </w:rPr>
      </w:pPr>
      <w:r>
        <w:rPr>
          <w:rFonts w:hint="eastAsia" w:ascii="宋体" w:hAnsi="宋体" w:cs="宋体"/>
          <w:szCs w:val="24"/>
        </w:rPr>
        <w:t>代理人：</w:t>
      </w:r>
      <w:r>
        <w:rPr>
          <w:rFonts w:hint="eastAsia" w:ascii="宋体" w:hAnsi="宋体" w:cs="宋体"/>
          <w:szCs w:val="24"/>
          <w:u w:val="single"/>
        </w:rPr>
        <w:t xml:space="preserve">              </w:t>
      </w:r>
      <w:r>
        <w:rPr>
          <w:rFonts w:hint="eastAsia" w:ascii="宋体" w:hAnsi="宋体" w:cs="宋体"/>
          <w:szCs w:val="24"/>
        </w:rPr>
        <w:t>性别：</w:t>
      </w:r>
      <w:r>
        <w:rPr>
          <w:rFonts w:hint="eastAsia" w:ascii="宋体" w:hAnsi="宋体" w:cs="宋体"/>
          <w:szCs w:val="24"/>
          <w:u w:val="single"/>
        </w:rPr>
        <w:t xml:space="preserve">     </w:t>
      </w:r>
      <w:r>
        <w:rPr>
          <w:rFonts w:hint="eastAsia" w:ascii="宋体" w:hAnsi="宋体" w:cs="宋体"/>
          <w:szCs w:val="24"/>
        </w:rPr>
        <w:t>年龄：</w:t>
      </w:r>
      <w:r>
        <w:rPr>
          <w:rFonts w:hint="eastAsia" w:ascii="宋体" w:hAnsi="宋体" w:cs="宋体"/>
          <w:szCs w:val="24"/>
          <w:u w:val="single"/>
        </w:rPr>
        <w:t xml:space="preserve">     </w:t>
      </w:r>
    </w:p>
    <w:p w14:paraId="5B68CC21">
      <w:pPr>
        <w:pStyle w:val="151"/>
        <w:spacing w:line="360" w:lineRule="auto"/>
        <w:ind w:firstLine="2604" w:firstLineChars="1240"/>
        <w:rPr>
          <w:rFonts w:hint="eastAsia" w:ascii="宋体" w:hAnsi="宋体" w:cs="宋体"/>
          <w:szCs w:val="24"/>
          <w:u w:val="single"/>
        </w:rPr>
      </w:pPr>
      <w:r>
        <w:rPr>
          <w:rFonts w:hint="eastAsia" w:ascii="宋体" w:hAnsi="宋体" w:cs="宋体"/>
          <w:szCs w:val="24"/>
        </w:rPr>
        <w:t>身份证号码：</w:t>
      </w:r>
      <w:r>
        <w:rPr>
          <w:rFonts w:hint="eastAsia" w:ascii="宋体" w:hAnsi="宋体" w:cs="宋体"/>
          <w:szCs w:val="24"/>
          <w:u w:val="single"/>
        </w:rPr>
        <w:t xml:space="preserve">                   </w:t>
      </w:r>
      <w:r>
        <w:rPr>
          <w:rFonts w:hint="eastAsia" w:ascii="宋体" w:hAnsi="宋体" w:cs="宋体"/>
          <w:szCs w:val="24"/>
        </w:rPr>
        <w:t xml:space="preserve"> 职务：</w:t>
      </w:r>
      <w:r>
        <w:rPr>
          <w:rFonts w:hint="eastAsia" w:ascii="宋体" w:hAnsi="宋体" w:cs="宋体"/>
          <w:szCs w:val="24"/>
          <w:u w:val="single"/>
        </w:rPr>
        <w:t xml:space="preserve">      </w:t>
      </w:r>
    </w:p>
    <w:p w14:paraId="5E6BFED4">
      <w:pPr>
        <w:pStyle w:val="151"/>
        <w:spacing w:line="360" w:lineRule="auto"/>
        <w:ind w:firstLine="2604" w:firstLineChars="1240"/>
        <w:rPr>
          <w:rFonts w:hint="eastAsia" w:ascii="宋体" w:hAnsi="宋体" w:cs="宋体"/>
          <w:szCs w:val="24"/>
          <w:u w:val="single"/>
        </w:rPr>
      </w:pPr>
      <w:r>
        <w:rPr>
          <w:rFonts w:hint="eastAsia" w:ascii="宋体" w:hAnsi="宋体" w:cs="宋体"/>
          <w:szCs w:val="24"/>
        </w:rPr>
        <w:t>供应商：</w:t>
      </w:r>
      <w:r>
        <w:rPr>
          <w:rFonts w:hint="eastAsia" w:ascii="宋体" w:hAnsi="宋体" w:cs="宋体"/>
          <w:szCs w:val="24"/>
          <w:u w:val="single"/>
        </w:rPr>
        <w:t xml:space="preserve">                            （盖单位章）</w:t>
      </w:r>
    </w:p>
    <w:p w14:paraId="701BF9FB">
      <w:pPr>
        <w:pStyle w:val="151"/>
        <w:spacing w:line="360" w:lineRule="auto"/>
        <w:ind w:firstLine="2604" w:firstLineChars="1240"/>
        <w:rPr>
          <w:rFonts w:hint="eastAsia" w:ascii="宋体" w:hAnsi="宋体" w:cs="宋体"/>
          <w:szCs w:val="24"/>
          <w:u w:val="single"/>
        </w:rPr>
      </w:pPr>
      <w:r>
        <w:rPr>
          <w:rFonts w:hint="eastAsia" w:ascii="宋体" w:hAnsi="宋体" w:cs="宋体"/>
          <w:szCs w:val="24"/>
        </w:rPr>
        <w:t>法定代表人（单位负责人）：</w:t>
      </w:r>
      <w:r>
        <w:rPr>
          <w:rFonts w:hint="eastAsia" w:ascii="宋体" w:hAnsi="宋体" w:cs="宋体"/>
          <w:szCs w:val="24"/>
          <w:u w:val="single"/>
        </w:rPr>
        <w:t xml:space="preserve">                   （签字或盖章）</w:t>
      </w:r>
    </w:p>
    <w:p w14:paraId="7C5212C2">
      <w:pPr>
        <w:pStyle w:val="151"/>
        <w:spacing w:line="360" w:lineRule="auto"/>
        <w:ind w:firstLine="2604" w:firstLineChars="1240"/>
        <w:rPr>
          <w:rFonts w:hint="eastAsia" w:ascii="宋体" w:hAnsi="宋体" w:cs="宋体"/>
          <w:szCs w:val="24"/>
        </w:rPr>
      </w:pPr>
      <w:r>
        <w:rPr>
          <w:rFonts w:hint="eastAsia" w:ascii="宋体" w:hAnsi="宋体" w:cs="宋体"/>
          <w:szCs w:val="24"/>
        </w:rPr>
        <w:t>授权委托日期：</w:t>
      </w: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73A690FD">
      <w:pPr>
        <w:widowControl/>
        <w:spacing w:line="295" w:lineRule="atLeast"/>
        <w:ind w:left="556" w:right="-20"/>
        <w:rPr>
          <w:rFonts w:hint="eastAsia" w:ascii="宋体" w:hAnsi="宋体" w:cs="宋体"/>
          <w:kern w:val="0"/>
          <w:szCs w:val="21"/>
        </w:rPr>
      </w:pPr>
    </w:p>
    <w:p w14:paraId="58152522">
      <w:pPr>
        <w:widowControl/>
        <w:jc w:val="left"/>
        <w:rPr>
          <w:rFonts w:hint="eastAsia" w:ascii="宋体" w:hAnsi="宋体" w:cs="宋体"/>
          <w:spacing w:val="12"/>
          <w:kern w:val="0"/>
          <w:position w:val="-3"/>
          <w:sz w:val="2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E3E607E">
      <w:pPr>
        <w:pStyle w:val="3"/>
        <w:widowControl/>
        <w:spacing w:before="120" w:after="120" w:line="240" w:lineRule="auto"/>
        <w:jc w:val="center"/>
        <w:rPr>
          <w:rFonts w:hint="eastAsia" w:ascii="宋体" w:hAnsi="宋体" w:cs="宋体"/>
          <w:kern w:val="0"/>
          <w:sz w:val="28"/>
          <w:szCs w:val="28"/>
        </w:rPr>
      </w:pPr>
      <w:r>
        <w:rPr>
          <w:rFonts w:hint="eastAsia" w:ascii="宋体" w:hAnsi="宋体" w:cs="宋体"/>
          <w:kern w:val="0"/>
          <w:sz w:val="28"/>
          <w:szCs w:val="28"/>
        </w:rPr>
        <w:t>六、联合体协议书（如有）</w:t>
      </w:r>
    </w:p>
    <w:p w14:paraId="7A08A520">
      <w:pPr>
        <w:widowControl/>
        <w:spacing w:before="7" w:line="110" w:lineRule="atLeast"/>
        <w:rPr>
          <w:rFonts w:hint="eastAsia" w:ascii="宋体" w:hAnsi="宋体" w:cs="宋体"/>
          <w:kern w:val="0"/>
          <w:sz w:val="11"/>
          <w:szCs w:val="11"/>
        </w:rPr>
      </w:pPr>
      <w:r>
        <w:rPr>
          <w:rFonts w:hint="eastAsia" w:ascii="宋体" w:hAnsi="宋体" w:cs="宋体"/>
          <w:kern w:val="0"/>
          <w:sz w:val="11"/>
          <w:szCs w:val="11"/>
        </w:rPr>
        <w:t xml:space="preserve"> </w:t>
      </w:r>
    </w:p>
    <w:p w14:paraId="38B3B749">
      <w:pPr>
        <w:pStyle w:val="151"/>
        <w:topLinePunct/>
        <w:spacing w:line="440" w:lineRule="atLeast"/>
        <w:ind w:firstLine="420"/>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（所有成员单位名称）自愿组成联合体，共同参加【项目名称】的采购活动。现就联合体响应事宜订立如下协议。</w:t>
      </w:r>
    </w:p>
    <w:p w14:paraId="618B2C55">
      <w:pPr>
        <w:pStyle w:val="151"/>
        <w:topLinePunct/>
        <w:spacing w:line="440" w:lineRule="atLeast"/>
        <w:ind w:firstLine="420"/>
        <w:rPr>
          <w:rFonts w:hint="eastAsia" w:ascii="宋体" w:hAnsi="宋体" w:cs="宋体"/>
          <w:szCs w:val="24"/>
        </w:rPr>
      </w:pPr>
      <w:r>
        <w:rPr>
          <w:rFonts w:hint="eastAsia" w:ascii="宋体" w:hAnsi="宋体" w:cs="宋体"/>
          <w:szCs w:val="24"/>
        </w:rPr>
        <w:t>1、</w:t>
      </w:r>
      <w:r>
        <w:rPr>
          <w:rFonts w:hint="eastAsia" w:ascii="宋体" w:hAnsi="宋体" w:cs="宋体"/>
          <w:szCs w:val="24"/>
          <w:u w:val="single"/>
        </w:rPr>
        <w:t xml:space="preserve">       </w:t>
      </w:r>
      <w:r>
        <w:rPr>
          <w:rFonts w:hint="eastAsia" w:ascii="宋体" w:hAnsi="宋体" w:cs="宋体"/>
          <w:szCs w:val="24"/>
        </w:rPr>
        <w:t>（某成员单位名称）为牵头人。</w:t>
      </w:r>
    </w:p>
    <w:p w14:paraId="3330974A">
      <w:pPr>
        <w:pStyle w:val="151"/>
        <w:topLinePunct/>
        <w:spacing w:line="440" w:lineRule="atLeast"/>
        <w:ind w:firstLine="420"/>
        <w:rPr>
          <w:rFonts w:hint="eastAsia" w:ascii="宋体" w:hAnsi="宋体" w:cs="宋体"/>
          <w:szCs w:val="24"/>
        </w:rPr>
      </w:pPr>
      <w:r>
        <w:rPr>
          <w:rFonts w:hint="eastAsia" w:ascii="宋体" w:hAnsi="宋体" w:cs="宋体"/>
          <w:szCs w:val="24"/>
        </w:rPr>
        <w:t>2、联合体牵头人合法代表联合体各成员负责本采购项目响应文件编制和合同谈判活动，并代表联合体提交和接收相关的资料、信息及指示，并处理与之有关的一切事务，负责合同实施阶段的主办、组织和协调工作。</w:t>
      </w:r>
    </w:p>
    <w:p w14:paraId="6A28C6A0">
      <w:pPr>
        <w:pStyle w:val="151"/>
        <w:topLinePunct/>
        <w:spacing w:line="440" w:lineRule="atLeast"/>
        <w:ind w:firstLine="420"/>
        <w:rPr>
          <w:rFonts w:hint="eastAsia" w:ascii="宋体" w:hAnsi="宋体" w:cs="宋体"/>
          <w:szCs w:val="24"/>
        </w:rPr>
      </w:pPr>
      <w:r>
        <w:rPr>
          <w:rFonts w:hint="eastAsia" w:ascii="宋体" w:hAnsi="宋体" w:cs="宋体"/>
          <w:szCs w:val="24"/>
        </w:rPr>
        <w:t>3、联合体将严格按照采购文件的各项要求，递交响应文件，履行合同，并对外承担连带责任。</w:t>
      </w:r>
    </w:p>
    <w:p w14:paraId="3958D2AC">
      <w:pPr>
        <w:pStyle w:val="151"/>
        <w:topLinePunct/>
        <w:spacing w:line="440" w:lineRule="atLeast"/>
        <w:ind w:firstLine="420"/>
        <w:rPr>
          <w:rFonts w:hint="eastAsia" w:ascii="宋体" w:hAnsi="宋体" w:cs="宋体"/>
          <w:szCs w:val="24"/>
        </w:rPr>
      </w:pPr>
      <w:r>
        <w:rPr>
          <w:rFonts w:hint="eastAsia" w:ascii="宋体" w:hAnsi="宋体" w:cs="宋体"/>
          <w:szCs w:val="24"/>
        </w:rPr>
        <w:t>4、联合体各成员单位内部的职责分工如下：</w:t>
      </w:r>
    </w:p>
    <w:p w14:paraId="1F96F591">
      <w:pPr>
        <w:pStyle w:val="151"/>
        <w:topLinePunct/>
        <w:spacing w:line="440" w:lineRule="atLeast"/>
        <w:ind w:firstLine="420"/>
        <w:rPr>
          <w:rFonts w:hint="eastAsia" w:ascii="宋体" w:hAnsi="宋体" w:cs="宋体"/>
          <w:szCs w:val="24"/>
          <w:u w:val="single"/>
        </w:rPr>
      </w:pPr>
      <w:r>
        <w:rPr>
          <w:rFonts w:hint="eastAsia" w:ascii="宋体" w:hAnsi="宋体" w:cs="宋体"/>
          <w:szCs w:val="24"/>
        </w:rPr>
        <w:t>（1）牵头人单位：</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7D57706C">
      <w:pPr>
        <w:pStyle w:val="151"/>
        <w:topLinePunct/>
        <w:spacing w:line="440" w:lineRule="atLeast"/>
        <w:ind w:firstLine="420"/>
        <w:rPr>
          <w:rFonts w:hint="eastAsia" w:ascii="宋体" w:hAnsi="宋体" w:cs="宋体"/>
          <w:szCs w:val="24"/>
          <w:u w:val="single"/>
        </w:rPr>
      </w:pPr>
      <w:r>
        <w:rPr>
          <w:rFonts w:hint="eastAsia" w:ascii="宋体" w:hAnsi="宋体" w:cs="宋体"/>
          <w:szCs w:val="24"/>
        </w:rPr>
        <w:t>（2）成员单位一：</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1E80DAA5">
      <w:pPr>
        <w:pStyle w:val="151"/>
        <w:topLinePunct/>
        <w:spacing w:line="440" w:lineRule="atLeast"/>
        <w:ind w:firstLine="420"/>
        <w:rPr>
          <w:rFonts w:hint="eastAsia" w:ascii="宋体" w:hAnsi="宋体" w:cs="宋体"/>
          <w:szCs w:val="24"/>
          <w:u w:val="single"/>
        </w:rPr>
      </w:pPr>
      <w:r>
        <w:rPr>
          <w:rFonts w:hint="eastAsia" w:ascii="宋体" w:hAnsi="宋体" w:cs="宋体"/>
          <w:szCs w:val="24"/>
        </w:rPr>
        <w:t>（2）成员单位二：</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5050A5B6">
      <w:pPr>
        <w:pStyle w:val="151"/>
        <w:topLinePunct/>
        <w:spacing w:line="440" w:lineRule="atLeast"/>
        <w:ind w:firstLine="420"/>
        <w:rPr>
          <w:rFonts w:hint="eastAsia" w:ascii="宋体" w:hAnsi="宋体" w:cs="宋体"/>
          <w:szCs w:val="24"/>
        </w:rPr>
      </w:pPr>
      <w:r>
        <w:rPr>
          <w:rFonts w:hint="eastAsia" w:ascii="宋体" w:hAnsi="宋体" w:cs="宋体"/>
          <w:szCs w:val="24"/>
        </w:rPr>
        <w:t>…</w:t>
      </w:r>
    </w:p>
    <w:p w14:paraId="40F212AE">
      <w:pPr>
        <w:pStyle w:val="151"/>
        <w:topLinePunct/>
        <w:spacing w:line="440" w:lineRule="atLeast"/>
        <w:ind w:firstLine="420"/>
        <w:rPr>
          <w:rFonts w:hint="eastAsia" w:ascii="宋体" w:hAnsi="宋体" w:cs="宋体"/>
          <w:szCs w:val="24"/>
        </w:rPr>
      </w:pPr>
      <w:r>
        <w:rPr>
          <w:rFonts w:hint="eastAsia" w:ascii="宋体" w:hAnsi="宋体" w:cs="宋体"/>
          <w:szCs w:val="24"/>
        </w:rPr>
        <w:t xml:space="preserve">5、本协议书自签署之日起生效，合同履行完毕后自动失效。 </w:t>
      </w:r>
    </w:p>
    <w:p w14:paraId="21C375B4">
      <w:pPr>
        <w:pStyle w:val="151"/>
        <w:topLinePunct/>
        <w:spacing w:line="440" w:lineRule="atLeast"/>
        <w:ind w:firstLine="420"/>
        <w:rPr>
          <w:rFonts w:hint="eastAsia" w:ascii="宋体" w:hAnsi="宋体" w:cs="宋体"/>
          <w:szCs w:val="24"/>
        </w:rPr>
      </w:pPr>
      <w:r>
        <w:rPr>
          <w:rFonts w:hint="eastAsia" w:ascii="宋体" w:hAnsi="宋体" w:cs="宋体"/>
          <w:szCs w:val="24"/>
        </w:rPr>
        <w:t>6、本协议书一式</w:t>
      </w:r>
      <w:r>
        <w:rPr>
          <w:rFonts w:hint="eastAsia" w:ascii="宋体" w:hAnsi="宋体" w:cs="宋体"/>
          <w:szCs w:val="24"/>
          <w:u w:val="single"/>
        </w:rPr>
        <w:t xml:space="preserve">      </w:t>
      </w:r>
      <w:r>
        <w:rPr>
          <w:rFonts w:hint="eastAsia" w:ascii="宋体" w:hAnsi="宋体" w:cs="宋体"/>
          <w:szCs w:val="24"/>
        </w:rPr>
        <w:t>份，联合体牵头人、成员和采购人各执一份。</w:t>
      </w:r>
    </w:p>
    <w:p w14:paraId="628741B8">
      <w:pPr>
        <w:pStyle w:val="151"/>
        <w:topLinePunct/>
        <w:spacing w:line="440" w:lineRule="atLeast"/>
        <w:rPr>
          <w:rFonts w:hint="eastAsia" w:ascii="宋体" w:hAnsi="宋体" w:cs="宋体"/>
          <w:szCs w:val="24"/>
        </w:rPr>
      </w:pPr>
    </w:p>
    <w:p w14:paraId="79F12D0C">
      <w:pPr>
        <w:pStyle w:val="151"/>
        <w:topLinePunct/>
        <w:spacing w:line="440" w:lineRule="atLeast"/>
        <w:rPr>
          <w:rFonts w:hint="eastAsia" w:ascii="宋体" w:hAnsi="宋体" w:cs="宋体"/>
          <w:szCs w:val="24"/>
        </w:rPr>
      </w:pPr>
      <w:r>
        <w:rPr>
          <w:rFonts w:hint="eastAsia" w:ascii="宋体" w:hAnsi="宋体" w:cs="宋体"/>
          <w:szCs w:val="24"/>
        </w:rPr>
        <w:t>牵头人名称：</w:t>
      </w:r>
      <w:r>
        <w:rPr>
          <w:rFonts w:hint="eastAsia" w:ascii="宋体" w:hAnsi="宋体" w:cs="宋体"/>
          <w:szCs w:val="24"/>
          <w:u w:val="single"/>
        </w:rPr>
        <w:t xml:space="preserve">                                 </w:t>
      </w:r>
      <w:r>
        <w:rPr>
          <w:rFonts w:hint="eastAsia" w:ascii="宋体" w:hAnsi="宋体" w:cs="宋体"/>
          <w:szCs w:val="24"/>
        </w:rPr>
        <w:t>（盖单位章）</w:t>
      </w:r>
    </w:p>
    <w:p w14:paraId="345A1335">
      <w:pPr>
        <w:pStyle w:val="151"/>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7E9F96D1">
      <w:pPr>
        <w:pStyle w:val="151"/>
        <w:topLinePunct/>
        <w:spacing w:line="440" w:lineRule="atLeast"/>
        <w:rPr>
          <w:rFonts w:hint="eastAsia" w:ascii="宋体" w:hAnsi="宋体" w:cs="宋体"/>
          <w:szCs w:val="24"/>
        </w:rPr>
      </w:pPr>
      <w:r>
        <w:rPr>
          <w:rFonts w:hint="eastAsia" w:ascii="宋体" w:hAnsi="宋体" w:cs="宋体"/>
          <w:szCs w:val="24"/>
        </w:rPr>
        <w:t xml:space="preserve"> </w:t>
      </w:r>
    </w:p>
    <w:p w14:paraId="4B69C377">
      <w:pPr>
        <w:pStyle w:val="151"/>
        <w:topLinePunct/>
        <w:spacing w:line="440" w:lineRule="atLeast"/>
        <w:rPr>
          <w:rFonts w:hint="eastAsia" w:ascii="宋体" w:hAnsi="宋体" w:cs="宋体"/>
          <w:szCs w:val="24"/>
        </w:rPr>
      </w:pPr>
      <w:r>
        <w:rPr>
          <w:rFonts w:hint="eastAsia" w:ascii="宋体" w:hAnsi="宋体" w:cs="宋体"/>
          <w:szCs w:val="24"/>
        </w:rPr>
        <w:t>成员一名称：</w:t>
      </w:r>
      <w:r>
        <w:rPr>
          <w:rFonts w:hint="eastAsia" w:ascii="宋体" w:hAnsi="宋体" w:cs="宋体"/>
          <w:szCs w:val="24"/>
          <w:u w:val="single"/>
        </w:rPr>
        <w:t xml:space="preserve">                                 </w:t>
      </w:r>
      <w:r>
        <w:rPr>
          <w:rFonts w:hint="eastAsia" w:ascii="宋体" w:hAnsi="宋体" w:cs="宋体"/>
          <w:szCs w:val="24"/>
        </w:rPr>
        <w:t>（盖单位章）</w:t>
      </w:r>
    </w:p>
    <w:p w14:paraId="337C89AB">
      <w:pPr>
        <w:pStyle w:val="151"/>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4BBA2C01">
      <w:pPr>
        <w:pStyle w:val="151"/>
        <w:topLinePunct/>
        <w:spacing w:line="440" w:lineRule="atLeast"/>
        <w:rPr>
          <w:rFonts w:hint="eastAsia" w:ascii="宋体" w:hAnsi="宋体" w:cs="宋体"/>
          <w:szCs w:val="24"/>
        </w:rPr>
      </w:pPr>
      <w:r>
        <w:rPr>
          <w:rFonts w:hint="eastAsia" w:ascii="宋体" w:hAnsi="宋体" w:cs="宋体"/>
          <w:szCs w:val="24"/>
        </w:rPr>
        <w:t xml:space="preserve"> </w:t>
      </w:r>
    </w:p>
    <w:p w14:paraId="4036F5C2">
      <w:pPr>
        <w:pStyle w:val="151"/>
        <w:topLinePunct/>
        <w:spacing w:line="440" w:lineRule="atLeast"/>
        <w:rPr>
          <w:rFonts w:hint="eastAsia" w:ascii="宋体" w:hAnsi="宋体" w:cs="宋体"/>
          <w:szCs w:val="24"/>
        </w:rPr>
      </w:pPr>
      <w:r>
        <w:rPr>
          <w:rFonts w:hint="eastAsia" w:ascii="宋体" w:hAnsi="宋体" w:cs="宋体"/>
          <w:szCs w:val="24"/>
        </w:rPr>
        <w:t>成员二名称：</w:t>
      </w:r>
      <w:r>
        <w:rPr>
          <w:rFonts w:hint="eastAsia" w:ascii="宋体" w:hAnsi="宋体" w:cs="宋体"/>
          <w:szCs w:val="24"/>
          <w:u w:val="single"/>
        </w:rPr>
        <w:t xml:space="preserve">                                 </w:t>
      </w:r>
      <w:r>
        <w:rPr>
          <w:rFonts w:hint="eastAsia" w:ascii="宋体" w:hAnsi="宋体" w:cs="宋体"/>
          <w:szCs w:val="24"/>
        </w:rPr>
        <w:t>（盖单位章）</w:t>
      </w:r>
    </w:p>
    <w:p w14:paraId="177EF3B0">
      <w:pPr>
        <w:pStyle w:val="151"/>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7C57631A">
      <w:pPr>
        <w:pStyle w:val="151"/>
        <w:topLinePunct/>
        <w:spacing w:line="440" w:lineRule="atLeast"/>
        <w:rPr>
          <w:rFonts w:hint="eastAsia" w:ascii="宋体" w:hAnsi="宋体" w:cs="宋体"/>
          <w:szCs w:val="24"/>
        </w:rPr>
      </w:pPr>
      <w:r>
        <w:rPr>
          <w:rFonts w:hint="eastAsia" w:ascii="宋体" w:hAnsi="宋体" w:cs="宋体"/>
          <w:szCs w:val="24"/>
        </w:rPr>
        <w:t>……</w:t>
      </w:r>
    </w:p>
    <w:p w14:paraId="3F81D72E">
      <w:pPr>
        <w:pStyle w:val="151"/>
        <w:ind w:firstLine="2879"/>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7328C790">
      <w:pPr>
        <w:widowControl/>
        <w:spacing w:line="200" w:lineRule="atLeast"/>
        <w:rPr>
          <w:rFonts w:hint="eastAsia" w:ascii="宋体" w:hAnsi="宋体" w:cs="宋体"/>
          <w:kern w:val="0"/>
          <w:sz w:val="24"/>
        </w:rPr>
      </w:pPr>
    </w:p>
    <w:p w14:paraId="7E7CE6EE">
      <w:pPr>
        <w:widowControl/>
        <w:rPr>
          <w:rFonts w:hint="eastAsia" w:ascii="宋体" w:hAnsi="宋体" w:cs="宋体"/>
        </w:rPr>
      </w:pPr>
    </w:p>
    <w:p w14:paraId="18B42FF9">
      <w:pPr>
        <w:widowControl/>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A13281">
      <w:pPr>
        <w:pStyle w:val="3"/>
        <w:widowControl/>
        <w:spacing w:before="120" w:after="120" w:line="240" w:lineRule="auto"/>
        <w:jc w:val="center"/>
        <w:rPr>
          <w:rStyle w:val="102"/>
          <w:rFonts w:hint="eastAsia" w:ascii="宋体" w:hAnsi="宋体" w:eastAsia="宋体" w:cs="宋体"/>
          <w:b/>
          <w:bCs w:val="0"/>
          <w:sz w:val="30"/>
          <w:szCs w:val="30"/>
        </w:rPr>
      </w:pPr>
      <w:r>
        <w:rPr>
          <w:rFonts w:hint="eastAsia" w:ascii="宋体" w:hAnsi="宋体" w:cs="宋体"/>
          <w:szCs w:val="24"/>
        </w:rPr>
        <w:t>七</w:t>
      </w:r>
      <w:r>
        <w:rPr>
          <w:rStyle w:val="102"/>
          <w:rFonts w:hint="eastAsia" w:ascii="宋体" w:hAnsi="宋体" w:eastAsia="宋体" w:cs="宋体"/>
          <w:b/>
          <w:bCs w:val="0"/>
          <w:sz w:val="30"/>
          <w:szCs w:val="30"/>
        </w:rPr>
        <w:t>、资格审查材料</w:t>
      </w:r>
    </w:p>
    <w:p w14:paraId="6A1B70E7">
      <w:pPr>
        <w:pStyle w:val="4"/>
        <w:keepNext w:val="0"/>
        <w:tabs>
          <w:tab w:val="left" w:pos="1260"/>
        </w:tabs>
        <w:jc w:val="center"/>
        <w:rPr>
          <w:rFonts w:hint="eastAsia" w:cs="宋体"/>
          <w:sz w:val="24"/>
          <w:lang w:eastAsia="zh-CN"/>
        </w:rPr>
      </w:pPr>
      <w:r>
        <w:rPr>
          <w:rFonts w:hint="eastAsia" w:cs="宋体"/>
          <w:bCs w:val="0"/>
          <w:sz w:val="24"/>
          <w:lang w:eastAsia="zh-CN"/>
        </w:rPr>
        <w:t>（一）供应商基本情况表</w:t>
      </w:r>
    </w:p>
    <w:tbl>
      <w:tblPr>
        <w:tblStyle w:val="46"/>
        <w:tblW w:w="9255" w:type="dxa"/>
        <w:tblInd w:w="209" w:type="dxa"/>
        <w:tblLayout w:type="fixed"/>
        <w:tblCellMar>
          <w:top w:w="0" w:type="dxa"/>
          <w:left w:w="108" w:type="dxa"/>
          <w:bottom w:w="0" w:type="dxa"/>
          <w:right w:w="108" w:type="dxa"/>
        </w:tblCellMar>
      </w:tblPr>
      <w:tblGrid>
        <w:gridCol w:w="1648"/>
        <w:gridCol w:w="984"/>
        <w:gridCol w:w="1662"/>
        <w:gridCol w:w="684"/>
        <w:gridCol w:w="400"/>
        <w:gridCol w:w="1083"/>
        <w:gridCol w:w="169"/>
        <w:gridCol w:w="358"/>
        <w:gridCol w:w="542"/>
        <w:gridCol w:w="1725"/>
      </w:tblGrid>
      <w:tr w14:paraId="7BA7C89B">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39C7394A">
            <w:pPr>
              <w:widowControl/>
              <w:adjustRightInd w:val="0"/>
              <w:snapToGrid w:val="0"/>
              <w:rPr>
                <w:rFonts w:hint="eastAsia" w:ascii="宋体" w:hAnsi="宋体" w:cs="宋体"/>
                <w:kern w:val="0"/>
                <w:szCs w:val="21"/>
              </w:rPr>
            </w:pPr>
            <w:r>
              <w:rPr>
                <w:rFonts w:hint="eastAsia" w:ascii="宋体" w:hAnsi="宋体" w:cs="宋体"/>
                <w:kern w:val="0"/>
                <w:szCs w:val="21"/>
              </w:rPr>
              <w:t>供应商名称</w:t>
            </w:r>
          </w:p>
        </w:tc>
        <w:tc>
          <w:tcPr>
            <w:tcW w:w="7607" w:type="dxa"/>
            <w:gridSpan w:val="9"/>
            <w:tcBorders>
              <w:top w:val="single" w:color="000000" w:sz="4" w:space="0"/>
              <w:left w:val="nil"/>
              <w:bottom w:val="single" w:color="000000" w:sz="4" w:space="0"/>
              <w:right w:val="single" w:color="000000" w:sz="4" w:space="0"/>
            </w:tcBorders>
            <w:vAlign w:val="center"/>
          </w:tcPr>
          <w:p w14:paraId="2AEDB0E3">
            <w:pPr>
              <w:widowControl/>
              <w:adjustRightInd w:val="0"/>
              <w:snapToGrid w:val="0"/>
              <w:rPr>
                <w:rFonts w:hint="eastAsia" w:ascii="宋体" w:hAnsi="宋体" w:cs="宋体"/>
                <w:kern w:val="0"/>
                <w:szCs w:val="21"/>
              </w:rPr>
            </w:pPr>
          </w:p>
        </w:tc>
      </w:tr>
      <w:tr w14:paraId="10BE68A0">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6EC7E1D6">
            <w:pPr>
              <w:widowControl/>
              <w:adjustRightInd w:val="0"/>
              <w:snapToGrid w:val="0"/>
              <w:rPr>
                <w:rFonts w:hint="eastAsia" w:ascii="宋体" w:hAnsi="宋体" w:cs="宋体"/>
                <w:kern w:val="0"/>
                <w:szCs w:val="21"/>
              </w:rPr>
            </w:pPr>
            <w:r>
              <w:rPr>
                <w:rFonts w:hint="eastAsia" w:ascii="宋体" w:hAnsi="宋体" w:cs="宋体"/>
                <w:kern w:val="0"/>
                <w:szCs w:val="21"/>
              </w:rPr>
              <w:t>注册地址</w:t>
            </w:r>
          </w:p>
        </w:tc>
        <w:tc>
          <w:tcPr>
            <w:tcW w:w="3730" w:type="dxa"/>
            <w:gridSpan w:val="4"/>
            <w:tcBorders>
              <w:top w:val="single" w:color="000000" w:sz="4" w:space="0"/>
              <w:left w:val="nil"/>
              <w:bottom w:val="single" w:color="000000" w:sz="4" w:space="0"/>
              <w:right w:val="single" w:color="000000" w:sz="4" w:space="0"/>
            </w:tcBorders>
            <w:vAlign w:val="center"/>
          </w:tcPr>
          <w:p w14:paraId="052FAE94">
            <w:pPr>
              <w:widowControl/>
              <w:adjustRightInd w:val="0"/>
              <w:snapToGrid w:val="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vAlign w:val="center"/>
          </w:tcPr>
          <w:p w14:paraId="11492388">
            <w:pPr>
              <w:widowControl/>
              <w:adjustRightInd w:val="0"/>
              <w:snapToGrid w:val="0"/>
              <w:rPr>
                <w:rFonts w:hint="eastAsia" w:ascii="宋体" w:hAnsi="宋体" w:cs="宋体"/>
                <w:kern w:val="0"/>
                <w:szCs w:val="21"/>
              </w:rPr>
            </w:pPr>
            <w:r>
              <w:rPr>
                <w:rFonts w:hint="eastAsia" w:ascii="宋体" w:hAnsi="宋体" w:cs="宋体"/>
                <w:kern w:val="0"/>
                <w:szCs w:val="21"/>
              </w:rPr>
              <w:t>邮政编码</w:t>
            </w:r>
          </w:p>
        </w:tc>
        <w:tc>
          <w:tcPr>
            <w:tcW w:w="2794" w:type="dxa"/>
            <w:gridSpan w:val="4"/>
            <w:tcBorders>
              <w:top w:val="single" w:color="000000" w:sz="4" w:space="0"/>
              <w:left w:val="nil"/>
              <w:bottom w:val="single" w:color="000000" w:sz="4" w:space="0"/>
              <w:right w:val="single" w:color="000000" w:sz="4" w:space="0"/>
            </w:tcBorders>
            <w:vAlign w:val="center"/>
          </w:tcPr>
          <w:p w14:paraId="3DE4E1FC">
            <w:pPr>
              <w:widowControl/>
              <w:adjustRightInd w:val="0"/>
              <w:snapToGrid w:val="0"/>
              <w:rPr>
                <w:rFonts w:hint="eastAsia" w:ascii="宋体" w:hAnsi="宋体" w:cs="宋体"/>
                <w:kern w:val="0"/>
                <w:szCs w:val="21"/>
              </w:rPr>
            </w:pPr>
          </w:p>
        </w:tc>
      </w:tr>
      <w:tr w14:paraId="2E01F935">
        <w:tblPrEx>
          <w:tblCellMar>
            <w:top w:w="0" w:type="dxa"/>
            <w:left w:w="108" w:type="dxa"/>
            <w:bottom w:w="0" w:type="dxa"/>
            <w:right w:w="108" w:type="dxa"/>
          </w:tblCellMar>
        </w:tblPrEx>
        <w:trPr>
          <w:trHeight w:val="419" w:hRule="atLeast"/>
        </w:trPr>
        <w:tc>
          <w:tcPr>
            <w:tcW w:w="1648" w:type="dxa"/>
            <w:vMerge w:val="restart"/>
            <w:tcBorders>
              <w:top w:val="nil"/>
              <w:left w:val="single" w:color="000000" w:sz="4" w:space="0"/>
              <w:bottom w:val="single" w:color="000000" w:sz="4" w:space="0"/>
              <w:right w:val="single" w:color="000000" w:sz="4" w:space="0"/>
            </w:tcBorders>
            <w:vAlign w:val="center"/>
          </w:tcPr>
          <w:p w14:paraId="73C08110">
            <w:pPr>
              <w:widowControl/>
              <w:adjustRightInd w:val="0"/>
              <w:snapToGrid w:val="0"/>
              <w:rPr>
                <w:rFonts w:hint="eastAsia" w:ascii="宋体" w:hAnsi="宋体" w:cs="宋体"/>
                <w:kern w:val="0"/>
                <w:szCs w:val="21"/>
              </w:rPr>
            </w:pPr>
            <w:r>
              <w:rPr>
                <w:rFonts w:hint="eastAsia" w:ascii="宋体" w:hAnsi="宋体" w:cs="宋体"/>
                <w:kern w:val="0"/>
                <w:szCs w:val="21"/>
              </w:rPr>
              <w:t>联系方式</w:t>
            </w:r>
          </w:p>
        </w:tc>
        <w:tc>
          <w:tcPr>
            <w:tcW w:w="984" w:type="dxa"/>
            <w:tcBorders>
              <w:top w:val="single" w:color="000000" w:sz="4" w:space="0"/>
              <w:left w:val="nil"/>
              <w:bottom w:val="single" w:color="000000" w:sz="4" w:space="0"/>
              <w:right w:val="single" w:color="000000" w:sz="4" w:space="0"/>
            </w:tcBorders>
            <w:vAlign w:val="center"/>
          </w:tcPr>
          <w:p w14:paraId="3B2432D5">
            <w:pPr>
              <w:widowControl/>
              <w:adjustRightInd w:val="0"/>
              <w:snapToGrid w:val="0"/>
              <w:rPr>
                <w:rFonts w:hint="eastAsia" w:ascii="宋体" w:hAnsi="宋体" w:cs="宋体"/>
                <w:kern w:val="0"/>
                <w:szCs w:val="21"/>
              </w:rPr>
            </w:pPr>
            <w:r>
              <w:rPr>
                <w:rFonts w:hint="eastAsia" w:ascii="宋体" w:hAnsi="宋体" w:cs="宋体"/>
                <w:kern w:val="0"/>
                <w:szCs w:val="21"/>
              </w:rPr>
              <w:t>联系人</w:t>
            </w:r>
          </w:p>
        </w:tc>
        <w:tc>
          <w:tcPr>
            <w:tcW w:w="2746" w:type="dxa"/>
            <w:gridSpan w:val="3"/>
            <w:tcBorders>
              <w:top w:val="single" w:color="000000" w:sz="4" w:space="0"/>
              <w:left w:val="nil"/>
              <w:bottom w:val="single" w:color="000000" w:sz="4" w:space="0"/>
              <w:right w:val="single" w:color="000000" w:sz="4" w:space="0"/>
            </w:tcBorders>
            <w:vAlign w:val="center"/>
          </w:tcPr>
          <w:p w14:paraId="76BEDE22">
            <w:pPr>
              <w:widowControl/>
              <w:adjustRightInd w:val="0"/>
              <w:snapToGrid w:val="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vAlign w:val="center"/>
          </w:tcPr>
          <w:p w14:paraId="135CA681">
            <w:pPr>
              <w:widowControl/>
              <w:adjustRightInd w:val="0"/>
              <w:snapToGrid w:val="0"/>
              <w:rPr>
                <w:rFonts w:hint="eastAsia" w:ascii="宋体" w:hAnsi="宋体" w:cs="宋体"/>
                <w:kern w:val="0"/>
                <w:szCs w:val="21"/>
              </w:rPr>
            </w:pPr>
            <w:r>
              <w:rPr>
                <w:rFonts w:hint="eastAsia" w:ascii="宋体" w:hAnsi="宋体" w:cs="宋体"/>
                <w:kern w:val="0"/>
                <w:szCs w:val="21"/>
              </w:rPr>
              <w:t>电话</w:t>
            </w:r>
          </w:p>
        </w:tc>
        <w:tc>
          <w:tcPr>
            <w:tcW w:w="2794" w:type="dxa"/>
            <w:gridSpan w:val="4"/>
            <w:tcBorders>
              <w:top w:val="single" w:color="000000" w:sz="4" w:space="0"/>
              <w:left w:val="nil"/>
              <w:bottom w:val="single" w:color="000000" w:sz="4" w:space="0"/>
              <w:right w:val="single" w:color="000000" w:sz="4" w:space="0"/>
            </w:tcBorders>
            <w:vAlign w:val="center"/>
          </w:tcPr>
          <w:p w14:paraId="646C68EB">
            <w:pPr>
              <w:widowControl/>
              <w:adjustRightInd w:val="0"/>
              <w:snapToGrid w:val="0"/>
              <w:rPr>
                <w:rFonts w:hint="eastAsia" w:ascii="宋体" w:hAnsi="宋体" w:cs="宋体"/>
                <w:kern w:val="0"/>
                <w:szCs w:val="21"/>
              </w:rPr>
            </w:pPr>
          </w:p>
        </w:tc>
      </w:tr>
      <w:tr w14:paraId="5727A079">
        <w:tblPrEx>
          <w:tblCellMar>
            <w:top w:w="0" w:type="dxa"/>
            <w:left w:w="108" w:type="dxa"/>
            <w:bottom w:w="0" w:type="dxa"/>
            <w:right w:w="108" w:type="dxa"/>
          </w:tblCellMar>
        </w:tblPrEx>
        <w:trPr>
          <w:trHeight w:val="419" w:hRule="atLeast"/>
        </w:trPr>
        <w:tc>
          <w:tcPr>
            <w:tcW w:w="1648" w:type="dxa"/>
            <w:vMerge w:val="continue"/>
            <w:tcBorders>
              <w:top w:val="nil"/>
              <w:left w:val="single" w:color="000000" w:sz="4" w:space="0"/>
              <w:bottom w:val="single" w:color="000000" w:sz="4" w:space="0"/>
              <w:right w:val="single" w:color="000000" w:sz="4" w:space="0"/>
            </w:tcBorders>
            <w:vAlign w:val="center"/>
          </w:tcPr>
          <w:p w14:paraId="1CC22712">
            <w:pPr>
              <w:widowControl/>
              <w:adjustRightInd w:val="0"/>
              <w:snapToGrid w:val="0"/>
              <w:rPr>
                <w:rFonts w:hint="eastAsia" w:ascii="宋体" w:hAnsi="宋体" w:cs="宋体"/>
                <w:kern w:val="0"/>
                <w:szCs w:val="21"/>
              </w:rPr>
            </w:pPr>
          </w:p>
        </w:tc>
        <w:tc>
          <w:tcPr>
            <w:tcW w:w="984" w:type="dxa"/>
            <w:tcBorders>
              <w:top w:val="single" w:color="000000" w:sz="4" w:space="0"/>
              <w:left w:val="nil"/>
              <w:bottom w:val="single" w:color="000000" w:sz="4" w:space="0"/>
              <w:right w:val="single" w:color="000000" w:sz="4" w:space="0"/>
            </w:tcBorders>
            <w:vAlign w:val="center"/>
          </w:tcPr>
          <w:p w14:paraId="5F619595">
            <w:pPr>
              <w:widowControl/>
              <w:adjustRightInd w:val="0"/>
              <w:snapToGrid w:val="0"/>
              <w:rPr>
                <w:rFonts w:hint="eastAsia" w:ascii="宋体" w:hAnsi="宋体" w:cs="宋体"/>
                <w:kern w:val="0"/>
                <w:szCs w:val="21"/>
              </w:rPr>
            </w:pPr>
            <w:r>
              <w:rPr>
                <w:rFonts w:hint="eastAsia" w:ascii="宋体" w:hAnsi="宋体" w:cs="宋体"/>
                <w:kern w:val="0"/>
                <w:szCs w:val="21"/>
              </w:rPr>
              <w:t>传真</w:t>
            </w:r>
          </w:p>
        </w:tc>
        <w:tc>
          <w:tcPr>
            <w:tcW w:w="2746" w:type="dxa"/>
            <w:gridSpan w:val="3"/>
            <w:tcBorders>
              <w:top w:val="single" w:color="000000" w:sz="4" w:space="0"/>
              <w:left w:val="nil"/>
              <w:bottom w:val="single" w:color="000000" w:sz="4" w:space="0"/>
              <w:right w:val="single" w:color="000000" w:sz="4" w:space="0"/>
            </w:tcBorders>
            <w:vAlign w:val="center"/>
          </w:tcPr>
          <w:p w14:paraId="3DB4703D">
            <w:pPr>
              <w:widowControl/>
              <w:adjustRightInd w:val="0"/>
              <w:snapToGrid w:val="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vAlign w:val="center"/>
          </w:tcPr>
          <w:p w14:paraId="4E429858">
            <w:pPr>
              <w:widowControl/>
              <w:adjustRightInd w:val="0"/>
              <w:snapToGrid w:val="0"/>
              <w:rPr>
                <w:rFonts w:hint="eastAsia" w:ascii="宋体" w:hAnsi="宋体" w:cs="宋体"/>
                <w:kern w:val="0"/>
                <w:szCs w:val="21"/>
              </w:rPr>
            </w:pPr>
            <w:r>
              <w:rPr>
                <w:rFonts w:hint="eastAsia" w:ascii="宋体" w:hAnsi="宋体" w:cs="宋体"/>
                <w:kern w:val="0"/>
                <w:szCs w:val="21"/>
              </w:rPr>
              <w:t>网址</w:t>
            </w:r>
          </w:p>
        </w:tc>
        <w:tc>
          <w:tcPr>
            <w:tcW w:w="2794" w:type="dxa"/>
            <w:gridSpan w:val="4"/>
            <w:tcBorders>
              <w:top w:val="single" w:color="000000" w:sz="4" w:space="0"/>
              <w:left w:val="nil"/>
              <w:bottom w:val="single" w:color="000000" w:sz="4" w:space="0"/>
              <w:right w:val="single" w:color="000000" w:sz="4" w:space="0"/>
            </w:tcBorders>
            <w:vAlign w:val="center"/>
          </w:tcPr>
          <w:p w14:paraId="6BDB4D0B">
            <w:pPr>
              <w:widowControl/>
              <w:adjustRightInd w:val="0"/>
              <w:snapToGrid w:val="0"/>
              <w:rPr>
                <w:rFonts w:hint="eastAsia" w:ascii="宋体" w:hAnsi="宋体" w:cs="宋体"/>
                <w:kern w:val="0"/>
                <w:szCs w:val="21"/>
              </w:rPr>
            </w:pPr>
          </w:p>
        </w:tc>
      </w:tr>
      <w:tr w14:paraId="40533CF0">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26441701">
            <w:pPr>
              <w:widowControl/>
              <w:adjustRightInd w:val="0"/>
              <w:snapToGrid w:val="0"/>
              <w:rPr>
                <w:rFonts w:hint="eastAsia" w:ascii="宋体" w:hAnsi="宋体" w:cs="宋体"/>
                <w:kern w:val="0"/>
                <w:szCs w:val="21"/>
              </w:rPr>
            </w:pPr>
            <w:r>
              <w:rPr>
                <w:rFonts w:hint="eastAsia" w:ascii="宋体" w:hAnsi="宋体" w:cs="宋体"/>
                <w:kern w:val="0"/>
                <w:szCs w:val="21"/>
              </w:rPr>
              <w:t>法定代表人</w:t>
            </w:r>
          </w:p>
          <w:p w14:paraId="1D333B0F">
            <w:pPr>
              <w:widowControl/>
              <w:adjustRightInd w:val="0"/>
              <w:snapToGrid w:val="0"/>
              <w:rPr>
                <w:rFonts w:hint="eastAsia" w:ascii="宋体" w:hAnsi="宋体" w:cs="宋体"/>
                <w:kern w:val="0"/>
                <w:szCs w:val="21"/>
              </w:rPr>
            </w:pPr>
            <w:r>
              <w:rPr>
                <w:rFonts w:hint="eastAsia" w:ascii="宋体" w:hAnsi="宋体" w:cs="宋体"/>
                <w:kern w:val="0"/>
                <w:szCs w:val="21"/>
              </w:rPr>
              <w:t>（单位负责人）</w:t>
            </w:r>
          </w:p>
        </w:tc>
        <w:tc>
          <w:tcPr>
            <w:tcW w:w="984" w:type="dxa"/>
            <w:tcBorders>
              <w:top w:val="single" w:color="000000" w:sz="4" w:space="0"/>
              <w:left w:val="nil"/>
              <w:bottom w:val="single" w:color="000000" w:sz="4" w:space="0"/>
              <w:right w:val="single" w:color="000000" w:sz="4" w:space="0"/>
            </w:tcBorders>
            <w:vAlign w:val="center"/>
          </w:tcPr>
          <w:p w14:paraId="516D830B">
            <w:pPr>
              <w:widowControl/>
              <w:adjustRightInd w:val="0"/>
              <w:snapToGrid w:val="0"/>
              <w:rPr>
                <w:rFonts w:hint="eastAsia" w:ascii="宋体" w:hAnsi="宋体" w:cs="宋体"/>
                <w:kern w:val="0"/>
                <w:szCs w:val="21"/>
              </w:rPr>
            </w:pPr>
            <w:r>
              <w:rPr>
                <w:rFonts w:hint="eastAsia" w:ascii="宋体" w:hAnsi="宋体" w:cs="宋体"/>
                <w:kern w:val="0"/>
                <w:szCs w:val="21"/>
              </w:rPr>
              <w:t>姓名</w:t>
            </w:r>
          </w:p>
        </w:tc>
        <w:tc>
          <w:tcPr>
            <w:tcW w:w="1662" w:type="dxa"/>
            <w:tcBorders>
              <w:top w:val="single" w:color="000000" w:sz="4" w:space="0"/>
              <w:left w:val="nil"/>
              <w:bottom w:val="single" w:color="000000" w:sz="4" w:space="0"/>
              <w:right w:val="single" w:color="000000" w:sz="4" w:space="0"/>
            </w:tcBorders>
            <w:vAlign w:val="center"/>
          </w:tcPr>
          <w:p w14:paraId="7149199B">
            <w:pPr>
              <w:widowControl/>
              <w:adjustRightInd w:val="0"/>
              <w:snapToGrid w:val="0"/>
              <w:rPr>
                <w:rFonts w:hint="eastAsia" w:ascii="宋体" w:hAnsi="宋体" w:cs="宋体"/>
                <w:kern w:val="0"/>
                <w:szCs w:val="21"/>
              </w:rPr>
            </w:pPr>
          </w:p>
        </w:tc>
        <w:tc>
          <w:tcPr>
            <w:tcW w:w="1084" w:type="dxa"/>
            <w:gridSpan w:val="2"/>
            <w:tcBorders>
              <w:top w:val="single" w:color="000000" w:sz="4" w:space="0"/>
              <w:left w:val="nil"/>
              <w:bottom w:val="single" w:color="000000" w:sz="4" w:space="0"/>
              <w:right w:val="single" w:color="000000" w:sz="4" w:space="0"/>
            </w:tcBorders>
            <w:vAlign w:val="center"/>
          </w:tcPr>
          <w:p w14:paraId="1C683CA2">
            <w:pPr>
              <w:widowControl/>
              <w:adjustRightInd w:val="0"/>
              <w:snapToGrid w:val="0"/>
              <w:rPr>
                <w:rFonts w:hint="eastAsia" w:ascii="宋体" w:hAnsi="宋体" w:cs="宋体"/>
                <w:kern w:val="0"/>
                <w:szCs w:val="21"/>
              </w:rPr>
            </w:pPr>
            <w:r>
              <w:rPr>
                <w:rFonts w:hint="eastAsia" w:ascii="宋体" w:hAnsi="宋体" w:cs="宋体"/>
                <w:kern w:val="0"/>
                <w:szCs w:val="21"/>
              </w:rPr>
              <w:t>技术职称</w:t>
            </w:r>
          </w:p>
        </w:tc>
        <w:tc>
          <w:tcPr>
            <w:tcW w:w="1252" w:type="dxa"/>
            <w:gridSpan w:val="2"/>
            <w:tcBorders>
              <w:top w:val="single" w:color="000000" w:sz="4" w:space="0"/>
              <w:left w:val="nil"/>
              <w:bottom w:val="single" w:color="000000" w:sz="4" w:space="0"/>
              <w:right w:val="single" w:color="000000" w:sz="4" w:space="0"/>
            </w:tcBorders>
            <w:vAlign w:val="center"/>
          </w:tcPr>
          <w:p w14:paraId="65EAC6ED">
            <w:pPr>
              <w:widowControl/>
              <w:adjustRightInd w:val="0"/>
              <w:snapToGrid w:val="0"/>
              <w:rPr>
                <w:rFonts w:hint="eastAsia" w:ascii="宋体" w:hAnsi="宋体" w:cs="宋体"/>
                <w:kern w:val="0"/>
                <w:szCs w:val="21"/>
              </w:rPr>
            </w:pPr>
          </w:p>
        </w:tc>
        <w:tc>
          <w:tcPr>
            <w:tcW w:w="900" w:type="dxa"/>
            <w:gridSpan w:val="2"/>
            <w:tcBorders>
              <w:top w:val="single" w:color="000000" w:sz="4" w:space="0"/>
              <w:left w:val="nil"/>
              <w:bottom w:val="single" w:color="000000" w:sz="4" w:space="0"/>
              <w:right w:val="single" w:color="000000" w:sz="4" w:space="0"/>
            </w:tcBorders>
            <w:vAlign w:val="center"/>
          </w:tcPr>
          <w:p w14:paraId="7ADE5526">
            <w:pPr>
              <w:widowControl/>
              <w:adjustRightInd w:val="0"/>
              <w:snapToGrid w:val="0"/>
              <w:rPr>
                <w:rFonts w:hint="eastAsia" w:ascii="宋体" w:hAnsi="宋体" w:cs="宋体"/>
                <w:kern w:val="0"/>
                <w:szCs w:val="21"/>
              </w:rPr>
            </w:pPr>
            <w:r>
              <w:rPr>
                <w:rFonts w:hint="eastAsia" w:ascii="宋体" w:hAnsi="宋体" w:cs="宋体"/>
                <w:kern w:val="0"/>
                <w:szCs w:val="21"/>
              </w:rPr>
              <w:t>电话</w:t>
            </w:r>
          </w:p>
        </w:tc>
        <w:tc>
          <w:tcPr>
            <w:tcW w:w="1725" w:type="dxa"/>
            <w:tcBorders>
              <w:top w:val="single" w:color="000000" w:sz="4" w:space="0"/>
              <w:left w:val="nil"/>
              <w:bottom w:val="single" w:color="000000" w:sz="4" w:space="0"/>
              <w:right w:val="single" w:color="000000" w:sz="4" w:space="0"/>
            </w:tcBorders>
            <w:vAlign w:val="center"/>
          </w:tcPr>
          <w:p w14:paraId="3E7597F4">
            <w:pPr>
              <w:widowControl/>
              <w:adjustRightInd w:val="0"/>
              <w:snapToGrid w:val="0"/>
              <w:rPr>
                <w:rFonts w:hint="eastAsia" w:ascii="宋体" w:hAnsi="宋体" w:cs="宋体"/>
                <w:kern w:val="0"/>
                <w:szCs w:val="21"/>
              </w:rPr>
            </w:pPr>
          </w:p>
        </w:tc>
      </w:tr>
      <w:tr w14:paraId="26849D34">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5455A019">
            <w:pPr>
              <w:widowControl/>
              <w:adjustRightInd w:val="0"/>
              <w:snapToGrid w:val="0"/>
              <w:rPr>
                <w:rFonts w:hint="eastAsia" w:ascii="宋体" w:hAnsi="宋体" w:cs="宋体"/>
                <w:kern w:val="0"/>
                <w:szCs w:val="21"/>
              </w:rPr>
            </w:pPr>
            <w:r>
              <w:rPr>
                <w:rFonts w:hint="eastAsia" w:ascii="宋体" w:hAnsi="宋体" w:cs="宋体"/>
                <w:kern w:val="0"/>
                <w:szCs w:val="21"/>
              </w:rPr>
              <w:t>成立时间</w:t>
            </w:r>
          </w:p>
        </w:tc>
        <w:tc>
          <w:tcPr>
            <w:tcW w:w="2646" w:type="dxa"/>
            <w:gridSpan w:val="2"/>
            <w:tcBorders>
              <w:top w:val="single" w:color="000000" w:sz="4" w:space="0"/>
              <w:left w:val="nil"/>
              <w:bottom w:val="single" w:color="000000" w:sz="4" w:space="0"/>
              <w:right w:val="single" w:color="000000" w:sz="4" w:space="0"/>
            </w:tcBorders>
            <w:vAlign w:val="center"/>
          </w:tcPr>
          <w:p w14:paraId="73EBC1E9">
            <w:pPr>
              <w:widowControl/>
              <w:adjustRightInd w:val="0"/>
              <w:snapToGrid w:val="0"/>
              <w:rPr>
                <w:rFonts w:hint="eastAsia" w:ascii="宋体" w:hAnsi="宋体" w:cs="宋体"/>
                <w:kern w:val="0"/>
                <w:szCs w:val="21"/>
              </w:rPr>
            </w:pPr>
          </w:p>
        </w:tc>
        <w:tc>
          <w:tcPr>
            <w:tcW w:w="4961" w:type="dxa"/>
            <w:gridSpan w:val="7"/>
            <w:tcBorders>
              <w:top w:val="single" w:color="000000" w:sz="4" w:space="0"/>
              <w:left w:val="nil"/>
              <w:bottom w:val="single" w:color="000000" w:sz="4" w:space="0"/>
              <w:right w:val="single" w:color="000000" w:sz="4" w:space="0"/>
            </w:tcBorders>
            <w:vAlign w:val="center"/>
          </w:tcPr>
          <w:p w14:paraId="367AF7E3">
            <w:pPr>
              <w:widowControl/>
              <w:adjustRightInd w:val="0"/>
              <w:snapToGrid w:val="0"/>
              <w:rPr>
                <w:rFonts w:hint="eastAsia" w:ascii="宋体" w:hAnsi="宋体" w:cs="宋体"/>
                <w:kern w:val="0"/>
                <w:szCs w:val="21"/>
              </w:rPr>
            </w:pPr>
            <w:r>
              <w:rPr>
                <w:rFonts w:hint="eastAsia" w:ascii="宋体" w:hAnsi="宋体" w:cs="宋体"/>
                <w:kern w:val="0"/>
                <w:szCs w:val="21"/>
              </w:rPr>
              <w:t>员工总人数：</w:t>
            </w:r>
          </w:p>
        </w:tc>
      </w:tr>
      <w:tr w14:paraId="791268E4">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488F9048">
            <w:pPr>
              <w:widowControl/>
              <w:adjustRightInd w:val="0"/>
              <w:snapToGrid w:val="0"/>
              <w:rPr>
                <w:rFonts w:hint="eastAsia" w:ascii="宋体" w:hAnsi="宋体" w:cs="宋体"/>
                <w:kern w:val="0"/>
                <w:szCs w:val="21"/>
              </w:rPr>
            </w:pPr>
            <w:r>
              <w:rPr>
                <w:rFonts w:hint="eastAsia" w:ascii="宋体" w:hAnsi="宋体" w:cs="宋体"/>
                <w:kern w:val="0"/>
                <w:szCs w:val="21"/>
              </w:rPr>
              <w:t>许可证及级别</w:t>
            </w:r>
          </w:p>
        </w:tc>
        <w:tc>
          <w:tcPr>
            <w:tcW w:w="2646" w:type="dxa"/>
            <w:gridSpan w:val="2"/>
            <w:tcBorders>
              <w:top w:val="single" w:color="000000" w:sz="4" w:space="0"/>
              <w:left w:val="nil"/>
              <w:bottom w:val="single" w:color="000000" w:sz="4" w:space="0"/>
              <w:right w:val="single" w:color="000000" w:sz="4" w:space="0"/>
            </w:tcBorders>
            <w:vAlign w:val="center"/>
          </w:tcPr>
          <w:p w14:paraId="469F036E">
            <w:pPr>
              <w:widowControl/>
              <w:adjustRightInd w:val="0"/>
              <w:snapToGrid w:val="0"/>
              <w:rPr>
                <w:rFonts w:hint="eastAsia" w:ascii="宋体" w:hAnsi="宋体" w:cs="宋体"/>
                <w:kern w:val="0"/>
                <w:szCs w:val="21"/>
              </w:rPr>
            </w:pPr>
            <w:r>
              <w:rPr>
                <w:rFonts w:hint="eastAsia" w:ascii="宋体" w:hAnsi="宋体" w:cs="宋体"/>
                <w:kern w:val="0"/>
                <w:szCs w:val="21"/>
              </w:rPr>
              <w:t xml:space="preserve">           （如有）</w:t>
            </w:r>
          </w:p>
        </w:tc>
        <w:tc>
          <w:tcPr>
            <w:tcW w:w="684" w:type="dxa"/>
            <w:vMerge w:val="restart"/>
            <w:tcBorders>
              <w:top w:val="nil"/>
              <w:left w:val="nil"/>
              <w:bottom w:val="single" w:color="000000" w:sz="4" w:space="0"/>
              <w:right w:val="single" w:color="000000" w:sz="4" w:space="0"/>
            </w:tcBorders>
            <w:vAlign w:val="center"/>
          </w:tcPr>
          <w:p w14:paraId="5D5374AA">
            <w:pPr>
              <w:widowControl/>
              <w:adjustRightInd w:val="0"/>
              <w:snapToGrid w:val="0"/>
              <w:rPr>
                <w:rFonts w:hint="eastAsia" w:ascii="宋体" w:hAnsi="宋体" w:cs="宋体"/>
                <w:kern w:val="0"/>
                <w:szCs w:val="21"/>
              </w:rPr>
            </w:pPr>
            <w:r>
              <w:rPr>
                <w:rFonts w:hint="eastAsia" w:ascii="宋体" w:hAnsi="宋体" w:cs="宋体"/>
                <w:kern w:val="0"/>
                <w:szCs w:val="21"/>
              </w:rPr>
              <w:t>其中</w:t>
            </w:r>
          </w:p>
        </w:tc>
        <w:tc>
          <w:tcPr>
            <w:tcW w:w="2010" w:type="dxa"/>
            <w:gridSpan w:val="4"/>
            <w:tcBorders>
              <w:top w:val="single" w:color="000000" w:sz="4" w:space="0"/>
              <w:left w:val="nil"/>
              <w:bottom w:val="single" w:color="000000" w:sz="4" w:space="0"/>
              <w:right w:val="single" w:color="000000" w:sz="4" w:space="0"/>
            </w:tcBorders>
            <w:vAlign w:val="center"/>
          </w:tcPr>
          <w:p w14:paraId="65AF9890">
            <w:pPr>
              <w:widowControl/>
              <w:adjustRightInd w:val="0"/>
              <w:snapToGrid w:val="0"/>
              <w:rPr>
                <w:rFonts w:hint="eastAsia" w:ascii="宋体" w:hAnsi="宋体" w:cs="宋体"/>
                <w:kern w:val="0"/>
                <w:szCs w:val="21"/>
              </w:rPr>
            </w:pPr>
            <w:r>
              <w:rPr>
                <w:rFonts w:hint="eastAsia" w:ascii="宋体" w:hAnsi="宋体" w:cs="宋体"/>
                <w:kern w:val="0"/>
                <w:szCs w:val="21"/>
              </w:rPr>
              <w:t>高级职称人员</w:t>
            </w:r>
          </w:p>
        </w:tc>
        <w:tc>
          <w:tcPr>
            <w:tcW w:w="2267" w:type="dxa"/>
            <w:gridSpan w:val="2"/>
            <w:tcBorders>
              <w:top w:val="single" w:color="000000" w:sz="4" w:space="0"/>
              <w:left w:val="nil"/>
              <w:bottom w:val="single" w:color="000000" w:sz="4" w:space="0"/>
              <w:right w:val="single" w:color="000000" w:sz="4" w:space="0"/>
            </w:tcBorders>
            <w:vAlign w:val="center"/>
          </w:tcPr>
          <w:p w14:paraId="1C7CC15A">
            <w:pPr>
              <w:widowControl/>
              <w:adjustRightInd w:val="0"/>
              <w:snapToGrid w:val="0"/>
              <w:rPr>
                <w:rFonts w:hint="eastAsia" w:ascii="宋体" w:hAnsi="宋体" w:cs="宋体"/>
                <w:kern w:val="0"/>
                <w:szCs w:val="21"/>
              </w:rPr>
            </w:pPr>
          </w:p>
        </w:tc>
      </w:tr>
      <w:tr w14:paraId="692CEA8F">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524EF2CE">
            <w:pPr>
              <w:widowControl/>
              <w:adjustRightInd w:val="0"/>
              <w:snapToGrid w:val="0"/>
              <w:rPr>
                <w:rFonts w:hint="eastAsia" w:ascii="宋体" w:hAnsi="宋体" w:cs="宋体"/>
                <w:kern w:val="0"/>
                <w:szCs w:val="21"/>
              </w:rPr>
            </w:pPr>
            <w:r>
              <w:rPr>
                <w:rFonts w:hint="eastAsia" w:ascii="宋体" w:hAnsi="宋体" w:cs="宋体"/>
                <w:kern w:val="0"/>
                <w:szCs w:val="21"/>
              </w:rPr>
              <w:t>营业执照号</w:t>
            </w:r>
          </w:p>
        </w:tc>
        <w:tc>
          <w:tcPr>
            <w:tcW w:w="2646" w:type="dxa"/>
            <w:gridSpan w:val="2"/>
            <w:tcBorders>
              <w:top w:val="single" w:color="000000" w:sz="4" w:space="0"/>
              <w:left w:val="nil"/>
              <w:bottom w:val="single" w:color="000000" w:sz="4" w:space="0"/>
              <w:right w:val="single" w:color="000000" w:sz="4" w:space="0"/>
            </w:tcBorders>
            <w:vAlign w:val="center"/>
          </w:tcPr>
          <w:p w14:paraId="39C5ABF7">
            <w:pPr>
              <w:widowControl/>
              <w:adjustRightInd w:val="0"/>
              <w:snapToGrid w:val="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vAlign w:val="center"/>
          </w:tcPr>
          <w:p w14:paraId="6F63087B">
            <w:pPr>
              <w:widowControl/>
              <w:adjustRightInd w:val="0"/>
              <w:snapToGrid w:val="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vAlign w:val="center"/>
          </w:tcPr>
          <w:p w14:paraId="45494A26">
            <w:pPr>
              <w:widowControl/>
              <w:adjustRightInd w:val="0"/>
              <w:snapToGrid w:val="0"/>
              <w:rPr>
                <w:rFonts w:hint="eastAsia" w:ascii="宋体" w:hAnsi="宋体" w:cs="宋体"/>
                <w:kern w:val="0"/>
                <w:szCs w:val="21"/>
              </w:rPr>
            </w:pPr>
            <w:r>
              <w:rPr>
                <w:rFonts w:hint="eastAsia" w:ascii="宋体" w:hAnsi="宋体" w:cs="宋体"/>
                <w:kern w:val="0"/>
                <w:szCs w:val="21"/>
              </w:rPr>
              <w:t>中级职称人员</w:t>
            </w:r>
          </w:p>
        </w:tc>
        <w:tc>
          <w:tcPr>
            <w:tcW w:w="2267" w:type="dxa"/>
            <w:gridSpan w:val="2"/>
            <w:tcBorders>
              <w:top w:val="single" w:color="000000" w:sz="4" w:space="0"/>
              <w:left w:val="nil"/>
              <w:bottom w:val="single" w:color="000000" w:sz="4" w:space="0"/>
              <w:right w:val="single" w:color="000000" w:sz="4" w:space="0"/>
            </w:tcBorders>
            <w:vAlign w:val="center"/>
          </w:tcPr>
          <w:p w14:paraId="27AE6A33">
            <w:pPr>
              <w:widowControl/>
              <w:adjustRightInd w:val="0"/>
              <w:snapToGrid w:val="0"/>
              <w:rPr>
                <w:rFonts w:hint="eastAsia" w:ascii="宋体" w:hAnsi="宋体" w:cs="宋体"/>
                <w:kern w:val="0"/>
                <w:szCs w:val="21"/>
              </w:rPr>
            </w:pPr>
          </w:p>
        </w:tc>
      </w:tr>
      <w:tr w14:paraId="385CBBE3">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7B2F6D73">
            <w:pPr>
              <w:widowControl/>
              <w:adjustRightInd w:val="0"/>
              <w:snapToGrid w:val="0"/>
              <w:rPr>
                <w:rFonts w:hint="eastAsia" w:ascii="宋体" w:hAnsi="宋体" w:cs="宋体"/>
                <w:kern w:val="0"/>
                <w:szCs w:val="21"/>
              </w:rPr>
            </w:pPr>
            <w:r>
              <w:rPr>
                <w:rFonts w:hint="eastAsia" w:ascii="宋体" w:hAnsi="宋体" w:cs="宋体"/>
                <w:kern w:val="0"/>
                <w:szCs w:val="21"/>
              </w:rPr>
              <w:t>注册资金</w:t>
            </w:r>
          </w:p>
        </w:tc>
        <w:tc>
          <w:tcPr>
            <w:tcW w:w="2646" w:type="dxa"/>
            <w:gridSpan w:val="2"/>
            <w:tcBorders>
              <w:top w:val="single" w:color="000000" w:sz="4" w:space="0"/>
              <w:left w:val="nil"/>
              <w:bottom w:val="single" w:color="000000" w:sz="4" w:space="0"/>
              <w:right w:val="single" w:color="000000" w:sz="4" w:space="0"/>
            </w:tcBorders>
            <w:vAlign w:val="center"/>
          </w:tcPr>
          <w:p w14:paraId="6586DE7E">
            <w:pPr>
              <w:widowControl/>
              <w:adjustRightInd w:val="0"/>
              <w:snapToGrid w:val="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vAlign w:val="center"/>
          </w:tcPr>
          <w:p w14:paraId="02128296">
            <w:pPr>
              <w:widowControl/>
              <w:adjustRightInd w:val="0"/>
              <w:snapToGrid w:val="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vAlign w:val="center"/>
          </w:tcPr>
          <w:p w14:paraId="1B285CCE">
            <w:pPr>
              <w:widowControl/>
              <w:adjustRightInd w:val="0"/>
              <w:snapToGrid w:val="0"/>
              <w:rPr>
                <w:rFonts w:hint="eastAsia" w:ascii="宋体" w:hAnsi="宋体" w:cs="宋体"/>
                <w:kern w:val="0"/>
                <w:szCs w:val="21"/>
              </w:rPr>
            </w:pPr>
            <w:r>
              <w:rPr>
                <w:rFonts w:hint="eastAsia" w:ascii="宋体" w:hAnsi="宋体" w:cs="宋体"/>
                <w:kern w:val="0"/>
                <w:szCs w:val="21"/>
              </w:rPr>
              <w:t>初级职称人员</w:t>
            </w:r>
          </w:p>
        </w:tc>
        <w:tc>
          <w:tcPr>
            <w:tcW w:w="2267" w:type="dxa"/>
            <w:gridSpan w:val="2"/>
            <w:tcBorders>
              <w:top w:val="single" w:color="000000" w:sz="4" w:space="0"/>
              <w:left w:val="nil"/>
              <w:bottom w:val="single" w:color="000000" w:sz="4" w:space="0"/>
              <w:right w:val="single" w:color="000000" w:sz="4" w:space="0"/>
            </w:tcBorders>
            <w:vAlign w:val="center"/>
          </w:tcPr>
          <w:p w14:paraId="767D1A09">
            <w:pPr>
              <w:widowControl/>
              <w:adjustRightInd w:val="0"/>
              <w:snapToGrid w:val="0"/>
              <w:rPr>
                <w:rFonts w:hint="eastAsia" w:ascii="宋体" w:hAnsi="宋体" w:cs="宋体"/>
                <w:kern w:val="0"/>
                <w:szCs w:val="21"/>
              </w:rPr>
            </w:pPr>
          </w:p>
        </w:tc>
      </w:tr>
      <w:tr w14:paraId="7B9C59D7">
        <w:tblPrEx>
          <w:tblCellMar>
            <w:top w:w="0" w:type="dxa"/>
            <w:left w:w="108" w:type="dxa"/>
            <w:bottom w:w="0" w:type="dxa"/>
            <w:right w:w="108" w:type="dxa"/>
          </w:tblCellMar>
        </w:tblPrEx>
        <w:trPr>
          <w:trHeight w:val="554"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58A0CD9A">
            <w:pPr>
              <w:widowControl/>
              <w:adjustRightInd w:val="0"/>
              <w:snapToGrid w:val="0"/>
              <w:rPr>
                <w:rFonts w:hint="eastAsia" w:ascii="宋体" w:hAnsi="宋体" w:cs="宋体"/>
                <w:kern w:val="0"/>
                <w:szCs w:val="21"/>
              </w:rPr>
            </w:pPr>
            <w:r>
              <w:rPr>
                <w:rFonts w:hint="eastAsia" w:ascii="宋体" w:hAnsi="宋体" w:cs="宋体"/>
                <w:kern w:val="0"/>
                <w:szCs w:val="21"/>
              </w:rPr>
              <w:t>其中实收资本</w:t>
            </w:r>
          </w:p>
        </w:tc>
        <w:tc>
          <w:tcPr>
            <w:tcW w:w="2646" w:type="dxa"/>
            <w:gridSpan w:val="2"/>
            <w:tcBorders>
              <w:top w:val="single" w:color="000000" w:sz="4" w:space="0"/>
              <w:left w:val="nil"/>
              <w:bottom w:val="single" w:color="000000" w:sz="4" w:space="0"/>
              <w:right w:val="single" w:color="000000" w:sz="4" w:space="0"/>
            </w:tcBorders>
            <w:vAlign w:val="center"/>
          </w:tcPr>
          <w:p w14:paraId="2BFC7A7E">
            <w:pPr>
              <w:widowControl/>
              <w:adjustRightInd w:val="0"/>
              <w:snapToGrid w:val="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vAlign w:val="center"/>
          </w:tcPr>
          <w:p w14:paraId="0FF3FCAF">
            <w:pPr>
              <w:widowControl/>
              <w:adjustRightInd w:val="0"/>
              <w:snapToGrid w:val="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vAlign w:val="center"/>
          </w:tcPr>
          <w:p w14:paraId="1E316EF0">
            <w:pPr>
              <w:widowControl/>
              <w:adjustRightInd w:val="0"/>
              <w:snapToGrid w:val="0"/>
              <w:rPr>
                <w:rFonts w:hint="eastAsia" w:ascii="宋体" w:hAnsi="宋体" w:cs="宋体"/>
                <w:kern w:val="0"/>
                <w:szCs w:val="21"/>
              </w:rPr>
            </w:pPr>
            <w:r>
              <w:rPr>
                <w:rFonts w:hint="eastAsia" w:ascii="宋体" w:hAnsi="宋体" w:cs="宋体"/>
                <w:kern w:val="0"/>
                <w:szCs w:val="21"/>
              </w:rPr>
              <w:t>其他人员</w:t>
            </w:r>
          </w:p>
        </w:tc>
        <w:tc>
          <w:tcPr>
            <w:tcW w:w="2267" w:type="dxa"/>
            <w:gridSpan w:val="2"/>
            <w:tcBorders>
              <w:top w:val="single" w:color="000000" w:sz="4" w:space="0"/>
              <w:left w:val="nil"/>
              <w:bottom w:val="single" w:color="000000" w:sz="4" w:space="0"/>
              <w:right w:val="single" w:color="000000" w:sz="4" w:space="0"/>
            </w:tcBorders>
            <w:vAlign w:val="center"/>
          </w:tcPr>
          <w:p w14:paraId="6979AADA">
            <w:pPr>
              <w:widowControl/>
              <w:adjustRightInd w:val="0"/>
              <w:snapToGrid w:val="0"/>
              <w:rPr>
                <w:rFonts w:hint="eastAsia" w:ascii="宋体" w:hAnsi="宋体" w:cs="宋体"/>
                <w:kern w:val="0"/>
                <w:szCs w:val="21"/>
              </w:rPr>
            </w:pPr>
          </w:p>
        </w:tc>
      </w:tr>
      <w:tr w14:paraId="0BFA298B">
        <w:tblPrEx>
          <w:tblCellMar>
            <w:top w:w="0" w:type="dxa"/>
            <w:left w:w="108" w:type="dxa"/>
            <w:bottom w:w="0" w:type="dxa"/>
            <w:right w:w="108" w:type="dxa"/>
          </w:tblCellMar>
        </w:tblPrEx>
        <w:trPr>
          <w:trHeight w:val="1822"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382F757B">
            <w:pPr>
              <w:widowControl/>
              <w:adjustRightInd w:val="0"/>
              <w:snapToGrid w:val="0"/>
              <w:rPr>
                <w:rFonts w:hint="eastAsia" w:ascii="宋体" w:hAnsi="宋体" w:cs="宋体"/>
                <w:kern w:val="0"/>
                <w:szCs w:val="21"/>
              </w:rPr>
            </w:pPr>
            <w:r>
              <w:rPr>
                <w:rFonts w:hint="eastAsia" w:ascii="宋体" w:hAnsi="宋体" w:cs="宋体"/>
                <w:kern w:val="0"/>
                <w:szCs w:val="21"/>
              </w:rPr>
              <w:t>经营范围</w:t>
            </w:r>
          </w:p>
        </w:tc>
        <w:tc>
          <w:tcPr>
            <w:tcW w:w="7607" w:type="dxa"/>
            <w:gridSpan w:val="9"/>
            <w:tcBorders>
              <w:top w:val="single" w:color="000000" w:sz="4" w:space="0"/>
              <w:left w:val="nil"/>
              <w:bottom w:val="single" w:color="000000" w:sz="4" w:space="0"/>
              <w:right w:val="single" w:color="000000" w:sz="4" w:space="0"/>
            </w:tcBorders>
            <w:vAlign w:val="center"/>
          </w:tcPr>
          <w:p w14:paraId="0FBACA93">
            <w:pPr>
              <w:widowControl/>
              <w:adjustRightInd w:val="0"/>
              <w:snapToGrid w:val="0"/>
              <w:rPr>
                <w:rFonts w:hint="eastAsia" w:ascii="宋体" w:hAnsi="宋体" w:cs="宋体"/>
                <w:kern w:val="0"/>
                <w:szCs w:val="21"/>
              </w:rPr>
            </w:pPr>
          </w:p>
        </w:tc>
      </w:tr>
      <w:tr w14:paraId="2E8E187F">
        <w:tblPrEx>
          <w:tblCellMar>
            <w:top w:w="0" w:type="dxa"/>
            <w:left w:w="108" w:type="dxa"/>
            <w:bottom w:w="0" w:type="dxa"/>
            <w:right w:w="108" w:type="dxa"/>
          </w:tblCellMar>
        </w:tblPrEx>
        <w:trPr>
          <w:trHeight w:val="1235"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17187F8F">
            <w:pPr>
              <w:widowControl/>
              <w:adjustRightInd w:val="0"/>
              <w:snapToGrid w:val="0"/>
              <w:rPr>
                <w:rFonts w:hint="eastAsia" w:ascii="宋体" w:hAnsi="宋体" w:cs="宋体"/>
                <w:kern w:val="0"/>
                <w:szCs w:val="21"/>
              </w:rPr>
            </w:pPr>
            <w:r>
              <w:rPr>
                <w:rFonts w:hint="eastAsia" w:ascii="宋体" w:hAnsi="宋体" w:cs="宋体"/>
                <w:kern w:val="0"/>
                <w:szCs w:val="21"/>
              </w:rPr>
              <w:t>关联企业</w:t>
            </w:r>
          </w:p>
        </w:tc>
        <w:tc>
          <w:tcPr>
            <w:tcW w:w="7607" w:type="dxa"/>
            <w:gridSpan w:val="9"/>
            <w:tcBorders>
              <w:top w:val="single" w:color="000000" w:sz="4" w:space="0"/>
              <w:left w:val="nil"/>
              <w:bottom w:val="single" w:color="000000" w:sz="4" w:space="0"/>
              <w:right w:val="single" w:color="000000" w:sz="4" w:space="0"/>
            </w:tcBorders>
            <w:vAlign w:val="center"/>
          </w:tcPr>
          <w:p w14:paraId="21E23E0F">
            <w:pPr>
              <w:widowControl/>
              <w:adjustRightInd w:val="0"/>
              <w:snapToGrid w:val="0"/>
              <w:rPr>
                <w:rFonts w:hint="eastAsia" w:ascii="宋体" w:hAnsi="宋体" w:cs="宋体"/>
                <w:kern w:val="0"/>
                <w:szCs w:val="21"/>
              </w:rPr>
            </w:pPr>
            <w:r>
              <w:rPr>
                <w:rFonts w:hint="eastAsia" w:ascii="宋体" w:hAnsi="宋体" w:cs="宋体"/>
                <w:kern w:val="0"/>
                <w:szCs w:val="21"/>
              </w:rPr>
              <w:t>与本单位负责人为同一人的单位：</w:t>
            </w:r>
          </w:p>
          <w:p w14:paraId="7F738642">
            <w:pPr>
              <w:widowControl/>
              <w:adjustRightInd w:val="0"/>
              <w:snapToGrid w:val="0"/>
              <w:rPr>
                <w:rFonts w:hint="eastAsia" w:ascii="宋体" w:hAnsi="宋体" w:cs="宋体"/>
                <w:kern w:val="0"/>
                <w:szCs w:val="21"/>
              </w:rPr>
            </w:pPr>
            <w:r>
              <w:rPr>
                <w:rFonts w:hint="eastAsia" w:ascii="宋体" w:hAnsi="宋体" w:cs="宋体"/>
                <w:kern w:val="0"/>
                <w:szCs w:val="21"/>
              </w:rPr>
              <w:t>与本单位存在直接控股关系的单位：</w:t>
            </w:r>
          </w:p>
          <w:p w14:paraId="0DF296C1">
            <w:pPr>
              <w:widowControl/>
              <w:adjustRightInd w:val="0"/>
              <w:snapToGrid w:val="0"/>
              <w:rPr>
                <w:rFonts w:hint="eastAsia" w:ascii="宋体" w:hAnsi="宋体" w:cs="宋体"/>
                <w:kern w:val="0"/>
                <w:szCs w:val="21"/>
              </w:rPr>
            </w:pPr>
            <w:r>
              <w:rPr>
                <w:rFonts w:hint="eastAsia" w:ascii="宋体" w:hAnsi="宋体" w:cs="宋体"/>
                <w:kern w:val="0"/>
                <w:szCs w:val="21"/>
              </w:rPr>
              <w:t>与本单位存在管理关系的单位：</w:t>
            </w:r>
          </w:p>
        </w:tc>
      </w:tr>
      <w:tr w14:paraId="5D4179C3">
        <w:tblPrEx>
          <w:tblCellMar>
            <w:top w:w="0" w:type="dxa"/>
            <w:left w:w="108" w:type="dxa"/>
            <w:bottom w:w="0" w:type="dxa"/>
            <w:right w:w="108" w:type="dxa"/>
          </w:tblCellMar>
        </w:tblPrEx>
        <w:trPr>
          <w:trHeight w:val="852"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1C4E8453">
            <w:pPr>
              <w:widowControl/>
              <w:adjustRightInd w:val="0"/>
              <w:snapToGrid w:val="0"/>
              <w:rPr>
                <w:rFonts w:hint="eastAsia" w:ascii="宋体" w:hAnsi="宋体" w:cs="宋体"/>
                <w:kern w:val="0"/>
                <w:szCs w:val="21"/>
              </w:rPr>
            </w:pPr>
            <w:r>
              <w:rPr>
                <w:rFonts w:hint="eastAsia" w:ascii="宋体" w:hAnsi="宋体" w:cs="宋体"/>
                <w:kern w:val="0"/>
                <w:szCs w:val="21"/>
              </w:rPr>
              <w:t>备注</w:t>
            </w:r>
          </w:p>
        </w:tc>
        <w:tc>
          <w:tcPr>
            <w:tcW w:w="7607" w:type="dxa"/>
            <w:gridSpan w:val="9"/>
            <w:tcBorders>
              <w:top w:val="single" w:color="000000" w:sz="4" w:space="0"/>
              <w:left w:val="nil"/>
              <w:bottom w:val="single" w:color="000000" w:sz="4" w:space="0"/>
              <w:right w:val="single" w:color="000000" w:sz="4" w:space="0"/>
            </w:tcBorders>
            <w:vAlign w:val="center"/>
          </w:tcPr>
          <w:p w14:paraId="0B3722DF">
            <w:pPr>
              <w:widowControl/>
              <w:adjustRightInd w:val="0"/>
              <w:snapToGrid w:val="0"/>
              <w:rPr>
                <w:rFonts w:hint="eastAsia" w:ascii="宋体" w:hAnsi="宋体" w:cs="宋体"/>
                <w:kern w:val="0"/>
                <w:szCs w:val="21"/>
              </w:rPr>
            </w:pPr>
          </w:p>
        </w:tc>
      </w:tr>
    </w:tbl>
    <w:p w14:paraId="33E902E2">
      <w:pPr>
        <w:widowControl/>
        <w:spacing w:line="200" w:lineRule="atLeast"/>
        <w:rPr>
          <w:rFonts w:hint="eastAsia" w:ascii="宋体" w:hAnsi="宋体" w:cs="宋体"/>
          <w:kern w:val="0"/>
          <w:sz w:val="20"/>
          <w:szCs w:val="20"/>
        </w:rPr>
      </w:pPr>
    </w:p>
    <w:p w14:paraId="0D20782A">
      <w:pPr>
        <w:widowControl/>
        <w:rPr>
          <w:rFonts w:hint="eastAsia" w:ascii="宋体" w:hAnsi="宋体" w:cs="宋体"/>
        </w:rPr>
      </w:pPr>
    </w:p>
    <w:p w14:paraId="31AE917D">
      <w:pPr>
        <w:pStyle w:val="4"/>
        <w:keepNext w:val="0"/>
        <w:tabs>
          <w:tab w:val="left" w:pos="1260"/>
        </w:tabs>
        <w:jc w:val="center"/>
        <w:rPr>
          <w:rFonts w:hint="eastAsia" w:cs="宋体"/>
          <w:bCs w:val="0"/>
          <w:sz w:val="21"/>
          <w:szCs w:val="21"/>
          <w:lang w:eastAsia="zh-CN"/>
        </w:rPr>
        <w:sectPr>
          <w:footerReference r:id="rId10" w:type="even"/>
          <w:footnotePr>
            <w:numFmt w:val="decimalEnclosedCircleChinese"/>
            <w:numRestart w:val="eachPage"/>
          </w:footnotePr>
          <w:pgSz w:w="11906" w:h="16838"/>
          <w:pgMar w:top="1134" w:right="1134" w:bottom="1134" w:left="1134" w:header="851" w:footer="851" w:gutter="0"/>
          <w:cols w:space="720" w:num="1"/>
          <w:docGrid w:linePitch="312" w:charSpace="0"/>
        </w:sectPr>
      </w:pPr>
    </w:p>
    <w:p w14:paraId="11104506">
      <w:pPr>
        <w:pStyle w:val="4"/>
        <w:keepNext w:val="0"/>
        <w:tabs>
          <w:tab w:val="left" w:pos="1260"/>
        </w:tabs>
        <w:jc w:val="center"/>
        <w:rPr>
          <w:rFonts w:hint="eastAsia" w:cs="宋体"/>
          <w:sz w:val="24"/>
          <w:lang w:eastAsia="zh-CN"/>
        </w:rPr>
      </w:pPr>
      <w:r>
        <w:rPr>
          <w:rFonts w:hint="eastAsia" w:cs="宋体"/>
          <w:bCs w:val="0"/>
          <w:sz w:val="24"/>
          <w:lang w:eastAsia="zh-CN"/>
        </w:rPr>
        <w:t>（二）采购文件要求的相关资格证明</w:t>
      </w:r>
    </w:p>
    <w:p w14:paraId="3834BE23">
      <w:pPr>
        <w:rPr>
          <w:rFonts w:hint="eastAsia" w:ascii="宋体" w:hAnsi="宋体" w:cs="宋体"/>
          <w:b/>
        </w:rPr>
      </w:pPr>
      <w:r>
        <w:rPr>
          <w:rFonts w:hint="eastAsia" w:ascii="宋体" w:hAnsi="宋体" w:cs="宋体"/>
          <w:b/>
        </w:rPr>
        <w:t>1-1营业执照等证明材料原件扫描件或电子证照</w:t>
      </w:r>
    </w:p>
    <w:p w14:paraId="5A6F1F14">
      <w:pPr>
        <w:rPr>
          <w:rFonts w:hint="eastAsia" w:ascii="宋体" w:hAnsi="宋体" w:cs="宋体"/>
          <w:sz w:val="18"/>
          <w:szCs w:val="18"/>
        </w:rPr>
      </w:pPr>
      <w:r>
        <w:rPr>
          <w:rFonts w:hint="eastAsia" w:ascii="宋体" w:hAnsi="宋体" w:cs="宋体"/>
          <w:sz w:val="18"/>
          <w:szCs w:val="18"/>
        </w:rPr>
        <w:t>供应商为企业（包括公司、合伙企业、个人独资企业）的，提供有效的营业执照；</w:t>
      </w:r>
    </w:p>
    <w:p w14:paraId="74081E5A">
      <w:pPr>
        <w:rPr>
          <w:rFonts w:hint="eastAsia" w:ascii="宋体" w:hAnsi="宋体" w:cs="宋体"/>
          <w:sz w:val="18"/>
          <w:szCs w:val="18"/>
        </w:rPr>
      </w:pPr>
      <w:r>
        <w:rPr>
          <w:rFonts w:hint="eastAsia" w:ascii="宋体" w:hAnsi="宋体" w:cs="宋体"/>
          <w:sz w:val="18"/>
          <w:szCs w:val="18"/>
        </w:rPr>
        <w:t>供应商为事业单位的，提供有效的事业单位法人证书；</w:t>
      </w:r>
    </w:p>
    <w:p w14:paraId="76814599">
      <w:pPr>
        <w:rPr>
          <w:rFonts w:hint="eastAsia" w:ascii="宋体" w:hAnsi="宋体" w:cs="宋体"/>
          <w:sz w:val="18"/>
          <w:szCs w:val="18"/>
        </w:rPr>
      </w:pPr>
      <w:r>
        <w:rPr>
          <w:rFonts w:hint="eastAsia" w:ascii="宋体" w:hAnsi="宋体" w:cs="宋体"/>
          <w:sz w:val="18"/>
          <w:szCs w:val="18"/>
        </w:rPr>
        <w:t>供应商为社会团体的，提供有效的社会团体法人登记证书；</w:t>
      </w:r>
    </w:p>
    <w:p w14:paraId="5857F5CB">
      <w:pPr>
        <w:rPr>
          <w:rFonts w:hint="eastAsia" w:ascii="宋体" w:hAnsi="宋体" w:cs="宋体"/>
          <w:sz w:val="18"/>
          <w:szCs w:val="18"/>
        </w:rPr>
      </w:pPr>
      <w:r>
        <w:rPr>
          <w:rFonts w:hint="eastAsia" w:ascii="宋体" w:hAnsi="宋体" w:cs="宋体"/>
          <w:sz w:val="18"/>
          <w:szCs w:val="18"/>
        </w:rPr>
        <w:t>供应商为个体工商户的，提供有效的营业执照；</w:t>
      </w:r>
    </w:p>
    <w:p w14:paraId="417D4649">
      <w:pPr>
        <w:rPr>
          <w:rFonts w:hint="eastAsia" w:ascii="宋体" w:hAnsi="宋体" w:cs="宋体"/>
          <w:sz w:val="18"/>
          <w:szCs w:val="18"/>
        </w:rPr>
      </w:pPr>
      <w:r>
        <w:rPr>
          <w:rFonts w:hint="eastAsia" w:ascii="宋体" w:hAnsi="宋体" w:cs="宋体"/>
          <w:sz w:val="18"/>
          <w:szCs w:val="18"/>
        </w:rPr>
        <w:t>供应商为不具法人资格的专业服务机构的，提供有效的执业许可证等证明材料；</w:t>
      </w:r>
    </w:p>
    <w:p w14:paraId="7DFE3AAE">
      <w:pPr>
        <w:rPr>
          <w:rFonts w:hint="eastAsia" w:ascii="宋体" w:hAnsi="宋体" w:cs="宋体"/>
          <w:sz w:val="18"/>
          <w:szCs w:val="18"/>
        </w:rPr>
      </w:pPr>
      <w:r>
        <w:rPr>
          <w:rFonts w:hint="eastAsia" w:ascii="宋体" w:hAnsi="宋体" w:cs="宋体"/>
          <w:sz w:val="18"/>
          <w:szCs w:val="18"/>
        </w:rPr>
        <w:t>供应商为自然人的，提供有效的自然人身份证明；</w:t>
      </w:r>
    </w:p>
    <w:p w14:paraId="1D1E0F16">
      <w:pPr>
        <w:rPr>
          <w:rFonts w:hint="eastAsia" w:ascii="宋体" w:hAnsi="宋体" w:cs="宋体"/>
          <w:sz w:val="18"/>
          <w:szCs w:val="18"/>
        </w:rPr>
      </w:pPr>
      <w:r>
        <w:rPr>
          <w:rFonts w:hint="eastAsia" w:ascii="宋体" w:hAnsi="宋体" w:cs="宋体"/>
          <w:sz w:val="18"/>
          <w:szCs w:val="18"/>
        </w:rPr>
        <w:t>其他供应商应按照有关法律、法规和规章规定，提供有效的相应证明材料。</w:t>
      </w:r>
    </w:p>
    <w:p w14:paraId="25358BCC">
      <w:pPr>
        <w:rPr>
          <w:rFonts w:hint="eastAsia" w:ascii="宋体" w:hAnsi="宋体" w:cs="宋体"/>
          <w:sz w:val="18"/>
          <w:szCs w:val="18"/>
        </w:rPr>
      </w:pPr>
      <w:r>
        <w:rPr>
          <w:rFonts w:hint="eastAsia" w:ascii="宋体" w:hAnsi="宋体" w:cs="宋体"/>
          <w:sz w:val="18"/>
          <w:szCs w:val="18"/>
        </w:rPr>
        <w:t>注：</w:t>
      </w:r>
    </w:p>
    <w:p w14:paraId="1240CB8E">
      <w:pPr>
        <w:rPr>
          <w:rFonts w:hint="eastAsia" w:ascii="宋体" w:hAnsi="宋体" w:cs="宋体"/>
          <w:sz w:val="18"/>
          <w:szCs w:val="18"/>
        </w:rPr>
      </w:pPr>
      <w:r>
        <w:rPr>
          <w:rFonts w:hint="eastAsia" w:ascii="宋体" w:hAnsi="宋体" w:cs="宋体"/>
          <w:sz w:val="18"/>
          <w:szCs w:val="18"/>
        </w:rPr>
        <w:t>1.联合体响应的联合体各方均须提供。</w:t>
      </w:r>
    </w:p>
    <w:p w14:paraId="5ACDD423">
      <w:pPr>
        <w:rPr>
          <w:rFonts w:hint="eastAsia" w:ascii="宋体" w:hAnsi="宋体" w:cs="宋体"/>
          <w:sz w:val="18"/>
          <w:szCs w:val="18"/>
        </w:rPr>
      </w:pPr>
      <w:r>
        <w:rPr>
          <w:rFonts w:hint="eastAsia" w:ascii="宋体" w:hAnsi="宋体" w:cs="宋体"/>
          <w:sz w:val="18"/>
          <w:szCs w:val="18"/>
        </w:rPr>
        <w:t>2.分支机构以分支机构名义参加响应的，应提供该分支机构的上述证明文件；同时还应提供其所属法人/其他组织出具的授权书（格式自拟，须加盖其所属法人/其他组织的公章）；</w:t>
      </w:r>
    </w:p>
    <w:p w14:paraId="25501C7B">
      <w:pPr>
        <w:rPr>
          <w:rFonts w:hint="eastAsia" w:ascii="宋体" w:hAnsi="宋体" w:cs="宋体"/>
          <w:sz w:val="18"/>
          <w:szCs w:val="18"/>
        </w:rPr>
      </w:pPr>
      <w:r>
        <w:rPr>
          <w:rFonts w:hint="eastAsia" w:ascii="宋体" w:hAnsi="宋体" w:cs="宋体"/>
          <w:sz w:val="18"/>
          <w:szCs w:val="18"/>
        </w:rPr>
        <w:t>3.分支机构以其所属法人/其他组织名义参加响应的，应提供其所属法人/其他组织的上述证明文件；同时还应提供其所属法人/其他组织出具的授权书（格式自拟，须加盖其所属法人/其他组织的公章）；</w:t>
      </w:r>
    </w:p>
    <w:p w14:paraId="0D616564">
      <w:pPr>
        <w:rPr>
          <w:rFonts w:hint="eastAsia" w:ascii="宋体" w:hAnsi="宋体" w:cs="宋体"/>
          <w:szCs w:val="21"/>
        </w:rPr>
      </w:pPr>
      <w:r>
        <w:rPr>
          <w:rFonts w:hint="eastAsia" w:ascii="宋体" w:hAnsi="宋体" w:cs="宋体"/>
          <w:sz w:val="18"/>
          <w:szCs w:val="18"/>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6C7B6479">
      <w:pPr>
        <w:pStyle w:val="88"/>
      </w:pPr>
    </w:p>
    <w:p w14:paraId="54CA6A2B">
      <w:pPr>
        <w:rPr>
          <w:rFonts w:hint="eastAsia" w:ascii="宋体" w:hAnsi="宋体" w:cs="宋体"/>
          <w:b/>
        </w:rPr>
      </w:pPr>
      <w:r>
        <w:rPr>
          <w:rFonts w:hint="eastAsia" w:ascii="宋体" w:hAnsi="宋体" w:cs="宋体"/>
          <w:b/>
        </w:rPr>
        <w:t>1-</w:t>
      </w:r>
      <w:r>
        <w:rPr>
          <w:rFonts w:ascii="宋体" w:hAnsi="宋体" w:cs="宋体"/>
          <w:b/>
        </w:rPr>
        <w:t>2</w:t>
      </w:r>
      <w:r>
        <w:rPr>
          <w:rFonts w:hint="eastAsia" w:ascii="宋体" w:hAnsi="宋体" w:cs="宋体"/>
          <w:b/>
        </w:rPr>
        <w:t>资质证书（如有）</w:t>
      </w:r>
    </w:p>
    <w:p w14:paraId="7457E955">
      <w:pPr>
        <w:rPr>
          <w:rFonts w:hint="eastAsia" w:ascii="宋体" w:hAnsi="宋体" w:cs="宋体"/>
          <w:szCs w:val="21"/>
        </w:rPr>
      </w:pPr>
    </w:p>
    <w:p w14:paraId="6B9F496D">
      <w:pPr>
        <w:rPr>
          <w:rFonts w:hint="eastAsia" w:ascii="宋体" w:hAnsi="宋体" w:cs="宋体"/>
          <w:b/>
        </w:rPr>
      </w:pPr>
      <w:r>
        <w:rPr>
          <w:rFonts w:hint="eastAsia" w:ascii="宋体" w:hAnsi="宋体" w:cs="宋体"/>
          <w:b/>
        </w:rPr>
        <w:t>1-</w:t>
      </w:r>
      <w:r>
        <w:rPr>
          <w:rFonts w:ascii="宋体" w:hAnsi="宋体" w:cs="宋体"/>
          <w:b/>
        </w:rPr>
        <w:t>3</w:t>
      </w:r>
      <w:r>
        <w:rPr>
          <w:rFonts w:hint="eastAsia" w:ascii="宋体" w:hAnsi="宋体" w:cs="宋体"/>
          <w:b/>
        </w:rPr>
        <w:t>其他相关</w:t>
      </w:r>
      <w:r>
        <w:rPr>
          <w:rFonts w:hint="eastAsia" w:ascii="宋体" w:hAnsi="宋体" w:cs="宋体"/>
          <w:b/>
          <w:szCs w:val="21"/>
        </w:rPr>
        <w:t>资格证明材料</w:t>
      </w:r>
      <w:r>
        <w:rPr>
          <w:rFonts w:hint="eastAsia" w:ascii="宋体" w:hAnsi="宋体" w:cs="宋体"/>
          <w:b/>
        </w:rPr>
        <w:t>（如有）</w:t>
      </w:r>
    </w:p>
    <w:p w14:paraId="58D0DBFF">
      <w:pPr>
        <w:widowControl/>
        <w:tabs>
          <w:tab w:val="left" w:pos="5580"/>
        </w:tabs>
        <w:spacing w:line="360" w:lineRule="auto"/>
        <w:rPr>
          <w:rFonts w:hint="eastAsia" w:ascii="宋体" w:hAnsi="宋体" w:cs="宋体"/>
          <w:b/>
          <w:szCs w:val="21"/>
        </w:rPr>
      </w:pPr>
    </w:p>
    <w:p w14:paraId="5F94BA26">
      <w:pPr>
        <w:widowControl/>
        <w:tabs>
          <w:tab w:val="left" w:pos="5580"/>
        </w:tabs>
        <w:spacing w:line="360" w:lineRule="auto"/>
        <w:rPr>
          <w:rFonts w:hint="eastAsia" w:ascii="宋体" w:hAnsi="宋体" w:cs="宋体"/>
          <w:b/>
          <w:szCs w:val="21"/>
        </w:rPr>
      </w:pPr>
      <w:r>
        <w:rPr>
          <w:rFonts w:hint="eastAsia" w:ascii="宋体" w:hAnsi="宋体" w:cs="宋体"/>
          <w:b/>
          <w:szCs w:val="21"/>
        </w:rPr>
        <w:t>注意对照采购公告及评审办法规定，提供各类资格证明材料</w:t>
      </w:r>
    </w:p>
    <w:p w14:paraId="67B62EF3">
      <w:pPr>
        <w:widowControl/>
        <w:tabs>
          <w:tab w:val="left" w:pos="5580"/>
        </w:tabs>
        <w:spacing w:line="360" w:lineRule="auto"/>
        <w:jc w:val="center"/>
        <w:outlineLvl w:val="2"/>
        <w:rPr>
          <w:rFonts w:hint="eastAsia" w:ascii="宋体" w:hAnsi="宋体" w:cs="宋体"/>
          <w:b/>
          <w:sz w:val="24"/>
        </w:rPr>
      </w:pPr>
      <w:r>
        <w:rPr>
          <w:rFonts w:hint="eastAsia" w:ascii="宋体" w:hAnsi="宋体" w:cs="宋体"/>
          <w:b/>
          <w:szCs w:val="21"/>
        </w:rPr>
        <w:br w:type="page"/>
      </w:r>
      <w:r>
        <w:rPr>
          <w:rFonts w:hint="eastAsia" w:ascii="宋体" w:hAnsi="宋体" w:cs="宋体"/>
          <w:b/>
          <w:bCs/>
          <w:kern w:val="0"/>
          <w:sz w:val="24"/>
          <w:lang w:bidi="en-US"/>
        </w:rPr>
        <w:t>（三）政府采购供应商资格承诺函</w:t>
      </w:r>
    </w:p>
    <w:p w14:paraId="533416BD">
      <w:pPr>
        <w:snapToGrid w:val="0"/>
        <w:spacing w:line="360" w:lineRule="auto"/>
        <w:rPr>
          <w:rFonts w:hint="eastAsia" w:ascii="宋体" w:hAnsi="宋体" w:cs="宋体"/>
          <w:u w:val="single"/>
          <w:lang w:bidi="en-US"/>
        </w:rPr>
      </w:pPr>
      <w:r>
        <w:rPr>
          <w:rFonts w:hint="eastAsia" w:ascii="宋体" w:hAnsi="宋体" w:cs="宋体"/>
          <w:lang w:bidi="en-US"/>
        </w:rPr>
        <w:t>致：</w:t>
      </w:r>
      <w:r>
        <w:rPr>
          <w:rFonts w:hint="eastAsia" w:hAnsi="宋体" w:cs="宋体"/>
        </w:rPr>
        <w:t>安徽省公共卫生临床中心</w:t>
      </w:r>
    </w:p>
    <w:p w14:paraId="1059312C">
      <w:pPr>
        <w:snapToGrid w:val="0"/>
        <w:spacing w:line="360" w:lineRule="auto"/>
        <w:rPr>
          <w:rFonts w:hint="eastAsia" w:ascii="宋体" w:hAnsi="宋体" w:cs="宋体"/>
          <w:lang w:bidi="en-US"/>
        </w:rPr>
      </w:pPr>
      <w:r>
        <w:rPr>
          <w:rFonts w:hint="eastAsia" w:ascii="宋体" w:hAnsi="宋体" w:cs="宋体"/>
          <w:lang w:bidi="en-US"/>
        </w:rPr>
        <w:t xml:space="preserve">    安徽省招标集团股份有限公司</w:t>
      </w:r>
    </w:p>
    <w:p w14:paraId="48C016A9">
      <w:pPr>
        <w:widowControl/>
        <w:tabs>
          <w:tab w:val="left" w:pos="5580"/>
        </w:tabs>
        <w:spacing w:line="360" w:lineRule="auto"/>
        <w:ind w:firstLine="420" w:firstLineChars="200"/>
        <w:jc w:val="left"/>
        <w:rPr>
          <w:rFonts w:hint="eastAsia" w:ascii="宋体" w:hAnsi="宋体" w:cs="宋体"/>
          <w:szCs w:val="21"/>
        </w:rPr>
      </w:pPr>
      <w:r>
        <w:rPr>
          <w:rFonts w:hint="eastAsia" w:ascii="宋体" w:hAnsi="宋体" w:cs="宋体"/>
          <w:szCs w:val="21"/>
        </w:rPr>
        <w:t>我方</w:t>
      </w:r>
      <w:r>
        <w:rPr>
          <w:rFonts w:hint="eastAsia" w:ascii="宋体" w:hAnsi="宋体" w:cs="宋体"/>
          <w:lang w:bidi="en-US"/>
        </w:rPr>
        <w:t>郑重承诺，根据《中华人民共和国政府采购法》及《中华人民共和国政府采购法实施条例》的规定，</w:t>
      </w:r>
      <w:r>
        <w:rPr>
          <w:rFonts w:hint="eastAsia" w:ascii="宋体" w:hAnsi="宋体" w:cs="宋体"/>
          <w:szCs w:val="21"/>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0C323BA5">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（一）具有独立承担民事责任的能力。</w:t>
      </w:r>
    </w:p>
    <w:p w14:paraId="7E26F225">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（二）具有良好的商业信誉和健全的财务会计制度。</w:t>
      </w:r>
    </w:p>
    <w:p w14:paraId="3724610A">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（三）具有履行合同所必需的设备和专业技术能力。</w:t>
      </w:r>
    </w:p>
    <w:p w14:paraId="09AB902E">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（四）有依法缴纳税收和社会保障资金的良好记录。</w:t>
      </w:r>
    </w:p>
    <w:p w14:paraId="15C6FC7F">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0DD14811">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30C662EF">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（七）符合其他法律法规规定的政府采购供应商条件。</w:t>
      </w:r>
    </w:p>
    <w:p w14:paraId="45CE2B7D">
      <w:pPr>
        <w:widowControl/>
        <w:tabs>
          <w:tab w:val="left" w:pos="5580"/>
        </w:tabs>
        <w:spacing w:line="360" w:lineRule="auto"/>
        <w:ind w:firstLine="420" w:firstLineChars="200"/>
        <w:jc w:val="left"/>
        <w:rPr>
          <w:rFonts w:hint="eastAsia" w:ascii="宋体" w:hAnsi="宋体" w:cs="宋体"/>
          <w:bCs/>
          <w:szCs w:val="21"/>
        </w:rPr>
      </w:pPr>
    </w:p>
    <w:p w14:paraId="11672AE3">
      <w:pPr>
        <w:widowControl/>
        <w:tabs>
          <w:tab w:val="left" w:pos="5580"/>
        </w:tabs>
        <w:spacing w:line="360" w:lineRule="auto"/>
        <w:ind w:firstLine="420" w:firstLineChars="200"/>
        <w:jc w:val="left"/>
        <w:rPr>
          <w:rFonts w:hint="eastAsia" w:ascii="宋体" w:hAnsi="宋体" w:cs="宋体"/>
          <w:bCs/>
          <w:szCs w:val="21"/>
        </w:rPr>
      </w:pPr>
      <w:r>
        <w:rPr>
          <w:rFonts w:hint="eastAsia" w:ascii="宋体" w:hAnsi="宋体" w:cs="宋体"/>
          <w:bCs/>
          <w:szCs w:val="21"/>
        </w:rPr>
        <w:t>我方对上述承诺事项的真实性负责，授权并配合采购人所在同级财政部门及其委托机构，对上述承诺事项进行查证。</w:t>
      </w:r>
    </w:p>
    <w:p w14:paraId="3DE4FD17">
      <w:pPr>
        <w:widowControl/>
        <w:tabs>
          <w:tab w:val="left" w:pos="5580"/>
        </w:tabs>
        <w:spacing w:line="360" w:lineRule="auto"/>
        <w:ind w:firstLine="420" w:firstLineChars="200"/>
        <w:jc w:val="left"/>
        <w:rPr>
          <w:rFonts w:hint="eastAsia" w:ascii="宋体" w:hAnsi="宋体" w:cs="宋体"/>
          <w:b/>
          <w:szCs w:val="21"/>
        </w:rPr>
      </w:pPr>
      <w:r>
        <w:rPr>
          <w:rFonts w:hint="eastAsia" w:ascii="宋体" w:hAnsi="宋体" w:cs="宋体"/>
          <w:bCs/>
          <w:szCs w:val="21"/>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14CE1ECB">
      <w:pPr>
        <w:jc w:val="right"/>
        <w:rPr>
          <w:rFonts w:hint="eastAsia" w:ascii="宋体" w:hAnsi="宋体" w:cs="宋体"/>
          <w:u w:val="single"/>
          <w:lang w:bidi="en-US"/>
        </w:rPr>
      </w:pPr>
      <w:r>
        <w:rPr>
          <w:rFonts w:hint="eastAsia" w:ascii="宋体" w:hAnsi="宋体" w:cs="宋体"/>
          <w:lang w:bidi="en-US"/>
        </w:rPr>
        <w:t>投标人：</w:t>
      </w:r>
      <w:r>
        <w:rPr>
          <w:rFonts w:hint="eastAsia" w:ascii="宋体" w:hAnsi="宋体" w:cs="宋体"/>
          <w:u w:val="single"/>
          <w:lang w:bidi="en-US"/>
        </w:rPr>
        <w:t xml:space="preserve">       （盖单位章）</w:t>
      </w:r>
    </w:p>
    <w:p w14:paraId="42801781">
      <w:pPr>
        <w:widowControl/>
        <w:tabs>
          <w:tab w:val="left" w:pos="5580"/>
        </w:tabs>
        <w:spacing w:line="360" w:lineRule="auto"/>
        <w:rPr>
          <w:rFonts w:hint="eastAsia" w:ascii="宋体" w:hAnsi="宋体" w:cs="宋体"/>
          <w:b/>
          <w:szCs w:val="21"/>
        </w:rPr>
      </w:pPr>
      <w:r>
        <w:rPr>
          <w:rFonts w:hint="eastAsia" w:ascii="宋体" w:hAnsi="宋体" w:cs="宋体"/>
          <w:lang w:bidi="en-US"/>
        </w:rPr>
        <w:t>日  期：</w:t>
      </w:r>
      <w:r>
        <w:rPr>
          <w:rFonts w:hint="eastAsia" w:ascii="宋体" w:hAnsi="宋体" w:cs="宋体"/>
          <w:u w:val="single"/>
          <w:lang w:bidi="en-US"/>
        </w:rPr>
        <w:t xml:space="preserve">                   </w:t>
      </w:r>
    </w:p>
    <w:p w14:paraId="47128DD3">
      <w:pPr>
        <w:tabs>
          <w:tab w:val="left" w:pos="5580"/>
        </w:tabs>
        <w:jc w:val="center"/>
        <w:outlineLvl w:val="2"/>
        <w:rPr>
          <w:rFonts w:hint="eastAsia" w:ascii="宋体" w:hAnsi="宋体" w:cs="宋体"/>
          <w:b/>
          <w:bCs/>
          <w:kern w:val="0"/>
          <w:sz w:val="24"/>
          <w:lang w:bidi="en-US"/>
        </w:rPr>
      </w:pPr>
      <w:r>
        <w:rPr>
          <w:rFonts w:hint="eastAsia" w:ascii="宋体" w:hAnsi="宋体" w:cs="宋体"/>
          <w:b/>
          <w:szCs w:val="21"/>
        </w:rPr>
        <w:br w:type="page"/>
      </w:r>
      <w:r>
        <w:rPr>
          <w:rFonts w:hint="eastAsia" w:ascii="宋体" w:hAnsi="宋体" w:cs="宋体"/>
          <w:b/>
          <w:bCs/>
          <w:kern w:val="0"/>
          <w:sz w:val="24"/>
          <w:lang w:bidi="en-US"/>
        </w:rPr>
        <w:t>（四）类似业绩证明材料</w:t>
      </w:r>
    </w:p>
    <w:p w14:paraId="2DD7A8F3">
      <w:pPr>
        <w:spacing w:line="360" w:lineRule="auto"/>
        <w:jc w:val="center"/>
        <w:rPr>
          <w:rFonts w:hint="eastAsia" w:ascii="宋体" w:hAnsi="宋体" w:cs="宋体"/>
          <w:b/>
          <w:bCs/>
          <w:sz w:val="24"/>
        </w:rPr>
      </w:pPr>
    </w:p>
    <w:p w14:paraId="45794F30">
      <w:pPr>
        <w:spacing w:line="360" w:lineRule="auto"/>
        <w:jc w:val="center"/>
        <w:rPr>
          <w:rFonts w:hint="eastAsia" w:ascii="宋体" w:hAnsi="宋体" w:cs="宋体"/>
          <w:b/>
          <w:bCs/>
          <w:sz w:val="24"/>
        </w:rPr>
      </w:pPr>
      <w:r>
        <w:rPr>
          <w:rFonts w:hint="eastAsia" w:ascii="宋体" w:hAnsi="宋体" w:cs="宋体"/>
          <w:b/>
          <w:bCs/>
          <w:sz w:val="24"/>
        </w:rPr>
        <w:t>业绩承诺函（如有）</w:t>
      </w:r>
    </w:p>
    <w:p w14:paraId="59DFC744">
      <w:pPr>
        <w:pStyle w:val="25"/>
        <w:spacing w:line="360" w:lineRule="auto"/>
        <w:rPr>
          <w:rFonts w:hint="eastAsia" w:hAnsi="宋体" w:cs="宋体"/>
          <w:b/>
          <w:sz w:val="21"/>
          <w:u w:val="single"/>
        </w:rPr>
      </w:pPr>
      <w:r>
        <w:rPr>
          <w:rFonts w:hint="eastAsia" w:hAnsi="宋体" w:cs="宋体"/>
          <w:sz w:val="21"/>
        </w:rPr>
        <w:t>致：</w:t>
      </w:r>
      <w:r>
        <w:rPr>
          <w:rFonts w:hint="eastAsia" w:hAnsi="宋体" w:cs="宋体"/>
          <w:lang w:bidi="en-US"/>
        </w:rPr>
        <w:t>【采购人名称】</w:t>
      </w:r>
    </w:p>
    <w:p w14:paraId="78EC6BF1">
      <w:pPr>
        <w:spacing w:line="360" w:lineRule="auto"/>
        <w:ind w:firstLine="435"/>
        <w:rPr>
          <w:rFonts w:hint="eastAsia" w:ascii="宋体" w:hAnsi="宋体" w:cs="宋体"/>
        </w:rPr>
      </w:pPr>
      <w:r>
        <w:rPr>
          <w:rFonts w:hint="eastAsia" w:ascii="宋体" w:hAnsi="宋体" w:cs="宋体"/>
        </w:rPr>
        <w:t>我方承诺：响应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20F60080">
      <w:pPr>
        <w:spacing w:line="360" w:lineRule="auto"/>
        <w:ind w:firstLine="3700" w:firstLineChars="1762"/>
        <w:rPr>
          <w:rFonts w:hint="eastAsia" w:ascii="宋体" w:hAnsi="宋体" w:cs="宋体"/>
          <w:u w:val="single"/>
        </w:rPr>
      </w:pPr>
      <w:r>
        <w:rPr>
          <w:rFonts w:hint="eastAsia" w:ascii="宋体" w:hAnsi="宋体" w:cs="宋体"/>
        </w:rPr>
        <w:t>供应商：</w:t>
      </w:r>
      <w:r>
        <w:rPr>
          <w:rFonts w:hint="eastAsia" w:ascii="宋体" w:hAnsi="宋体" w:cs="宋体"/>
          <w:u w:val="single"/>
        </w:rPr>
        <w:t xml:space="preserve">              </w:t>
      </w:r>
      <w:r>
        <w:rPr>
          <w:rFonts w:hint="eastAsia" w:ascii="宋体" w:hAnsi="宋体" w:cs="宋体"/>
        </w:rPr>
        <w:t>（盖单位章）</w:t>
      </w:r>
    </w:p>
    <w:p w14:paraId="187E0366">
      <w:pPr>
        <w:tabs>
          <w:tab w:val="left" w:pos="630"/>
        </w:tabs>
        <w:spacing w:line="360" w:lineRule="auto"/>
        <w:ind w:firstLine="3700" w:firstLineChars="1762"/>
        <w:rPr>
          <w:rFonts w:hint="eastAsia" w:ascii="宋体" w:hAnsi="宋体" w:cs="宋体"/>
        </w:rPr>
      </w:pPr>
      <w:r>
        <w:rPr>
          <w:rFonts w:hint="eastAsia" w:ascii="宋体" w:hAnsi="宋体" w:cs="宋体"/>
        </w:rPr>
        <w:t>日  期：</w:t>
      </w:r>
      <w:r>
        <w:rPr>
          <w:rFonts w:hint="eastAsia" w:ascii="宋体" w:hAnsi="宋体" w:cs="宋体"/>
          <w:u w:val="single"/>
        </w:rPr>
        <w:t xml:space="preserve">                     </w:t>
      </w:r>
    </w:p>
    <w:p w14:paraId="35550BD0">
      <w:pPr>
        <w:jc w:val="center"/>
        <w:rPr>
          <w:rFonts w:hint="eastAsia" w:ascii="宋体" w:hAnsi="宋体" w:cs="宋体"/>
          <w:sz w:val="28"/>
        </w:rPr>
      </w:pPr>
    </w:p>
    <w:p w14:paraId="1AB30767">
      <w:pPr>
        <w:jc w:val="center"/>
        <w:rPr>
          <w:rFonts w:hint="eastAsia" w:ascii="宋体" w:hAnsi="宋体" w:cs="宋体"/>
          <w:sz w:val="28"/>
        </w:rPr>
      </w:pPr>
      <w:r>
        <w:rPr>
          <w:rFonts w:hint="eastAsia" w:ascii="宋体" w:hAnsi="宋体" w:cs="宋体"/>
          <w:sz w:val="28"/>
        </w:rPr>
        <w:t>业绩汇总表</w:t>
      </w:r>
    </w:p>
    <w:tbl>
      <w:tblPr>
        <w:tblStyle w:val="46"/>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0AE1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612FAFEA">
            <w:pPr>
              <w:jc w:val="center"/>
              <w:rPr>
                <w:rFonts w:hint="eastAsia" w:ascii="宋体" w:hAnsi="宋体" w:cs="宋体"/>
                <w:b/>
              </w:rPr>
            </w:pPr>
            <w:r>
              <w:rPr>
                <w:rFonts w:hint="eastAsia" w:ascii="宋体" w:hAnsi="宋体" w:cs="宋体"/>
                <w:b/>
              </w:rPr>
              <w:t>序号</w:t>
            </w:r>
          </w:p>
        </w:tc>
        <w:tc>
          <w:tcPr>
            <w:tcW w:w="757" w:type="pct"/>
            <w:vAlign w:val="center"/>
          </w:tcPr>
          <w:p w14:paraId="7D7C985E">
            <w:pPr>
              <w:jc w:val="center"/>
              <w:rPr>
                <w:rFonts w:hint="eastAsia" w:ascii="宋体" w:hAnsi="宋体" w:cs="宋体"/>
                <w:b/>
              </w:rPr>
            </w:pPr>
            <w:r>
              <w:rPr>
                <w:rFonts w:hint="eastAsia" w:ascii="宋体" w:hAnsi="宋体" w:cs="宋体"/>
                <w:b/>
              </w:rPr>
              <w:t>项目名称</w:t>
            </w:r>
          </w:p>
        </w:tc>
        <w:tc>
          <w:tcPr>
            <w:tcW w:w="953" w:type="pct"/>
            <w:vAlign w:val="center"/>
          </w:tcPr>
          <w:p w14:paraId="2FEE51B9">
            <w:pPr>
              <w:widowControl/>
              <w:jc w:val="center"/>
              <w:rPr>
                <w:rFonts w:hint="eastAsia" w:ascii="宋体" w:hAnsi="宋体" w:cs="宋体"/>
                <w:b/>
              </w:rPr>
            </w:pPr>
            <w:r>
              <w:rPr>
                <w:rFonts w:hint="eastAsia" w:ascii="宋体" w:hAnsi="宋体" w:cs="宋体"/>
                <w:b/>
              </w:rPr>
              <w:t>合同主要内容</w:t>
            </w:r>
          </w:p>
        </w:tc>
        <w:tc>
          <w:tcPr>
            <w:tcW w:w="644" w:type="pct"/>
            <w:vAlign w:val="center"/>
          </w:tcPr>
          <w:p w14:paraId="64C1FE8C">
            <w:pPr>
              <w:jc w:val="center"/>
              <w:rPr>
                <w:rFonts w:hint="eastAsia" w:ascii="宋体" w:hAnsi="宋体" w:cs="宋体"/>
                <w:b/>
              </w:rPr>
            </w:pPr>
            <w:r>
              <w:rPr>
                <w:rFonts w:hint="eastAsia" w:ascii="宋体" w:hAnsi="宋体" w:cs="宋体"/>
                <w:b/>
              </w:rPr>
              <w:t>签约合同价金额</w:t>
            </w:r>
          </w:p>
        </w:tc>
        <w:tc>
          <w:tcPr>
            <w:tcW w:w="963" w:type="pct"/>
            <w:vAlign w:val="center"/>
          </w:tcPr>
          <w:p w14:paraId="014F209F">
            <w:pPr>
              <w:jc w:val="center"/>
              <w:rPr>
                <w:rFonts w:hint="eastAsia" w:ascii="宋体" w:hAnsi="宋体" w:cs="宋体"/>
                <w:b/>
              </w:rPr>
            </w:pPr>
            <w:r>
              <w:rPr>
                <w:rFonts w:hint="eastAsia" w:ascii="宋体" w:hAnsi="宋体" w:cs="宋体"/>
                <w:b/>
              </w:rPr>
              <w:t>业主单位</w:t>
            </w:r>
          </w:p>
          <w:p w14:paraId="53A32C7B">
            <w:pPr>
              <w:jc w:val="center"/>
              <w:rPr>
                <w:rFonts w:hint="eastAsia" w:ascii="宋体" w:hAnsi="宋体" w:cs="宋体"/>
                <w:b/>
              </w:rPr>
            </w:pPr>
            <w:r>
              <w:rPr>
                <w:rFonts w:hint="eastAsia" w:ascii="宋体" w:hAnsi="宋体" w:cs="宋体"/>
                <w:b/>
              </w:rPr>
              <w:t>及联系电话</w:t>
            </w:r>
          </w:p>
        </w:tc>
        <w:tc>
          <w:tcPr>
            <w:tcW w:w="793" w:type="pct"/>
            <w:vAlign w:val="center"/>
          </w:tcPr>
          <w:p w14:paraId="35EE57C8">
            <w:pPr>
              <w:jc w:val="center"/>
              <w:rPr>
                <w:rFonts w:hint="eastAsia" w:ascii="宋体" w:hAnsi="宋体" w:cs="宋体"/>
                <w:b/>
              </w:rPr>
            </w:pPr>
            <w:r>
              <w:rPr>
                <w:rFonts w:hint="eastAsia" w:ascii="宋体" w:hAnsi="宋体" w:cs="宋体"/>
                <w:b/>
              </w:rPr>
              <w:t>合同签订时间</w:t>
            </w:r>
          </w:p>
        </w:tc>
        <w:tc>
          <w:tcPr>
            <w:tcW w:w="478" w:type="pct"/>
            <w:vAlign w:val="center"/>
          </w:tcPr>
          <w:p w14:paraId="13AA6495">
            <w:pPr>
              <w:jc w:val="center"/>
              <w:rPr>
                <w:rFonts w:hint="eastAsia" w:ascii="宋体" w:hAnsi="宋体" w:cs="宋体"/>
                <w:b/>
              </w:rPr>
            </w:pPr>
            <w:r>
              <w:rPr>
                <w:rFonts w:hint="eastAsia" w:ascii="宋体" w:hAnsi="宋体" w:cs="宋体"/>
                <w:b/>
              </w:rPr>
              <w:t>备注</w:t>
            </w:r>
          </w:p>
        </w:tc>
      </w:tr>
      <w:tr w14:paraId="2753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03810F9B">
            <w:pPr>
              <w:jc w:val="center"/>
              <w:rPr>
                <w:rFonts w:hint="eastAsia" w:ascii="宋体" w:hAnsi="宋体" w:cs="宋体"/>
              </w:rPr>
            </w:pPr>
            <w:r>
              <w:rPr>
                <w:rFonts w:hint="eastAsia" w:ascii="宋体" w:hAnsi="宋体" w:cs="宋体"/>
              </w:rPr>
              <w:t>1</w:t>
            </w:r>
          </w:p>
        </w:tc>
        <w:tc>
          <w:tcPr>
            <w:tcW w:w="757" w:type="pct"/>
            <w:vAlign w:val="center"/>
          </w:tcPr>
          <w:p w14:paraId="09404EF4">
            <w:pPr>
              <w:rPr>
                <w:rFonts w:hint="eastAsia" w:ascii="宋体" w:hAnsi="宋体" w:cs="宋体"/>
              </w:rPr>
            </w:pPr>
          </w:p>
        </w:tc>
        <w:tc>
          <w:tcPr>
            <w:tcW w:w="953" w:type="pct"/>
            <w:vAlign w:val="center"/>
          </w:tcPr>
          <w:p w14:paraId="0321AF7A">
            <w:pPr>
              <w:rPr>
                <w:rFonts w:hint="eastAsia" w:ascii="宋体" w:hAnsi="宋体" w:cs="宋体"/>
              </w:rPr>
            </w:pPr>
          </w:p>
        </w:tc>
        <w:tc>
          <w:tcPr>
            <w:tcW w:w="644" w:type="pct"/>
            <w:vAlign w:val="center"/>
          </w:tcPr>
          <w:p w14:paraId="3E557DB6">
            <w:pPr>
              <w:rPr>
                <w:rFonts w:hint="eastAsia" w:ascii="宋体" w:hAnsi="宋体" w:cs="宋体"/>
              </w:rPr>
            </w:pPr>
          </w:p>
        </w:tc>
        <w:tc>
          <w:tcPr>
            <w:tcW w:w="963" w:type="pct"/>
            <w:vAlign w:val="center"/>
          </w:tcPr>
          <w:p w14:paraId="70C49744">
            <w:pPr>
              <w:rPr>
                <w:rFonts w:hint="eastAsia" w:ascii="宋体" w:hAnsi="宋体" w:cs="宋体"/>
              </w:rPr>
            </w:pPr>
          </w:p>
        </w:tc>
        <w:tc>
          <w:tcPr>
            <w:tcW w:w="793" w:type="pct"/>
          </w:tcPr>
          <w:p w14:paraId="40EC0EFA">
            <w:pPr>
              <w:rPr>
                <w:rFonts w:hint="eastAsia" w:ascii="宋体" w:hAnsi="宋体" w:cs="宋体"/>
              </w:rPr>
            </w:pPr>
          </w:p>
        </w:tc>
        <w:tc>
          <w:tcPr>
            <w:tcW w:w="478" w:type="pct"/>
            <w:vAlign w:val="center"/>
          </w:tcPr>
          <w:p w14:paraId="3B076FA7">
            <w:pPr>
              <w:rPr>
                <w:rFonts w:hint="eastAsia" w:ascii="宋体" w:hAnsi="宋体" w:cs="宋体"/>
              </w:rPr>
            </w:pPr>
          </w:p>
        </w:tc>
      </w:tr>
      <w:tr w14:paraId="3DBA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3B878F72">
            <w:pPr>
              <w:jc w:val="center"/>
              <w:rPr>
                <w:rFonts w:hint="eastAsia" w:ascii="宋体" w:hAnsi="宋体" w:cs="宋体"/>
              </w:rPr>
            </w:pPr>
            <w:r>
              <w:rPr>
                <w:rFonts w:hint="eastAsia" w:ascii="宋体" w:hAnsi="宋体" w:cs="宋体"/>
              </w:rPr>
              <w:t>2</w:t>
            </w:r>
          </w:p>
        </w:tc>
        <w:tc>
          <w:tcPr>
            <w:tcW w:w="757" w:type="pct"/>
            <w:vAlign w:val="center"/>
          </w:tcPr>
          <w:p w14:paraId="5A96DD3B">
            <w:pPr>
              <w:rPr>
                <w:rFonts w:hint="eastAsia" w:ascii="宋体" w:hAnsi="宋体" w:cs="宋体"/>
              </w:rPr>
            </w:pPr>
          </w:p>
        </w:tc>
        <w:tc>
          <w:tcPr>
            <w:tcW w:w="953" w:type="pct"/>
            <w:vAlign w:val="center"/>
          </w:tcPr>
          <w:p w14:paraId="68B211F3">
            <w:pPr>
              <w:rPr>
                <w:rFonts w:hint="eastAsia" w:ascii="宋体" w:hAnsi="宋体" w:cs="宋体"/>
              </w:rPr>
            </w:pPr>
          </w:p>
        </w:tc>
        <w:tc>
          <w:tcPr>
            <w:tcW w:w="644" w:type="pct"/>
            <w:vAlign w:val="center"/>
          </w:tcPr>
          <w:p w14:paraId="1267783D">
            <w:pPr>
              <w:rPr>
                <w:rFonts w:hint="eastAsia" w:ascii="宋体" w:hAnsi="宋体" w:cs="宋体"/>
              </w:rPr>
            </w:pPr>
          </w:p>
        </w:tc>
        <w:tc>
          <w:tcPr>
            <w:tcW w:w="963" w:type="pct"/>
            <w:vAlign w:val="center"/>
          </w:tcPr>
          <w:p w14:paraId="267C7149">
            <w:pPr>
              <w:rPr>
                <w:rFonts w:hint="eastAsia" w:ascii="宋体" w:hAnsi="宋体" w:cs="宋体"/>
              </w:rPr>
            </w:pPr>
          </w:p>
        </w:tc>
        <w:tc>
          <w:tcPr>
            <w:tcW w:w="793" w:type="pct"/>
          </w:tcPr>
          <w:p w14:paraId="0F12CF0B">
            <w:pPr>
              <w:rPr>
                <w:rFonts w:hint="eastAsia" w:ascii="宋体" w:hAnsi="宋体" w:cs="宋体"/>
              </w:rPr>
            </w:pPr>
          </w:p>
        </w:tc>
        <w:tc>
          <w:tcPr>
            <w:tcW w:w="478" w:type="pct"/>
            <w:vAlign w:val="center"/>
          </w:tcPr>
          <w:p w14:paraId="5F9DA473">
            <w:pPr>
              <w:rPr>
                <w:rFonts w:hint="eastAsia" w:ascii="宋体" w:hAnsi="宋体" w:cs="宋体"/>
              </w:rPr>
            </w:pPr>
          </w:p>
        </w:tc>
      </w:tr>
      <w:tr w14:paraId="45F5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3C8889E4">
            <w:pPr>
              <w:jc w:val="center"/>
              <w:rPr>
                <w:rFonts w:hint="eastAsia" w:ascii="宋体" w:hAnsi="宋体" w:cs="宋体"/>
              </w:rPr>
            </w:pPr>
            <w:r>
              <w:rPr>
                <w:rFonts w:hint="eastAsia" w:ascii="宋体" w:hAnsi="宋体" w:cs="宋体"/>
              </w:rPr>
              <w:t>3</w:t>
            </w:r>
          </w:p>
        </w:tc>
        <w:tc>
          <w:tcPr>
            <w:tcW w:w="757" w:type="pct"/>
            <w:vAlign w:val="center"/>
          </w:tcPr>
          <w:p w14:paraId="5D1EC2D9">
            <w:pPr>
              <w:rPr>
                <w:rFonts w:hint="eastAsia" w:ascii="宋体" w:hAnsi="宋体" w:cs="宋体"/>
              </w:rPr>
            </w:pPr>
          </w:p>
        </w:tc>
        <w:tc>
          <w:tcPr>
            <w:tcW w:w="953" w:type="pct"/>
            <w:vAlign w:val="center"/>
          </w:tcPr>
          <w:p w14:paraId="0025E291">
            <w:pPr>
              <w:rPr>
                <w:rFonts w:hint="eastAsia" w:ascii="宋体" w:hAnsi="宋体" w:cs="宋体"/>
              </w:rPr>
            </w:pPr>
          </w:p>
        </w:tc>
        <w:tc>
          <w:tcPr>
            <w:tcW w:w="644" w:type="pct"/>
            <w:vAlign w:val="center"/>
          </w:tcPr>
          <w:p w14:paraId="48717F16">
            <w:pPr>
              <w:rPr>
                <w:rFonts w:hint="eastAsia" w:ascii="宋体" w:hAnsi="宋体" w:cs="宋体"/>
              </w:rPr>
            </w:pPr>
          </w:p>
        </w:tc>
        <w:tc>
          <w:tcPr>
            <w:tcW w:w="963" w:type="pct"/>
            <w:vAlign w:val="center"/>
          </w:tcPr>
          <w:p w14:paraId="4525417D">
            <w:pPr>
              <w:rPr>
                <w:rFonts w:hint="eastAsia" w:ascii="宋体" w:hAnsi="宋体" w:cs="宋体"/>
              </w:rPr>
            </w:pPr>
          </w:p>
        </w:tc>
        <w:tc>
          <w:tcPr>
            <w:tcW w:w="793" w:type="pct"/>
          </w:tcPr>
          <w:p w14:paraId="414E401C">
            <w:pPr>
              <w:rPr>
                <w:rFonts w:hint="eastAsia" w:ascii="宋体" w:hAnsi="宋体" w:cs="宋体"/>
              </w:rPr>
            </w:pPr>
          </w:p>
        </w:tc>
        <w:tc>
          <w:tcPr>
            <w:tcW w:w="478" w:type="pct"/>
            <w:vAlign w:val="center"/>
          </w:tcPr>
          <w:p w14:paraId="71FE5AFE">
            <w:pPr>
              <w:rPr>
                <w:rFonts w:hint="eastAsia" w:ascii="宋体" w:hAnsi="宋体" w:cs="宋体"/>
              </w:rPr>
            </w:pPr>
          </w:p>
        </w:tc>
      </w:tr>
      <w:tr w14:paraId="176E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00DC2C84">
            <w:pPr>
              <w:jc w:val="center"/>
              <w:rPr>
                <w:rFonts w:hint="eastAsia" w:ascii="宋体" w:hAnsi="宋体" w:cs="宋体"/>
              </w:rPr>
            </w:pPr>
            <w:r>
              <w:rPr>
                <w:rFonts w:hint="eastAsia" w:ascii="宋体" w:hAnsi="宋体" w:cs="宋体"/>
              </w:rPr>
              <w:t>4</w:t>
            </w:r>
          </w:p>
        </w:tc>
        <w:tc>
          <w:tcPr>
            <w:tcW w:w="757" w:type="pct"/>
            <w:vAlign w:val="center"/>
          </w:tcPr>
          <w:p w14:paraId="19A477F5">
            <w:pPr>
              <w:rPr>
                <w:rFonts w:hint="eastAsia" w:ascii="宋体" w:hAnsi="宋体" w:cs="宋体"/>
              </w:rPr>
            </w:pPr>
          </w:p>
        </w:tc>
        <w:tc>
          <w:tcPr>
            <w:tcW w:w="953" w:type="pct"/>
            <w:vAlign w:val="center"/>
          </w:tcPr>
          <w:p w14:paraId="559AA7BA">
            <w:pPr>
              <w:rPr>
                <w:rFonts w:hint="eastAsia" w:ascii="宋体" w:hAnsi="宋体" w:cs="宋体"/>
              </w:rPr>
            </w:pPr>
          </w:p>
        </w:tc>
        <w:tc>
          <w:tcPr>
            <w:tcW w:w="644" w:type="pct"/>
            <w:vAlign w:val="center"/>
          </w:tcPr>
          <w:p w14:paraId="292178FB">
            <w:pPr>
              <w:rPr>
                <w:rFonts w:hint="eastAsia" w:ascii="宋体" w:hAnsi="宋体" w:cs="宋体"/>
              </w:rPr>
            </w:pPr>
          </w:p>
        </w:tc>
        <w:tc>
          <w:tcPr>
            <w:tcW w:w="963" w:type="pct"/>
            <w:vAlign w:val="center"/>
          </w:tcPr>
          <w:p w14:paraId="042AEE48">
            <w:pPr>
              <w:rPr>
                <w:rFonts w:hint="eastAsia" w:ascii="宋体" w:hAnsi="宋体" w:cs="宋体"/>
              </w:rPr>
            </w:pPr>
          </w:p>
        </w:tc>
        <w:tc>
          <w:tcPr>
            <w:tcW w:w="793" w:type="pct"/>
          </w:tcPr>
          <w:p w14:paraId="7E04035D">
            <w:pPr>
              <w:rPr>
                <w:rFonts w:hint="eastAsia" w:ascii="宋体" w:hAnsi="宋体" w:cs="宋体"/>
              </w:rPr>
            </w:pPr>
          </w:p>
        </w:tc>
        <w:tc>
          <w:tcPr>
            <w:tcW w:w="478" w:type="pct"/>
            <w:vAlign w:val="center"/>
          </w:tcPr>
          <w:p w14:paraId="7B02045D">
            <w:pPr>
              <w:rPr>
                <w:rFonts w:hint="eastAsia" w:ascii="宋体" w:hAnsi="宋体" w:cs="宋体"/>
              </w:rPr>
            </w:pPr>
          </w:p>
        </w:tc>
      </w:tr>
      <w:tr w14:paraId="509D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7DB7586B">
            <w:pPr>
              <w:jc w:val="center"/>
              <w:rPr>
                <w:rFonts w:hint="eastAsia" w:ascii="宋体" w:hAnsi="宋体" w:cs="宋体"/>
              </w:rPr>
            </w:pPr>
            <w:r>
              <w:rPr>
                <w:rFonts w:hint="eastAsia" w:ascii="宋体" w:hAnsi="宋体" w:cs="宋体"/>
              </w:rPr>
              <w:t>5</w:t>
            </w:r>
          </w:p>
        </w:tc>
        <w:tc>
          <w:tcPr>
            <w:tcW w:w="757" w:type="pct"/>
            <w:vAlign w:val="center"/>
          </w:tcPr>
          <w:p w14:paraId="7DC7EF50">
            <w:pPr>
              <w:rPr>
                <w:rFonts w:hint="eastAsia" w:ascii="宋体" w:hAnsi="宋体" w:cs="宋体"/>
              </w:rPr>
            </w:pPr>
          </w:p>
        </w:tc>
        <w:tc>
          <w:tcPr>
            <w:tcW w:w="953" w:type="pct"/>
            <w:vAlign w:val="center"/>
          </w:tcPr>
          <w:p w14:paraId="7A34C65F">
            <w:pPr>
              <w:rPr>
                <w:rFonts w:hint="eastAsia" w:ascii="宋体" w:hAnsi="宋体" w:cs="宋体"/>
              </w:rPr>
            </w:pPr>
          </w:p>
        </w:tc>
        <w:tc>
          <w:tcPr>
            <w:tcW w:w="644" w:type="pct"/>
            <w:vAlign w:val="center"/>
          </w:tcPr>
          <w:p w14:paraId="55AB2385">
            <w:pPr>
              <w:rPr>
                <w:rFonts w:hint="eastAsia" w:ascii="宋体" w:hAnsi="宋体" w:cs="宋体"/>
              </w:rPr>
            </w:pPr>
          </w:p>
        </w:tc>
        <w:tc>
          <w:tcPr>
            <w:tcW w:w="963" w:type="pct"/>
            <w:vAlign w:val="center"/>
          </w:tcPr>
          <w:p w14:paraId="217E8CA5">
            <w:pPr>
              <w:rPr>
                <w:rFonts w:hint="eastAsia" w:ascii="宋体" w:hAnsi="宋体" w:cs="宋体"/>
              </w:rPr>
            </w:pPr>
          </w:p>
        </w:tc>
        <w:tc>
          <w:tcPr>
            <w:tcW w:w="793" w:type="pct"/>
          </w:tcPr>
          <w:p w14:paraId="0EE65BEE">
            <w:pPr>
              <w:rPr>
                <w:rFonts w:hint="eastAsia" w:ascii="宋体" w:hAnsi="宋体" w:cs="宋体"/>
              </w:rPr>
            </w:pPr>
          </w:p>
        </w:tc>
        <w:tc>
          <w:tcPr>
            <w:tcW w:w="478" w:type="pct"/>
            <w:vAlign w:val="center"/>
          </w:tcPr>
          <w:p w14:paraId="36615F9A">
            <w:pPr>
              <w:rPr>
                <w:rFonts w:hint="eastAsia" w:ascii="宋体" w:hAnsi="宋体" w:cs="宋体"/>
              </w:rPr>
            </w:pPr>
          </w:p>
        </w:tc>
      </w:tr>
      <w:tr w14:paraId="77DA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3FDAA4C6">
            <w:pPr>
              <w:jc w:val="center"/>
              <w:rPr>
                <w:rFonts w:hint="eastAsia" w:ascii="宋体" w:hAnsi="宋体" w:cs="宋体"/>
              </w:rPr>
            </w:pPr>
            <w:r>
              <w:rPr>
                <w:rFonts w:hint="eastAsia" w:ascii="宋体" w:hAnsi="宋体" w:cs="宋体"/>
              </w:rPr>
              <w:t>……</w:t>
            </w:r>
          </w:p>
        </w:tc>
        <w:tc>
          <w:tcPr>
            <w:tcW w:w="757" w:type="pct"/>
            <w:vAlign w:val="center"/>
          </w:tcPr>
          <w:p w14:paraId="41F01832">
            <w:pPr>
              <w:rPr>
                <w:rFonts w:hint="eastAsia" w:ascii="宋体" w:hAnsi="宋体" w:cs="宋体"/>
              </w:rPr>
            </w:pPr>
          </w:p>
        </w:tc>
        <w:tc>
          <w:tcPr>
            <w:tcW w:w="953" w:type="pct"/>
            <w:vAlign w:val="center"/>
          </w:tcPr>
          <w:p w14:paraId="32DD0EF5">
            <w:pPr>
              <w:rPr>
                <w:rFonts w:hint="eastAsia" w:ascii="宋体" w:hAnsi="宋体" w:cs="宋体"/>
              </w:rPr>
            </w:pPr>
          </w:p>
        </w:tc>
        <w:tc>
          <w:tcPr>
            <w:tcW w:w="644" w:type="pct"/>
            <w:vAlign w:val="center"/>
          </w:tcPr>
          <w:p w14:paraId="659389D8">
            <w:pPr>
              <w:rPr>
                <w:rFonts w:hint="eastAsia" w:ascii="宋体" w:hAnsi="宋体" w:cs="宋体"/>
              </w:rPr>
            </w:pPr>
          </w:p>
        </w:tc>
        <w:tc>
          <w:tcPr>
            <w:tcW w:w="963" w:type="pct"/>
            <w:vAlign w:val="center"/>
          </w:tcPr>
          <w:p w14:paraId="681C1030">
            <w:pPr>
              <w:rPr>
                <w:rFonts w:hint="eastAsia" w:ascii="宋体" w:hAnsi="宋体" w:cs="宋体"/>
              </w:rPr>
            </w:pPr>
          </w:p>
        </w:tc>
        <w:tc>
          <w:tcPr>
            <w:tcW w:w="793" w:type="pct"/>
          </w:tcPr>
          <w:p w14:paraId="17A5F0C9">
            <w:pPr>
              <w:rPr>
                <w:rFonts w:hint="eastAsia" w:ascii="宋体" w:hAnsi="宋体" w:cs="宋体"/>
              </w:rPr>
            </w:pPr>
          </w:p>
        </w:tc>
        <w:tc>
          <w:tcPr>
            <w:tcW w:w="478" w:type="pct"/>
            <w:vAlign w:val="center"/>
          </w:tcPr>
          <w:p w14:paraId="5412FF59">
            <w:pPr>
              <w:rPr>
                <w:rFonts w:hint="eastAsia" w:ascii="宋体" w:hAnsi="宋体" w:cs="宋体"/>
              </w:rPr>
            </w:pPr>
          </w:p>
        </w:tc>
      </w:tr>
    </w:tbl>
    <w:p w14:paraId="21CCE62F">
      <w:pPr>
        <w:widowControl/>
        <w:jc w:val="left"/>
        <w:rPr>
          <w:rFonts w:hint="eastAsia" w:ascii="宋体" w:hAnsi="宋体" w:cs="宋体"/>
          <w:szCs w:val="21"/>
        </w:rPr>
      </w:pPr>
      <w:r>
        <w:rPr>
          <w:rFonts w:hint="eastAsia" w:ascii="宋体" w:hAnsi="宋体" w:cs="宋体"/>
          <w:szCs w:val="21"/>
        </w:rPr>
        <w:t>注：应附中标/成交通知书（如有）和合同协议书，以及验收报告（验收证明文件）（如有）等材料（具体以协商程序章节、供应商须知前附表要求为准），具体年份时间要求见协商程序章节、供应商须知前附表。</w:t>
      </w:r>
    </w:p>
    <w:p w14:paraId="4CA757A4">
      <w:pPr>
        <w:rPr>
          <w:rFonts w:hint="eastAsia" w:ascii="宋体" w:hAnsi="宋体" w:cs="宋体"/>
          <w:lang w:bidi="en-US"/>
        </w:rPr>
      </w:pPr>
    </w:p>
    <w:p w14:paraId="4AD9FBC1">
      <w:pPr>
        <w:rPr>
          <w:rFonts w:hint="eastAsia" w:ascii="宋体" w:hAnsi="宋体" w:cs="宋体"/>
          <w:lang w:bidi="en-US"/>
        </w:rPr>
      </w:pPr>
    </w:p>
    <w:p w14:paraId="279BF867">
      <w:pPr>
        <w:rPr>
          <w:rFonts w:hint="eastAsia"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2595405E">
      <w:pPr>
        <w:widowControl/>
        <w:spacing w:line="261" w:lineRule="auto"/>
        <w:ind w:left="120" w:right="40"/>
        <w:rPr>
          <w:rFonts w:hint="eastAsia" w:ascii="宋体" w:hAnsi="宋体" w:cs="宋体"/>
          <w:kern w:val="0"/>
          <w:szCs w:val="21"/>
        </w:rPr>
      </w:pPr>
    </w:p>
    <w:p w14:paraId="69D30B6C">
      <w:pPr>
        <w:pStyle w:val="3"/>
        <w:widowControl/>
        <w:spacing w:before="120" w:after="120" w:line="240" w:lineRule="auto"/>
        <w:jc w:val="center"/>
        <w:rPr>
          <w:rStyle w:val="102"/>
          <w:rFonts w:hint="eastAsia" w:ascii="宋体" w:hAnsi="宋体" w:eastAsia="宋体" w:cs="宋体"/>
          <w:b/>
          <w:bCs/>
          <w:sz w:val="30"/>
          <w:szCs w:val="30"/>
        </w:rPr>
      </w:pPr>
      <w:r>
        <w:rPr>
          <w:rStyle w:val="102"/>
          <w:rFonts w:hint="eastAsia" w:ascii="宋体" w:hAnsi="宋体" w:eastAsia="宋体" w:cs="宋体"/>
          <w:b/>
          <w:bCs w:val="0"/>
          <w:sz w:val="30"/>
          <w:szCs w:val="30"/>
        </w:rPr>
        <w:t>八、</w:t>
      </w:r>
      <w:r>
        <w:rPr>
          <w:rStyle w:val="102"/>
          <w:rFonts w:hint="eastAsia" w:ascii="宋体" w:hAnsi="宋体" w:eastAsia="宋体" w:cs="宋体"/>
          <w:b/>
          <w:bCs/>
          <w:sz w:val="30"/>
          <w:szCs w:val="30"/>
        </w:rPr>
        <w:t>商务要求偏离表</w:t>
      </w:r>
    </w:p>
    <w:tbl>
      <w:tblPr>
        <w:tblStyle w:val="46"/>
        <w:tblW w:w="9978" w:type="dxa"/>
        <w:tblInd w:w="0" w:type="dxa"/>
        <w:tblLayout w:type="fixed"/>
        <w:tblCellMar>
          <w:top w:w="0" w:type="dxa"/>
          <w:left w:w="108" w:type="dxa"/>
          <w:bottom w:w="0" w:type="dxa"/>
          <w:right w:w="108" w:type="dxa"/>
        </w:tblCellMar>
      </w:tblPr>
      <w:tblGrid>
        <w:gridCol w:w="738"/>
        <w:gridCol w:w="1370"/>
        <w:gridCol w:w="2382"/>
        <w:gridCol w:w="2553"/>
        <w:gridCol w:w="1570"/>
        <w:gridCol w:w="1365"/>
      </w:tblGrid>
      <w:tr w14:paraId="21B08DB0">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606A0DB1">
            <w:pPr>
              <w:widowControl/>
              <w:jc w:val="center"/>
              <w:rPr>
                <w:rFonts w:hint="eastAsia" w:ascii="宋体" w:hAnsi="宋体" w:cs="宋体"/>
                <w:b/>
                <w:kern w:val="0"/>
                <w:szCs w:val="21"/>
              </w:rPr>
            </w:pPr>
            <w:r>
              <w:rPr>
                <w:rFonts w:hint="eastAsia" w:ascii="宋体" w:hAnsi="宋体" w:cs="宋体"/>
                <w:b/>
                <w:kern w:val="0"/>
                <w:szCs w:val="21"/>
              </w:rPr>
              <w:t>序号</w:t>
            </w:r>
          </w:p>
        </w:tc>
        <w:tc>
          <w:tcPr>
            <w:tcW w:w="1370" w:type="dxa"/>
            <w:tcBorders>
              <w:top w:val="single" w:color="000000" w:sz="4" w:space="0"/>
              <w:left w:val="nil"/>
              <w:bottom w:val="single" w:color="000000" w:sz="4" w:space="0"/>
              <w:right w:val="single" w:color="000000" w:sz="4" w:space="0"/>
            </w:tcBorders>
            <w:vAlign w:val="center"/>
          </w:tcPr>
          <w:p w14:paraId="5F9C28E0">
            <w:pPr>
              <w:widowControl/>
              <w:jc w:val="center"/>
              <w:rPr>
                <w:rFonts w:hint="eastAsia" w:ascii="宋体" w:hAnsi="宋体" w:cs="宋体"/>
                <w:b/>
                <w:kern w:val="0"/>
                <w:szCs w:val="21"/>
              </w:rPr>
            </w:pPr>
            <w:r>
              <w:rPr>
                <w:rFonts w:hint="eastAsia" w:ascii="宋体" w:hAnsi="宋体" w:cs="宋体"/>
                <w:b/>
                <w:kern w:val="0"/>
                <w:szCs w:val="21"/>
              </w:rPr>
              <w:t>项目</w:t>
            </w:r>
          </w:p>
        </w:tc>
        <w:tc>
          <w:tcPr>
            <w:tcW w:w="2382" w:type="dxa"/>
            <w:tcBorders>
              <w:top w:val="single" w:color="000000" w:sz="4" w:space="0"/>
              <w:left w:val="nil"/>
              <w:bottom w:val="single" w:color="000000" w:sz="4" w:space="0"/>
              <w:right w:val="single" w:color="000000" w:sz="4" w:space="0"/>
            </w:tcBorders>
            <w:vAlign w:val="center"/>
          </w:tcPr>
          <w:p w14:paraId="04D8F098">
            <w:pPr>
              <w:widowControl/>
              <w:jc w:val="center"/>
              <w:rPr>
                <w:rFonts w:hint="eastAsia" w:ascii="宋体" w:hAnsi="宋体" w:cs="宋体"/>
                <w:b/>
                <w:kern w:val="0"/>
                <w:szCs w:val="21"/>
              </w:rPr>
            </w:pPr>
            <w:r>
              <w:rPr>
                <w:rFonts w:hint="eastAsia" w:ascii="宋体" w:hAnsi="宋体" w:cs="宋体"/>
                <w:b/>
                <w:kern w:val="0"/>
                <w:szCs w:val="21"/>
              </w:rPr>
              <w:t>采购文件的条款</w:t>
            </w:r>
          </w:p>
        </w:tc>
        <w:tc>
          <w:tcPr>
            <w:tcW w:w="2553" w:type="dxa"/>
            <w:tcBorders>
              <w:top w:val="single" w:color="000000" w:sz="4" w:space="0"/>
              <w:left w:val="nil"/>
              <w:bottom w:val="single" w:color="000000" w:sz="4" w:space="0"/>
              <w:right w:val="single" w:color="000000" w:sz="4" w:space="0"/>
            </w:tcBorders>
            <w:vAlign w:val="center"/>
          </w:tcPr>
          <w:p w14:paraId="1192BB2F">
            <w:pPr>
              <w:widowControl/>
              <w:jc w:val="center"/>
              <w:rPr>
                <w:rFonts w:hint="eastAsia" w:ascii="宋体" w:hAnsi="宋体" w:cs="宋体"/>
                <w:b/>
                <w:kern w:val="0"/>
                <w:szCs w:val="21"/>
              </w:rPr>
            </w:pPr>
            <w:r>
              <w:rPr>
                <w:rFonts w:hint="eastAsia" w:ascii="宋体" w:hAnsi="宋体" w:cs="宋体"/>
                <w:b/>
                <w:kern w:val="0"/>
                <w:szCs w:val="21"/>
              </w:rPr>
              <w:t>响应文件的条款</w:t>
            </w:r>
          </w:p>
        </w:tc>
        <w:tc>
          <w:tcPr>
            <w:tcW w:w="1570" w:type="dxa"/>
            <w:tcBorders>
              <w:top w:val="single" w:color="000000" w:sz="4" w:space="0"/>
              <w:left w:val="nil"/>
              <w:bottom w:val="single" w:color="000000" w:sz="4" w:space="0"/>
              <w:right w:val="single" w:color="000000" w:sz="4" w:space="0"/>
            </w:tcBorders>
            <w:vAlign w:val="center"/>
          </w:tcPr>
          <w:p w14:paraId="4523A3E2">
            <w:pPr>
              <w:widowControl/>
              <w:jc w:val="center"/>
              <w:rPr>
                <w:rFonts w:hint="eastAsia" w:ascii="宋体" w:hAnsi="宋体" w:cs="宋体"/>
                <w:b/>
                <w:kern w:val="0"/>
                <w:szCs w:val="21"/>
              </w:rPr>
            </w:pPr>
            <w:r>
              <w:rPr>
                <w:rFonts w:hint="eastAsia" w:ascii="宋体" w:hAnsi="宋体" w:cs="宋体"/>
                <w:b/>
                <w:kern w:val="0"/>
                <w:szCs w:val="21"/>
              </w:rPr>
              <w:t>偏离说明</w:t>
            </w:r>
          </w:p>
        </w:tc>
        <w:tc>
          <w:tcPr>
            <w:tcW w:w="1365" w:type="dxa"/>
            <w:tcBorders>
              <w:top w:val="single" w:color="000000" w:sz="4" w:space="0"/>
              <w:left w:val="nil"/>
              <w:bottom w:val="single" w:color="000000" w:sz="4" w:space="0"/>
              <w:right w:val="single" w:color="000000" w:sz="4" w:space="0"/>
            </w:tcBorders>
            <w:vAlign w:val="center"/>
          </w:tcPr>
          <w:p w14:paraId="0352FC95">
            <w:pPr>
              <w:widowControl/>
              <w:jc w:val="center"/>
              <w:rPr>
                <w:rFonts w:hint="eastAsia" w:ascii="宋体" w:hAnsi="宋体" w:cs="宋体"/>
                <w:b/>
                <w:kern w:val="0"/>
                <w:szCs w:val="21"/>
              </w:rPr>
            </w:pPr>
            <w:r>
              <w:rPr>
                <w:rFonts w:hint="eastAsia" w:ascii="宋体" w:hAnsi="宋体" w:cs="宋体"/>
                <w:b/>
                <w:kern w:val="0"/>
                <w:szCs w:val="21"/>
              </w:rPr>
              <w:t>备注</w:t>
            </w:r>
          </w:p>
        </w:tc>
      </w:tr>
      <w:tr w14:paraId="6444FD79">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0D385D34">
            <w:pPr>
              <w:widowControl/>
              <w:jc w:val="center"/>
              <w:rPr>
                <w:rFonts w:hint="eastAsia" w:ascii="宋体" w:hAnsi="宋体" w:cs="宋体"/>
                <w:kern w:val="0"/>
                <w:szCs w:val="21"/>
              </w:rPr>
            </w:pPr>
            <w:r>
              <w:rPr>
                <w:rFonts w:hint="eastAsia" w:ascii="宋体" w:hAnsi="宋体" w:cs="宋体"/>
                <w:kern w:val="0"/>
                <w:szCs w:val="21"/>
              </w:rPr>
              <w:t>1</w:t>
            </w:r>
          </w:p>
        </w:tc>
        <w:tc>
          <w:tcPr>
            <w:tcW w:w="1370" w:type="dxa"/>
            <w:tcBorders>
              <w:top w:val="single" w:color="000000" w:sz="4" w:space="0"/>
              <w:left w:val="nil"/>
              <w:bottom w:val="single" w:color="000000" w:sz="4" w:space="0"/>
              <w:right w:val="single" w:color="000000" w:sz="4" w:space="0"/>
            </w:tcBorders>
            <w:vAlign w:val="center"/>
          </w:tcPr>
          <w:p w14:paraId="465C4A37">
            <w:pPr>
              <w:pStyle w:val="180"/>
              <w:spacing w:before="95" w:line="211" w:lineRule="auto"/>
              <w:jc w:val="center"/>
              <w:rPr>
                <w:rFonts w:hint="eastAsia"/>
                <w:kern w:val="0"/>
                <w:sz w:val="21"/>
                <w:szCs w:val="21"/>
                <w:lang w:eastAsia="zh-CN"/>
              </w:rPr>
            </w:pPr>
            <w:r>
              <w:rPr>
                <w:rFonts w:hint="eastAsia"/>
                <w:kern w:val="0"/>
                <w:sz w:val="21"/>
                <w:szCs w:val="21"/>
                <w:lang w:eastAsia="zh-CN"/>
              </w:rPr>
              <w:t>服务地点</w:t>
            </w:r>
          </w:p>
        </w:tc>
        <w:tc>
          <w:tcPr>
            <w:tcW w:w="2382" w:type="dxa"/>
            <w:tcBorders>
              <w:top w:val="single" w:color="000000" w:sz="4" w:space="0"/>
              <w:left w:val="nil"/>
              <w:bottom w:val="single" w:color="000000" w:sz="4" w:space="0"/>
              <w:right w:val="single" w:color="000000" w:sz="4" w:space="0"/>
            </w:tcBorders>
            <w:vAlign w:val="center"/>
          </w:tcPr>
          <w:p w14:paraId="5D97EDE8">
            <w:pPr>
              <w:widowControl/>
              <w:jc w:val="center"/>
              <w:rPr>
                <w:rFonts w:hint="eastAsia"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288EB387">
            <w:pPr>
              <w:widowControl/>
              <w:jc w:val="center"/>
              <w:rPr>
                <w:rFonts w:hint="eastAsia" w:ascii="宋体" w:hAnsi="宋体" w:cs="宋体"/>
                <w:kern w:val="0"/>
                <w:szCs w:val="21"/>
              </w:rPr>
            </w:pPr>
          </w:p>
        </w:tc>
        <w:tc>
          <w:tcPr>
            <w:tcW w:w="1570" w:type="dxa"/>
            <w:tcBorders>
              <w:top w:val="single" w:color="000000" w:sz="4" w:space="0"/>
              <w:left w:val="nil"/>
              <w:bottom w:val="single" w:color="000000" w:sz="4" w:space="0"/>
              <w:right w:val="single" w:color="000000" w:sz="4" w:space="0"/>
            </w:tcBorders>
            <w:vAlign w:val="center"/>
          </w:tcPr>
          <w:p w14:paraId="0589F825">
            <w:pPr>
              <w:widowControl/>
              <w:jc w:val="center"/>
              <w:rPr>
                <w:rFonts w:hint="eastAsia" w:ascii="宋体" w:hAnsi="宋体" w:cs="宋体"/>
                <w:kern w:val="0"/>
                <w:szCs w:val="21"/>
              </w:rPr>
            </w:pPr>
          </w:p>
        </w:tc>
        <w:tc>
          <w:tcPr>
            <w:tcW w:w="1365" w:type="dxa"/>
            <w:tcBorders>
              <w:top w:val="single" w:color="000000" w:sz="4" w:space="0"/>
              <w:left w:val="nil"/>
              <w:bottom w:val="single" w:color="000000" w:sz="4" w:space="0"/>
              <w:right w:val="single" w:color="000000" w:sz="4" w:space="0"/>
            </w:tcBorders>
            <w:vAlign w:val="center"/>
          </w:tcPr>
          <w:p w14:paraId="19015C77">
            <w:pPr>
              <w:widowControl/>
              <w:jc w:val="center"/>
              <w:rPr>
                <w:rFonts w:hint="eastAsia" w:ascii="宋体" w:hAnsi="宋体" w:cs="宋体"/>
                <w:kern w:val="0"/>
                <w:szCs w:val="21"/>
              </w:rPr>
            </w:pPr>
          </w:p>
        </w:tc>
      </w:tr>
      <w:tr w14:paraId="04127377">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45BCE64B">
            <w:pPr>
              <w:widowControl/>
              <w:jc w:val="center"/>
              <w:rPr>
                <w:rFonts w:hint="eastAsia" w:ascii="宋体" w:hAnsi="宋体" w:cs="宋体"/>
                <w:kern w:val="0"/>
                <w:szCs w:val="21"/>
              </w:rPr>
            </w:pPr>
            <w:r>
              <w:rPr>
                <w:rFonts w:hint="eastAsia" w:ascii="宋体" w:hAnsi="宋体" w:cs="宋体"/>
                <w:kern w:val="0"/>
                <w:szCs w:val="21"/>
              </w:rPr>
              <w:t>2</w:t>
            </w:r>
          </w:p>
        </w:tc>
        <w:tc>
          <w:tcPr>
            <w:tcW w:w="1370" w:type="dxa"/>
            <w:tcBorders>
              <w:top w:val="single" w:color="000000" w:sz="4" w:space="0"/>
              <w:left w:val="nil"/>
              <w:bottom w:val="single" w:color="000000" w:sz="4" w:space="0"/>
              <w:right w:val="single" w:color="000000" w:sz="4" w:space="0"/>
            </w:tcBorders>
            <w:vAlign w:val="center"/>
          </w:tcPr>
          <w:p w14:paraId="7ADBB531">
            <w:pPr>
              <w:pStyle w:val="180"/>
              <w:spacing w:before="96" w:line="211" w:lineRule="auto"/>
              <w:jc w:val="center"/>
              <w:rPr>
                <w:rFonts w:hint="eastAsia"/>
                <w:kern w:val="0"/>
                <w:sz w:val="21"/>
                <w:szCs w:val="21"/>
                <w:lang w:eastAsia="zh-CN"/>
              </w:rPr>
            </w:pPr>
            <w:r>
              <w:rPr>
                <w:rFonts w:hint="eastAsia"/>
                <w:kern w:val="0"/>
                <w:sz w:val="21"/>
                <w:szCs w:val="21"/>
                <w:lang w:eastAsia="zh-CN"/>
              </w:rPr>
              <w:t>服务期限</w:t>
            </w:r>
          </w:p>
        </w:tc>
        <w:tc>
          <w:tcPr>
            <w:tcW w:w="2382" w:type="dxa"/>
            <w:tcBorders>
              <w:top w:val="single" w:color="000000" w:sz="4" w:space="0"/>
              <w:left w:val="nil"/>
              <w:bottom w:val="single" w:color="000000" w:sz="4" w:space="0"/>
              <w:right w:val="single" w:color="000000" w:sz="4" w:space="0"/>
            </w:tcBorders>
            <w:vAlign w:val="center"/>
          </w:tcPr>
          <w:p w14:paraId="59C312DC">
            <w:pPr>
              <w:widowControl/>
              <w:jc w:val="center"/>
              <w:rPr>
                <w:rFonts w:hint="eastAsia"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2BB757B7">
            <w:pPr>
              <w:widowControl/>
              <w:jc w:val="center"/>
              <w:rPr>
                <w:rFonts w:hint="eastAsia" w:ascii="宋体" w:hAnsi="宋体" w:cs="宋体"/>
                <w:kern w:val="0"/>
                <w:szCs w:val="21"/>
              </w:rPr>
            </w:pPr>
          </w:p>
        </w:tc>
        <w:tc>
          <w:tcPr>
            <w:tcW w:w="1570" w:type="dxa"/>
            <w:tcBorders>
              <w:top w:val="single" w:color="000000" w:sz="4" w:space="0"/>
              <w:left w:val="nil"/>
              <w:bottom w:val="single" w:color="000000" w:sz="4" w:space="0"/>
              <w:right w:val="single" w:color="000000" w:sz="4" w:space="0"/>
            </w:tcBorders>
            <w:vAlign w:val="center"/>
          </w:tcPr>
          <w:p w14:paraId="33ACE07F">
            <w:pPr>
              <w:widowControl/>
              <w:jc w:val="center"/>
              <w:rPr>
                <w:rFonts w:hint="eastAsia" w:ascii="宋体" w:hAnsi="宋体" w:cs="宋体"/>
                <w:kern w:val="0"/>
                <w:szCs w:val="21"/>
              </w:rPr>
            </w:pPr>
          </w:p>
        </w:tc>
        <w:tc>
          <w:tcPr>
            <w:tcW w:w="1365" w:type="dxa"/>
            <w:tcBorders>
              <w:top w:val="single" w:color="000000" w:sz="4" w:space="0"/>
              <w:left w:val="nil"/>
              <w:bottom w:val="single" w:color="000000" w:sz="4" w:space="0"/>
              <w:right w:val="single" w:color="000000" w:sz="4" w:space="0"/>
            </w:tcBorders>
            <w:vAlign w:val="center"/>
          </w:tcPr>
          <w:p w14:paraId="0A2D39E3">
            <w:pPr>
              <w:widowControl/>
              <w:jc w:val="center"/>
              <w:rPr>
                <w:rFonts w:hint="eastAsia" w:ascii="宋体" w:hAnsi="宋体" w:cs="宋体"/>
                <w:kern w:val="0"/>
                <w:szCs w:val="21"/>
              </w:rPr>
            </w:pPr>
          </w:p>
        </w:tc>
      </w:tr>
      <w:tr w14:paraId="72E5407C">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52E43FF8">
            <w:pPr>
              <w:widowControl/>
              <w:jc w:val="center"/>
              <w:rPr>
                <w:rFonts w:hint="eastAsia" w:ascii="宋体" w:hAnsi="宋体" w:cs="宋体"/>
                <w:kern w:val="0"/>
                <w:szCs w:val="21"/>
              </w:rPr>
            </w:pPr>
            <w:r>
              <w:rPr>
                <w:rFonts w:hint="eastAsia" w:ascii="宋体" w:hAnsi="宋体" w:cs="宋体"/>
                <w:kern w:val="0"/>
                <w:szCs w:val="21"/>
              </w:rPr>
              <w:t>3</w:t>
            </w:r>
          </w:p>
        </w:tc>
        <w:tc>
          <w:tcPr>
            <w:tcW w:w="1370" w:type="dxa"/>
            <w:tcBorders>
              <w:top w:val="single" w:color="000000" w:sz="4" w:space="0"/>
              <w:left w:val="nil"/>
              <w:bottom w:val="single" w:color="000000" w:sz="4" w:space="0"/>
              <w:right w:val="single" w:color="000000" w:sz="4" w:space="0"/>
            </w:tcBorders>
            <w:vAlign w:val="center"/>
          </w:tcPr>
          <w:p w14:paraId="1976FF96">
            <w:pPr>
              <w:widowControl/>
              <w:jc w:val="center"/>
              <w:rPr>
                <w:rFonts w:hint="eastAsia" w:ascii="宋体" w:hAnsi="宋体" w:cs="宋体"/>
                <w:kern w:val="0"/>
                <w:szCs w:val="21"/>
              </w:rPr>
            </w:pPr>
            <w:r>
              <w:rPr>
                <w:rFonts w:hint="eastAsia" w:ascii="宋体" w:hAnsi="宋体" w:cs="宋体"/>
                <w:kern w:val="0"/>
                <w:szCs w:val="21"/>
              </w:rPr>
              <w:t>付款方式</w:t>
            </w:r>
          </w:p>
        </w:tc>
        <w:tc>
          <w:tcPr>
            <w:tcW w:w="2382" w:type="dxa"/>
            <w:tcBorders>
              <w:top w:val="single" w:color="000000" w:sz="4" w:space="0"/>
              <w:left w:val="nil"/>
              <w:bottom w:val="single" w:color="000000" w:sz="4" w:space="0"/>
              <w:right w:val="single" w:color="000000" w:sz="4" w:space="0"/>
            </w:tcBorders>
            <w:vAlign w:val="center"/>
          </w:tcPr>
          <w:p w14:paraId="0537E5F4">
            <w:pPr>
              <w:widowControl/>
              <w:jc w:val="center"/>
              <w:rPr>
                <w:rFonts w:hint="eastAsia"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4C7D678E">
            <w:pPr>
              <w:widowControl/>
              <w:jc w:val="center"/>
              <w:rPr>
                <w:rFonts w:hint="eastAsia" w:ascii="宋体" w:hAnsi="宋体" w:cs="宋体"/>
                <w:kern w:val="0"/>
                <w:szCs w:val="21"/>
              </w:rPr>
            </w:pPr>
          </w:p>
        </w:tc>
        <w:tc>
          <w:tcPr>
            <w:tcW w:w="1570" w:type="dxa"/>
            <w:tcBorders>
              <w:top w:val="single" w:color="000000" w:sz="4" w:space="0"/>
              <w:left w:val="nil"/>
              <w:bottom w:val="single" w:color="000000" w:sz="4" w:space="0"/>
              <w:right w:val="single" w:color="000000" w:sz="4" w:space="0"/>
            </w:tcBorders>
            <w:vAlign w:val="center"/>
          </w:tcPr>
          <w:p w14:paraId="01FA88FB">
            <w:pPr>
              <w:widowControl/>
              <w:jc w:val="center"/>
              <w:rPr>
                <w:rFonts w:hint="eastAsia" w:ascii="宋体" w:hAnsi="宋体" w:cs="宋体"/>
                <w:kern w:val="0"/>
                <w:szCs w:val="21"/>
              </w:rPr>
            </w:pPr>
          </w:p>
        </w:tc>
        <w:tc>
          <w:tcPr>
            <w:tcW w:w="1365" w:type="dxa"/>
            <w:tcBorders>
              <w:top w:val="single" w:color="000000" w:sz="4" w:space="0"/>
              <w:left w:val="nil"/>
              <w:bottom w:val="single" w:color="000000" w:sz="4" w:space="0"/>
              <w:right w:val="single" w:color="000000" w:sz="4" w:space="0"/>
            </w:tcBorders>
            <w:vAlign w:val="center"/>
          </w:tcPr>
          <w:p w14:paraId="0365C939">
            <w:pPr>
              <w:widowControl/>
              <w:jc w:val="center"/>
              <w:rPr>
                <w:rFonts w:hint="eastAsia" w:ascii="宋体" w:hAnsi="宋体" w:cs="宋体"/>
                <w:kern w:val="0"/>
                <w:szCs w:val="21"/>
              </w:rPr>
            </w:pPr>
          </w:p>
        </w:tc>
      </w:tr>
      <w:tr w14:paraId="1CCC0B23">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5FE7CF65">
            <w:pPr>
              <w:widowControl/>
              <w:jc w:val="center"/>
              <w:rPr>
                <w:rFonts w:hint="eastAsia" w:ascii="宋体" w:hAnsi="宋体" w:cs="宋体"/>
                <w:kern w:val="0"/>
                <w:szCs w:val="21"/>
              </w:rPr>
            </w:pPr>
          </w:p>
        </w:tc>
        <w:tc>
          <w:tcPr>
            <w:tcW w:w="1370" w:type="dxa"/>
            <w:tcBorders>
              <w:top w:val="single" w:color="000000" w:sz="4" w:space="0"/>
              <w:left w:val="nil"/>
              <w:bottom w:val="single" w:color="000000" w:sz="4" w:space="0"/>
              <w:right w:val="single" w:color="000000" w:sz="4" w:space="0"/>
            </w:tcBorders>
            <w:vAlign w:val="center"/>
          </w:tcPr>
          <w:p w14:paraId="5B0C3812">
            <w:pPr>
              <w:widowControl/>
              <w:jc w:val="center"/>
              <w:rPr>
                <w:rFonts w:hint="eastAsia" w:ascii="宋体" w:hAnsi="宋体" w:cs="宋体"/>
                <w:kern w:val="0"/>
                <w:szCs w:val="21"/>
              </w:rPr>
            </w:pPr>
            <w:r>
              <w:rPr>
                <w:rFonts w:hint="eastAsia" w:ascii="宋体" w:hAnsi="宋体" w:cs="宋体"/>
                <w:kern w:val="0"/>
                <w:szCs w:val="21"/>
              </w:rPr>
              <w:t>……</w:t>
            </w:r>
          </w:p>
        </w:tc>
        <w:tc>
          <w:tcPr>
            <w:tcW w:w="2382" w:type="dxa"/>
            <w:tcBorders>
              <w:top w:val="single" w:color="000000" w:sz="4" w:space="0"/>
              <w:left w:val="nil"/>
              <w:bottom w:val="single" w:color="000000" w:sz="4" w:space="0"/>
              <w:right w:val="single" w:color="000000" w:sz="4" w:space="0"/>
            </w:tcBorders>
            <w:vAlign w:val="center"/>
          </w:tcPr>
          <w:p w14:paraId="7ECFF755">
            <w:pPr>
              <w:widowControl/>
              <w:jc w:val="center"/>
              <w:rPr>
                <w:rFonts w:hint="eastAsia"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0B506E32">
            <w:pPr>
              <w:widowControl/>
              <w:jc w:val="center"/>
              <w:rPr>
                <w:rFonts w:hint="eastAsia" w:ascii="宋体" w:hAnsi="宋体" w:cs="宋体"/>
                <w:kern w:val="0"/>
                <w:szCs w:val="21"/>
              </w:rPr>
            </w:pPr>
          </w:p>
        </w:tc>
        <w:tc>
          <w:tcPr>
            <w:tcW w:w="1570" w:type="dxa"/>
            <w:tcBorders>
              <w:top w:val="single" w:color="000000" w:sz="4" w:space="0"/>
              <w:left w:val="nil"/>
              <w:bottom w:val="single" w:color="000000" w:sz="4" w:space="0"/>
              <w:right w:val="single" w:color="000000" w:sz="4" w:space="0"/>
            </w:tcBorders>
            <w:vAlign w:val="center"/>
          </w:tcPr>
          <w:p w14:paraId="27A02073">
            <w:pPr>
              <w:widowControl/>
              <w:jc w:val="center"/>
              <w:rPr>
                <w:rFonts w:hint="eastAsia" w:ascii="宋体" w:hAnsi="宋体" w:cs="宋体"/>
                <w:kern w:val="0"/>
                <w:szCs w:val="21"/>
              </w:rPr>
            </w:pPr>
          </w:p>
        </w:tc>
        <w:tc>
          <w:tcPr>
            <w:tcW w:w="1365" w:type="dxa"/>
            <w:tcBorders>
              <w:top w:val="single" w:color="000000" w:sz="4" w:space="0"/>
              <w:left w:val="nil"/>
              <w:bottom w:val="single" w:color="000000" w:sz="4" w:space="0"/>
              <w:right w:val="single" w:color="000000" w:sz="4" w:space="0"/>
            </w:tcBorders>
            <w:vAlign w:val="center"/>
          </w:tcPr>
          <w:p w14:paraId="45099CAA">
            <w:pPr>
              <w:widowControl/>
              <w:jc w:val="center"/>
              <w:rPr>
                <w:rFonts w:hint="eastAsia" w:ascii="宋体" w:hAnsi="宋体" w:cs="宋体"/>
                <w:kern w:val="0"/>
                <w:szCs w:val="21"/>
              </w:rPr>
            </w:pPr>
          </w:p>
        </w:tc>
      </w:tr>
      <w:tr w14:paraId="1F7A6231">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5AD40E56">
            <w:pPr>
              <w:widowControl/>
              <w:jc w:val="center"/>
              <w:rPr>
                <w:rFonts w:hint="eastAsia" w:ascii="宋体" w:hAnsi="宋体" w:cs="宋体"/>
                <w:kern w:val="0"/>
                <w:szCs w:val="21"/>
              </w:rPr>
            </w:pPr>
          </w:p>
        </w:tc>
        <w:tc>
          <w:tcPr>
            <w:tcW w:w="1370" w:type="dxa"/>
            <w:tcBorders>
              <w:top w:val="single" w:color="000000" w:sz="4" w:space="0"/>
              <w:left w:val="nil"/>
              <w:bottom w:val="single" w:color="000000" w:sz="4" w:space="0"/>
              <w:right w:val="single" w:color="000000" w:sz="4" w:space="0"/>
            </w:tcBorders>
            <w:vAlign w:val="center"/>
          </w:tcPr>
          <w:p w14:paraId="1436E42B">
            <w:pPr>
              <w:widowControl/>
              <w:jc w:val="center"/>
              <w:rPr>
                <w:rFonts w:hint="eastAsia" w:ascii="宋体" w:hAnsi="宋体" w:cs="宋体"/>
                <w:kern w:val="0"/>
                <w:szCs w:val="21"/>
              </w:rPr>
            </w:pPr>
          </w:p>
        </w:tc>
        <w:tc>
          <w:tcPr>
            <w:tcW w:w="2382" w:type="dxa"/>
            <w:tcBorders>
              <w:top w:val="single" w:color="000000" w:sz="4" w:space="0"/>
              <w:left w:val="nil"/>
              <w:bottom w:val="single" w:color="000000" w:sz="4" w:space="0"/>
              <w:right w:val="single" w:color="000000" w:sz="4" w:space="0"/>
            </w:tcBorders>
            <w:vAlign w:val="center"/>
          </w:tcPr>
          <w:p w14:paraId="18DC00D1">
            <w:pPr>
              <w:widowControl/>
              <w:jc w:val="center"/>
              <w:rPr>
                <w:rFonts w:hint="eastAsia"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4B18186F">
            <w:pPr>
              <w:widowControl/>
              <w:jc w:val="center"/>
              <w:rPr>
                <w:rFonts w:hint="eastAsia" w:ascii="宋体" w:hAnsi="宋体" w:cs="宋体"/>
                <w:kern w:val="0"/>
                <w:szCs w:val="21"/>
              </w:rPr>
            </w:pPr>
          </w:p>
        </w:tc>
        <w:tc>
          <w:tcPr>
            <w:tcW w:w="1570" w:type="dxa"/>
            <w:tcBorders>
              <w:top w:val="single" w:color="000000" w:sz="4" w:space="0"/>
              <w:left w:val="nil"/>
              <w:bottom w:val="single" w:color="000000" w:sz="4" w:space="0"/>
              <w:right w:val="single" w:color="000000" w:sz="4" w:space="0"/>
            </w:tcBorders>
            <w:vAlign w:val="center"/>
          </w:tcPr>
          <w:p w14:paraId="766E313D">
            <w:pPr>
              <w:widowControl/>
              <w:jc w:val="center"/>
              <w:rPr>
                <w:rFonts w:hint="eastAsia" w:ascii="宋体" w:hAnsi="宋体" w:cs="宋体"/>
                <w:kern w:val="0"/>
                <w:szCs w:val="21"/>
              </w:rPr>
            </w:pPr>
          </w:p>
        </w:tc>
        <w:tc>
          <w:tcPr>
            <w:tcW w:w="1365" w:type="dxa"/>
            <w:tcBorders>
              <w:top w:val="single" w:color="000000" w:sz="4" w:space="0"/>
              <w:left w:val="nil"/>
              <w:bottom w:val="single" w:color="000000" w:sz="4" w:space="0"/>
              <w:right w:val="single" w:color="000000" w:sz="4" w:space="0"/>
            </w:tcBorders>
            <w:vAlign w:val="center"/>
          </w:tcPr>
          <w:p w14:paraId="7C63E5F8">
            <w:pPr>
              <w:widowControl/>
              <w:jc w:val="center"/>
              <w:rPr>
                <w:rFonts w:hint="eastAsia" w:ascii="宋体" w:hAnsi="宋体" w:cs="宋体"/>
                <w:kern w:val="0"/>
                <w:szCs w:val="21"/>
              </w:rPr>
            </w:pPr>
          </w:p>
        </w:tc>
      </w:tr>
    </w:tbl>
    <w:p w14:paraId="3515B876">
      <w:pPr>
        <w:rPr>
          <w:rFonts w:hint="eastAsia" w:ascii="宋体" w:hAnsi="宋体" w:cs="宋体"/>
          <w:szCs w:val="21"/>
        </w:rPr>
      </w:pPr>
      <w:r>
        <w:rPr>
          <w:rFonts w:hint="eastAsia" w:ascii="宋体" w:hAnsi="宋体" w:cs="宋体"/>
          <w:szCs w:val="21"/>
        </w:rPr>
        <w:t>供应商保证：除商务要求偏离表列出的偏差外，供应商响应采购文件的全部要求。</w:t>
      </w:r>
    </w:p>
    <w:p w14:paraId="1D52455C">
      <w:pPr>
        <w:widowControl/>
        <w:spacing w:line="360" w:lineRule="exact"/>
        <w:ind w:firstLine="411" w:firstLineChars="196"/>
        <w:rPr>
          <w:rFonts w:hint="eastAsia" w:ascii="宋体" w:hAnsi="宋体" w:cs="宋体"/>
        </w:rPr>
      </w:pPr>
    </w:p>
    <w:p w14:paraId="783BA0A0">
      <w:pPr>
        <w:pStyle w:val="3"/>
        <w:widowControl/>
        <w:spacing w:before="120" w:after="120" w:line="240" w:lineRule="auto"/>
        <w:jc w:val="center"/>
        <w:rPr>
          <w:rStyle w:val="102"/>
          <w:rFonts w:hint="eastAsia" w:ascii="宋体" w:hAnsi="宋体" w:eastAsia="宋体" w:cs="宋体"/>
          <w:b/>
          <w:bCs w:val="0"/>
          <w:sz w:val="30"/>
          <w:szCs w:val="30"/>
        </w:rPr>
      </w:pPr>
      <w:r>
        <w:rPr>
          <w:rStyle w:val="102"/>
          <w:rFonts w:hint="eastAsia" w:ascii="宋体" w:hAnsi="宋体" w:eastAsia="宋体" w:cs="宋体"/>
          <w:b/>
          <w:bCs w:val="0"/>
          <w:sz w:val="30"/>
          <w:szCs w:val="30"/>
        </w:rPr>
        <w:t>九、技术要求偏离表</w:t>
      </w:r>
    </w:p>
    <w:tbl>
      <w:tblPr>
        <w:tblStyle w:val="46"/>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2DEBAA20">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vAlign w:val="center"/>
          </w:tcPr>
          <w:p w14:paraId="228E21E6">
            <w:pPr>
              <w:widowControl/>
              <w:jc w:val="center"/>
              <w:rPr>
                <w:rFonts w:hint="eastAsia" w:ascii="宋体" w:hAnsi="宋体" w:cs="宋体"/>
                <w:bCs/>
                <w:kern w:val="0"/>
                <w:sz w:val="24"/>
              </w:rPr>
            </w:pPr>
            <w:r>
              <w:rPr>
                <w:rFonts w:hint="eastAsia" w:ascii="宋体" w:hAnsi="宋体" w:cs="宋体"/>
                <w:bCs/>
                <w:kern w:val="0"/>
                <w:sz w:val="24"/>
              </w:rPr>
              <w:t>序号</w:t>
            </w:r>
          </w:p>
        </w:tc>
        <w:tc>
          <w:tcPr>
            <w:tcW w:w="1372" w:type="dxa"/>
            <w:tcBorders>
              <w:top w:val="single" w:color="000000" w:sz="4" w:space="0"/>
              <w:left w:val="nil"/>
              <w:bottom w:val="single" w:color="auto" w:sz="4" w:space="0"/>
              <w:right w:val="single" w:color="000000" w:sz="4" w:space="0"/>
            </w:tcBorders>
            <w:vAlign w:val="center"/>
          </w:tcPr>
          <w:p w14:paraId="41B72D20">
            <w:pPr>
              <w:widowControl/>
              <w:jc w:val="center"/>
              <w:rPr>
                <w:rFonts w:hint="eastAsia" w:ascii="宋体" w:hAnsi="宋体" w:cs="宋体"/>
                <w:bCs/>
                <w:kern w:val="0"/>
                <w:sz w:val="24"/>
              </w:rPr>
            </w:pPr>
            <w:r>
              <w:rPr>
                <w:rFonts w:hint="eastAsia" w:ascii="宋体" w:hAnsi="宋体" w:cs="宋体"/>
                <w:bCs/>
                <w:kern w:val="0"/>
                <w:sz w:val="24"/>
              </w:rPr>
              <w:t>条款号</w:t>
            </w:r>
          </w:p>
        </w:tc>
        <w:tc>
          <w:tcPr>
            <w:tcW w:w="2173" w:type="dxa"/>
            <w:tcBorders>
              <w:top w:val="single" w:color="000000" w:sz="4" w:space="0"/>
              <w:left w:val="nil"/>
              <w:bottom w:val="single" w:color="000000" w:sz="4" w:space="0"/>
              <w:right w:val="single" w:color="000000" w:sz="4" w:space="0"/>
            </w:tcBorders>
            <w:vAlign w:val="center"/>
          </w:tcPr>
          <w:p w14:paraId="2B4B03C9">
            <w:pPr>
              <w:widowControl/>
              <w:jc w:val="center"/>
              <w:rPr>
                <w:rFonts w:hint="eastAsia" w:ascii="宋体" w:hAnsi="宋体" w:cs="宋体"/>
                <w:bCs/>
                <w:kern w:val="0"/>
                <w:sz w:val="24"/>
              </w:rPr>
            </w:pPr>
            <w:r>
              <w:rPr>
                <w:rFonts w:hint="eastAsia" w:ascii="宋体" w:hAnsi="宋体" w:cs="宋体"/>
                <w:bCs/>
                <w:kern w:val="0"/>
                <w:sz w:val="24"/>
              </w:rPr>
              <w:t>采购文件的条款</w:t>
            </w:r>
          </w:p>
        </w:tc>
        <w:tc>
          <w:tcPr>
            <w:tcW w:w="2107" w:type="dxa"/>
            <w:tcBorders>
              <w:top w:val="single" w:color="000000" w:sz="4" w:space="0"/>
              <w:left w:val="nil"/>
              <w:bottom w:val="single" w:color="000000" w:sz="4" w:space="0"/>
              <w:right w:val="single" w:color="000000" w:sz="4" w:space="0"/>
            </w:tcBorders>
            <w:vAlign w:val="center"/>
          </w:tcPr>
          <w:p w14:paraId="77DD03B8">
            <w:pPr>
              <w:widowControl/>
              <w:jc w:val="center"/>
              <w:rPr>
                <w:rFonts w:hint="eastAsia" w:ascii="宋体" w:hAnsi="宋体" w:cs="宋体"/>
                <w:bCs/>
                <w:kern w:val="0"/>
                <w:sz w:val="24"/>
              </w:rPr>
            </w:pPr>
            <w:r>
              <w:rPr>
                <w:rFonts w:hint="eastAsia" w:ascii="宋体" w:hAnsi="宋体" w:cs="宋体"/>
                <w:bCs/>
                <w:kern w:val="0"/>
                <w:sz w:val="24"/>
              </w:rPr>
              <w:t>响应文件的条款</w:t>
            </w:r>
          </w:p>
        </w:tc>
        <w:tc>
          <w:tcPr>
            <w:tcW w:w="1845" w:type="dxa"/>
            <w:tcBorders>
              <w:top w:val="single" w:color="000000" w:sz="4" w:space="0"/>
              <w:left w:val="nil"/>
              <w:bottom w:val="single" w:color="000000" w:sz="4" w:space="0"/>
              <w:right w:val="single" w:color="000000" w:sz="4" w:space="0"/>
            </w:tcBorders>
            <w:vAlign w:val="center"/>
          </w:tcPr>
          <w:p w14:paraId="74E4918B">
            <w:pPr>
              <w:widowControl/>
              <w:jc w:val="center"/>
              <w:rPr>
                <w:rFonts w:hint="eastAsia" w:ascii="宋体" w:hAnsi="宋体" w:cs="宋体"/>
                <w:bCs/>
                <w:kern w:val="0"/>
                <w:sz w:val="24"/>
              </w:rPr>
            </w:pPr>
            <w:r>
              <w:rPr>
                <w:rFonts w:hint="eastAsia" w:ascii="宋体" w:hAnsi="宋体" w:cs="宋体"/>
                <w:bCs/>
                <w:kern w:val="0"/>
                <w:sz w:val="24"/>
              </w:rPr>
              <w:t>偏离说明</w:t>
            </w:r>
          </w:p>
        </w:tc>
        <w:tc>
          <w:tcPr>
            <w:tcW w:w="1418" w:type="dxa"/>
            <w:tcBorders>
              <w:top w:val="single" w:color="000000" w:sz="4" w:space="0"/>
              <w:left w:val="nil"/>
              <w:bottom w:val="single" w:color="000000" w:sz="4" w:space="0"/>
              <w:right w:val="single" w:color="000000" w:sz="4" w:space="0"/>
            </w:tcBorders>
          </w:tcPr>
          <w:p w14:paraId="7FB06A51">
            <w:pPr>
              <w:widowControl/>
              <w:jc w:val="center"/>
              <w:rPr>
                <w:rFonts w:hint="eastAsia" w:ascii="宋体" w:hAnsi="宋体" w:cs="宋体"/>
                <w:bCs/>
                <w:kern w:val="0"/>
                <w:sz w:val="24"/>
              </w:rPr>
            </w:pPr>
            <w:r>
              <w:rPr>
                <w:rFonts w:hint="eastAsia" w:ascii="宋体" w:hAnsi="宋体" w:cs="宋体"/>
                <w:bCs/>
                <w:kern w:val="0"/>
                <w:sz w:val="24"/>
              </w:rPr>
              <w:t>备注</w:t>
            </w:r>
          </w:p>
        </w:tc>
      </w:tr>
      <w:tr w14:paraId="05EF0A5C">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44EA5B7A">
            <w:pPr>
              <w:widowControl/>
              <w:rPr>
                <w:rFonts w:hint="eastAsia" w:ascii="宋体" w:hAnsi="宋体" w:cs="宋体"/>
                <w:bCs/>
                <w:kern w:val="0"/>
                <w:sz w:val="24"/>
              </w:rPr>
            </w:pPr>
          </w:p>
        </w:tc>
        <w:tc>
          <w:tcPr>
            <w:tcW w:w="1372" w:type="dxa"/>
            <w:vMerge w:val="restart"/>
            <w:tcBorders>
              <w:top w:val="single" w:color="auto" w:sz="4" w:space="0"/>
              <w:left w:val="nil"/>
              <w:bottom w:val="single" w:color="000000" w:sz="4" w:space="0"/>
              <w:right w:val="single" w:color="000000" w:sz="4" w:space="0"/>
            </w:tcBorders>
            <w:vAlign w:val="center"/>
          </w:tcPr>
          <w:p w14:paraId="6DC42698">
            <w:pPr>
              <w:widowControl/>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190975CE">
            <w:pPr>
              <w:widowControl/>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vAlign w:val="center"/>
          </w:tcPr>
          <w:p w14:paraId="1AF9188F">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612FECAE">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0697BB09">
            <w:pPr>
              <w:widowControl/>
              <w:jc w:val="center"/>
              <w:rPr>
                <w:rFonts w:hint="eastAsia" w:ascii="宋体" w:hAnsi="宋体" w:cs="宋体"/>
                <w:kern w:val="0"/>
                <w:szCs w:val="21"/>
              </w:rPr>
            </w:pPr>
          </w:p>
        </w:tc>
      </w:tr>
      <w:tr w14:paraId="3CFD8D0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3E6D26D7">
            <w:pPr>
              <w:widowControl/>
              <w:jc w:val="left"/>
              <w:rPr>
                <w:rFonts w:hint="eastAsia" w:ascii="宋体" w:hAnsi="宋体" w:cs="宋体"/>
                <w:bCs/>
                <w:kern w:val="0"/>
                <w:sz w:val="24"/>
              </w:rPr>
            </w:pPr>
          </w:p>
        </w:tc>
        <w:tc>
          <w:tcPr>
            <w:tcW w:w="1372" w:type="dxa"/>
            <w:vMerge w:val="continue"/>
            <w:tcBorders>
              <w:top w:val="nil"/>
              <w:left w:val="nil"/>
              <w:bottom w:val="single" w:color="000000" w:sz="4" w:space="0"/>
              <w:right w:val="single" w:color="000000" w:sz="4" w:space="0"/>
            </w:tcBorders>
            <w:vAlign w:val="center"/>
          </w:tcPr>
          <w:p w14:paraId="7C77E184">
            <w:pPr>
              <w:widowControl/>
              <w:jc w:val="left"/>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1E1375DF">
            <w:pPr>
              <w:widowControl/>
              <w:jc w:val="left"/>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tcPr>
          <w:p w14:paraId="6B9DBBA8">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1D351F75">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1A04960F">
            <w:pPr>
              <w:widowControl/>
              <w:jc w:val="center"/>
              <w:rPr>
                <w:rFonts w:hint="eastAsia" w:ascii="宋体" w:hAnsi="宋体" w:cs="宋体"/>
                <w:kern w:val="0"/>
                <w:szCs w:val="21"/>
              </w:rPr>
            </w:pPr>
          </w:p>
        </w:tc>
      </w:tr>
      <w:tr w14:paraId="7009E202">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vAlign w:val="center"/>
          </w:tcPr>
          <w:p w14:paraId="6617F545">
            <w:pPr>
              <w:widowControl/>
              <w:jc w:val="left"/>
              <w:rPr>
                <w:rFonts w:hint="eastAsia" w:ascii="宋体" w:hAnsi="宋体" w:cs="宋体"/>
                <w:bCs/>
                <w:kern w:val="0"/>
                <w:sz w:val="24"/>
              </w:rPr>
            </w:pPr>
          </w:p>
        </w:tc>
        <w:tc>
          <w:tcPr>
            <w:tcW w:w="1372" w:type="dxa"/>
            <w:vMerge w:val="continue"/>
            <w:tcBorders>
              <w:top w:val="nil"/>
              <w:left w:val="nil"/>
              <w:bottom w:val="single" w:color="auto" w:sz="4" w:space="0"/>
              <w:right w:val="single" w:color="000000" w:sz="4" w:space="0"/>
            </w:tcBorders>
            <w:vAlign w:val="center"/>
          </w:tcPr>
          <w:p w14:paraId="40294CF4">
            <w:pPr>
              <w:widowControl/>
              <w:jc w:val="left"/>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0B7A1445">
            <w:pPr>
              <w:widowControl/>
              <w:jc w:val="left"/>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tcPr>
          <w:p w14:paraId="6568568F">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6ECD8E54">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5EDA194F">
            <w:pPr>
              <w:widowControl/>
              <w:jc w:val="center"/>
              <w:rPr>
                <w:rFonts w:hint="eastAsia" w:ascii="宋体" w:hAnsi="宋体" w:cs="宋体"/>
                <w:kern w:val="0"/>
                <w:szCs w:val="21"/>
              </w:rPr>
            </w:pPr>
          </w:p>
        </w:tc>
      </w:tr>
      <w:tr w14:paraId="69C42C51">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46305FA9">
            <w:pPr>
              <w:widowControl/>
              <w:jc w:val="left"/>
              <w:rPr>
                <w:rFonts w:hint="eastAsia" w:ascii="宋体" w:hAnsi="宋体" w:cs="宋体"/>
                <w:bCs/>
                <w:kern w:val="0"/>
                <w:sz w:val="24"/>
              </w:rPr>
            </w:pPr>
          </w:p>
        </w:tc>
        <w:tc>
          <w:tcPr>
            <w:tcW w:w="1372" w:type="dxa"/>
            <w:vMerge w:val="restart"/>
            <w:tcBorders>
              <w:top w:val="single" w:color="auto" w:sz="4" w:space="0"/>
              <w:left w:val="nil"/>
              <w:bottom w:val="single" w:color="000000" w:sz="4" w:space="0"/>
              <w:right w:val="single" w:color="000000" w:sz="4" w:space="0"/>
            </w:tcBorders>
            <w:vAlign w:val="center"/>
          </w:tcPr>
          <w:p w14:paraId="48D2B6D4">
            <w:pPr>
              <w:widowControl/>
              <w:jc w:val="left"/>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56BCB416">
            <w:pPr>
              <w:widowControl/>
              <w:jc w:val="left"/>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tcPr>
          <w:p w14:paraId="20559E5D">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0FA91E9E">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66085C27">
            <w:pPr>
              <w:widowControl/>
              <w:jc w:val="center"/>
              <w:rPr>
                <w:rFonts w:hint="eastAsia" w:ascii="宋体" w:hAnsi="宋体" w:cs="宋体"/>
                <w:kern w:val="0"/>
                <w:szCs w:val="21"/>
              </w:rPr>
            </w:pPr>
          </w:p>
        </w:tc>
      </w:tr>
      <w:tr w14:paraId="5FFB45E2">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25E50BB3">
            <w:pPr>
              <w:widowControl/>
              <w:jc w:val="left"/>
              <w:rPr>
                <w:rFonts w:hint="eastAsia" w:ascii="宋体" w:hAnsi="宋体" w:cs="宋体"/>
                <w:bCs/>
                <w:kern w:val="0"/>
                <w:sz w:val="24"/>
              </w:rPr>
            </w:pPr>
          </w:p>
        </w:tc>
        <w:tc>
          <w:tcPr>
            <w:tcW w:w="1372" w:type="dxa"/>
            <w:vMerge w:val="continue"/>
            <w:tcBorders>
              <w:top w:val="nil"/>
              <w:left w:val="nil"/>
              <w:bottom w:val="single" w:color="000000" w:sz="4" w:space="0"/>
              <w:right w:val="single" w:color="000000" w:sz="4" w:space="0"/>
            </w:tcBorders>
            <w:vAlign w:val="center"/>
          </w:tcPr>
          <w:p w14:paraId="5EFE978F">
            <w:pPr>
              <w:widowControl/>
              <w:jc w:val="left"/>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6809385E">
            <w:pPr>
              <w:widowControl/>
              <w:jc w:val="left"/>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tcPr>
          <w:p w14:paraId="44C44BCF">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399D1FFD">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5BE0F3F1">
            <w:pPr>
              <w:widowControl/>
              <w:jc w:val="center"/>
              <w:rPr>
                <w:rFonts w:hint="eastAsia" w:ascii="宋体" w:hAnsi="宋体" w:cs="宋体"/>
                <w:kern w:val="0"/>
                <w:szCs w:val="21"/>
              </w:rPr>
            </w:pPr>
          </w:p>
        </w:tc>
      </w:tr>
      <w:tr w14:paraId="49ECB3E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45B4C711">
            <w:pPr>
              <w:widowControl/>
              <w:jc w:val="left"/>
              <w:rPr>
                <w:rFonts w:hint="eastAsia" w:ascii="宋体" w:hAnsi="宋体" w:cs="宋体"/>
                <w:bCs/>
                <w:kern w:val="0"/>
                <w:sz w:val="24"/>
              </w:rPr>
            </w:pPr>
          </w:p>
        </w:tc>
        <w:tc>
          <w:tcPr>
            <w:tcW w:w="1372" w:type="dxa"/>
            <w:vMerge w:val="continue"/>
            <w:tcBorders>
              <w:top w:val="nil"/>
              <w:left w:val="nil"/>
              <w:bottom w:val="single" w:color="000000" w:sz="4" w:space="0"/>
              <w:right w:val="single" w:color="000000" w:sz="4" w:space="0"/>
            </w:tcBorders>
            <w:vAlign w:val="center"/>
          </w:tcPr>
          <w:p w14:paraId="4345BA75">
            <w:pPr>
              <w:widowControl/>
              <w:jc w:val="left"/>
              <w:rPr>
                <w:rFonts w:hint="eastAsia" w:ascii="宋体" w:hAnsi="宋体" w:cs="宋体"/>
                <w:kern w:val="0"/>
                <w:sz w:val="24"/>
              </w:rPr>
            </w:pPr>
          </w:p>
        </w:tc>
        <w:tc>
          <w:tcPr>
            <w:tcW w:w="2173" w:type="dxa"/>
            <w:tcBorders>
              <w:top w:val="single" w:color="000000" w:sz="4" w:space="0"/>
              <w:left w:val="nil"/>
              <w:bottom w:val="single" w:color="000000" w:sz="4" w:space="0"/>
              <w:right w:val="single" w:color="000000" w:sz="4" w:space="0"/>
            </w:tcBorders>
            <w:vAlign w:val="center"/>
          </w:tcPr>
          <w:p w14:paraId="650EE7D4">
            <w:pPr>
              <w:widowControl/>
              <w:jc w:val="left"/>
              <w:rPr>
                <w:rFonts w:hint="eastAsia" w:ascii="宋体" w:hAnsi="宋体" w:cs="宋体"/>
                <w:kern w:val="0"/>
                <w:sz w:val="24"/>
              </w:rPr>
            </w:pPr>
          </w:p>
        </w:tc>
        <w:tc>
          <w:tcPr>
            <w:tcW w:w="2107" w:type="dxa"/>
            <w:tcBorders>
              <w:top w:val="single" w:color="000000" w:sz="4" w:space="0"/>
              <w:left w:val="nil"/>
              <w:bottom w:val="single" w:color="000000" w:sz="4" w:space="0"/>
              <w:right w:val="single" w:color="000000" w:sz="4" w:space="0"/>
            </w:tcBorders>
          </w:tcPr>
          <w:p w14:paraId="07E09B3E">
            <w:pPr>
              <w:widowControl/>
              <w:jc w:val="center"/>
              <w:rPr>
                <w:rFonts w:hint="eastAsia" w:ascii="宋体" w:hAnsi="宋体" w:cs="宋体"/>
                <w:kern w:val="0"/>
                <w:szCs w:val="21"/>
              </w:rPr>
            </w:pPr>
          </w:p>
        </w:tc>
        <w:tc>
          <w:tcPr>
            <w:tcW w:w="1845" w:type="dxa"/>
            <w:tcBorders>
              <w:top w:val="single" w:color="000000" w:sz="4" w:space="0"/>
              <w:left w:val="nil"/>
              <w:bottom w:val="single" w:color="000000" w:sz="4" w:space="0"/>
              <w:right w:val="single" w:color="000000" w:sz="4" w:space="0"/>
            </w:tcBorders>
          </w:tcPr>
          <w:p w14:paraId="4EB04A3A">
            <w:pPr>
              <w:widowControl/>
              <w:jc w:val="center"/>
              <w:rPr>
                <w:rFonts w:hint="eastAsia" w:ascii="宋体" w:hAnsi="宋体" w:cs="宋体"/>
                <w:kern w:val="0"/>
                <w:szCs w:val="21"/>
              </w:rPr>
            </w:pPr>
          </w:p>
        </w:tc>
        <w:tc>
          <w:tcPr>
            <w:tcW w:w="1418" w:type="dxa"/>
            <w:tcBorders>
              <w:top w:val="single" w:color="000000" w:sz="4" w:space="0"/>
              <w:left w:val="nil"/>
              <w:bottom w:val="single" w:color="000000" w:sz="4" w:space="0"/>
              <w:right w:val="single" w:color="000000" w:sz="4" w:space="0"/>
            </w:tcBorders>
          </w:tcPr>
          <w:p w14:paraId="5C1C6F75">
            <w:pPr>
              <w:widowControl/>
              <w:jc w:val="center"/>
              <w:rPr>
                <w:rFonts w:hint="eastAsia" w:ascii="宋体" w:hAnsi="宋体" w:cs="宋体"/>
                <w:kern w:val="0"/>
                <w:szCs w:val="21"/>
              </w:rPr>
            </w:pPr>
          </w:p>
        </w:tc>
      </w:tr>
    </w:tbl>
    <w:p w14:paraId="18BF251A">
      <w:pPr>
        <w:rPr>
          <w:rFonts w:hint="eastAsia" w:ascii="宋体" w:hAnsi="宋体" w:cs="宋体"/>
          <w:szCs w:val="21"/>
        </w:rPr>
      </w:pPr>
      <w:r>
        <w:rPr>
          <w:rFonts w:hint="eastAsia" w:ascii="宋体" w:hAnsi="宋体" w:cs="宋体"/>
          <w:szCs w:val="21"/>
        </w:rPr>
        <w:t>供应商保证：除技术要求偏离表列出的偏差外，供应商响应采购文件的全部要求。</w:t>
      </w:r>
    </w:p>
    <w:p w14:paraId="77FF0B0B">
      <w:pPr>
        <w:widowControl/>
        <w:spacing w:line="360" w:lineRule="exact"/>
        <w:ind w:firstLine="470" w:firstLineChars="196"/>
        <w:rPr>
          <w:rFonts w:hint="eastAsia" w:ascii="宋体" w:hAnsi="宋体" w:cs="宋体"/>
          <w:kern w:val="0"/>
          <w:sz w:val="24"/>
        </w:rPr>
      </w:pPr>
      <w:r>
        <w:rPr>
          <w:rFonts w:hint="eastAsia" w:ascii="宋体" w:hAnsi="宋体" w:cs="宋体"/>
          <w:kern w:val="0"/>
          <w:sz w:val="24"/>
        </w:rPr>
        <w:t xml:space="preserve"> </w:t>
      </w:r>
    </w:p>
    <w:p w14:paraId="0E579278">
      <w:pPr>
        <w:widowControl/>
        <w:spacing w:line="360" w:lineRule="exact"/>
        <w:ind w:firstLine="470" w:firstLineChars="196"/>
        <w:rPr>
          <w:rFonts w:hint="eastAsia" w:ascii="宋体" w:hAnsi="宋体" w:cs="宋体"/>
          <w:kern w:val="0"/>
          <w:sz w:val="24"/>
        </w:rPr>
      </w:pPr>
    </w:p>
    <w:p w14:paraId="509AC79B">
      <w:pPr>
        <w:pStyle w:val="3"/>
        <w:widowControl/>
        <w:spacing w:before="120" w:after="120" w:line="240" w:lineRule="auto"/>
        <w:jc w:val="center"/>
        <w:rPr>
          <w:rStyle w:val="102"/>
          <w:rFonts w:hint="eastAsia" w:ascii="宋体" w:hAnsi="宋体" w:eastAsia="宋体" w:cs="宋体"/>
          <w:b/>
          <w:bCs/>
          <w:sz w:val="30"/>
          <w:szCs w:val="30"/>
        </w:rPr>
      </w:pPr>
      <w:r>
        <w:rPr>
          <w:rFonts w:hint="eastAsia" w:ascii="宋体" w:hAnsi="宋体" w:cs="宋体"/>
        </w:rPr>
        <w:br w:type="page"/>
      </w:r>
      <w:r>
        <w:rPr>
          <w:rStyle w:val="102"/>
          <w:rFonts w:hint="eastAsia" w:ascii="宋体" w:hAnsi="宋体" w:eastAsia="宋体" w:cs="宋体"/>
          <w:b/>
          <w:bCs/>
          <w:sz w:val="30"/>
          <w:szCs w:val="30"/>
        </w:rPr>
        <w:t>十、供应商须知前附表规定的其他材料</w:t>
      </w:r>
    </w:p>
    <w:p w14:paraId="5CE8601F">
      <w:pPr>
        <w:rPr>
          <w:rFonts w:hint="eastAsia" w:ascii="宋体" w:hAnsi="宋体" w:cs="宋体"/>
        </w:rPr>
      </w:pPr>
    </w:p>
    <w:p w14:paraId="59BC64CB">
      <w:pPr>
        <w:rPr>
          <w:rFonts w:hint="eastAsia" w:ascii="宋体" w:hAnsi="宋体" w:cs="宋体"/>
        </w:rPr>
      </w:pPr>
    </w:p>
    <w:p w14:paraId="2B73B04A">
      <w:pPr>
        <w:pStyle w:val="3"/>
        <w:widowControl/>
        <w:spacing w:before="120" w:after="120" w:line="240" w:lineRule="auto"/>
        <w:jc w:val="center"/>
        <w:rPr>
          <w:rStyle w:val="102"/>
          <w:rFonts w:hint="eastAsia" w:ascii="宋体" w:hAnsi="宋体" w:eastAsia="宋体" w:cs="宋体"/>
          <w:b/>
          <w:bCs/>
          <w:sz w:val="30"/>
          <w:szCs w:val="30"/>
        </w:rPr>
      </w:pPr>
      <w:r>
        <w:rPr>
          <w:rStyle w:val="102"/>
          <w:rFonts w:hint="eastAsia" w:ascii="宋体" w:hAnsi="宋体" w:eastAsia="宋体" w:cs="宋体"/>
          <w:b/>
          <w:bCs/>
          <w:sz w:val="30"/>
          <w:szCs w:val="30"/>
        </w:rPr>
        <w:t>十一、供应商认为应该提供的其他资料</w:t>
      </w:r>
    </w:p>
    <w:p w14:paraId="103ED9FB">
      <w:pPr>
        <w:widowControl/>
        <w:jc w:val="left"/>
        <w:rPr>
          <w:rFonts w:hint="eastAsia" w:ascii="宋体" w:hAnsi="宋体" w:cs="宋体"/>
          <w:szCs w:val="21"/>
        </w:rPr>
      </w:pPr>
    </w:p>
    <w:sectPr>
      <w:footerReference r:id="rId11"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045437-8376-474A-9A67-27A5BEF030EA}"/>
  </w:font>
  <w:font w:name="Arial">
    <w:panose1 w:val="020B0604020202020204"/>
    <w:charset w:val="01"/>
    <w:family w:val="swiss"/>
    <w:pitch w:val="default"/>
    <w:sig w:usb0="E0002EFF" w:usb1="C000785B" w:usb2="00000009" w:usb3="00000000" w:csb0="400001FF" w:csb1="FFFF0000"/>
    <w:embedRegular r:id="rId2" w:fontKey="{510D7E6F-1348-4715-BFE4-AC4ABD9DD4E0}"/>
  </w:font>
  <w:font w:name="黑体">
    <w:panose1 w:val="02010609060101010101"/>
    <w:charset w:val="86"/>
    <w:family w:val="auto"/>
    <w:pitch w:val="default"/>
    <w:sig w:usb0="800002BF" w:usb1="38CF7CFA" w:usb2="00000016" w:usb3="00000000" w:csb0="00040001" w:csb1="00000000"/>
    <w:embedRegular r:id="rId3" w:fontKey="{33A12DA0-E569-4E35-AA50-B702FABDA4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4BA6147-AEE2-40BE-B645-E17EC042DC77}"/>
  </w:font>
  <w:font w:name="Cambria">
    <w:panose1 w:val="02040503050406030204"/>
    <w:charset w:val="00"/>
    <w:family w:val="roman"/>
    <w:pitch w:val="default"/>
    <w:sig w:usb0="E00006FF" w:usb1="420024FF" w:usb2="02000000" w:usb3="00000000" w:csb0="2000019F" w:csb1="00000000"/>
    <w:embedRegular r:id="rId5" w:fontKey="{5C52A5E3-ACFA-48CE-9DE3-499E8ACE973C}"/>
  </w:font>
  <w:font w:name="仿宋_GB2312">
    <w:altName w:val="仿宋"/>
    <w:panose1 w:val="00000000000000000000"/>
    <w:charset w:val="86"/>
    <w:family w:val="modern"/>
    <w:pitch w:val="default"/>
    <w:sig w:usb0="00000000" w:usb1="00000000" w:usb2="00000000" w:usb3="00000000" w:csb0="00040000" w:csb1="00000000"/>
    <w:embedRegular r:id="rId6" w:fontKey="{89D11155-F088-4761-9157-39AD43401E6A}"/>
  </w:font>
  <w:font w:name="仿宋">
    <w:panose1 w:val="02010609060101010101"/>
    <w:charset w:val="86"/>
    <w:family w:val="modern"/>
    <w:pitch w:val="default"/>
    <w:sig w:usb0="800002BF" w:usb1="38CF7CFA" w:usb2="00000016" w:usb3="00000000" w:csb0="00040001" w:csb1="00000000"/>
    <w:embedRegular r:id="rId7" w:fontKey="{576FD3FF-17BD-494B-85EB-7CBC07DDBE2D}"/>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书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swiss"/>
    <w:pitch w:val="default"/>
    <w:sig w:usb0="F7FFAEFF" w:usb1="F9DFFFFF" w:usb2="0000007F" w:usb3="00000000" w:csb0="203F01FF" w:csb1="DFFF0000"/>
    <w:embedRegular r:id="rId8" w:fontKey="{F730892C-F600-4350-A855-F96976163978}"/>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B7112106-59D1-4CA5-9428-85EF03661264}"/>
  </w:font>
  <w:font w:name="楷体_GB2312">
    <w:panose1 w:val="02010609030101010101"/>
    <w:charset w:val="86"/>
    <w:family w:val="modern"/>
    <w:pitch w:val="default"/>
    <w:sig w:usb0="00000001" w:usb1="080E0000" w:usb2="00000000" w:usb3="00000000" w:csb0="00040000" w:csb1="00000000"/>
    <w:embedRegular r:id="rId10" w:fontKey="{55381607-6F17-4F78-9B12-392DC558A03B}"/>
  </w:font>
  <w:font w:name="华文中宋">
    <w:panose1 w:val="02010600040101010101"/>
    <w:charset w:val="86"/>
    <w:family w:val="auto"/>
    <w:pitch w:val="default"/>
    <w:sig w:usb0="00000287" w:usb1="080F0000" w:usb2="00000000" w:usb3="00000000" w:csb0="0004009F" w:csb1="DFD70000"/>
    <w:embedRegular r:id="rId11" w:fontKey="{CC943415-1A68-4618-8C5E-9F08EDCAD464}"/>
  </w:font>
  <w:font w:name="Microsoft JhengHei">
    <w:panose1 w:val="020B0604030504040204"/>
    <w:charset w:val="88"/>
    <w:family w:val="swiss"/>
    <w:pitch w:val="default"/>
    <w:sig w:usb0="000002A7" w:usb1="28CF4400" w:usb2="00000016" w:usb3="00000000" w:csb0="00100009" w:csb1="00000000"/>
    <w:embedRegular r:id="rId12" w:fontKey="{5625A032-847D-45CD-A3D9-4C662F46C46A}"/>
  </w:font>
  <w:font w:name="微软雅黑">
    <w:panose1 w:val="020B0503020204020204"/>
    <w:charset w:val="86"/>
    <w:family w:val="swiss"/>
    <w:pitch w:val="default"/>
    <w:sig w:usb0="80000287" w:usb1="2ACF3C50" w:usb2="00000016" w:usb3="00000000" w:csb0="0004001F" w:csb1="00000000"/>
    <w:embedRegular r:id="rId13" w:fontKey="{58941B28-F9B6-4C62-BBAB-2B8D2677301D}"/>
  </w:font>
  <w:font w:name="WPSEMBED160">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0D73">
    <w:pPr>
      <w:pStyle w:val="29"/>
      <w:jc w:val="center"/>
      <w:rPr>
        <w:rFonts w:hint="eastAsia" w:ascii="宋体" w:hAnsi="宋体"/>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F7468">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14F7468">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36794">
    <w:pPr>
      <w:pStyle w:val="29"/>
      <w:rPr>
        <w:rFonts w:hint="eastAsia" w:ascii="宋体" w:hAnsi="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6CA0D">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666CA0D">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0F0DD">
    <w:pPr>
      <w:pStyle w:val="29"/>
      <w:jc w:val="center"/>
      <w:rPr>
        <w:rFonts w:hint="eastAsia"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DC4CB">
    <w:pPr>
      <w:pStyle w:val="29"/>
      <w:jc w:val="center"/>
      <w:rPr>
        <w:rFonts w:hint="eastAsia" w:ascii="宋体" w:hAnsi="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29746">
                          <w:pPr>
                            <w:pStyle w:val="29"/>
                            <w:jc w:val="cente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w:t>
                          </w:r>
                          <w:r>
                            <w:rPr>
                              <w:rFonts w:ascii="宋体" w:hAnsi="宋体"/>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F429746">
                    <w:pPr>
                      <w:pStyle w:val="29"/>
                      <w:jc w:val="cente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w:t>
                    </w:r>
                    <w:r>
                      <w:rPr>
                        <w:rFonts w:ascii="宋体" w:hAnsi="宋体"/>
                        <w:sz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5108A">
    <w:pPr>
      <w:pStyle w:val="29"/>
      <w:rPr>
        <w:rFonts w:hint="eastAsia" w:ascii="宋体" w:hAnsi="宋体"/>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29803">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5429803">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397C5">
    <w:pPr>
      <w:pStyle w:val="18"/>
      <w:spacing w:line="14" w:lineRule="auto"/>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91612">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0D91612">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F1B2">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2CDC01F9">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84FBE">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414815AC">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D366">
    <w:pPr>
      <w:pStyle w:val="30"/>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84E23"/>
    <w:multiLevelType w:val="singleLevel"/>
    <w:tmpl w:val="8CE84E23"/>
    <w:lvl w:ilvl="0" w:tentative="0">
      <w:start w:val="1"/>
      <w:numFmt w:val="chineseCounting"/>
      <w:suff w:val="nothing"/>
      <w:lvlText w:val="%1、"/>
      <w:lvlJc w:val="left"/>
      <w:rPr>
        <w:rFonts w:hint="eastAsia"/>
        <w:color w:val="000000"/>
      </w:rPr>
    </w:lvl>
  </w:abstractNum>
  <w:abstractNum w:abstractNumId="1">
    <w:nsid w:val="E46713DE"/>
    <w:multiLevelType w:val="singleLevel"/>
    <w:tmpl w:val="E46713DE"/>
    <w:lvl w:ilvl="0" w:tentative="0">
      <w:start w:val="4"/>
      <w:numFmt w:val="chineseCounting"/>
      <w:suff w:val="nothing"/>
      <w:lvlText w:val="%1、"/>
      <w:lvlJc w:val="left"/>
      <w:pPr>
        <w:ind w:left="3605" w:firstLine="0"/>
      </w:pPr>
      <w:rPr>
        <w:rFonts w:hint="eastAsia"/>
      </w:rPr>
    </w:lvl>
  </w:abstractNum>
  <w:abstractNum w:abstractNumId="2">
    <w:nsid w:val="FC241CA2"/>
    <w:multiLevelType w:val="singleLevel"/>
    <w:tmpl w:val="FC241CA2"/>
    <w:lvl w:ilvl="0" w:tentative="0">
      <w:start w:val="1"/>
      <w:numFmt w:val="decimal"/>
      <w:suff w:val="nothing"/>
      <w:lvlText w:val="(%1)"/>
      <w:lvlJc w:val="left"/>
      <w:pPr>
        <w:ind w:left="425" w:hanging="425"/>
      </w:pPr>
      <w:rPr>
        <w:rFonts w:hint="default"/>
      </w:rPr>
    </w:lvl>
  </w:abstractNum>
  <w:abstractNum w:abstractNumId="3">
    <w:nsid w:val="FD931010"/>
    <w:multiLevelType w:val="singleLevel"/>
    <w:tmpl w:val="FD931010"/>
    <w:lvl w:ilvl="0" w:tentative="0">
      <w:start w:val="3"/>
      <w:numFmt w:val="chineseCounting"/>
      <w:suff w:val="space"/>
      <w:lvlText w:val="第%1章"/>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lZTYyZTIzNmNlYWFjOWUzMjVhYWU1Y2JiMGFhOGQifQ=="/>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66C"/>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736"/>
    <w:rsid w:val="000D279E"/>
    <w:rsid w:val="000D3FE0"/>
    <w:rsid w:val="000D4E5D"/>
    <w:rsid w:val="000D7B48"/>
    <w:rsid w:val="000E11B8"/>
    <w:rsid w:val="000E21BD"/>
    <w:rsid w:val="000E4AD6"/>
    <w:rsid w:val="000E5ADA"/>
    <w:rsid w:val="000E6D50"/>
    <w:rsid w:val="000F01D6"/>
    <w:rsid w:val="000F0D8B"/>
    <w:rsid w:val="000F2211"/>
    <w:rsid w:val="000F2F23"/>
    <w:rsid w:val="000F4ADB"/>
    <w:rsid w:val="000F53CC"/>
    <w:rsid w:val="000F584F"/>
    <w:rsid w:val="000F5D14"/>
    <w:rsid w:val="000F667F"/>
    <w:rsid w:val="000F7880"/>
    <w:rsid w:val="000F7E56"/>
    <w:rsid w:val="001025F4"/>
    <w:rsid w:val="0010348B"/>
    <w:rsid w:val="00107FD5"/>
    <w:rsid w:val="00112587"/>
    <w:rsid w:val="00112E2C"/>
    <w:rsid w:val="00112EE6"/>
    <w:rsid w:val="0011378C"/>
    <w:rsid w:val="001152D7"/>
    <w:rsid w:val="00116812"/>
    <w:rsid w:val="00116960"/>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BF1"/>
    <w:rsid w:val="00134D87"/>
    <w:rsid w:val="0013669F"/>
    <w:rsid w:val="00140F5C"/>
    <w:rsid w:val="00141914"/>
    <w:rsid w:val="00142F60"/>
    <w:rsid w:val="00143525"/>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27"/>
    <w:rsid w:val="00172A35"/>
    <w:rsid w:val="00175802"/>
    <w:rsid w:val="001771D6"/>
    <w:rsid w:val="0018065B"/>
    <w:rsid w:val="00180FD4"/>
    <w:rsid w:val="001828E4"/>
    <w:rsid w:val="00182FAC"/>
    <w:rsid w:val="001841F8"/>
    <w:rsid w:val="00186E39"/>
    <w:rsid w:val="00187020"/>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F51"/>
    <w:rsid w:val="00206CE4"/>
    <w:rsid w:val="00210DFF"/>
    <w:rsid w:val="002112BC"/>
    <w:rsid w:val="0021199B"/>
    <w:rsid w:val="002128A6"/>
    <w:rsid w:val="002128BE"/>
    <w:rsid w:val="00212B56"/>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A12"/>
    <w:rsid w:val="00246076"/>
    <w:rsid w:val="0025032C"/>
    <w:rsid w:val="00251733"/>
    <w:rsid w:val="00255049"/>
    <w:rsid w:val="00257657"/>
    <w:rsid w:val="0026067A"/>
    <w:rsid w:val="00260BEB"/>
    <w:rsid w:val="00261B38"/>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81123"/>
    <w:rsid w:val="00281D54"/>
    <w:rsid w:val="00281D9F"/>
    <w:rsid w:val="0028213E"/>
    <w:rsid w:val="00283136"/>
    <w:rsid w:val="0028363E"/>
    <w:rsid w:val="00284E56"/>
    <w:rsid w:val="00286EAC"/>
    <w:rsid w:val="0028769B"/>
    <w:rsid w:val="00287DFF"/>
    <w:rsid w:val="0029320E"/>
    <w:rsid w:val="00295C13"/>
    <w:rsid w:val="00296F58"/>
    <w:rsid w:val="002A01F0"/>
    <w:rsid w:val="002A0879"/>
    <w:rsid w:val="002A1C9C"/>
    <w:rsid w:val="002A444F"/>
    <w:rsid w:val="002A5D60"/>
    <w:rsid w:val="002A5EBD"/>
    <w:rsid w:val="002A5F75"/>
    <w:rsid w:val="002B08BA"/>
    <w:rsid w:val="002B12B6"/>
    <w:rsid w:val="002B1A96"/>
    <w:rsid w:val="002B1C7D"/>
    <w:rsid w:val="002B2078"/>
    <w:rsid w:val="002B2FA7"/>
    <w:rsid w:val="002B4A27"/>
    <w:rsid w:val="002B4AE4"/>
    <w:rsid w:val="002B70C1"/>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7141"/>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D35"/>
    <w:rsid w:val="00412C19"/>
    <w:rsid w:val="00413192"/>
    <w:rsid w:val="00413208"/>
    <w:rsid w:val="00422301"/>
    <w:rsid w:val="00425ABC"/>
    <w:rsid w:val="00431932"/>
    <w:rsid w:val="004347EE"/>
    <w:rsid w:val="00434D17"/>
    <w:rsid w:val="00435BA2"/>
    <w:rsid w:val="00436185"/>
    <w:rsid w:val="004371D0"/>
    <w:rsid w:val="004372C8"/>
    <w:rsid w:val="00437397"/>
    <w:rsid w:val="00440C74"/>
    <w:rsid w:val="00444894"/>
    <w:rsid w:val="00450901"/>
    <w:rsid w:val="00451450"/>
    <w:rsid w:val="004516C9"/>
    <w:rsid w:val="00455BFC"/>
    <w:rsid w:val="004560B8"/>
    <w:rsid w:val="0046162D"/>
    <w:rsid w:val="00461BED"/>
    <w:rsid w:val="00461C22"/>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EBD"/>
    <w:rsid w:val="004851D5"/>
    <w:rsid w:val="004877F5"/>
    <w:rsid w:val="00490556"/>
    <w:rsid w:val="00490764"/>
    <w:rsid w:val="004911F3"/>
    <w:rsid w:val="00493FBE"/>
    <w:rsid w:val="00494B58"/>
    <w:rsid w:val="004954D9"/>
    <w:rsid w:val="00495CAE"/>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495"/>
    <w:rsid w:val="004D4E39"/>
    <w:rsid w:val="004D5913"/>
    <w:rsid w:val="004D6D3C"/>
    <w:rsid w:val="004E0C6D"/>
    <w:rsid w:val="004E2397"/>
    <w:rsid w:val="004E2AC2"/>
    <w:rsid w:val="004E3242"/>
    <w:rsid w:val="004E3821"/>
    <w:rsid w:val="004E6F07"/>
    <w:rsid w:val="004F03D0"/>
    <w:rsid w:val="004F08DE"/>
    <w:rsid w:val="004F4659"/>
    <w:rsid w:val="004F5655"/>
    <w:rsid w:val="004F57F5"/>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704"/>
    <w:rsid w:val="005915AC"/>
    <w:rsid w:val="005921FC"/>
    <w:rsid w:val="00595FA3"/>
    <w:rsid w:val="00596FBF"/>
    <w:rsid w:val="005A1BFB"/>
    <w:rsid w:val="005A1E00"/>
    <w:rsid w:val="005A2E2F"/>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174D"/>
    <w:rsid w:val="005E177A"/>
    <w:rsid w:val="005E22E1"/>
    <w:rsid w:val="005E5081"/>
    <w:rsid w:val="005E5E31"/>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20484"/>
    <w:rsid w:val="0062098B"/>
    <w:rsid w:val="00621D5C"/>
    <w:rsid w:val="0062338C"/>
    <w:rsid w:val="0062359C"/>
    <w:rsid w:val="0062741C"/>
    <w:rsid w:val="00627C85"/>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A01E6"/>
    <w:rsid w:val="006A052D"/>
    <w:rsid w:val="006A1AE6"/>
    <w:rsid w:val="006A21C2"/>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D1D18"/>
    <w:rsid w:val="006D2135"/>
    <w:rsid w:val="006D3E2B"/>
    <w:rsid w:val="006D4460"/>
    <w:rsid w:val="006D5F5C"/>
    <w:rsid w:val="006E18D3"/>
    <w:rsid w:val="006E26B6"/>
    <w:rsid w:val="006E2A24"/>
    <w:rsid w:val="006E3D11"/>
    <w:rsid w:val="006E4886"/>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D64"/>
    <w:rsid w:val="0073257C"/>
    <w:rsid w:val="0073499C"/>
    <w:rsid w:val="007349BC"/>
    <w:rsid w:val="007356AA"/>
    <w:rsid w:val="007357B7"/>
    <w:rsid w:val="00735D2F"/>
    <w:rsid w:val="0073689F"/>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38EF"/>
    <w:rsid w:val="008551CC"/>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428"/>
    <w:rsid w:val="00887C47"/>
    <w:rsid w:val="0089116B"/>
    <w:rsid w:val="00893C36"/>
    <w:rsid w:val="00894241"/>
    <w:rsid w:val="00894B7F"/>
    <w:rsid w:val="00894DAA"/>
    <w:rsid w:val="0089574F"/>
    <w:rsid w:val="00896A76"/>
    <w:rsid w:val="00897999"/>
    <w:rsid w:val="008A0A66"/>
    <w:rsid w:val="008A1D97"/>
    <w:rsid w:val="008A336E"/>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DA2"/>
    <w:rsid w:val="00942484"/>
    <w:rsid w:val="00943649"/>
    <w:rsid w:val="00944BED"/>
    <w:rsid w:val="00944E56"/>
    <w:rsid w:val="00947140"/>
    <w:rsid w:val="0095107C"/>
    <w:rsid w:val="009520D2"/>
    <w:rsid w:val="00952EB0"/>
    <w:rsid w:val="0095321B"/>
    <w:rsid w:val="00953F92"/>
    <w:rsid w:val="00954D1F"/>
    <w:rsid w:val="00955751"/>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1ADF"/>
    <w:rsid w:val="00993110"/>
    <w:rsid w:val="009947B8"/>
    <w:rsid w:val="00994862"/>
    <w:rsid w:val="009954E5"/>
    <w:rsid w:val="00995595"/>
    <w:rsid w:val="009964F2"/>
    <w:rsid w:val="009A0865"/>
    <w:rsid w:val="009A1ACC"/>
    <w:rsid w:val="009A2D43"/>
    <w:rsid w:val="009A2E3F"/>
    <w:rsid w:val="009A41ED"/>
    <w:rsid w:val="009A45E6"/>
    <w:rsid w:val="009A4B78"/>
    <w:rsid w:val="009A5DB5"/>
    <w:rsid w:val="009B154D"/>
    <w:rsid w:val="009B26AC"/>
    <w:rsid w:val="009B50E4"/>
    <w:rsid w:val="009B5640"/>
    <w:rsid w:val="009B63BE"/>
    <w:rsid w:val="009C29D1"/>
    <w:rsid w:val="009C3563"/>
    <w:rsid w:val="009C512B"/>
    <w:rsid w:val="009C528C"/>
    <w:rsid w:val="009C52F1"/>
    <w:rsid w:val="009C666F"/>
    <w:rsid w:val="009D0A16"/>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3E35"/>
    <w:rsid w:val="00A24F09"/>
    <w:rsid w:val="00A2607F"/>
    <w:rsid w:val="00A2695E"/>
    <w:rsid w:val="00A27CB8"/>
    <w:rsid w:val="00A30E48"/>
    <w:rsid w:val="00A32560"/>
    <w:rsid w:val="00A4092C"/>
    <w:rsid w:val="00A419CF"/>
    <w:rsid w:val="00A4249E"/>
    <w:rsid w:val="00A44DEE"/>
    <w:rsid w:val="00A45096"/>
    <w:rsid w:val="00A45599"/>
    <w:rsid w:val="00A45B14"/>
    <w:rsid w:val="00A50060"/>
    <w:rsid w:val="00A50CED"/>
    <w:rsid w:val="00A52CAE"/>
    <w:rsid w:val="00A54350"/>
    <w:rsid w:val="00A54E80"/>
    <w:rsid w:val="00A57508"/>
    <w:rsid w:val="00A57793"/>
    <w:rsid w:val="00A60C03"/>
    <w:rsid w:val="00A62E30"/>
    <w:rsid w:val="00A641B8"/>
    <w:rsid w:val="00A66080"/>
    <w:rsid w:val="00A67471"/>
    <w:rsid w:val="00A67DB7"/>
    <w:rsid w:val="00A714E9"/>
    <w:rsid w:val="00A715FE"/>
    <w:rsid w:val="00A71F03"/>
    <w:rsid w:val="00A7202D"/>
    <w:rsid w:val="00A73FDD"/>
    <w:rsid w:val="00A759EE"/>
    <w:rsid w:val="00A75EC1"/>
    <w:rsid w:val="00A76F89"/>
    <w:rsid w:val="00A77D85"/>
    <w:rsid w:val="00A812A7"/>
    <w:rsid w:val="00A81DF6"/>
    <w:rsid w:val="00A826BF"/>
    <w:rsid w:val="00A85DCC"/>
    <w:rsid w:val="00A85E5A"/>
    <w:rsid w:val="00A87BA8"/>
    <w:rsid w:val="00A87F74"/>
    <w:rsid w:val="00A929F6"/>
    <w:rsid w:val="00A92AD9"/>
    <w:rsid w:val="00A95E7D"/>
    <w:rsid w:val="00A96A66"/>
    <w:rsid w:val="00A96E1A"/>
    <w:rsid w:val="00A96F39"/>
    <w:rsid w:val="00A97345"/>
    <w:rsid w:val="00AA2449"/>
    <w:rsid w:val="00AA29AF"/>
    <w:rsid w:val="00AA3307"/>
    <w:rsid w:val="00AA3C9F"/>
    <w:rsid w:val="00AA4649"/>
    <w:rsid w:val="00AA7FCA"/>
    <w:rsid w:val="00AB0FF2"/>
    <w:rsid w:val="00AB2335"/>
    <w:rsid w:val="00AB329D"/>
    <w:rsid w:val="00AB3CD8"/>
    <w:rsid w:val="00AB6154"/>
    <w:rsid w:val="00AB6FD8"/>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34AC"/>
    <w:rsid w:val="00B052C3"/>
    <w:rsid w:val="00B05D97"/>
    <w:rsid w:val="00B07CA0"/>
    <w:rsid w:val="00B11565"/>
    <w:rsid w:val="00B1179D"/>
    <w:rsid w:val="00B11988"/>
    <w:rsid w:val="00B1379A"/>
    <w:rsid w:val="00B13DB1"/>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7CD"/>
    <w:rsid w:val="00B4674F"/>
    <w:rsid w:val="00B46C41"/>
    <w:rsid w:val="00B51E45"/>
    <w:rsid w:val="00B51EA8"/>
    <w:rsid w:val="00B52858"/>
    <w:rsid w:val="00B5297E"/>
    <w:rsid w:val="00B552ED"/>
    <w:rsid w:val="00B57D63"/>
    <w:rsid w:val="00B64BCA"/>
    <w:rsid w:val="00B72F51"/>
    <w:rsid w:val="00B734D0"/>
    <w:rsid w:val="00B74A9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A6DE9"/>
    <w:rsid w:val="00BB0BCD"/>
    <w:rsid w:val="00BB2931"/>
    <w:rsid w:val="00BB5462"/>
    <w:rsid w:val="00BB7785"/>
    <w:rsid w:val="00BC05D4"/>
    <w:rsid w:val="00BC2449"/>
    <w:rsid w:val="00BC25A6"/>
    <w:rsid w:val="00BC2FBF"/>
    <w:rsid w:val="00BC4797"/>
    <w:rsid w:val="00BC6DDD"/>
    <w:rsid w:val="00BD1D25"/>
    <w:rsid w:val="00BD1EDE"/>
    <w:rsid w:val="00BD23CD"/>
    <w:rsid w:val="00BD28C1"/>
    <w:rsid w:val="00BD3126"/>
    <w:rsid w:val="00BD3E9D"/>
    <w:rsid w:val="00BD4880"/>
    <w:rsid w:val="00BD6195"/>
    <w:rsid w:val="00BD66C5"/>
    <w:rsid w:val="00BD6C67"/>
    <w:rsid w:val="00BE1F09"/>
    <w:rsid w:val="00BE2D05"/>
    <w:rsid w:val="00BE48CF"/>
    <w:rsid w:val="00BE4C93"/>
    <w:rsid w:val="00BE50B9"/>
    <w:rsid w:val="00BF0DEE"/>
    <w:rsid w:val="00BF0EC7"/>
    <w:rsid w:val="00BF1A5D"/>
    <w:rsid w:val="00BF23F6"/>
    <w:rsid w:val="00BF2B44"/>
    <w:rsid w:val="00BF3F28"/>
    <w:rsid w:val="00BF5EEB"/>
    <w:rsid w:val="00BF64DD"/>
    <w:rsid w:val="00BF7A93"/>
    <w:rsid w:val="00BF7B0B"/>
    <w:rsid w:val="00C00D5C"/>
    <w:rsid w:val="00C02486"/>
    <w:rsid w:val="00C04F90"/>
    <w:rsid w:val="00C05A4D"/>
    <w:rsid w:val="00C05C2F"/>
    <w:rsid w:val="00C07E7D"/>
    <w:rsid w:val="00C10318"/>
    <w:rsid w:val="00C10B98"/>
    <w:rsid w:val="00C10C67"/>
    <w:rsid w:val="00C119B7"/>
    <w:rsid w:val="00C120AF"/>
    <w:rsid w:val="00C126D9"/>
    <w:rsid w:val="00C127DF"/>
    <w:rsid w:val="00C138B3"/>
    <w:rsid w:val="00C15B04"/>
    <w:rsid w:val="00C170F7"/>
    <w:rsid w:val="00C2180A"/>
    <w:rsid w:val="00C24593"/>
    <w:rsid w:val="00C24D16"/>
    <w:rsid w:val="00C2569A"/>
    <w:rsid w:val="00C258FB"/>
    <w:rsid w:val="00C267C4"/>
    <w:rsid w:val="00C306E7"/>
    <w:rsid w:val="00C30778"/>
    <w:rsid w:val="00C31A9A"/>
    <w:rsid w:val="00C31F71"/>
    <w:rsid w:val="00C3203F"/>
    <w:rsid w:val="00C32803"/>
    <w:rsid w:val="00C32F38"/>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EE1"/>
    <w:rsid w:val="00C7356D"/>
    <w:rsid w:val="00C73771"/>
    <w:rsid w:val="00C7455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B11D3"/>
    <w:rsid w:val="00CB1CE8"/>
    <w:rsid w:val="00CB2237"/>
    <w:rsid w:val="00CB239A"/>
    <w:rsid w:val="00CB49C4"/>
    <w:rsid w:val="00CB4AE3"/>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602D"/>
    <w:rsid w:val="00CD7B2C"/>
    <w:rsid w:val="00CE07F7"/>
    <w:rsid w:val="00CE258D"/>
    <w:rsid w:val="00CE4033"/>
    <w:rsid w:val="00CE6167"/>
    <w:rsid w:val="00CE64F8"/>
    <w:rsid w:val="00CE79A3"/>
    <w:rsid w:val="00CE79EB"/>
    <w:rsid w:val="00CF0B46"/>
    <w:rsid w:val="00CF1204"/>
    <w:rsid w:val="00CF28E5"/>
    <w:rsid w:val="00CF2CFA"/>
    <w:rsid w:val="00CF6780"/>
    <w:rsid w:val="00CF6F50"/>
    <w:rsid w:val="00D01F56"/>
    <w:rsid w:val="00D0341C"/>
    <w:rsid w:val="00D044EA"/>
    <w:rsid w:val="00D047ED"/>
    <w:rsid w:val="00D057BC"/>
    <w:rsid w:val="00D05D49"/>
    <w:rsid w:val="00D066B9"/>
    <w:rsid w:val="00D078EB"/>
    <w:rsid w:val="00D11A8A"/>
    <w:rsid w:val="00D11B49"/>
    <w:rsid w:val="00D205E9"/>
    <w:rsid w:val="00D20F9F"/>
    <w:rsid w:val="00D221CA"/>
    <w:rsid w:val="00D235F4"/>
    <w:rsid w:val="00D240D1"/>
    <w:rsid w:val="00D30AE9"/>
    <w:rsid w:val="00D30C76"/>
    <w:rsid w:val="00D31EB3"/>
    <w:rsid w:val="00D32643"/>
    <w:rsid w:val="00D32B95"/>
    <w:rsid w:val="00D337F1"/>
    <w:rsid w:val="00D35D1C"/>
    <w:rsid w:val="00D365AB"/>
    <w:rsid w:val="00D409E5"/>
    <w:rsid w:val="00D40FA3"/>
    <w:rsid w:val="00D415C6"/>
    <w:rsid w:val="00D42421"/>
    <w:rsid w:val="00D436D0"/>
    <w:rsid w:val="00D47E7C"/>
    <w:rsid w:val="00D526AD"/>
    <w:rsid w:val="00D539FB"/>
    <w:rsid w:val="00D542A7"/>
    <w:rsid w:val="00D54E5A"/>
    <w:rsid w:val="00D55452"/>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A488D"/>
    <w:rsid w:val="00DA4C68"/>
    <w:rsid w:val="00DA4FAA"/>
    <w:rsid w:val="00DA7577"/>
    <w:rsid w:val="00DA78C2"/>
    <w:rsid w:val="00DB17CE"/>
    <w:rsid w:val="00DB1C99"/>
    <w:rsid w:val="00DB1FC0"/>
    <w:rsid w:val="00DB2A4E"/>
    <w:rsid w:val="00DB502A"/>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56D0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DC8"/>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12A4"/>
    <w:rsid w:val="00F62CDB"/>
    <w:rsid w:val="00F6352E"/>
    <w:rsid w:val="00F63880"/>
    <w:rsid w:val="00F64D8F"/>
    <w:rsid w:val="00F65ABD"/>
    <w:rsid w:val="00F65B88"/>
    <w:rsid w:val="00F65DFE"/>
    <w:rsid w:val="00F663A3"/>
    <w:rsid w:val="00F677C3"/>
    <w:rsid w:val="00F7059D"/>
    <w:rsid w:val="00F71123"/>
    <w:rsid w:val="00F7155B"/>
    <w:rsid w:val="00F717EF"/>
    <w:rsid w:val="00F7338F"/>
    <w:rsid w:val="00F73B7B"/>
    <w:rsid w:val="00F74AF2"/>
    <w:rsid w:val="00F75115"/>
    <w:rsid w:val="00F752CF"/>
    <w:rsid w:val="00F770EC"/>
    <w:rsid w:val="00F81615"/>
    <w:rsid w:val="00F81B58"/>
    <w:rsid w:val="00F82F75"/>
    <w:rsid w:val="00F835BC"/>
    <w:rsid w:val="00F847B7"/>
    <w:rsid w:val="00F8772A"/>
    <w:rsid w:val="00F90A1B"/>
    <w:rsid w:val="00F93020"/>
    <w:rsid w:val="00F948C0"/>
    <w:rsid w:val="00F94FCE"/>
    <w:rsid w:val="00F95520"/>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06D"/>
    <w:rsid w:val="00FC242F"/>
    <w:rsid w:val="00FC2484"/>
    <w:rsid w:val="00FC2BD9"/>
    <w:rsid w:val="00FC2D0F"/>
    <w:rsid w:val="00FC4AA8"/>
    <w:rsid w:val="00FC6A46"/>
    <w:rsid w:val="00FC79DA"/>
    <w:rsid w:val="00FD08D9"/>
    <w:rsid w:val="00FD235F"/>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412F"/>
    <w:rsid w:val="00FF4200"/>
    <w:rsid w:val="00FF589A"/>
    <w:rsid w:val="00FF7E9E"/>
    <w:rsid w:val="0100390C"/>
    <w:rsid w:val="0106443D"/>
    <w:rsid w:val="013A0E1B"/>
    <w:rsid w:val="01453498"/>
    <w:rsid w:val="01527EDF"/>
    <w:rsid w:val="01791910"/>
    <w:rsid w:val="018207C5"/>
    <w:rsid w:val="019D115B"/>
    <w:rsid w:val="01C43648"/>
    <w:rsid w:val="01E557E7"/>
    <w:rsid w:val="021F7210"/>
    <w:rsid w:val="022E1C2A"/>
    <w:rsid w:val="024A36EB"/>
    <w:rsid w:val="025A2F9E"/>
    <w:rsid w:val="02954528"/>
    <w:rsid w:val="02AB3D4B"/>
    <w:rsid w:val="02BF2AD7"/>
    <w:rsid w:val="02C40969"/>
    <w:rsid w:val="02DB0A81"/>
    <w:rsid w:val="02F72AEC"/>
    <w:rsid w:val="02FE3E7B"/>
    <w:rsid w:val="03176C77"/>
    <w:rsid w:val="031B6DD5"/>
    <w:rsid w:val="033435C8"/>
    <w:rsid w:val="03353A41"/>
    <w:rsid w:val="03A95345"/>
    <w:rsid w:val="03D64DF8"/>
    <w:rsid w:val="03E272F9"/>
    <w:rsid w:val="04087034"/>
    <w:rsid w:val="042C2C6A"/>
    <w:rsid w:val="043F0BEF"/>
    <w:rsid w:val="046917C8"/>
    <w:rsid w:val="046948F3"/>
    <w:rsid w:val="047B2D9D"/>
    <w:rsid w:val="04912ACD"/>
    <w:rsid w:val="04B05EB6"/>
    <w:rsid w:val="04B74C29"/>
    <w:rsid w:val="04D72BD5"/>
    <w:rsid w:val="04E90B5B"/>
    <w:rsid w:val="04E946B7"/>
    <w:rsid w:val="04F0495F"/>
    <w:rsid w:val="04FD384B"/>
    <w:rsid w:val="05066DF9"/>
    <w:rsid w:val="053C63EC"/>
    <w:rsid w:val="05767713"/>
    <w:rsid w:val="05A52CD4"/>
    <w:rsid w:val="05B11C28"/>
    <w:rsid w:val="05B839EE"/>
    <w:rsid w:val="05D7202B"/>
    <w:rsid w:val="05E97064"/>
    <w:rsid w:val="05F477B7"/>
    <w:rsid w:val="06233AA0"/>
    <w:rsid w:val="06650974"/>
    <w:rsid w:val="0685356C"/>
    <w:rsid w:val="069F7723"/>
    <w:rsid w:val="06A64F55"/>
    <w:rsid w:val="06D0125C"/>
    <w:rsid w:val="06E4782C"/>
    <w:rsid w:val="07061550"/>
    <w:rsid w:val="07262586"/>
    <w:rsid w:val="07287718"/>
    <w:rsid w:val="07572125"/>
    <w:rsid w:val="076C0976"/>
    <w:rsid w:val="077539C2"/>
    <w:rsid w:val="078057A6"/>
    <w:rsid w:val="07893F2F"/>
    <w:rsid w:val="07B45450"/>
    <w:rsid w:val="07F43A9E"/>
    <w:rsid w:val="08144141"/>
    <w:rsid w:val="08186CD8"/>
    <w:rsid w:val="08274BAD"/>
    <w:rsid w:val="082C148A"/>
    <w:rsid w:val="08470072"/>
    <w:rsid w:val="085E56AE"/>
    <w:rsid w:val="08687981"/>
    <w:rsid w:val="086F1B39"/>
    <w:rsid w:val="08766CE3"/>
    <w:rsid w:val="08874912"/>
    <w:rsid w:val="088F37C7"/>
    <w:rsid w:val="08AE3F90"/>
    <w:rsid w:val="08B11C07"/>
    <w:rsid w:val="08B63438"/>
    <w:rsid w:val="08BD68A7"/>
    <w:rsid w:val="092B34F0"/>
    <w:rsid w:val="094F29F6"/>
    <w:rsid w:val="09695668"/>
    <w:rsid w:val="096C2B3B"/>
    <w:rsid w:val="097468F3"/>
    <w:rsid w:val="097A6225"/>
    <w:rsid w:val="099D349C"/>
    <w:rsid w:val="09C15C02"/>
    <w:rsid w:val="09F9091A"/>
    <w:rsid w:val="09FA34EB"/>
    <w:rsid w:val="0A132C02"/>
    <w:rsid w:val="0A1C72DC"/>
    <w:rsid w:val="0A287A2F"/>
    <w:rsid w:val="0A420CCF"/>
    <w:rsid w:val="0A557BB7"/>
    <w:rsid w:val="0A5A32F8"/>
    <w:rsid w:val="0A652A31"/>
    <w:rsid w:val="0A692E7A"/>
    <w:rsid w:val="0A8A5D79"/>
    <w:rsid w:val="0AA25A34"/>
    <w:rsid w:val="0AB47859"/>
    <w:rsid w:val="0ACB31DC"/>
    <w:rsid w:val="0AD61B81"/>
    <w:rsid w:val="0B0A1F19"/>
    <w:rsid w:val="0B1B531E"/>
    <w:rsid w:val="0B36617C"/>
    <w:rsid w:val="0B57681E"/>
    <w:rsid w:val="0B61144B"/>
    <w:rsid w:val="0BA73406"/>
    <w:rsid w:val="0BB377CC"/>
    <w:rsid w:val="0BBA6DAD"/>
    <w:rsid w:val="0BC96FF0"/>
    <w:rsid w:val="0BD172B9"/>
    <w:rsid w:val="0BE45BD8"/>
    <w:rsid w:val="0BE93BEF"/>
    <w:rsid w:val="0BEB340A"/>
    <w:rsid w:val="0C2506CA"/>
    <w:rsid w:val="0C364685"/>
    <w:rsid w:val="0C4A304C"/>
    <w:rsid w:val="0C4F5747"/>
    <w:rsid w:val="0C523489"/>
    <w:rsid w:val="0C566AD6"/>
    <w:rsid w:val="0C5F2EAB"/>
    <w:rsid w:val="0C9615C8"/>
    <w:rsid w:val="0CAD06C0"/>
    <w:rsid w:val="0CB8153E"/>
    <w:rsid w:val="0CBC5489"/>
    <w:rsid w:val="0CE2480D"/>
    <w:rsid w:val="0CE916F8"/>
    <w:rsid w:val="0D22380E"/>
    <w:rsid w:val="0D240982"/>
    <w:rsid w:val="0D381061"/>
    <w:rsid w:val="0D4A7030"/>
    <w:rsid w:val="0D543BFA"/>
    <w:rsid w:val="0D870F11"/>
    <w:rsid w:val="0D8853B5"/>
    <w:rsid w:val="0D8B366E"/>
    <w:rsid w:val="0D9D62C2"/>
    <w:rsid w:val="0DA467D8"/>
    <w:rsid w:val="0DBD78FC"/>
    <w:rsid w:val="0DDD75CE"/>
    <w:rsid w:val="0DE43DD8"/>
    <w:rsid w:val="0DE843A2"/>
    <w:rsid w:val="0E2C4F72"/>
    <w:rsid w:val="0E364E11"/>
    <w:rsid w:val="0E372937"/>
    <w:rsid w:val="0E7476E7"/>
    <w:rsid w:val="0E8611C8"/>
    <w:rsid w:val="0E8C4A31"/>
    <w:rsid w:val="0E960DA4"/>
    <w:rsid w:val="0E9D6C3E"/>
    <w:rsid w:val="0EB83A78"/>
    <w:rsid w:val="0ECC12D1"/>
    <w:rsid w:val="0ECC7523"/>
    <w:rsid w:val="0EE02FCE"/>
    <w:rsid w:val="0EE06B2A"/>
    <w:rsid w:val="0EF32D02"/>
    <w:rsid w:val="0EFE61C3"/>
    <w:rsid w:val="0F1C0260"/>
    <w:rsid w:val="0F27226E"/>
    <w:rsid w:val="0F3F674F"/>
    <w:rsid w:val="0F434C0A"/>
    <w:rsid w:val="0F4F60D6"/>
    <w:rsid w:val="0F5F1EEF"/>
    <w:rsid w:val="0F625A3E"/>
    <w:rsid w:val="0F655282"/>
    <w:rsid w:val="0F977D7B"/>
    <w:rsid w:val="0F984030"/>
    <w:rsid w:val="0FB352D7"/>
    <w:rsid w:val="0FD536FB"/>
    <w:rsid w:val="0FD919CC"/>
    <w:rsid w:val="102139A6"/>
    <w:rsid w:val="102562D8"/>
    <w:rsid w:val="1026403A"/>
    <w:rsid w:val="104355C3"/>
    <w:rsid w:val="107C2883"/>
    <w:rsid w:val="10826892"/>
    <w:rsid w:val="109B6D62"/>
    <w:rsid w:val="10B34A9A"/>
    <w:rsid w:val="112C24FB"/>
    <w:rsid w:val="11407D54"/>
    <w:rsid w:val="11603F18"/>
    <w:rsid w:val="1160532F"/>
    <w:rsid w:val="117B6FDE"/>
    <w:rsid w:val="118869FA"/>
    <w:rsid w:val="118E6D12"/>
    <w:rsid w:val="11A16A45"/>
    <w:rsid w:val="11C646FD"/>
    <w:rsid w:val="11CE35B2"/>
    <w:rsid w:val="11D5049D"/>
    <w:rsid w:val="120E7E53"/>
    <w:rsid w:val="1222745A"/>
    <w:rsid w:val="122B27B2"/>
    <w:rsid w:val="12301ADC"/>
    <w:rsid w:val="123A700C"/>
    <w:rsid w:val="12516C4A"/>
    <w:rsid w:val="12850115"/>
    <w:rsid w:val="12CF4E33"/>
    <w:rsid w:val="12DA1AE3"/>
    <w:rsid w:val="131F3AA2"/>
    <w:rsid w:val="1331204B"/>
    <w:rsid w:val="137B342E"/>
    <w:rsid w:val="13B50586"/>
    <w:rsid w:val="13F20130"/>
    <w:rsid w:val="13F54E26"/>
    <w:rsid w:val="143A3E96"/>
    <w:rsid w:val="143D67CD"/>
    <w:rsid w:val="144769FF"/>
    <w:rsid w:val="146B333A"/>
    <w:rsid w:val="148A0C7A"/>
    <w:rsid w:val="14A512BD"/>
    <w:rsid w:val="14B040EF"/>
    <w:rsid w:val="15264D8E"/>
    <w:rsid w:val="15545B7C"/>
    <w:rsid w:val="15785D0F"/>
    <w:rsid w:val="15887516"/>
    <w:rsid w:val="15A01BE5"/>
    <w:rsid w:val="15A9411A"/>
    <w:rsid w:val="15B52ECF"/>
    <w:rsid w:val="15B91CD3"/>
    <w:rsid w:val="15F5735F"/>
    <w:rsid w:val="16066474"/>
    <w:rsid w:val="163E6C84"/>
    <w:rsid w:val="164125A5"/>
    <w:rsid w:val="16571DC8"/>
    <w:rsid w:val="167B0653"/>
    <w:rsid w:val="16A94950"/>
    <w:rsid w:val="16AA0906"/>
    <w:rsid w:val="16B8213B"/>
    <w:rsid w:val="16D70F4D"/>
    <w:rsid w:val="16F6136F"/>
    <w:rsid w:val="16F92E7F"/>
    <w:rsid w:val="16FD0098"/>
    <w:rsid w:val="170F7249"/>
    <w:rsid w:val="172D0D7B"/>
    <w:rsid w:val="17312619"/>
    <w:rsid w:val="17342109"/>
    <w:rsid w:val="173E758D"/>
    <w:rsid w:val="174E431E"/>
    <w:rsid w:val="174E4322"/>
    <w:rsid w:val="17521617"/>
    <w:rsid w:val="17BD4979"/>
    <w:rsid w:val="17C012EF"/>
    <w:rsid w:val="17DB38DF"/>
    <w:rsid w:val="17F35B20"/>
    <w:rsid w:val="17F96393"/>
    <w:rsid w:val="18133ACD"/>
    <w:rsid w:val="1862744F"/>
    <w:rsid w:val="188B7B07"/>
    <w:rsid w:val="18E310AE"/>
    <w:rsid w:val="18F953B8"/>
    <w:rsid w:val="192B08D4"/>
    <w:rsid w:val="193C2941"/>
    <w:rsid w:val="19605C43"/>
    <w:rsid w:val="197762DD"/>
    <w:rsid w:val="19B4308D"/>
    <w:rsid w:val="19C808E7"/>
    <w:rsid w:val="19CF2F48"/>
    <w:rsid w:val="19EB5772"/>
    <w:rsid w:val="1A240213"/>
    <w:rsid w:val="1A400DC5"/>
    <w:rsid w:val="1A4F0751"/>
    <w:rsid w:val="1A580DF8"/>
    <w:rsid w:val="1A663BA3"/>
    <w:rsid w:val="1A756CC1"/>
    <w:rsid w:val="1A782D25"/>
    <w:rsid w:val="1A914743"/>
    <w:rsid w:val="1AB23D2C"/>
    <w:rsid w:val="1ABB7E7A"/>
    <w:rsid w:val="1AD334BF"/>
    <w:rsid w:val="1AE950FA"/>
    <w:rsid w:val="1AEB0D31"/>
    <w:rsid w:val="1B6D1746"/>
    <w:rsid w:val="1B70138E"/>
    <w:rsid w:val="1B7032B1"/>
    <w:rsid w:val="1B711290"/>
    <w:rsid w:val="1BBE1FA1"/>
    <w:rsid w:val="1BDE0896"/>
    <w:rsid w:val="1BE7599C"/>
    <w:rsid w:val="1BE97440"/>
    <w:rsid w:val="1C071B9A"/>
    <w:rsid w:val="1C0A3439"/>
    <w:rsid w:val="1C147270"/>
    <w:rsid w:val="1C1F5136"/>
    <w:rsid w:val="1C2C1601"/>
    <w:rsid w:val="1C2F2E9F"/>
    <w:rsid w:val="1C427076"/>
    <w:rsid w:val="1C4C7CC3"/>
    <w:rsid w:val="1C8A69E1"/>
    <w:rsid w:val="1CBA28AA"/>
    <w:rsid w:val="1CF15B94"/>
    <w:rsid w:val="1CF94F18"/>
    <w:rsid w:val="1D047E88"/>
    <w:rsid w:val="1D100F23"/>
    <w:rsid w:val="1D156539"/>
    <w:rsid w:val="1D5D0306"/>
    <w:rsid w:val="1D61442A"/>
    <w:rsid w:val="1D623D91"/>
    <w:rsid w:val="1D6F55A4"/>
    <w:rsid w:val="1DC323E3"/>
    <w:rsid w:val="1DED20B4"/>
    <w:rsid w:val="1E077C8E"/>
    <w:rsid w:val="1E1423D7"/>
    <w:rsid w:val="1E307789"/>
    <w:rsid w:val="1E3231A6"/>
    <w:rsid w:val="1E5352A7"/>
    <w:rsid w:val="1E5906A7"/>
    <w:rsid w:val="1E652BA8"/>
    <w:rsid w:val="1E6E088F"/>
    <w:rsid w:val="1EB3600A"/>
    <w:rsid w:val="1EFC2BDA"/>
    <w:rsid w:val="1F0028D1"/>
    <w:rsid w:val="1F02211F"/>
    <w:rsid w:val="1F126F73"/>
    <w:rsid w:val="1F170346"/>
    <w:rsid w:val="1F1A472F"/>
    <w:rsid w:val="1F1C0F96"/>
    <w:rsid w:val="1F3802BD"/>
    <w:rsid w:val="1F4E5D32"/>
    <w:rsid w:val="1F725038"/>
    <w:rsid w:val="1F9A0F77"/>
    <w:rsid w:val="1FBB33C8"/>
    <w:rsid w:val="1FCD30FB"/>
    <w:rsid w:val="1FCF7AFB"/>
    <w:rsid w:val="1FFB3446"/>
    <w:rsid w:val="201A220D"/>
    <w:rsid w:val="20436F19"/>
    <w:rsid w:val="20474C5B"/>
    <w:rsid w:val="20564E9E"/>
    <w:rsid w:val="207B1149"/>
    <w:rsid w:val="208B6917"/>
    <w:rsid w:val="20B00359"/>
    <w:rsid w:val="20EE50D7"/>
    <w:rsid w:val="20F87D04"/>
    <w:rsid w:val="20FD4BDB"/>
    <w:rsid w:val="210B3144"/>
    <w:rsid w:val="21352D06"/>
    <w:rsid w:val="21475F62"/>
    <w:rsid w:val="21486EDD"/>
    <w:rsid w:val="216C7565"/>
    <w:rsid w:val="21921716"/>
    <w:rsid w:val="21B7296D"/>
    <w:rsid w:val="21F4671D"/>
    <w:rsid w:val="22145011"/>
    <w:rsid w:val="221B1EC0"/>
    <w:rsid w:val="222334A6"/>
    <w:rsid w:val="22245FA1"/>
    <w:rsid w:val="22266AF2"/>
    <w:rsid w:val="22511DC1"/>
    <w:rsid w:val="225B679C"/>
    <w:rsid w:val="22714212"/>
    <w:rsid w:val="22AA51F5"/>
    <w:rsid w:val="22BD28C6"/>
    <w:rsid w:val="23283A9F"/>
    <w:rsid w:val="236560AB"/>
    <w:rsid w:val="23713D9D"/>
    <w:rsid w:val="2381161B"/>
    <w:rsid w:val="2381693A"/>
    <w:rsid w:val="239006C7"/>
    <w:rsid w:val="2393640A"/>
    <w:rsid w:val="239857CE"/>
    <w:rsid w:val="23B9512F"/>
    <w:rsid w:val="241F1903"/>
    <w:rsid w:val="244F0582"/>
    <w:rsid w:val="24612064"/>
    <w:rsid w:val="247578BD"/>
    <w:rsid w:val="248C70E1"/>
    <w:rsid w:val="248D111F"/>
    <w:rsid w:val="249B37C8"/>
    <w:rsid w:val="249D7540"/>
    <w:rsid w:val="24BE74B6"/>
    <w:rsid w:val="24DF5ADD"/>
    <w:rsid w:val="25107F16"/>
    <w:rsid w:val="253F4153"/>
    <w:rsid w:val="2545764A"/>
    <w:rsid w:val="254B10A4"/>
    <w:rsid w:val="256B319A"/>
    <w:rsid w:val="256F74FA"/>
    <w:rsid w:val="2585493F"/>
    <w:rsid w:val="25866F31"/>
    <w:rsid w:val="25FD5DBC"/>
    <w:rsid w:val="26343C96"/>
    <w:rsid w:val="264E03C6"/>
    <w:rsid w:val="266F0A68"/>
    <w:rsid w:val="26795443"/>
    <w:rsid w:val="267E1B60"/>
    <w:rsid w:val="267F3064"/>
    <w:rsid w:val="26864004"/>
    <w:rsid w:val="269B3FD2"/>
    <w:rsid w:val="26B24DF9"/>
    <w:rsid w:val="26C16DEA"/>
    <w:rsid w:val="26EE6CD7"/>
    <w:rsid w:val="26F31699"/>
    <w:rsid w:val="270F7B55"/>
    <w:rsid w:val="27682BA9"/>
    <w:rsid w:val="278B7844"/>
    <w:rsid w:val="278C3449"/>
    <w:rsid w:val="27914A0E"/>
    <w:rsid w:val="27A97085"/>
    <w:rsid w:val="27AC17B9"/>
    <w:rsid w:val="27BE67C9"/>
    <w:rsid w:val="27F31225"/>
    <w:rsid w:val="28090A48"/>
    <w:rsid w:val="280E605F"/>
    <w:rsid w:val="28217234"/>
    <w:rsid w:val="284B1574"/>
    <w:rsid w:val="285C326E"/>
    <w:rsid w:val="28C013B8"/>
    <w:rsid w:val="28D23530"/>
    <w:rsid w:val="28D27F73"/>
    <w:rsid w:val="28E75615"/>
    <w:rsid w:val="28F0207E"/>
    <w:rsid w:val="28F65471"/>
    <w:rsid w:val="29546686"/>
    <w:rsid w:val="295E6B72"/>
    <w:rsid w:val="29695805"/>
    <w:rsid w:val="29BA6E37"/>
    <w:rsid w:val="29F12D3E"/>
    <w:rsid w:val="2A1F4553"/>
    <w:rsid w:val="2A7D3457"/>
    <w:rsid w:val="2A8820F8"/>
    <w:rsid w:val="2AAF3B29"/>
    <w:rsid w:val="2ABC4E3A"/>
    <w:rsid w:val="2AD96DF8"/>
    <w:rsid w:val="2B4F0E68"/>
    <w:rsid w:val="2B6820A6"/>
    <w:rsid w:val="2B991FF2"/>
    <w:rsid w:val="2BBA71F5"/>
    <w:rsid w:val="2BD3551E"/>
    <w:rsid w:val="2BE12418"/>
    <w:rsid w:val="2C1856FE"/>
    <w:rsid w:val="2C567FD4"/>
    <w:rsid w:val="2C595D41"/>
    <w:rsid w:val="2C8114F5"/>
    <w:rsid w:val="2CBE62A5"/>
    <w:rsid w:val="2CC82C80"/>
    <w:rsid w:val="2CF6099E"/>
    <w:rsid w:val="2D2154E0"/>
    <w:rsid w:val="2D241E80"/>
    <w:rsid w:val="2D397142"/>
    <w:rsid w:val="2DB61363"/>
    <w:rsid w:val="2DD91921"/>
    <w:rsid w:val="2DD935D3"/>
    <w:rsid w:val="2DE66F76"/>
    <w:rsid w:val="2E126BCA"/>
    <w:rsid w:val="2E3010A6"/>
    <w:rsid w:val="2E36329E"/>
    <w:rsid w:val="2E383E35"/>
    <w:rsid w:val="2E3C1B78"/>
    <w:rsid w:val="2E3C1BBC"/>
    <w:rsid w:val="2E564673"/>
    <w:rsid w:val="2E627104"/>
    <w:rsid w:val="2E7310E3"/>
    <w:rsid w:val="2E8A373D"/>
    <w:rsid w:val="2EA15E7F"/>
    <w:rsid w:val="2EAA5CB6"/>
    <w:rsid w:val="2EBA484A"/>
    <w:rsid w:val="2EBF4ACA"/>
    <w:rsid w:val="2EBF6305"/>
    <w:rsid w:val="2EFC41EE"/>
    <w:rsid w:val="2F124686"/>
    <w:rsid w:val="2F366A04"/>
    <w:rsid w:val="2F6055E3"/>
    <w:rsid w:val="2FC02334"/>
    <w:rsid w:val="2FD7142C"/>
    <w:rsid w:val="2FE448F2"/>
    <w:rsid w:val="2FF558A8"/>
    <w:rsid w:val="30087265"/>
    <w:rsid w:val="30161F54"/>
    <w:rsid w:val="302477D8"/>
    <w:rsid w:val="30430644"/>
    <w:rsid w:val="304C7B53"/>
    <w:rsid w:val="3065199C"/>
    <w:rsid w:val="3078546E"/>
    <w:rsid w:val="309D61D2"/>
    <w:rsid w:val="30E62404"/>
    <w:rsid w:val="30E91A28"/>
    <w:rsid w:val="310D2C36"/>
    <w:rsid w:val="312A215B"/>
    <w:rsid w:val="314377B2"/>
    <w:rsid w:val="31736835"/>
    <w:rsid w:val="31865A40"/>
    <w:rsid w:val="31AE7C10"/>
    <w:rsid w:val="3200767E"/>
    <w:rsid w:val="325B4596"/>
    <w:rsid w:val="325F5E35"/>
    <w:rsid w:val="329B78D9"/>
    <w:rsid w:val="32C12C96"/>
    <w:rsid w:val="32EB00F6"/>
    <w:rsid w:val="32FE389F"/>
    <w:rsid w:val="3301294A"/>
    <w:rsid w:val="33114C55"/>
    <w:rsid w:val="33353039"/>
    <w:rsid w:val="33545CD9"/>
    <w:rsid w:val="335F1E64"/>
    <w:rsid w:val="33615BDC"/>
    <w:rsid w:val="33686F6B"/>
    <w:rsid w:val="336A3155"/>
    <w:rsid w:val="33754FA3"/>
    <w:rsid w:val="337E2238"/>
    <w:rsid w:val="339636B4"/>
    <w:rsid w:val="33E16D1D"/>
    <w:rsid w:val="33EB3EFF"/>
    <w:rsid w:val="343706EB"/>
    <w:rsid w:val="346258FD"/>
    <w:rsid w:val="34637732"/>
    <w:rsid w:val="346C2A8B"/>
    <w:rsid w:val="348C6C89"/>
    <w:rsid w:val="3495510D"/>
    <w:rsid w:val="34AE4E51"/>
    <w:rsid w:val="34B53812"/>
    <w:rsid w:val="34C74165"/>
    <w:rsid w:val="34C957E7"/>
    <w:rsid w:val="350B22A4"/>
    <w:rsid w:val="354B6B44"/>
    <w:rsid w:val="35703BE5"/>
    <w:rsid w:val="35771225"/>
    <w:rsid w:val="35847A05"/>
    <w:rsid w:val="3598434D"/>
    <w:rsid w:val="35CF6FF8"/>
    <w:rsid w:val="35ED589A"/>
    <w:rsid w:val="361D460D"/>
    <w:rsid w:val="36211653"/>
    <w:rsid w:val="3629779E"/>
    <w:rsid w:val="365B36D4"/>
    <w:rsid w:val="366559E4"/>
    <w:rsid w:val="36892B0B"/>
    <w:rsid w:val="369B1405"/>
    <w:rsid w:val="36A76752"/>
    <w:rsid w:val="36C579F2"/>
    <w:rsid w:val="36CB5778"/>
    <w:rsid w:val="36F34D9D"/>
    <w:rsid w:val="3703111F"/>
    <w:rsid w:val="37521418"/>
    <w:rsid w:val="37624C68"/>
    <w:rsid w:val="376E2676"/>
    <w:rsid w:val="37763A52"/>
    <w:rsid w:val="377834F5"/>
    <w:rsid w:val="37820C94"/>
    <w:rsid w:val="37B409D1"/>
    <w:rsid w:val="37CA01F4"/>
    <w:rsid w:val="37CE0538"/>
    <w:rsid w:val="37DB547A"/>
    <w:rsid w:val="37DC3A83"/>
    <w:rsid w:val="37EF7C5B"/>
    <w:rsid w:val="382F62A9"/>
    <w:rsid w:val="3848736B"/>
    <w:rsid w:val="386F2B4A"/>
    <w:rsid w:val="38A5581F"/>
    <w:rsid w:val="38D317F4"/>
    <w:rsid w:val="38E3051F"/>
    <w:rsid w:val="38FA7508"/>
    <w:rsid w:val="392032FC"/>
    <w:rsid w:val="394F122B"/>
    <w:rsid w:val="39567866"/>
    <w:rsid w:val="395A7F9E"/>
    <w:rsid w:val="396708A0"/>
    <w:rsid w:val="396B3311"/>
    <w:rsid w:val="397D00CF"/>
    <w:rsid w:val="398322DC"/>
    <w:rsid w:val="39B20F40"/>
    <w:rsid w:val="39BF18AF"/>
    <w:rsid w:val="39D03040"/>
    <w:rsid w:val="39D30EAD"/>
    <w:rsid w:val="39F06BFD"/>
    <w:rsid w:val="39F318CA"/>
    <w:rsid w:val="3A080B60"/>
    <w:rsid w:val="3A103EB8"/>
    <w:rsid w:val="3A2B1428"/>
    <w:rsid w:val="3A322081"/>
    <w:rsid w:val="3A900F1E"/>
    <w:rsid w:val="3AD34A1B"/>
    <w:rsid w:val="3AF70D5C"/>
    <w:rsid w:val="3B261CFB"/>
    <w:rsid w:val="3B3C4395"/>
    <w:rsid w:val="3B6F58DE"/>
    <w:rsid w:val="3B800BCA"/>
    <w:rsid w:val="3B882877"/>
    <w:rsid w:val="3BB54DB0"/>
    <w:rsid w:val="3BB56AC5"/>
    <w:rsid w:val="3BCE7B87"/>
    <w:rsid w:val="3BD333EF"/>
    <w:rsid w:val="3C125DCE"/>
    <w:rsid w:val="3C177780"/>
    <w:rsid w:val="3C1852A6"/>
    <w:rsid w:val="3C3E4D0D"/>
    <w:rsid w:val="3C422F3E"/>
    <w:rsid w:val="3C6504EB"/>
    <w:rsid w:val="3C664263"/>
    <w:rsid w:val="3C713683"/>
    <w:rsid w:val="3C746980"/>
    <w:rsid w:val="3C797AF3"/>
    <w:rsid w:val="3C7B7F6E"/>
    <w:rsid w:val="3C8A61A4"/>
    <w:rsid w:val="3C8B6ACE"/>
    <w:rsid w:val="3C9568F7"/>
    <w:rsid w:val="3CD25997"/>
    <w:rsid w:val="3CE07B72"/>
    <w:rsid w:val="3CE358B4"/>
    <w:rsid w:val="3CEA09F1"/>
    <w:rsid w:val="3D0870C9"/>
    <w:rsid w:val="3D3A1978"/>
    <w:rsid w:val="3D3B56F0"/>
    <w:rsid w:val="3D591958"/>
    <w:rsid w:val="3D5F318D"/>
    <w:rsid w:val="3D6320AE"/>
    <w:rsid w:val="3D632551"/>
    <w:rsid w:val="3D6B67D2"/>
    <w:rsid w:val="3D70539A"/>
    <w:rsid w:val="3D73032B"/>
    <w:rsid w:val="3D7F04B3"/>
    <w:rsid w:val="3D7F382F"/>
    <w:rsid w:val="3D887631"/>
    <w:rsid w:val="3DD516A1"/>
    <w:rsid w:val="3DE418E4"/>
    <w:rsid w:val="3E0856D8"/>
    <w:rsid w:val="3E186EBA"/>
    <w:rsid w:val="3E3D1DE7"/>
    <w:rsid w:val="3E546A69"/>
    <w:rsid w:val="3E556D2D"/>
    <w:rsid w:val="3E7E3AE6"/>
    <w:rsid w:val="3E817133"/>
    <w:rsid w:val="3E8E1705"/>
    <w:rsid w:val="3EE17BD1"/>
    <w:rsid w:val="3EE31B9B"/>
    <w:rsid w:val="3EE6168C"/>
    <w:rsid w:val="3F0C10F2"/>
    <w:rsid w:val="3F161F71"/>
    <w:rsid w:val="3F1F34F0"/>
    <w:rsid w:val="3F3C12AC"/>
    <w:rsid w:val="3F593C0C"/>
    <w:rsid w:val="3F634A8A"/>
    <w:rsid w:val="3F8E439A"/>
    <w:rsid w:val="3F982986"/>
    <w:rsid w:val="3F984F0D"/>
    <w:rsid w:val="3FA421A9"/>
    <w:rsid w:val="3FC813FA"/>
    <w:rsid w:val="3FCA4B09"/>
    <w:rsid w:val="3FEE07F8"/>
    <w:rsid w:val="400224F5"/>
    <w:rsid w:val="4041301D"/>
    <w:rsid w:val="405C7E57"/>
    <w:rsid w:val="406867FC"/>
    <w:rsid w:val="40923879"/>
    <w:rsid w:val="40931A53"/>
    <w:rsid w:val="40980E18"/>
    <w:rsid w:val="40B53071"/>
    <w:rsid w:val="40E045E4"/>
    <w:rsid w:val="416E7A1D"/>
    <w:rsid w:val="41744230"/>
    <w:rsid w:val="417B430D"/>
    <w:rsid w:val="41875415"/>
    <w:rsid w:val="418A5041"/>
    <w:rsid w:val="419D4283"/>
    <w:rsid w:val="41A265EF"/>
    <w:rsid w:val="41D016DB"/>
    <w:rsid w:val="41E40104"/>
    <w:rsid w:val="423B3E49"/>
    <w:rsid w:val="42497F67"/>
    <w:rsid w:val="42562684"/>
    <w:rsid w:val="4258464E"/>
    <w:rsid w:val="42621029"/>
    <w:rsid w:val="427431DA"/>
    <w:rsid w:val="427521D5"/>
    <w:rsid w:val="427841F9"/>
    <w:rsid w:val="428B3394"/>
    <w:rsid w:val="429513FF"/>
    <w:rsid w:val="42A54AC6"/>
    <w:rsid w:val="42AF1AB8"/>
    <w:rsid w:val="42CB1A99"/>
    <w:rsid w:val="42CD6DEA"/>
    <w:rsid w:val="42F223AD"/>
    <w:rsid w:val="43010842"/>
    <w:rsid w:val="43056584"/>
    <w:rsid w:val="430D6FF5"/>
    <w:rsid w:val="43482915"/>
    <w:rsid w:val="434846C3"/>
    <w:rsid w:val="43525542"/>
    <w:rsid w:val="43963F1E"/>
    <w:rsid w:val="43B92ECB"/>
    <w:rsid w:val="441822E7"/>
    <w:rsid w:val="44426629"/>
    <w:rsid w:val="44652ACA"/>
    <w:rsid w:val="44936155"/>
    <w:rsid w:val="44A21BB1"/>
    <w:rsid w:val="44A44849"/>
    <w:rsid w:val="44A771C7"/>
    <w:rsid w:val="44BE2E8F"/>
    <w:rsid w:val="44F208A0"/>
    <w:rsid w:val="44FE772F"/>
    <w:rsid w:val="45067048"/>
    <w:rsid w:val="450C60CA"/>
    <w:rsid w:val="451F76A5"/>
    <w:rsid w:val="454A2974"/>
    <w:rsid w:val="458967A2"/>
    <w:rsid w:val="458F0387"/>
    <w:rsid w:val="45905EAD"/>
    <w:rsid w:val="45917D94"/>
    <w:rsid w:val="459D3BC2"/>
    <w:rsid w:val="46184820"/>
    <w:rsid w:val="461E6DF1"/>
    <w:rsid w:val="46291A0F"/>
    <w:rsid w:val="46494FE1"/>
    <w:rsid w:val="464D0C32"/>
    <w:rsid w:val="46644A5F"/>
    <w:rsid w:val="466A4950"/>
    <w:rsid w:val="467557CF"/>
    <w:rsid w:val="467B0194"/>
    <w:rsid w:val="468E4AE3"/>
    <w:rsid w:val="46BD331C"/>
    <w:rsid w:val="46C61AAB"/>
    <w:rsid w:val="46E14C12"/>
    <w:rsid w:val="472114B3"/>
    <w:rsid w:val="47217705"/>
    <w:rsid w:val="474004D4"/>
    <w:rsid w:val="47421529"/>
    <w:rsid w:val="476843AC"/>
    <w:rsid w:val="476A10AC"/>
    <w:rsid w:val="476E221E"/>
    <w:rsid w:val="477F37B9"/>
    <w:rsid w:val="47971775"/>
    <w:rsid w:val="47AA2318"/>
    <w:rsid w:val="47BB2E28"/>
    <w:rsid w:val="47C167F2"/>
    <w:rsid w:val="47EE3067"/>
    <w:rsid w:val="48164D90"/>
    <w:rsid w:val="4822282D"/>
    <w:rsid w:val="48323EE8"/>
    <w:rsid w:val="48453261"/>
    <w:rsid w:val="48515DC8"/>
    <w:rsid w:val="486378A9"/>
    <w:rsid w:val="489B1B33"/>
    <w:rsid w:val="48AE03C2"/>
    <w:rsid w:val="48AE5485"/>
    <w:rsid w:val="48B60321"/>
    <w:rsid w:val="48EC1A58"/>
    <w:rsid w:val="49066BB2"/>
    <w:rsid w:val="49706721"/>
    <w:rsid w:val="497E2BEC"/>
    <w:rsid w:val="498D1081"/>
    <w:rsid w:val="49AD1724"/>
    <w:rsid w:val="49C02B87"/>
    <w:rsid w:val="49D433EE"/>
    <w:rsid w:val="4A143551"/>
    <w:rsid w:val="4A3B0ADD"/>
    <w:rsid w:val="4A4C2CEB"/>
    <w:rsid w:val="4A5E73C4"/>
    <w:rsid w:val="4A770517"/>
    <w:rsid w:val="4A8330FE"/>
    <w:rsid w:val="4A8C758B"/>
    <w:rsid w:val="4AB14E2D"/>
    <w:rsid w:val="4AB368C6"/>
    <w:rsid w:val="4AD50ED4"/>
    <w:rsid w:val="4AE747C1"/>
    <w:rsid w:val="4AF13892"/>
    <w:rsid w:val="4AF22945"/>
    <w:rsid w:val="4AF63F02"/>
    <w:rsid w:val="4B0340A4"/>
    <w:rsid w:val="4B197B96"/>
    <w:rsid w:val="4BAF3531"/>
    <w:rsid w:val="4BC468B1"/>
    <w:rsid w:val="4BD44D46"/>
    <w:rsid w:val="4BD73BBC"/>
    <w:rsid w:val="4BDA4326"/>
    <w:rsid w:val="4BFC604B"/>
    <w:rsid w:val="4C130980"/>
    <w:rsid w:val="4C2542C6"/>
    <w:rsid w:val="4C435E96"/>
    <w:rsid w:val="4C6B006F"/>
    <w:rsid w:val="4C842195"/>
    <w:rsid w:val="4C8844D8"/>
    <w:rsid w:val="4C8A69D2"/>
    <w:rsid w:val="4CB07870"/>
    <w:rsid w:val="4CC21042"/>
    <w:rsid w:val="4D217F10"/>
    <w:rsid w:val="4D437417"/>
    <w:rsid w:val="4D657A67"/>
    <w:rsid w:val="4DB36BDD"/>
    <w:rsid w:val="4DBE5CAD"/>
    <w:rsid w:val="4DD83BCC"/>
    <w:rsid w:val="4DEA5F62"/>
    <w:rsid w:val="4DEB6377"/>
    <w:rsid w:val="4DF1636E"/>
    <w:rsid w:val="4E016821"/>
    <w:rsid w:val="4E0765A5"/>
    <w:rsid w:val="4E1115CD"/>
    <w:rsid w:val="4E1924EF"/>
    <w:rsid w:val="4E197748"/>
    <w:rsid w:val="4E2E5373"/>
    <w:rsid w:val="4E54216E"/>
    <w:rsid w:val="4E745CB6"/>
    <w:rsid w:val="4EA16333"/>
    <w:rsid w:val="4EB878B4"/>
    <w:rsid w:val="4ED82D9F"/>
    <w:rsid w:val="4EE27577"/>
    <w:rsid w:val="4F4665CF"/>
    <w:rsid w:val="4F49480A"/>
    <w:rsid w:val="4F561D44"/>
    <w:rsid w:val="4F5A37B4"/>
    <w:rsid w:val="4F6D0752"/>
    <w:rsid w:val="4F786D37"/>
    <w:rsid w:val="4FD0705F"/>
    <w:rsid w:val="4FDE142C"/>
    <w:rsid w:val="5011774A"/>
    <w:rsid w:val="50146059"/>
    <w:rsid w:val="5048294D"/>
    <w:rsid w:val="505C6EFD"/>
    <w:rsid w:val="50630D8E"/>
    <w:rsid w:val="506F736F"/>
    <w:rsid w:val="5080549C"/>
    <w:rsid w:val="509E5922"/>
    <w:rsid w:val="509F769E"/>
    <w:rsid w:val="50DE6667"/>
    <w:rsid w:val="50ED7196"/>
    <w:rsid w:val="51044B29"/>
    <w:rsid w:val="515A3F3F"/>
    <w:rsid w:val="515E7330"/>
    <w:rsid w:val="517D7268"/>
    <w:rsid w:val="51944BC6"/>
    <w:rsid w:val="51AB05F0"/>
    <w:rsid w:val="51AC0513"/>
    <w:rsid w:val="51B24883"/>
    <w:rsid w:val="51B6604B"/>
    <w:rsid w:val="51CE41C8"/>
    <w:rsid w:val="521F2A93"/>
    <w:rsid w:val="522E717A"/>
    <w:rsid w:val="523C1897"/>
    <w:rsid w:val="526B3F2A"/>
    <w:rsid w:val="52742DDF"/>
    <w:rsid w:val="52AD1F36"/>
    <w:rsid w:val="52B25C24"/>
    <w:rsid w:val="52C87D18"/>
    <w:rsid w:val="5325057D"/>
    <w:rsid w:val="53427D34"/>
    <w:rsid w:val="539B439B"/>
    <w:rsid w:val="539F20DD"/>
    <w:rsid w:val="53A30849"/>
    <w:rsid w:val="53B43B75"/>
    <w:rsid w:val="53DD0805"/>
    <w:rsid w:val="53DE5743"/>
    <w:rsid w:val="53E329CC"/>
    <w:rsid w:val="53ED28BC"/>
    <w:rsid w:val="53FA7313"/>
    <w:rsid w:val="54040192"/>
    <w:rsid w:val="545033D7"/>
    <w:rsid w:val="545C3887"/>
    <w:rsid w:val="545D78A2"/>
    <w:rsid w:val="549239F0"/>
    <w:rsid w:val="54B716A8"/>
    <w:rsid w:val="54CF07A0"/>
    <w:rsid w:val="54DF725F"/>
    <w:rsid w:val="55006BAB"/>
    <w:rsid w:val="551C775D"/>
    <w:rsid w:val="55200094"/>
    <w:rsid w:val="55382D71"/>
    <w:rsid w:val="553D7E00"/>
    <w:rsid w:val="55525CA4"/>
    <w:rsid w:val="55545149"/>
    <w:rsid w:val="559957C1"/>
    <w:rsid w:val="559D0BD6"/>
    <w:rsid w:val="55CE055B"/>
    <w:rsid w:val="55D32512"/>
    <w:rsid w:val="55E22755"/>
    <w:rsid w:val="56044DAE"/>
    <w:rsid w:val="56091A90"/>
    <w:rsid w:val="561B17C3"/>
    <w:rsid w:val="561F5757"/>
    <w:rsid w:val="562D159C"/>
    <w:rsid w:val="564A6822"/>
    <w:rsid w:val="56546D4A"/>
    <w:rsid w:val="56AC4233"/>
    <w:rsid w:val="56D022B5"/>
    <w:rsid w:val="56F52014"/>
    <w:rsid w:val="5717633C"/>
    <w:rsid w:val="571C70F4"/>
    <w:rsid w:val="574511ED"/>
    <w:rsid w:val="57511940"/>
    <w:rsid w:val="57742E61"/>
    <w:rsid w:val="57792C45"/>
    <w:rsid w:val="578F06BB"/>
    <w:rsid w:val="57A44166"/>
    <w:rsid w:val="57D85BBE"/>
    <w:rsid w:val="57DC6353"/>
    <w:rsid w:val="57F80965"/>
    <w:rsid w:val="58507E4A"/>
    <w:rsid w:val="587353B9"/>
    <w:rsid w:val="587578B0"/>
    <w:rsid w:val="587F21A3"/>
    <w:rsid w:val="589C0C1E"/>
    <w:rsid w:val="58AA16C8"/>
    <w:rsid w:val="58AC2BA6"/>
    <w:rsid w:val="58B303D9"/>
    <w:rsid w:val="5900361E"/>
    <w:rsid w:val="59101387"/>
    <w:rsid w:val="593212FE"/>
    <w:rsid w:val="59367672"/>
    <w:rsid w:val="597F0FF5"/>
    <w:rsid w:val="59966375"/>
    <w:rsid w:val="599876AE"/>
    <w:rsid w:val="599C08D7"/>
    <w:rsid w:val="59BD150F"/>
    <w:rsid w:val="5A1B6236"/>
    <w:rsid w:val="5A204D11"/>
    <w:rsid w:val="5A271555"/>
    <w:rsid w:val="5A7F0B1A"/>
    <w:rsid w:val="5A8319A8"/>
    <w:rsid w:val="5A8453A2"/>
    <w:rsid w:val="5A9A35FE"/>
    <w:rsid w:val="5AA4622B"/>
    <w:rsid w:val="5AB04BD0"/>
    <w:rsid w:val="5AC9329F"/>
    <w:rsid w:val="5AD563E4"/>
    <w:rsid w:val="5B0942E0"/>
    <w:rsid w:val="5B2353A2"/>
    <w:rsid w:val="5B383448"/>
    <w:rsid w:val="5B597015"/>
    <w:rsid w:val="5B7976B8"/>
    <w:rsid w:val="5B9E711E"/>
    <w:rsid w:val="5BA65FD3"/>
    <w:rsid w:val="5BB85C75"/>
    <w:rsid w:val="5BBA55DA"/>
    <w:rsid w:val="5BBB7CD0"/>
    <w:rsid w:val="5BBF7D40"/>
    <w:rsid w:val="5BF46D3E"/>
    <w:rsid w:val="5C062BE6"/>
    <w:rsid w:val="5C1271C4"/>
    <w:rsid w:val="5C230B8B"/>
    <w:rsid w:val="5C272C70"/>
    <w:rsid w:val="5C95407D"/>
    <w:rsid w:val="5CBF10FA"/>
    <w:rsid w:val="5D0E5BDE"/>
    <w:rsid w:val="5D1551BE"/>
    <w:rsid w:val="5D3F048D"/>
    <w:rsid w:val="5D430E95"/>
    <w:rsid w:val="5D504448"/>
    <w:rsid w:val="5D7111F5"/>
    <w:rsid w:val="5D7E0FB5"/>
    <w:rsid w:val="5D900CE9"/>
    <w:rsid w:val="5DAD36A2"/>
    <w:rsid w:val="5DC10EA2"/>
    <w:rsid w:val="5DD010E5"/>
    <w:rsid w:val="5DE14A9D"/>
    <w:rsid w:val="5DF003B2"/>
    <w:rsid w:val="5E023994"/>
    <w:rsid w:val="5E1216FE"/>
    <w:rsid w:val="5E2145D5"/>
    <w:rsid w:val="5E2532E6"/>
    <w:rsid w:val="5E624433"/>
    <w:rsid w:val="5E647C88"/>
    <w:rsid w:val="5E662E3D"/>
    <w:rsid w:val="5EB033F0"/>
    <w:rsid w:val="5EB43D4F"/>
    <w:rsid w:val="5EB804F7"/>
    <w:rsid w:val="5ED668DC"/>
    <w:rsid w:val="5EFA0B0F"/>
    <w:rsid w:val="5F131B4C"/>
    <w:rsid w:val="5F3670FF"/>
    <w:rsid w:val="5F3C14E7"/>
    <w:rsid w:val="5F43646F"/>
    <w:rsid w:val="5F531FCE"/>
    <w:rsid w:val="5F796DF2"/>
    <w:rsid w:val="5F830B05"/>
    <w:rsid w:val="5F8C7892"/>
    <w:rsid w:val="5F926F9A"/>
    <w:rsid w:val="5FA0070D"/>
    <w:rsid w:val="5FA7456C"/>
    <w:rsid w:val="5FA75A77"/>
    <w:rsid w:val="5FAD7C21"/>
    <w:rsid w:val="5FCB425A"/>
    <w:rsid w:val="5FDC0215"/>
    <w:rsid w:val="5FE64BF0"/>
    <w:rsid w:val="601114CB"/>
    <w:rsid w:val="60235E44"/>
    <w:rsid w:val="603142B4"/>
    <w:rsid w:val="603D6F06"/>
    <w:rsid w:val="606A75CF"/>
    <w:rsid w:val="60C969EB"/>
    <w:rsid w:val="60EE010F"/>
    <w:rsid w:val="60F26B13"/>
    <w:rsid w:val="60F92BAD"/>
    <w:rsid w:val="60FE7C06"/>
    <w:rsid w:val="61137C66"/>
    <w:rsid w:val="61257106"/>
    <w:rsid w:val="61281925"/>
    <w:rsid w:val="615763BF"/>
    <w:rsid w:val="619F599E"/>
    <w:rsid w:val="61A60ADB"/>
    <w:rsid w:val="61CB0541"/>
    <w:rsid w:val="61DB4C28"/>
    <w:rsid w:val="61E56882"/>
    <w:rsid w:val="61EC405B"/>
    <w:rsid w:val="61F1160C"/>
    <w:rsid w:val="621719D8"/>
    <w:rsid w:val="622540F5"/>
    <w:rsid w:val="622A5268"/>
    <w:rsid w:val="62443927"/>
    <w:rsid w:val="6263240A"/>
    <w:rsid w:val="6296758D"/>
    <w:rsid w:val="62AA720C"/>
    <w:rsid w:val="62BF00A6"/>
    <w:rsid w:val="62C76F5B"/>
    <w:rsid w:val="62CD2097"/>
    <w:rsid w:val="62DA64E4"/>
    <w:rsid w:val="63141A74"/>
    <w:rsid w:val="63267639"/>
    <w:rsid w:val="63646678"/>
    <w:rsid w:val="636C365E"/>
    <w:rsid w:val="637A221F"/>
    <w:rsid w:val="638C3D00"/>
    <w:rsid w:val="63926659"/>
    <w:rsid w:val="63952BB5"/>
    <w:rsid w:val="63C616A0"/>
    <w:rsid w:val="63D538F9"/>
    <w:rsid w:val="63E21F44"/>
    <w:rsid w:val="64121A53"/>
    <w:rsid w:val="644833A9"/>
    <w:rsid w:val="644F7B8E"/>
    <w:rsid w:val="64836EB1"/>
    <w:rsid w:val="64850E7B"/>
    <w:rsid w:val="64C37BF6"/>
    <w:rsid w:val="64E75692"/>
    <w:rsid w:val="64EE7C0A"/>
    <w:rsid w:val="64F4744C"/>
    <w:rsid w:val="65075D34"/>
    <w:rsid w:val="651550C2"/>
    <w:rsid w:val="652C579B"/>
    <w:rsid w:val="653C50AB"/>
    <w:rsid w:val="65534AD5"/>
    <w:rsid w:val="65644F35"/>
    <w:rsid w:val="65744A4C"/>
    <w:rsid w:val="658253BB"/>
    <w:rsid w:val="658B078D"/>
    <w:rsid w:val="65A74E21"/>
    <w:rsid w:val="65C92FEA"/>
    <w:rsid w:val="65D379C4"/>
    <w:rsid w:val="65DC0F6F"/>
    <w:rsid w:val="65E46529"/>
    <w:rsid w:val="65F52031"/>
    <w:rsid w:val="660364FC"/>
    <w:rsid w:val="66112985"/>
    <w:rsid w:val="66195D1F"/>
    <w:rsid w:val="66242F1B"/>
    <w:rsid w:val="66352F1F"/>
    <w:rsid w:val="664250F8"/>
    <w:rsid w:val="664663E8"/>
    <w:rsid w:val="6654401A"/>
    <w:rsid w:val="66846F11"/>
    <w:rsid w:val="66871EA3"/>
    <w:rsid w:val="66D165D2"/>
    <w:rsid w:val="671539F5"/>
    <w:rsid w:val="67184FB0"/>
    <w:rsid w:val="67193AFD"/>
    <w:rsid w:val="67395F4D"/>
    <w:rsid w:val="673B03AF"/>
    <w:rsid w:val="67494280"/>
    <w:rsid w:val="67681701"/>
    <w:rsid w:val="67AB6E4B"/>
    <w:rsid w:val="67D85766"/>
    <w:rsid w:val="67DB403A"/>
    <w:rsid w:val="68055F4C"/>
    <w:rsid w:val="68057AA9"/>
    <w:rsid w:val="6818150B"/>
    <w:rsid w:val="684B5F38"/>
    <w:rsid w:val="688A022F"/>
    <w:rsid w:val="690B02EE"/>
    <w:rsid w:val="69272501"/>
    <w:rsid w:val="69471BE7"/>
    <w:rsid w:val="69855479"/>
    <w:rsid w:val="69B93582"/>
    <w:rsid w:val="69C26753"/>
    <w:rsid w:val="69E14DA6"/>
    <w:rsid w:val="69F525FF"/>
    <w:rsid w:val="69F864CC"/>
    <w:rsid w:val="6A104164"/>
    <w:rsid w:val="6A107439"/>
    <w:rsid w:val="6A1360A0"/>
    <w:rsid w:val="6A1A0092"/>
    <w:rsid w:val="6A260884"/>
    <w:rsid w:val="6A507835"/>
    <w:rsid w:val="6A6631B8"/>
    <w:rsid w:val="6A70612A"/>
    <w:rsid w:val="6A7C062B"/>
    <w:rsid w:val="6A877238"/>
    <w:rsid w:val="6A95793E"/>
    <w:rsid w:val="6AA778F8"/>
    <w:rsid w:val="6ABA1153"/>
    <w:rsid w:val="6ACD4FC1"/>
    <w:rsid w:val="6AD04302"/>
    <w:rsid w:val="6B146AB5"/>
    <w:rsid w:val="6B163FCD"/>
    <w:rsid w:val="6B8C2AEF"/>
    <w:rsid w:val="6BAA0E8B"/>
    <w:rsid w:val="6BBB1626"/>
    <w:rsid w:val="6BC26511"/>
    <w:rsid w:val="6BFD01D8"/>
    <w:rsid w:val="6C303DC2"/>
    <w:rsid w:val="6C327292"/>
    <w:rsid w:val="6C355105"/>
    <w:rsid w:val="6C3D1C31"/>
    <w:rsid w:val="6C5F4D83"/>
    <w:rsid w:val="6C6E48EB"/>
    <w:rsid w:val="6CE9405F"/>
    <w:rsid w:val="6CFA1CDB"/>
    <w:rsid w:val="6D3451EC"/>
    <w:rsid w:val="6D3F05F3"/>
    <w:rsid w:val="6D581EDE"/>
    <w:rsid w:val="6D5C4743"/>
    <w:rsid w:val="6D604F27"/>
    <w:rsid w:val="6D7872BE"/>
    <w:rsid w:val="6D9F3CA8"/>
    <w:rsid w:val="6DAC1227"/>
    <w:rsid w:val="6DE8556D"/>
    <w:rsid w:val="6E11406C"/>
    <w:rsid w:val="6E151448"/>
    <w:rsid w:val="6E2214E9"/>
    <w:rsid w:val="6E781A51"/>
    <w:rsid w:val="6E815015"/>
    <w:rsid w:val="6E964F1F"/>
    <w:rsid w:val="6EB80735"/>
    <w:rsid w:val="6EC4144C"/>
    <w:rsid w:val="6EC922AC"/>
    <w:rsid w:val="6EC95E08"/>
    <w:rsid w:val="6EE3511C"/>
    <w:rsid w:val="6EF410D7"/>
    <w:rsid w:val="6F072A92"/>
    <w:rsid w:val="6F1B0286"/>
    <w:rsid w:val="6F4D3531"/>
    <w:rsid w:val="6F571EE4"/>
    <w:rsid w:val="6F6C5073"/>
    <w:rsid w:val="6F7C10CD"/>
    <w:rsid w:val="6FB70357"/>
    <w:rsid w:val="6FE17605"/>
    <w:rsid w:val="6FF576D7"/>
    <w:rsid w:val="702B51F4"/>
    <w:rsid w:val="702C6118"/>
    <w:rsid w:val="70497201"/>
    <w:rsid w:val="706A53C9"/>
    <w:rsid w:val="707C1572"/>
    <w:rsid w:val="707D7387"/>
    <w:rsid w:val="707F70C6"/>
    <w:rsid w:val="70866D14"/>
    <w:rsid w:val="70B8465E"/>
    <w:rsid w:val="70C1148D"/>
    <w:rsid w:val="7105445C"/>
    <w:rsid w:val="71080E6A"/>
    <w:rsid w:val="711C24DA"/>
    <w:rsid w:val="713F0604"/>
    <w:rsid w:val="71520337"/>
    <w:rsid w:val="717E112C"/>
    <w:rsid w:val="71940C37"/>
    <w:rsid w:val="71A14E1B"/>
    <w:rsid w:val="71BA7C8A"/>
    <w:rsid w:val="71E644D0"/>
    <w:rsid w:val="72054E52"/>
    <w:rsid w:val="7224305C"/>
    <w:rsid w:val="723B0DCB"/>
    <w:rsid w:val="72404633"/>
    <w:rsid w:val="72554F0C"/>
    <w:rsid w:val="72757BBD"/>
    <w:rsid w:val="72AD0E60"/>
    <w:rsid w:val="72AF1B77"/>
    <w:rsid w:val="72B821FC"/>
    <w:rsid w:val="72D651FD"/>
    <w:rsid w:val="72DD1906"/>
    <w:rsid w:val="72E923EA"/>
    <w:rsid w:val="72F91763"/>
    <w:rsid w:val="73027B3B"/>
    <w:rsid w:val="73124222"/>
    <w:rsid w:val="73165394"/>
    <w:rsid w:val="733A5527"/>
    <w:rsid w:val="73506AF8"/>
    <w:rsid w:val="735212C2"/>
    <w:rsid w:val="73AD7AA7"/>
    <w:rsid w:val="73D541D6"/>
    <w:rsid w:val="73D86B4F"/>
    <w:rsid w:val="73DC65DE"/>
    <w:rsid w:val="73FD152F"/>
    <w:rsid w:val="73FE47A6"/>
    <w:rsid w:val="740F10AA"/>
    <w:rsid w:val="74132B02"/>
    <w:rsid w:val="74294489"/>
    <w:rsid w:val="743B5D19"/>
    <w:rsid w:val="746B4DE1"/>
    <w:rsid w:val="74833EE3"/>
    <w:rsid w:val="74980757"/>
    <w:rsid w:val="74CB28DA"/>
    <w:rsid w:val="74E474F8"/>
    <w:rsid w:val="74E55980"/>
    <w:rsid w:val="74FA31C0"/>
    <w:rsid w:val="750A2CD7"/>
    <w:rsid w:val="7519750B"/>
    <w:rsid w:val="751C3136"/>
    <w:rsid w:val="751F2C26"/>
    <w:rsid w:val="75297059"/>
    <w:rsid w:val="754506F8"/>
    <w:rsid w:val="75842A89"/>
    <w:rsid w:val="75952EE8"/>
    <w:rsid w:val="75A650F5"/>
    <w:rsid w:val="75CC63F6"/>
    <w:rsid w:val="75DB4288"/>
    <w:rsid w:val="75E5415F"/>
    <w:rsid w:val="762865F3"/>
    <w:rsid w:val="76297DEC"/>
    <w:rsid w:val="763D6D61"/>
    <w:rsid w:val="764566BC"/>
    <w:rsid w:val="764E21C9"/>
    <w:rsid w:val="76531987"/>
    <w:rsid w:val="766E548E"/>
    <w:rsid w:val="76763C9B"/>
    <w:rsid w:val="76AA190D"/>
    <w:rsid w:val="76B92C06"/>
    <w:rsid w:val="76B94B5B"/>
    <w:rsid w:val="76BD0317"/>
    <w:rsid w:val="76D125EC"/>
    <w:rsid w:val="76D57A40"/>
    <w:rsid w:val="76DB0C42"/>
    <w:rsid w:val="76E934EC"/>
    <w:rsid w:val="76ED50D2"/>
    <w:rsid w:val="771B10EA"/>
    <w:rsid w:val="77512E3F"/>
    <w:rsid w:val="77562A2D"/>
    <w:rsid w:val="77595309"/>
    <w:rsid w:val="775E11DE"/>
    <w:rsid w:val="778803B6"/>
    <w:rsid w:val="77924BEB"/>
    <w:rsid w:val="779943F1"/>
    <w:rsid w:val="77B57CE6"/>
    <w:rsid w:val="77CB2BF1"/>
    <w:rsid w:val="77DA2E34"/>
    <w:rsid w:val="77E45A61"/>
    <w:rsid w:val="783B7D77"/>
    <w:rsid w:val="784309DA"/>
    <w:rsid w:val="784F2557"/>
    <w:rsid w:val="78665094"/>
    <w:rsid w:val="78697846"/>
    <w:rsid w:val="78774B27"/>
    <w:rsid w:val="78874D6A"/>
    <w:rsid w:val="78A83DBD"/>
    <w:rsid w:val="78B35B5F"/>
    <w:rsid w:val="78E24DCB"/>
    <w:rsid w:val="78F849C2"/>
    <w:rsid w:val="78FC310E"/>
    <w:rsid w:val="79045E32"/>
    <w:rsid w:val="79132AA2"/>
    <w:rsid w:val="79294073"/>
    <w:rsid w:val="792A0134"/>
    <w:rsid w:val="794D6E3B"/>
    <w:rsid w:val="79701CA2"/>
    <w:rsid w:val="79757554"/>
    <w:rsid w:val="79773031"/>
    <w:rsid w:val="797C0A9B"/>
    <w:rsid w:val="79AE1324"/>
    <w:rsid w:val="79B55F48"/>
    <w:rsid w:val="79C478F8"/>
    <w:rsid w:val="79C73545"/>
    <w:rsid w:val="79CD432C"/>
    <w:rsid w:val="79E57CFB"/>
    <w:rsid w:val="7A0B3779"/>
    <w:rsid w:val="7A3E76AA"/>
    <w:rsid w:val="7A49604F"/>
    <w:rsid w:val="7A5E5F9F"/>
    <w:rsid w:val="7A7B13B1"/>
    <w:rsid w:val="7A831561"/>
    <w:rsid w:val="7A8F6158"/>
    <w:rsid w:val="7AAC4F5C"/>
    <w:rsid w:val="7ABB0CFB"/>
    <w:rsid w:val="7AEF309B"/>
    <w:rsid w:val="7AEF6BF7"/>
    <w:rsid w:val="7B0F7299"/>
    <w:rsid w:val="7B226FCC"/>
    <w:rsid w:val="7B56326B"/>
    <w:rsid w:val="7B592AEB"/>
    <w:rsid w:val="7B5C2E58"/>
    <w:rsid w:val="7B6273C9"/>
    <w:rsid w:val="7B7A0FC8"/>
    <w:rsid w:val="7B7D06A6"/>
    <w:rsid w:val="7B931C78"/>
    <w:rsid w:val="7B9854E0"/>
    <w:rsid w:val="7BB10350"/>
    <w:rsid w:val="7BB33D4C"/>
    <w:rsid w:val="7BBA2624"/>
    <w:rsid w:val="7BD06A28"/>
    <w:rsid w:val="7BF00D90"/>
    <w:rsid w:val="7C0641F8"/>
    <w:rsid w:val="7C142DB9"/>
    <w:rsid w:val="7C1639FF"/>
    <w:rsid w:val="7C3A6A8B"/>
    <w:rsid w:val="7C661068"/>
    <w:rsid w:val="7CCF49B2"/>
    <w:rsid w:val="7CF404F4"/>
    <w:rsid w:val="7D07647A"/>
    <w:rsid w:val="7D20217D"/>
    <w:rsid w:val="7D2F59D0"/>
    <w:rsid w:val="7D311748"/>
    <w:rsid w:val="7D7D04EA"/>
    <w:rsid w:val="7D7D498E"/>
    <w:rsid w:val="7D93181C"/>
    <w:rsid w:val="7D9E69C0"/>
    <w:rsid w:val="7DF03702"/>
    <w:rsid w:val="7E0B3D48"/>
    <w:rsid w:val="7E1075B0"/>
    <w:rsid w:val="7E2C4AFF"/>
    <w:rsid w:val="7E3A462D"/>
    <w:rsid w:val="7EF02F3D"/>
    <w:rsid w:val="7F1B620C"/>
    <w:rsid w:val="7F1B6380"/>
    <w:rsid w:val="7F21759B"/>
    <w:rsid w:val="7F26481D"/>
    <w:rsid w:val="7F460DAF"/>
    <w:rsid w:val="7F631C00"/>
    <w:rsid w:val="7F6A0F42"/>
    <w:rsid w:val="7F761695"/>
    <w:rsid w:val="7FF151BF"/>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4"/>
    <w:qFormat/>
    <w:uiPriority w:val="0"/>
    <w:pPr>
      <w:keepNext/>
      <w:keepLines/>
      <w:widowControl/>
      <w:spacing w:before="200" w:line="276" w:lineRule="auto"/>
      <w:jc w:val="left"/>
      <w:outlineLvl w:val="3"/>
    </w:pPr>
    <w:rPr>
      <w:rFonts w:ascii="Cambria" w:hAnsi="Cambria"/>
      <w:b/>
      <w:bCs/>
      <w:i/>
      <w:iCs/>
      <w:color w:val="4F81BD"/>
      <w:kern w:val="0"/>
      <w:sz w:val="22"/>
      <w:lang w:eastAsia="en-US" w:bidi="en-US"/>
    </w:rPr>
  </w:style>
  <w:style w:type="paragraph" w:styleId="6">
    <w:name w:val="heading 5"/>
    <w:basedOn w:val="1"/>
    <w:next w:val="1"/>
    <w:link w:val="65"/>
    <w:qFormat/>
    <w:uiPriority w:val="0"/>
    <w:pPr>
      <w:keepNext/>
      <w:keepLines/>
      <w:widowControl/>
      <w:spacing w:before="200" w:line="276" w:lineRule="auto"/>
      <w:jc w:val="left"/>
      <w:outlineLvl w:val="4"/>
    </w:pPr>
    <w:rPr>
      <w:rFonts w:ascii="Cambria" w:hAnsi="Cambria"/>
      <w:color w:val="243F60"/>
      <w:kern w:val="0"/>
      <w:sz w:val="22"/>
      <w:lang w:eastAsia="en-US" w:bidi="en-US"/>
    </w:rPr>
  </w:style>
  <w:style w:type="paragraph" w:styleId="7">
    <w:name w:val="heading 6"/>
    <w:basedOn w:val="1"/>
    <w:next w:val="1"/>
    <w:link w:val="66"/>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7"/>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68"/>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9"/>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after="160" w:line="360" w:lineRule="atLeast"/>
      <w:jc w:val="left"/>
      <w:textAlignment w:val="baseline"/>
    </w:pPr>
    <w:rPr>
      <w:rFonts w:ascii="Arial" w:hAnsi="Arial" w:eastAsia="黑体"/>
      <w:kern w:val="0"/>
      <w:sz w:val="24"/>
    </w:rPr>
  </w:style>
  <w:style w:type="paragraph" w:styleId="14">
    <w:name w:val="Document Map"/>
    <w:basedOn w:val="1"/>
    <w:link w:val="70"/>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1"/>
    <w:semiHidden/>
    <w:qFormat/>
    <w:uiPriority w:val="0"/>
    <w:pPr>
      <w:jc w:val="left"/>
    </w:pPr>
  </w:style>
  <w:style w:type="paragraph" w:styleId="17">
    <w:name w:val="Body Text 3"/>
    <w:basedOn w:val="1"/>
    <w:link w:val="72"/>
    <w:qFormat/>
    <w:uiPriority w:val="0"/>
    <w:pPr>
      <w:spacing w:after="120"/>
    </w:pPr>
    <w:rPr>
      <w:sz w:val="16"/>
      <w:szCs w:val="16"/>
    </w:rPr>
  </w:style>
  <w:style w:type="paragraph" w:styleId="18">
    <w:name w:val="Body Text"/>
    <w:basedOn w:val="1"/>
    <w:link w:val="73"/>
    <w:qFormat/>
    <w:uiPriority w:val="0"/>
    <w:rPr>
      <w:rFonts w:eastAsia="黑体"/>
      <w:sz w:val="36"/>
    </w:rPr>
  </w:style>
  <w:style w:type="paragraph" w:styleId="19">
    <w:name w:val="Body Text Indent"/>
    <w:basedOn w:val="1"/>
    <w:link w:val="74"/>
    <w:qFormat/>
    <w:uiPriority w:val="0"/>
    <w:pPr>
      <w:spacing w:after="120"/>
      <w:ind w:left="420" w:leftChars="200"/>
    </w:pPr>
  </w:style>
  <w:style w:type="paragraph" w:styleId="20">
    <w:name w:val="Block Text"/>
    <w:basedOn w:val="1"/>
    <w:qFormat/>
    <w:uiPriority w:val="0"/>
    <w:pPr>
      <w:spacing w:after="120"/>
      <w:ind w:left="1440" w:leftChars="700" w:right="1440" w:rightChars="700"/>
    </w:pPr>
  </w:style>
  <w:style w:type="paragraph" w:styleId="21">
    <w:name w:val="toc 5"/>
    <w:basedOn w:val="1"/>
    <w:next w:val="1"/>
    <w:qFormat/>
    <w:uiPriority w:val="39"/>
    <w:pPr>
      <w:ind w:left="840"/>
      <w:jc w:val="left"/>
    </w:pPr>
    <w:rPr>
      <w:rFonts w:ascii="Calibri" w:hAnsi="Calibri"/>
      <w:sz w:val="18"/>
      <w:szCs w:val="18"/>
    </w:rPr>
  </w:style>
  <w:style w:type="paragraph" w:styleId="22">
    <w:name w:val="toc 3"/>
    <w:basedOn w:val="1"/>
    <w:next w:val="1"/>
    <w:qFormat/>
    <w:uiPriority w:val="39"/>
    <w:pPr>
      <w:ind w:left="420"/>
      <w:jc w:val="left"/>
    </w:pPr>
    <w:rPr>
      <w:rFonts w:ascii="Calibri" w:hAnsi="Calibri"/>
      <w:i/>
      <w:iCs/>
      <w:sz w:val="20"/>
      <w:szCs w:val="20"/>
    </w:rPr>
  </w:style>
  <w:style w:type="paragraph" w:styleId="23">
    <w:name w:val="Plain Text"/>
    <w:basedOn w:val="1"/>
    <w:link w:val="75"/>
    <w:qFormat/>
    <w:uiPriority w:val="0"/>
    <w:rPr>
      <w:rFonts w:ascii="宋体" w:hAnsi="Courier New"/>
      <w:szCs w:val="21"/>
    </w:rPr>
  </w:style>
  <w:style w:type="paragraph" w:styleId="24">
    <w:name w:val="toc 8"/>
    <w:basedOn w:val="1"/>
    <w:next w:val="1"/>
    <w:unhideWhenUsed/>
    <w:qFormat/>
    <w:uiPriority w:val="39"/>
    <w:pPr>
      <w:ind w:left="1470"/>
      <w:jc w:val="left"/>
    </w:pPr>
    <w:rPr>
      <w:rFonts w:ascii="Calibri" w:hAnsi="Calibri"/>
      <w:sz w:val="18"/>
      <w:szCs w:val="18"/>
    </w:rPr>
  </w:style>
  <w:style w:type="paragraph" w:styleId="25">
    <w:name w:val="Date"/>
    <w:basedOn w:val="1"/>
    <w:next w:val="1"/>
    <w:link w:val="76"/>
    <w:qFormat/>
    <w:uiPriority w:val="0"/>
    <w:pPr>
      <w:adjustRightInd w:val="0"/>
      <w:spacing w:line="360" w:lineRule="atLeast"/>
    </w:pPr>
    <w:rPr>
      <w:rFonts w:ascii="宋体"/>
      <w:kern w:val="0"/>
      <w:sz w:val="24"/>
      <w:szCs w:val="20"/>
    </w:rPr>
  </w:style>
  <w:style w:type="paragraph" w:styleId="26">
    <w:name w:val="Body Text Indent 2"/>
    <w:basedOn w:val="1"/>
    <w:link w:val="77"/>
    <w:qFormat/>
    <w:uiPriority w:val="0"/>
    <w:pPr>
      <w:spacing w:after="120" w:line="480" w:lineRule="auto"/>
      <w:ind w:left="420" w:leftChars="200"/>
    </w:pPr>
  </w:style>
  <w:style w:type="paragraph" w:styleId="27">
    <w:name w:val="endnote text"/>
    <w:basedOn w:val="1"/>
    <w:link w:val="78"/>
    <w:qFormat/>
    <w:uiPriority w:val="0"/>
    <w:pPr>
      <w:snapToGrid w:val="0"/>
      <w:jc w:val="left"/>
    </w:pPr>
  </w:style>
  <w:style w:type="paragraph" w:styleId="28">
    <w:name w:val="Balloon Text"/>
    <w:basedOn w:val="1"/>
    <w:link w:val="79"/>
    <w:semiHidden/>
    <w:qFormat/>
    <w:uiPriority w:val="0"/>
    <w:rPr>
      <w:sz w:val="18"/>
      <w:szCs w:val="18"/>
    </w:rPr>
  </w:style>
  <w:style w:type="paragraph" w:styleId="29">
    <w:name w:val="footer"/>
    <w:basedOn w:val="1"/>
    <w:link w:val="80"/>
    <w:unhideWhenUsed/>
    <w:qFormat/>
    <w:uiPriority w:val="99"/>
    <w:pPr>
      <w:tabs>
        <w:tab w:val="center" w:pos="4153"/>
        <w:tab w:val="right" w:pos="8306"/>
      </w:tabs>
      <w:snapToGrid w:val="0"/>
      <w:jc w:val="left"/>
    </w:pPr>
    <w:rPr>
      <w:kern w:val="0"/>
      <w:sz w:val="18"/>
      <w:szCs w:val="18"/>
    </w:rPr>
  </w:style>
  <w:style w:type="paragraph" w:styleId="30">
    <w:name w:val="header"/>
    <w:basedOn w:val="1"/>
    <w:link w:val="8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qFormat/>
    <w:uiPriority w:val="39"/>
    <w:pPr>
      <w:spacing w:before="120" w:after="120"/>
      <w:jc w:val="left"/>
    </w:pPr>
    <w:rPr>
      <w:rFonts w:ascii="Calibri" w:hAnsi="Calibri"/>
      <w:b/>
      <w:bCs/>
      <w:caps/>
      <w:sz w:val="20"/>
      <w:szCs w:val="20"/>
    </w:rPr>
  </w:style>
  <w:style w:type="paragraph" w:styleId="32">
    <w:name w:val="toc 4"/>
    <w:basedOn w:val="1"/>
    <w:next w:val="1"/>
    <w:qFormat/>
    <w:uiPriority w:val="39"/>
    <w:pPr>
      <w:ind w:left="630"/>
      <w:jc w:val="left"/>
    </w:pPr>
    <w:rPr>
      <w:rFonts w:ascii="Calibri" w:hAnsi="Calibri"/>
      <w:sz w:val="18"/>
      <w:szCs w:val="18"/>
    </w:rPr>
  </w:style>
  <w:style w:type="paragraph" w:styleId="33">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link w:val="82"/>
    <w:qFormat/>
    <w:uiPriority w:val="99"/>
    <w:pPr>
      <w:snapToGrid w:val="0"/>
      <w:jc w:val="left"/>
    </w:pPr>
    <w:rPr>
      <w:sz w:val="18"/>
      <w:szCs w:val="18"/>
    </w:rPr>
  </w:style>
  <w:style w:type="paragraph" w:styleId="36">
    <w:name w:val="toc 6"/>
    <w:basedOn w:val="1"/>
    <w:next w:val="1"/>
    <w:unhideWhenUsed/>
    <w:qFormat/>
    <w:uiPriority w:val="39"/>
    <w:pPr>
      <w:ind w:left="1050"/>
      <w:jc w:val="left"/>
    </w:pPr>
    <w:rPr>
      <w:rFonts w:ascii="Calibri" w:hAnsi="Calibri"/>
      <w:sz w:val="18"/>
      <w:szCs w:val="18"/>
    </w:rPr>
  </w:style>
  <w:style w:type="paragraph" w:styleId="37">
    <w:name w:val="Body Text Indent 3"/>
    <w:basedOn w:val="1"/>
    <w:link w:val="83"/>
    <w:qFormat/>
    <w:uiPriority w:val="0"/>
    <w:pPr>
      <w:spacing w:after="120"/>
      <w:ind w:left="420" w:leftChars="200"/>
    </w:pPr>
    <w:rPr>
      <w:sz w:val="16"/>
      <w:szCs w:val="16"/>
    </w:rPr>
  </w:style>
  <w:style w:type="paragraph" w:styleId="38">
    <w:name w:val="toc 2"/>
    <w:basedOn w:val="1"/>
    <w:next w:val="1"/>
    <w:qFormat/>
    <w:uiPriority w:val="39"/>
    <w:pPr>
      <w:ind w:left="210"/>
      <w:jc w:val="left"/>
    </w:pPr>
    <w:rPr>
      <w:rFonts w:ascii="Calibri" w:hAnsi="Calibri"/>
      <w:smallCaps/>
      <w:sz w:val="20"/>
      <w:szCs w:val="20"/>
    </w:rPr>
  </w:style>
  <w:style w:type="paragraph" w:styleId="39">
    <w:name w:val="toc 9"/>
    <w:basedOn w:val="1"/>
    <w:next w:val="1"/>
    <w:unhideWhenUsed/>
    <w:qFormat/>
    <w:uiPriority w:val="39"/>
    <w:pPr>
      <w:ind w:left="1680"/>
      <w:jc w:val="left"/>
    </w:pPr>
    <w:rPr>
      <w:rFonts w:ascii="Calibri" w:hAnsi="Calibri"/>
      <w:sz w:val="18"/>
      <w:szCs w:val="18"/>
    </w:rPr>
  </w:style>
  <w:style w:type="paragraph" w:styleId="40">
    <w:name w:val="Body Text 2"/>
    <w:basedOn w:val="1"/>
    <w:link w:val="84"/>
    <w:qFormat/>
    <w:uiPriority w:val="0"/>
    <w:pPr>
      <w:jc w:val="center"/>
    </w:pPr>
    <w:rPr>
      <w:rFonts w:eastAsia="黑体"/>
      <w:bCs/>
      <w:sz w:val="72"/>
    </w:rPr>
  </w:style>
  <w:style w:type="paragraph" w:styleId="41">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42">
    <w:name w:val="index 1"/>
    <w:basedOn w:val="1"/>
    <w:next w:val="1"/>
    <w:semiHidden/>
    <w:qFormat/>
    <w:uiPriority w:val="0"/>
    <w:pPr>
      <w:spacing w:line="220" w:lineRule="exact"/>
      <w:jc w:val="center"/>
    </w:pPr>
    <w:rPr>
      <w:rFonts w:ascii="仿宋_GB2312" w:eastAsia="仿宋_GB2312"/>
      <w:szCs w:val="21"/>
    </w:rPr>
  </w:style>
  <w:style w:type="paragraph" w:styleId="43">
    <w:name w:val="Title"/>
    <w:basedOn w:val="1"/>
    <w:link w:val="85"/>
    <w:qFormat/>
    <w:uiPriority w:val="0"/>
    <w:pPr>
      <w:adjustRightInd w:val="0"/>
      <w:spacing w:before="240" w:after="60" w:line="360" w:lineRule="atLeast"/>
      <w:jc w:val="center"/>
      <w:outlineLvl w:val="0"/>
    </w:pPr>
    <w:rPr>
      <w:rFonts w:ascii="Arial" w:hAnsi="Arial"/>
      <w:b/>
      <w:kern w:val="0"/>
      <w:sz w:val="32"/>
      <w:szCs w:val="20"/>
    </w:rPr>
  </w:style>
  <w:style w:type="paragraph" w:styleId="44">
    <w:name w:val="annotation subject"/>
    <w:basedOn w:val="16"/>
    <w:next w:val="16"/>
    <w:link w:val="86"/>
    <w:semiHidden/>
    <w:qFormat/>
    <w:uiPriority w:val="0"/>
    <w:rPr>
      <w:b/>
      <w:bCs/>
    </w:rPr>
  </w:style>
  <w:style w:type="paragraph" w:styleId="45">
    <w:name w:val="Body Text First Indent"/>
    <w:basedOn w:val="18"/>
    <w:link w:val="87"/>
    <w:qFormat/>
    <w:uiPriority w:val="0"/>
    <w:pPr>
      <w:tabs>
        <w:tab w:val="left" w:pos="1418"/>
      </w:tabs>
      <w:autoSpaceDE w:val="0"/>
      <w:autoSpaceDN w:val="0"/>
      <w:adjustRightInd w:val="0"/>
      <w:spacing w:before="120" w:after="120"/>
      <w:ind w:left="1418" w:hanging="567"/>
      <w:jc w:val="left"/>
    </w:pPr>
    <w:rPr>
      <w:rFonts w:eastAsia="PMingLiU"/>
      <w:lang w:eastAsia="zh-TW"/>
    </w:rPr>
  </w:style>
  <w:style w:type="table" w:styleId="47">
    <w:name w:val="Table Grid"/>
    <w:basedOn w:val="4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endnote reference"/>
    <w:qFormat/>
    <w:uiPriority w:val="0"/>
    <w:rPr>
      <w:vertAlign w:val="superscript"/>
    </w:rPr>
  </w:style>
  <w:style w:type="character" w:styleId="51">
    <w:name w:val="page number"/>
    <w:qFormat/>
    <w:uiPriority w:val="0"/>
  </w:style>
  <w:style w:type="character" w:styleId="52">
    <w:name w:val="FollowedHyperlink"/>
    <w:basedOn w:val="48"/>
    <w:qFormat/>
    <w:uiPriority w:val="0"/>
    <w:rPr>
      <w:color w:val="333333"/>
      <w:u w:val="none"/>
    </w:rPr>
  </w:style>
  <w:style w:type="character" w:styleId="53">
    <w:name w:val="HTML Definition"/>
    <w:basedOn w:val="48"/>
    <w:qFormat/>
    <w:uiPriority w:val="0"/>
    <w:rPr>
      <w:i/>
      <w:iCs/>
    </w:rPr>
  </w:style>
  <w:style w:type="character" w:styleId="54">
    <w:name w:val="HTML Acronym"/>
    <w:basedOn w:val="48"/>
    <w:qFormat/>
    <w:uiPriority w:val="0"/>
    <w:rPr>
      <w:color w:val="222E3A"/>
      <w:sz w:val="25"/>
      <w:szCs w:val="25"/>
    </w:rPr>
  </w:style>
  <w:style w:type="character" w:styleId="55">
    <w:name w:val="Hyperlink"/>
    <w:basedOn w:val="48"/>
    <w:qFormat/>
    <w:uiPriority w:val="99"/>
    <w:rPr>
      <w:color w:val="333333"/>
      <w:u w:val="none"/>
    </w:rPr>
  </w:style>
  <w:style w:type="character" w:styleId="56">
    <w:name w:val="HTML Code"/>
    <w:basedOn w:val="48"/>
    <w:qFormat/>
    <w:uiPriority w:val="0"/>
    <w:rPr>
      <w:rFonts w:hint="default" w:ascii="monospace" w:hAnsi="monospace" w:eastAsia="monospace" w:cs="monospace"/>
      <w:sz w:val="21"/>
      <w:szCs w:val="21"/>
    </w:rPr>
  </w:style>
  <w:style w:type="character" w:styleId="57">
    <w:name w:val="annotation reference"/>
    <w:qFormat/>
    <w:uiPriority w:val="0"/>
    <w:rPr>
      <w:sz w:val="21"/>
      <w:szCs w:val="21"/>
    </w:rPr>
  </w:style>
  <w:style w:type="character" w:styleId="58">
    <w:name w:val="footnote reference"/>
    <w:qFormat/>
    <w:uiPriority w:val="99"/>
    <w:rPr>
      <w:vertAlign w:val="superscript"/>
    </w:rPr>
  </w:style>
  <w:style w:type="character" w:styleId="59">
    <w:name w:val="HTML Keyboard"/>
    <w:basedOn w:val="48"/>
    <w:qFormat/>
    <w:uiPriority w:val="0"/>
    <w:rPr>
      <w:rFonts w:ascii="monospace" w:hAnsi="monospace" w:eastAsia="monospace" w:cs="monospace"/>
      <w:sz w:val="21"/>
      <w:szCs w:val="21"/>
    </w:rPr>
  </w:style>
  <w:style w:type="character" w:styleId="60">
    <w:name w:val="HTML Sample"/>
    <w:basedOn w:val="48"/>
    <w:qFormat/>
    <w:uiPriority w:val="0"/>
    <w:rPr>
      <w:rFonts w:hint="default" w:ascii="monospace" w:hAnsi="monospace" w:eastAsia="monospace" w:cs="monospace"/>
      <w:sz w:val="21"/>
      <w:szCs w:val="21"/>
    </w:rPr>
  </w:style>
  <w:style w:type="character" w:customStyle="1" w:styleId="61">
    <w:name w:val="标题 1 字符"/>
    <w:link w:val="2"/>
    <w:qFormat/>
    <w:uiPriority w:val="9"/>
    <w:rPr>
      <w:rFonts w:eastAsia="宋体"/>
      <w:b/>
      <w:bCs/>
      <w:kern w:val="44"/>
      <w:sz w:val="44"/>
      <w:szCs w:val="44"/>
      <w:lang w:val="en-US" w:eastAsia="zh-CN" w:bidi="ar-SA"/>
    </w:rPr>
  </w:style>
  <w:style w:type="character" w:customStyle="1" w:styleId="62">
    <w:name w:val="标题 2 字符"/>
    <w:link w:val="3"/>
    <w:qFormat/>
    <w:uiPriority w:val="9"/>
    <w:rPr>
      <w:rFonts w:ascii="Cambria" w:hAnsi="Cambria" w:eastAsia="宋体"/>
      <w:b/>
      <w:bCs/>
      <w:kern w:val="2"/>
      <w:sz w:val="32"/>
      <w:szCs w:val="32"/>
      <w:lang w:val="en-US" w:eastAsia="zh-CN" w:bidi="ar-SA"/>
    </w:rPr>
  </w:style>
  <w:style w:type="character" w:customStyle="1" w:styleId="63">
    <w:name w:val="标题 3 字符"/>
    <w:link w:val="4"/>
    <w:qFormat/>
    <w:uiPriority w:val="0"/>
    <w:rPr>
      <w:rFonts w:ascii="宋体" w:hAnsi="宋体"/>
      <w:b/>
      <w:bCs/>
      <w:sz w:val="28"/>
      <w:szCs w:val="24"/>
      <w:lang w:eastAsia="en-US" w:bidi="en-US"/>
    </w:rPr>
  </w:style>
  <w:style w:type="character" w:customStyle="1" w:styleId="64">
    <w:name w:val="标题 4 字符"/>
    <w:link w:val="5"/>
    <w:qFormat/>
    <w:uiPriority w:val="0"/>
    <w:rPr>
      <w:rFonts w:ascii="Cambria" w:hAnsi="Cambria" w:eastAsia="宋体"/>
      <w:b/>
      <w:bCs/>
      <w:i/>
      <w:iCs/>
      <w:color w:val="4F81BD"/>
      <w:sz w:val="22"/>
      <w:szCs w:val="24"/>
      <w:lang w:val="en-US" w:eastAsia="en-US" w:bidi="en-US"/>
    </w:rPr>
  </w:style>
  <w:style w:type="character" w:customStyle="1" w:styleId="65">
    <w:name w:val="标题 5 字符"/>
    <w:link w:val="6"/>
    <w:qFormat/>
    <w:uiPriority w:val="0"/>
    <w:rPr>
      <w:rFonts w:ascii="Cambria" w:hAnsi="Cambria" w:eastAsia="宋体"/>
      <w:color w:val="243F60"/>
      <w:sz w:val="22"/>
      <w:szCs w:val="24"/>
      <w:lang w:val="en-US" w:eastAsia="en-US" w:bidi="en-US"/>
    </w:rPr>
  </w:style>
  <w:style w:type="character" w:customStyle="1" w:styleId="66">
    <w:name w:val="标题 6 字符"/>
    <w:link w:val="7"/>
    <w:qFormat/>
    <w:uiPriority w:val="0"/>
    <w:rPr>
      <w:rFonts w:ascii="Arial" w:hAnsi="Arial" w:eastAsia="黑体"/>
      <w:b/>
      <w:sz w:val="24"/>
      <w:lang w:val="en-US" w:eastAsia="zh-CN" w:bidi="ar-SA"/>
    </w:rPr>
  </w:style>
  <w:style w:type="character" w:customStyle="1" w:styleId="67">
    <w:name w:val="标题 7 字符"/>
    <w:link w:val="8"/>
    <w:qFormat/>
    <w:uiPriority w:val="0"/>
    <w:rPr>
      <w:rFonts w:eastAsia="宋体"/>
      <w:b/>
      <w:sz w:val="24"/>
      <w:lang w:val="en-US" w:eastAsia="zh-CN" w:bidi="ar-SA"/>
    </w:rPr>
  </w:style>
  <w:style w:type="character" w:customStyle="1" w:styleId="68">
    <w:name w:val="标题 8 字符"/>
    <w:link w:val="9"/>
    <w:qFormat/>
    <w:uiPriority w:val="0"/>
    <w:rPr>
      <w:rFonts w:ascii="Arial" w:hAnsi="Arial" w:eastAsia="黑体"/>
      <w:sz w:val="24"/>
      <w:lang w:val="en-US" w:eastAsia="zh-CN" w:bidi="ar-SA"/>
    </w:rPr>
  </w:style>
  <w:style w:type="character" w:customStyle="1" w:styleId="69">
    <w:name w:val="标题 9 字符"/>
    <w:link w:val="10"/>
    <w:qFormat/>
    <w:uiPriority w:val="0"/>
    <w:rPr>
      <w:rFonts w:ascii="Arial" w:hAnsi="Arial" w:eastAsia="黑体"/>
      <w:sz w:val="21"/>
      <w:lang w:val="en-US" w:eastAsia="zh-CN" w:bidi="ar-SA"/>
    </w:rPr>
  </w:style>
  <w:style w:type="character" w:customStyle="1" w:styleId="70">
    <w:name w:val="文档结构图 字符"/>
    <w:link w:val="14"/>
    <w:semiHidden/>
    <w:qFormat/>
    <w:uiPriority w:val="0"/>
    <w:rPr>
      <w:rFonts w:eastAsia="宋体"/>
      <w:kern w:val="2"/>
      <w:sz w:val="21"/>
      <w:szCs w:val="24"/>
      <w:lang w:val="en-US" w:eastAsia="zh-CN" w:bidi="ar-SA"/>
    </w:rPr>
  </w:style>
  <w:style w:type="character" w:customStyle="1" w:styleId="71">
    <w:name w:val="批注文字 字符"/>
    <w:link w:val="16"/>
    <w:semiHidden/>
    <w:qFormat/>
    <w:uiPriority w:val="0"/>
    <w:rPr>
      <w:rFonts w:eastAsia="宋体"/>
      <w:kern w:val="2"/>
      <w:sz w:val="21"/>
      <w:szCs w:val="24"/>
      <w:lang w:val="en-US" w:eastAsia="zh-CN" w:bidi="ar-SA"/>
    </w:rPr>
  </w:style>
  <w:style w:type="character" w:customStyle="1" w:styleId="72">
    <w:name w:val="正文文本 3 字符"/>
    <w:link w:val="17"/>
    <w:qFormat/>
    <w:uiPriority w:val="0"/>
    <w:rPr>
      <w:rFonts w:eastAsia="宋体"/>
      <w:kern w:val="2"/>
      <w:sz w:val="16"/>
      <w:szCs w:val="16"/>
      <w:lang w:val="en-US" w:eastAsia="zh-CN" w:bidi="ar-SA"/>
    </w:rPr>
  </w:style>
  <w:style w:type="character" w:customStyle="1" w:styleId="73">
    <w:name w:val="正文文本 字符"/>
    <w:link w:val="18"/>
    <w:qFormat/>
    <w:uiPriority w:val="0"/>
    <w:rPr>
      <w:rFonts w:eastAsia="黑体"/>
      <w:kern w:val="2"/>
      <w:sz w:val="36"/>
      <w:szCs w:val="24"/>
      <w:lang w:val="en-US" w:eastAsia="zh-CN" w:bidi="ar-SA"/>
    </w:rPr>
  </w:style>
  <w:style w:type="character" w:customStyle="1" w:styleId="74">
    <w:name w:val="正文文本缩进 字符"/>
    <w:link w:val="19"/>
    <w:qFormat/>
    <w:uiPriority w:val="0"/>
    <w:rPr>
      <w:rFonts w:eastAsia="宋体"/>
      <w:kern w:val="2"/>
      <w:sz w:val="21"/>
      <w:szCs w:val="24"/>
      <w:lang w:val="en-US" w:eastAsia="zh-CN" w:bidi="ar-SA"/>
    </w:rPr>
  </w:style>
  <w:style w:type="character" w:customStyle="1" w:styleId="75">
    <w:name w:val="纯文本 字符"/>
    <w:link w:val="23"/>
    <w:qFormat/>
    <w:uiPriority w:val="0"/>
    <w:rPr>
      <w:rFonts w:ascii="宋体" w:hAnsi="Courier New" w:eastAsia="宋体"/>
      <w:kern w:val="2"/>
      <w:sz w:val="21"/>
      <w:szCs w:val="21"/>
      <w:lang w:val="en-US" w:eastAsia="zh-CN" w:bidi="ar-SA"/>
    </w:rPr>
  </w:style>
  <w:style w:type="character" w:customStyle="1" w:styleId="76">
    <w:name w:val="日期 字符"/>
    <w:link w:val="25"/>
    <w:qFormat/>
    <w:uiPriority w:val="0"/>
    <w:rPr>
      <w:rFonts w:ascii="宋体" w:eastAsia="宋体"/>
      <w:sz w:val="24"/>
      <w:lang w:val="en-US" w:eastAsia="zh-CN" w:bidi="ar-SA"/>
    </w:rPr>
  </w:style>
  <w:style w:type="character" w:customStyle="1" w:styleId="77">
    <w:name w:val="正文文本缩进 2 字符"/>
    <w:link w:val="26"/>
    <w:qFormat/>
    <w:uiPriority w:val="0"/>
    <w:rPr>
      <w:rFonts w:eastAsia="宋体"/>
      <w:kern w:val="2"/>
      <w:sz w:val="21"/>
      <w:szCs w:val="24"/>
      <w:lang w:val="en-US" w:eastAsia="zh-CN" w:bidi="ar-SA"/>
    </w:rPr>
  </w:style>
  <w:style w:type="character" w:customStyle="1" w:styleId="78">
    <w:name w:val="尾注文本 字符"/>
    <w:link w:val="27"/>
    <w:qFormat/>
    <w:uiPriority w:val="0"/>
    <w:rPr>
      <w:kern w:val="2"/>
      <w:sz w:val="21"/>
      <w:szCs w:val="24"/>
    </w:rPr>
  </w:style>
  <w:style w:type="character" w:customStyle="1" w:styleId="79">
    <w:name w:val="批注框文本 字符"/>
    <w:link w:val="28"/>
    <w:semiHidden/>
    <w:qFormat/>
    <w:uiPriority w:val="0"/>
    <w:rPr>
      <w:rFonts w:eastAsia="宋体"/>
      <w:kern w:val="2"/>
      <w:sz w:val="18"/>
      <w:szCs w:val="18"/>
      <w:lang w:val="en-US" w:eastAsia="zh-CN" w:bidi="ar-SA"/>
    </w:rPr>
  </w:style>
  <w:style w:type="character" w:customStyle="1" w:styleId="80">
    <w:name w:val="页脚 字符"/>
    <w:link w:val="29"/>
    <w:qFormat/>
    <w:uiPriority w:val="99"/>
    <w:rPr>
      <w:rFonts w:eastAsia="宋体"/>
      <w:sz w:val="18"/>
      <w:szCs w:val="18"/>
      <w:lang w:val="en-US" w:eastAsia="zh-CN" w:bidi="ar-SA"/>
    </w:rPr>
  </w:style>
  <w:style w:type="character" w:customStyle="1" w:styleId="81">
    <w:name w:val="页眉 字符"/>
    <w:link w:val="30"/>
    <w:qFormat/>
    <w:uiPriority w:val="0"/>
    <w:rPr>
      <w:rFonts w:eastAsia="宋体"/>
      <w:sz w:val="18"/>
      <w:szCs w:val="18"/>
      <w:lang w:val="en-US" w:eastAsia="zh-CN" w:bidi="ar-SA"/>
    </w:rPr>
  </w:style>
  <w:style w:type="character" w:customStyle="1" w:styleId="82">
    <w:name w:val="脚注文本 字符"/>
    <w:link w:val="35"/>
    <w:qFormat/>
    <w:uiPriority w:val="99"/>
    <w:rPr>
      <w:kern w:val="2"/>
      <w:sz w:val="18"/>
      <w:szCs w:val="18"/>
    </w:rPr>
  </w:style>
  <w:style w:type="character" w:customStyle="1" w:styleId="83">
    <w:name w:val="正文文本缩进 3 字符"/>
    <w:link w:val="37"/>
    <w:qFormat/>
    <w:uiPriority w:val="0"/>
    <w:rPr>
      <w:rFonts w:eastAsia="宋体"/>
      <w:kern w:val="2"/>
      <w:sz w:val="16"/>
      <w:szCs w:val="16"/>
      <w:lang w:val="en-US" w:eastAsia="zh-CN" w:bidi="ar-SA"/>
    </w:rPr>
  </w:style>
  <w:style w:type="character" w:customStyle="1" w:styleId="84">
    <w:name w:val="正文文本 2 字符"/>
    <w:link w:val="40"/>
    <w:qFormat/>
    <w:uiPriority w:val="0"/>
    <w:rPr>
      <w:rFonts w:eastAsia="黑体"/>
      <w:bCs/>
      <w:kern w:val="2"/>
      <w:sz w:val="72"/>
      <w:szCs w:val="24"/>
      <w:lang w:val="en-US" w:eastAsia="zh-CN" w:bidi="ar-SA"/>
    </w:rPr>
  </w:style>
  <w:style w:type="character" w:customStyle="1" w:styleId="85">
    <w:name w:val="标题 字符"/>
    <w:link w:val="43"/>
    <w:qFormat/>
    <w:uiPriority w:val="0"/>
    <w:rPr>
      <w:rFonts w:ascii="Arial" w:hAnsi="Arial" w:eastAsia="宋体"/>
      <w:b/>
      <w:sz w:val="32"/>
      <w:lang w:val="en-US" w:eastAsia="zh-CN" w:bidi="ar-SA"/>
    </w:rPr>
  </w:style>
  <w:style w:type="character" w:customStyle="1" w:styleId="86">
    <w:name w:val="批注主题 字符"/>
    <w:link w:val="44"/>
    <w:semiHidden/>
    <w:qFormat/>
    <w:uiPriority w:val="0"/>
    <w:rPr>
      <w:rFonts w:eastAsia="宋体"/>
      <w:b/>
      <w:bCs/>
      <w:kern w:val="2"/>
      <w:sz w:val="21"/>
      <w:szCs w:val="24"/>
      <w:lang w:val="en-US" w:eastAsia="zh-CN" w:bidi="ar-SA"/>
    </w:rPr>
  </w:style>
  <w:style w:type="character" w:customStyle="1" w:styleId="87">
    <w:name w:val="正文文本首行缩进 字符"/>
    <w:link w:val="45"/>
    <w:qFormat/>
    <w:uiPriority w:val="0"/>
    <w:rPr>
      <w:rFonts w:eastAsia="PMingLiU"/>
      <w:kern w:val="2"/>
      <w:sz w:val="36"/>
      <w:szCs w:val="24"/>
      <w:lang w:val="en-US" w:eastAsia="zh-TW" w:bidi="ar-SA"/>
    </w:rPr>
  </w:style>
  <w:style w:type="paragraph" w:customStyle="1" w:styleId="88">
    <w:name w:val="列出段落1"/>
    <w:basedOn w:val="1"/>
    <w:qFormat/>
    <w:uiPriority w:val="0"/>
    <w:pPr>
      <w:ind w:firstLine="420" w:firstLineChars="200"/>
    </w:pPr>
  </w:style>
  <w:style w:type="character" w:customStyle="1" w:styleId="89">
    <w:name w:val="脚注文本 字符1"/>
    <w:qFormat/>
    <w:uiPriority w:val="0"/>
    <w:rPr>
      <w:kern w:val="2"/>
      <w:sz w:val="18"/>
      <w:szCs w:val="18"/>
    </w:rPr>
  </w:style>
  <w:style w:type="character" w:customStyle="1" w:styleId="90">
    <w:name w:val="font161"/>
    <w:qFormat/>
    <w:uiPriority w:val="0"/>
    <w:rPr>
      <w:b/>
      <w:bCs/>
      <w:sz w:val="32"/>
      <w:szCs w:val="32"/>
    </w:rPr>
  </w:style>
  <w:style w:type="character" w:customStyle="1" w:styleId="91">
    <w:name w:val="Char Char11"/>
    <w:qFormat/>
    <w:uiPriority w:val="0"/>
    <w:rPr>
      <w:rFonts w:ascii="宋体" w:eastAsia="宋体" w:cs="Times New Roman"/>
      <w:sz w:val="24"/>
      <w:lang w:val="en-US" w:eastAsia="zh-CN" w:bidi="ar-SA"/>
    </w:rPr>
  </w:style>
  <w:style w:type="character" w:customStyle="1" w:styleId="92">
    <w:name w:val="Heading 1 Char"/>
    <w:qFormat/>
    <w:locked/>
    <w:uiPriority w:val="0"/>
    <w:rPr>
      <w:rFonts w:ascii="Times New Roman" w:hAnsi="Times New Roman" w:eastAsia="宋体" w:cs="Times New Roman"/>
      <w:b/>
      <w:bCs/>
      <w:kern w:val="44"/>
      <w:sz w:val="44"/>
      <w:szCs w:val="44"/>
    </w:rPr>
  </w:style>
  <w:style w:type="character" w:customStyle="1" w:styleId="93">
    <w:name w:val="Footer Char"/>
    <w:qFormat/>
    <w:locked/>
    <w:uiPriority w:val="0"/>
    <w:rPr>
      <w:rFonts w:ascii="宋体" w:cs="Times New Roman"/>
      <w:sz w:val="24"/>
      <w:szCs w:val="24"/>
    </w:rPr>
  </w:style>
  <w:style w:type="character" w:customStyle="1" w:styleId="94">
    <w:name w:val="Char Char1"/>
    <w:qFormat/>
    <w:uiPriority w:val="0"/>
    <w:rPr>
      <w:rFonts w:eastAsia="宋体"/>
      <w:kern w:val="2"/>
      <w:sz w:val="24"/>
      <w:lang w:val="en-US" w:eastAsia="zh-CN" w:bidi="ar-SA"/>
    </w:rPr>
  </w:style>
  <w:style w:type="character" w:customStyle="1" w:styleId="95">
    <w:name w:val="f14b1"/>
    <w:qFormat/>
    <w:uiPriority w:val="0"/>
    <w:rPr>
      <w:rFonts w:cs="Times New Roman"/>
      <w:b/>
      <w:bCs/>
      <w:sz w:val="21"/>
      <w:szCs w:val="21"/>
    </w:rPr>
  </w:style>
  <w:style w:type="character" w:customStyle="1" w:styleId="96">
    <w:name w:val="Plain Text Char"/>
    <w:qFormat/>
    <w:locked/>
    <w:uiPriority w:val="0"/>
    <w:rPr>
      <w:rFonts w:ascii="宋体" w:hAnsi="宋体" w:eastAsia="宋体" w:cs="宋体"/>
      <w:kern w:val="0"/>
      <w:sz w:val="24"/>
      <w:szCs w:val="24"/>
    </w:rPr>
  </w:style>
  <w:style w:type="character" w:customStyle="1" w:styleId="97">
    <w:name w:val="apple-converted-space"/>
    <w:qFormat/>
    <w:uiPriority w:val="0"/>
  </w:style>
  <w:style w:type="character" w:customStyle="1" w:styleId="98">
    <w:name w:val="Heading 2 Char"/>
    <w:qFormat/>
    <w:locked/>
    <w:uiPriority w:val="0"/>
    <w:rPr>
      <w:rFonts w:ascii="宋体" w:hAnsi="宋体" w:eastAsia="宋体" w:cs="Times New Roman"/>
      <w:kern w:val="0"/>
      <w:sz w:val="20"/>
      <w:szCs w:val="20"/>
    </w:rPr>
  </w:style>
  <w:style w:type="character" w:customStyle="1" w:styleId="99">
    <w:name w:val="Char Char"/>
    <w:qFormat/>
    <w:uiPriority w:val="0"/>
    <w:rPr>
      <w:rFonts w:ascii="Arial" w:hAnsi="Arial" w:eastAsia="黑体"/>
      <w:b/>
      <w:bCs/>
      <w:kern w:val="2"/>
      <w:sz w:val="32"/>
      <w:szCs w:val="32"/>
      <w:lang w:val="en-US" w:eastAsia="zh-CN" w:bidi="ar-SA"/>
    </w:rPr>
  </w:style>
  <w:style w:type="character" w:customStyle="1" w:styleId="100">
    <w:name w:val="Date Char"/>
    <w:qFormat/>
    <w:locked/>
    <w:uiPriority w:val="0"/>
    <w:rPr>
      <w:rFonts w:eastAsia="宋体"/>
      <w:sz w:val="24"/>
    </w:rPr>
  </w:style>
  <w:style w:type="character" w:customStyle="1" w:styleId="101">
    <w:name w:val="样式 粉红"/>
    <w:qFormat/>
    <w:uiPriority w:val="0"/>
    <w:rPr>
      <w:color w:val="auto"/>
      <w:u w:val="none"/>
    </w:rPr>
  </w:style>
  <w:style w:type="character" w:customStyle="1" w:styleId="102">
    <w:name w:val="标题 2 Char Char"/>
    <w:qFormat/>
    <w:uiPriority w:val="0"/>
    <w:rPr>
      <w:rFonts w:ascii="Arial" w:hAnsi="Arial" w:eastAsia="黑体" w:cs="Times New Roman"/>
      <w:b/>
      <w:bCs/>
      <w:kern w:val="2"/>
      <w:sz w:val="32"/>
      <w:szCs w:val="32"/>
      <w:lang w:val="en-US" w:eastAsia="zh-CN" w:bidi="ar-SA"/>
    </w:rPr>
  </w:style>
  <w:style w:type="character" w:customStyle="1" w:styleId="103">
    <w:name w:val="缩进正文 Char"/>
    <w:link w:val="104"/>
    <w:qFormat/>
    <w:locked/>
    <w:uiPriority w:val="0"/>
    <w:rPr>
      <w:rFonts w:ascii="宋体" w:hAnsi="宋体"/>
      <w:spacing w:val="30"/>
      <w:sz w:val="24"/>
      <w:szCs w:val="24"/>
      <w:lang w:val="en-GB" w:eastAsia="zh-CN" w:bidi="ar-SA"/>
    </w:rPr>
  </w:style>
  <w:style w:type="paragraph" w:customStyle="1" w:styleId="104">
    <w:name w:val="缩进正文"/>
    <w:link w:val="103"/>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05">
    <w:name w:val="样式3 Char Char"/>
    <w:link w:val="106"/>
    <w:qFormat/>
    <w:locked/>
    <w:uiPriority w:val="0"/>
    <w:rPr>
      <w:rFonts w:ascii="宋体" w:hAnsi="宋体" w:eastAsia="黑体"/>
      <w:sz w:val="36"/>
      <w:szCs w:val="36"/>
      <w:lang w:bidi="ar-SA"/>
    </w:rPr>
  </w:style>
  <w:style w:type="paragraph" w:customStyle="1" w:styleId="106">
    <w:name w:val="样式3"/>
    <w:basedOn w:val="1"/>
    <w:link w:val="105"/>
    <w:qFormat/>
    <w:uiPriority w:val="0"/>
    <w:pPr>
      <w:spacing w:line="940" w:lineRule="exact"/>
      <w:jc w:val="center"/>
    </w:pPr>
    <w:rPr>
      <w:rFonts w:ascii="宋体" w:hAnsi="宋体" w:eastAsia="黑体"/>
      <w:kern w:val="0"/>
      <w:sz w:val="36"/>
      <w:szCs w:val="36"/>
    </w:rPr>
  </w:style>
  <w:style w:type="character" w:customStyle="1" w:styleId="107">
    <w:name w:val="普通文字1 Char"/>
    <w:qFormat/>
    <w:uiPriority w:val="0"/>
    <w:rPr>
      <w:rFonts w:ascii="宋体" w:hAnsi="Courier New" w:eastAsia="宋体"/>
      <w:kern w:val="2"/>
      <w:sz w:val="21"/>
      <w:lang w:val="en-US" w:eastAsia="zh-CN" w:bidi="ar-SA"/>
    </w:rPr>
  </w:style>
  <w:style w:type="character" w:customStyle="1" w:styleId="108">
    <w:name w:val="Char Char6"/>
    <w:qFormat/>
    <w:uiPriority w:val="0"/>
    <w:rPr>
      <w:rFonts w:eastAsia="宋体"/>
      <w:b/>
      <w:bCs/>
      <w:kern w:val="2"/>
      <w:sz w:val="32"/>
      <w:szCs w:val="32"/>
      <w:lang w:val="en-US" w:eastAsia="zh-CN" w:bidi="ar-SA"/>
    </w:rPr>
  </w:style>
  <w:style w:type="character" w:customStyle="1" w:styleId="109">
    <w:name w:val="Heading 3 Char"/>
    <w:qFormat/>
    <w:locked/>
    <w:uiPriority w:val="0"/>
    <w:rPr>
      <w:rFonts w:ascii="Cambria" w:hAnsi="Cambria" w:eastAsia="宋体" w:cs="Times New Roman"/>
      <w:b/>
      <w:bCs/>
      <w:color w:val="4F81BD"/>
      <w:kern w:val="0"/>
      <w:sz w:val="22"/>
      <w:lang w:eastAsia="en-US"/>
    </w:rPr>
  </w:style>
  <w:style w:type="character" w:customStyle="1" w:styleId="110">
    <w:name w:val="Header Char"/>
    <w:qFormat/>
    <w:locked/>
    <w:uiPriority w:val="0"/>
    <w:rPr>
      <w:rFonts w:ascii="宋体" w:cs="Times New Roman"/>
      <w:sz w:val="24"/>
      <w:szCs w:val="24"/>
    </w:rPr>
  </w:style>
  <w:style w:type="paragraph" w:customStyle="1" w:styleId="111">
    <w:name w:val="2"/>
    <w:basedOn w:val="1"/>
    <w:next w:val="19"/>
    <w:qFormat/>
    <w:uiPriority w:val="0"/>
    <w:pPr>
      <w:ind w:left="432"/>
    </w:pPr>
    <w:rPr>
      <w:szCs w:val="20"/>
    </w:rPr>
  </w:style>
  <w:style w:type="paragraph" w:customStyle="1" w:styleId="112">
    <w:name w:val="样式 标题 2 + (西文) 方正书宋简体 (中文) 方正黑体简体 非加粗 黑色 段前: 0 磅 段后: 0 磅 行..."/>
    <w:basedOn w:val="3"/>
    <w:qFormat/>
    <w:uiPriority w:val="0"/>
    <w:pPr>
      <w:spacing w:before="0" w:after="0" w:line="300" w:lineRule="exact"/>
      <w:jc w:val="left"/>
    </w:pPr>
    <w:rPr>
      <w:rFonts w:ascii="方正书宋简体" w:hAnsi="宋体" w:eastAsia="Arial Unicode MS" w:cs="宋体"/>
      <w:b w:val="0"/>
      <w:bCs w:val="0"/>
      <w:color w:val="000000"/>
      <w:sz w:val="21"/>
      <w:szCs w:val="20"/>
    </w:rPr>
  </w:style>
  <w:style w:type="paragraph" w:customStyle="1" w:styleId="113">
    <w:name w:val="Char Char Char Char"/>
    <w:basedOn w:val="1"/>
    <w:qFormat/>
    <w:uiPriority w:val="0"/>
    <w:rPr>
      <w:rFonts w:ascii="Tahoma" w:hAnsi="Tahoma"/>
      <w:sz w:val="24"/>
      <w:szCs w:val="20"/>
    </w:rPr>
  </w:style>
  <w:style w:type="paragraph" w:customStyle="1" w:styleId="114">
    <w:name w:val="1"/>
    <w:basedOn w:val="1"/>
    <w:qFormat/>
    <w:uiPriority w:val="0"/>
  </w:style>
  <w:style w:type="paragraph" w:customStyle="1" w:styleId="115">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6">
    <w:name w:val="3"/>
    <w:basedOn w:val="1"/>
    <w:next w:val="17"/>
    <w:qFormat/>
    <w:uiPriority w:val="0"/>
    <w:rPr>
      <w:rFonts w:ascii="宋体"/>
      <w:sz w:val="24"/>
      <w:szCs w:val="20"/>
    </w:rPr>
  </w:style>
  <w:style w:type="paragraph" w:customStyle="1" w:styleId="117">
    <w:name w:val="Char Char Char1"/>
    <w:basedOn w:val="1"/>
    <w:qFormat/>
    <w:uiPriority w:val="0"/>
    <w:rPr>
      <w:szCs w:val="20"/>
    </w:rPr>
  </w:style>
  <w:style w:type="paragraph" w:customStyle="1" w:styleId="118">
    <w:name w:val="。"/>
    <w:basedOn w:val="1"/>
    <w:qFormat/>
    <w:uiPriority w:val="0"/>
    <w:pPr>
      <w:adjustRightInd w:val="0"/>
      <w:spacing w:line="360" w:lineRule="atLeast"/>
      <w:ind w:right="679"/>
      <w:jc w:val="left"/>
      <w:textAlignment w:val="baseline"/>
    </w:pPr>
    <w:rPr>
      <w:rFonts w:ascii="宋体"/>
      <w:sz w:val="24"/>
    </w:rPr>
  </w:style>
  <w:style w:type="paragraph" w:customStyle="1" w:styleId="119">
    <w:name w:val="Char1"/>
    <w:basedOn w:val="1"/>
    <w:qFormat/>
    <w:uiPriority w:val="0"/>
    <w:rPr>
      <w:rFonts w:ascii="Tahoma" w:hAnsi="Tahoma"/>
      <w:sz w:val="24"/>
      <w:szCs w:val="20"/>
    </w:rPr>
  </w:style>
  <w:style w:type="paragraph" w:customStyle="1" w:styleId="120">
    <w:name w:val="p17"/>
    <w:basedOn w:val="1"/>
    <w:qFormat/>
    <w:uiPriority w:val="0"/>
    <w:pPr>
      <w:widowControl/>
    </w:pPr>
    <w:rPr>
      <w:kern w:val="0"/>
      <w:szCs w:val="21"/>
    </w:rPr>
  </w:style>
  <w:style w:type="paragraph" w:customStyle="1" w:styleId="121">
    <w:name w:val="5"/>
    <w:basedOn w:val="1"/>
    <w:qFormat/>
    <w:uiPriority w:val="0"/>
    <w:rPr>
      <w:rFonts w:ascii="Tahoma" w:hAnsi="Tahoma"/>
      <w:sz w:val="24"/>
      <w:szCs w:val="20"/>
    </w:rPr>
  </w:style>
  <w:style w:type="paragraph" w:customStyle="1" w:styleId="122">
    <w:name w:val="样式1"/>
    <w:basedOn w:val="1"/>
    <w:next w:val="12"/>
    <w:qFormat/>
    <w:uiPriority w:val="0"/>
    <w:rPr>
      <w:rFonts w:ascii="宋体" w:hAnsi="Arial Unicode MS"/>
      <w:color w:val="000000"/>
      <w:kern w:val="0"/>
      <w:sz w:val="24"/>
      <w:szCs w:val="36"/>
    </w:rPr>
  </w:style>
  <w:style w:type="paragraph" w:customStyle="1" w:styleId="123">
    <w:name w:val="列出段落2"/>
    <w:basedOn w:val="1"/>
    <w:qFormat/>
    <w:uiPriority w:val="0"/>
    <w:pPr>
      <w:ind w:firstLine="420" w:firstLineChars="200"/>
    </w:pPr>
  </w:style>
  <w:style w:type="paragraph" w:customStyle="1" w:styleId="124">
    <w:name w:val="Char Char Char"/>
    <w:basedOn w:val="1"/>
    <w:qFormat/>
    <w:uiPriority w:val="0"/>
    <w:rPr>
      <w:szCs w:val="20"/>
    </w:rPr>
  </w:style>
  <w:style w:type="paragraph" w:customStyle="1" w:styleId="125">
    <w:name w:val="表格"/>
    <w:basedOn w:val="1"/>
    <w:qFormat/>
    <w:uiPriority w:val="0"/>
    <w:pPr>
      <w:jc w:val="center"/>
      <w:textAlignment w:val="center"/>
    </w:pPr>
    <w:rPr>
      <w:rFonts w:ascii="华文细黑" w:hAnsi="华文细黑"/>
      <w:kern w:val="0"/>
      <w:szCs w:val="20"/>
    </w:rPr>
  </w:style>
  <w:style w:type="paragraph" w:customStyle="1" w:styleId="126">
    <w:name w:val="Char Char Char Char Char Char2 Char1"/>
    <w:basedOn w:val="1"/>
    <w:qFormat/>
    <w:uiPriority w:val="0"/>
    <w:pPr>
      <w:spacing w:line="360" w:lineRule="auto"/>
      <w:ind w:firstLine="200" w:firstLineChars="200"/>
    </w:pPr>
    <w:rPr>
      <w:rFonts w:ascii="宋体" w:hAnsi="宋体" w:cs="宋体"/>
      <w:sz w:val="24"/>
    </w:rPr>
  </w:style>
  <w:style w:type="paragraph" w:styleId="127">
    <w:name w:val="List Paragraph"/>
    <w:basedOn w:val="1"/>
    <w:qFormat/>
    <w:uiPriority w:val="34"/>
    <w:pPr>
      <w:ind w:firstLine="420" w:firstLineChars="200"/>
    </w:pPr>
  </w:style>
  <w:style w:type="paragraph" w:customStyle="1" w:styleId="128">
    <w:name w:val="样式 标题 2 + (西文) 方正书宋简体 (中文) 方正黑体简体 非加粗 黑色 行距: 固定值 15 磅1"/>
    <w:basedOn w:val="3"/>
    <w:qFormat/>
    <w:uiPriority w:val="0"/>
    <w:pPr>
      <w:spacing w:before="0" w:after="0" w:line="300" w:lineRule="exact"/>
      <w:jc w:val="left"/>
    </w:pPr>
    <w:rPr>
      <w:rFonts w:ascii="方正书宋简体" w:hAnsi="宋体" w:eastAsia="Arial Unicode MS" w:cs="宋体"/>
      <w:b w:val="0"/>
      <w:bCs w:val="0"/>
      <w:color w:val="000000"/>
      <w:sz w:val="21"/>
      <w:szCs w:val="20"/>
    </w:rPr>
  </w:style>
  <w:style w:type="paragraph" w:customStyle="1" w:styleId="129">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30">
    <w:name w:val="Char Char Char Char Char Char Char Char Char Char Char Char Char"/>
    <w:basedOn w:val="1"/>
    <w:qFormat/>
    <w:uiPriority w:val="0"/>
    <w:rPr>
      <w:rFonts w:ascii="仿宋_GB2312" w:eastAsia="仿宋_GB2312"/>
      <w:b/>
      <w:sz w:val="32"/>
      <w:szCs w:val="32"/>
    </w:rPr>
  </w:style>
  <w:style w:type="paragraph" w:customStyle="1" w:styleId="131">
    <w:name w:val="表格文字"/>
    <w:basedOn w:val="1"/>
    <w:qFormat/>
    <w:uiPriority w:val="0"/>
    <w:pPr>
      <w:adjustRightInd w:val="0"/>
      <w:spacing w:line="420" w:lineRule="atLeast"/>
      <w:jc w:val="left"/>
      <w:textAlignment w:val="baseline"/>
    </w:pPr>
    <w:rPr>
      <w:kern w:val="0"/>
      <w:szCs w:val="20"/>
    </w:rPr>
  </w:style>
  <w:style w:type="paragraph" w:customStyle="1" w:styleId="13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33">
    <w:name w:val="样式 标题 3 + (中文) 黑体 小四 非加粗 段前: 7.8 磅 段后: 0 磅 行距: 固定值 20 磅"/>
    <w:basedOn w:val="4"/>
    <w:qFormat/>
    <w:uiPriority w:val="0"/>
    <w:pPr>
      <w:widowControl w:val="0"/>
      <w:spacing w:line="400" w:lineRule="exact"/>
      <w:jc w:val="both"/>
    </w:pPr>
    <w:rPr>
      <w:rFonts w:ascii="Times New Roman" w:hAnsi="Times New Roman" w:eastAsia="黑体"/>
      <w:b w:val="0"/>
      <w:bCs w:val="0"/>
      <w:kern w:val="2"/>
      <w:sz w:val="24"/>
      <w:szCs w:val="20"/>
      <w:lang w:bidi="ar-SA"/>
    </w:rPr>
  </w:style>
  <w:style w:type="paragraph" w:customStyle="1" w:styleId="134">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35">
    <w:name w:val="_Style 133"/>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6">
    <w:name w:val="列出段落3"/>
    <w:basedOn w:val="1"/>
    <w:qFormat/>
    <w:uiPriority w:val="0"/>
    <w:pPr>
      <w:ind w:firstLine="420" w:firstLineChars="200"/>
    </w:pPr>
  </w:style>
  <w:style w:type="paragraph" w:customStyle="1" w:styleId="13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9">
    <w:name w:val="XW正文"/>
    <w:basedOn w:val="19"/>
    <w:qFormat/>
    <w:uiPriority w:val="0"/>
    <w:pPr>
      <w:adjustRightInd w:val="0"/>
      <w:snapToGrid w:val="0"/>
      <w:spacing w:after="0" w:line="300" w:lineRule="auto"/>
      <w:ind w:left="0" w:leftChars="0" w:firstLine="520" w:firstLineChars="200"/>
      <w:jc w:val="left"/>
    </w:pPr>
    <w:rPr>
      <w:kern w:val="0"/>
    </w:rPr>
  </w:style>
  <w:style w:type="paragraph" w:customStyle="1" w:styleId="14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1">
    <w:name w:val="金安桥正文"/>
    <w:basedOn w:val="19"/>
    <w:qFormat/>
    <w:uiPriority w:val="0"/>
    <w:pPr>
      <w:adjustRightInd w:val="0"/>
      <w:spacing w:after="0" w:line="300" w:lineRule="auto"/>
      <w:ind w:left="0" w:leftChars="0" w:firstLine="200" w:firstLineChars="200"/>
      <w:jc w:val="left"/>
    </w:pPr>
    <w:rPr>
      <w:kern w:val="0"/>
      <w:sz w:val="24"/>
      <w:szCs w:val="20"/>
    </w:rPr>
  </w:style>
  <w:style w:type="paragraph" w:customStyle="1" w:styleId="142">
    <w:name w:val="cntrt"/>
    <w:basedOn w:val="1"/>
    <w:qFormat/>
    <w:uiPriority w:val="0"/>
    <w:pPr>
      <w:widowControl/>
      <w:jc w:val="left"/>
    </w:pPr>
    <w:rPr>
      <w:rFonts w:ascii="Arial" w:hAnsi="Arial" w:cs="Arial"/>
      <w:kern w:val="0"/>
      <w:sz w:val="20"/>
      <w:szCs w:val="20"/>
      <w:lang w:val="en-AU"/>
    </w:rPr>
  </w:style>
  <w:style w:type="paragraph" w:customStyle="1" w:styleId="143">
    <w:name w:val="Char"/>
    <w:basedOn w:val="1"/>
    <w:qFormat/>
    <w:uiPriority w:val="0"/>
  </w:style>
  <w:style w:type="paragraph" w:customStyle="1" w:styleId="144">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45">
    <w:name w:val="默认段落字体 Para Char"/>
    <w:basedOn w:val="1"/>
    <w:qFormat/>
    <w:uiPriority w:val="0"/>
    <w:rPr>
      <w:szCs w:val="20"/>
    </w:rPr>
  </w:style>
  <w:style w:type="paragraph" w:customStyle="1" w:styleId="146">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47">
    <w:name w:val="4"/>
    <w:basedOn w:val="1"/>
    <w:qFormat/>
    <w:uiPriority w:val="0"/>
    <w:rPr>
      <w:rFonts w:ascii="Tahoma" w:hAnsi="Tahoma"/>
      <w:sz w:val="24"/>
      <w:szCs w:val="20"/>
    </w:rPr>
  </w:style>
  <w:style w:type="paragraph" w:customStyle="1" w:styleId="148">
    <w:name w:val="Char2"/>
    <w:basedOn w:val="1"/>
    <w:qFormat/>
    <w:uiPriority w:val="0"/>
    <w:rPr>
      <w:rFonts w:ascii="Tahoma" w:hAnsi="Tahoma"/>
      <w:sz w:val="24"/>
      <w:szCs w:val="20"/>
    </w:rPr>
  </w:style>
  <w:style w:type="paragraph" w:customStyle="1" w:styleId="149">
    <w:name w:val="List Paragraph1"/>
    <w:basedOn w:val="1"/>
    <w:qFormat/>
    <w:uiPriority w:val="0"/>
    <w:pPr>
      <w:ind w:firstLine="420" w:firstLineChars="200"/>
    </w:pPr>
  </w:style>
  <w:style w:type="paragraph" w:customStyle="1" w:styleId="150">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p0"/>
    <w:basedOn w:val="1"/>
    <w:qFormat/>
    <w:uiPriority w:val="0"/>
    <w:pPr>
      <w:widowControl/>
    </w:pPr>
    <w:rPr>
      <w:kern w:val="0"/>
      <w:szCs w:val="21"/>
    </w:rPr>
  </w:style>
  <w:style w:type="paragraph" w:customStyle="1" w:styleId="152">
    <w:name w:val="p15"/>
    <w:basedOn w:val="1"/>
    <w:qFormat/>
    <w:uiPriority w:val="0"/>
    <w:pPr>
      <w:widowControl/>
      <w:spacing w:before="100" w:line="400" w:lineRule="atLeast"/>
    </w:pPr>
    <w:rPr>
      <w:kern w:val="0"/>
      <w:sz w:val="28"/>
      <w:szCs w:val="28"/>
    </w:rPr>
  </w:style>
  <w:style w:type="paragraph" w:customStyle="1" w:styleId="153">
    <w:name w:val="p18"/>
    <w:basedOn w:val="1"/>
    <w:qFormat/>
    <w:uiPriority w:val="0"/>
    <w:pPr>
      <w:widowControl/>
    </w:pPr>
    <w:rPr>
      <w:rFonts w:ascii="宋体" w:hAnsi="宋体" w:cs="宋体"/>
      <w:kern w:val="0"/>
      <w:szCs w:val="21"/>
    </w:rPr>
  </w:style>
  <w:style w:type="paragraph" w:customStyle="1" w:styleId="154">
    <w:name w:val="Default Paragraph Char Char Char Char"/>
    <w:basedOn w:val="1"/>
    <w:next w:val="1"/>
    <w:qFormat/>
    <w:uiPriority w:val="0"/>
    <w:pPr>
      <w:widowControl/>
      <w:spacing w:line="360" w:lineRule="auto"/>
      <w:jc w:val="left"/>
    </w:pPr>
    <w:rPr>
      <w:kern w:val="0"/>
      <w:szCs w:val="20"/>
      <w:lang w:eastAsia="en-US"/>
    </w:rPr>
  </w:style>
  <w:style w:type="character" w:customStyle="1" w:styleId="155">
    <w:name w:val="正文文本缩进 2 Char1"/>
    <w:semiHidden/>
    <w:qFormat/>
    <w:uiPriority w:val="99"/>
    <w:rPr>
      <w:kern w:val="2"/>
      <w:sz w:val="21"/>
      <w:szCs w:val="22"/>
    </w:rPr>
  </w:style>
  <w:style w:type="character" w:customStyle="1" w:styleId="156">
    <w:name w:val="页脚 Char1"/>
    <w:semiHidden/>
    <w:qFormat/>
    <w:uiPriority w:val="99"/>
    <w:rPr>
      <w:kern w:val="2"/>
      <w:sz w:val="18"/>
      <w:szCs w:val="18"/>
    </w:rPr>
  </w:style>
  <w:style w:type="character" w:customStyle="1" w:styleId="157">
    <w:name w:val="正文文本缩进 Char1"/>
    <w:semiHidden/>
    <w:qFormat/>
    <w:uiPriority w:val="99"/>
    <w:rPr>
      <w:kern w:val="2"/>
      <w:sz w:val="21"/>
      <w:szCs w:val="22"/>
    </w:rPr>
  </w:style>
  <w:style w:type="character" w:customStyle="1" w:styleId="158">
    <w:name w:val="正文文本 3 Char1"/>
    <w:semiHidden/>
    <w:qFormat/>
    <w:uiPriority w:val="99"/>
    <w:rPr>
      <w:kern w:val="2"/>
      <w:sz w:val="16"/>
      <w:szCs w:val="16"/>
    </w:rPr>
  </w:style>
  <w:style w:type="character" w:customStyle="1" w:styleId="159">
    <w:name w:val="批注文字 Char1"/>
    <w:semiHidden/>
    <w:qFormat/>
    <w:uiPriority w:val="0"/>
    <w:rPr>
      <w:rFonts w:ascii="Times New Roman" w:hAnsi="Times New Roman"/>
      <w:kern w:val="2"/>
      <w:sz w:val="21"/>
      <w:szCs w:val="24"/>
    </w:rPr>
  </w:style>
  <w:style w:type="character" w:customStyle="1" w:styleId="160">
    <w:name w:val="批注主题 Char1"/>
    <w:semiHidden/>
    <w:qFormat/>
    <w:uiPriority w:val="99"/>
    <w:rPr>
      <w:rFonts w:ascii="Times New Roman" w:hAnsi="Times New Roman"/>
      <w:b/>
      <w:bCs/>
      <w:kern w:val="2"/>
      <w:sz w:val="21"/>
      <w:szCs w:val="24"/>
    </w:rPr>
  </w:style>
  <w:style w:type="character" w:customStyle="1" w:styleId="161">
    <w:name w:val="正文文本缩进 3 Char1"/>
    <w:semiHidden/>
    <w:qFormat/>
    <w:uiPriority w:val="99"/>
    <w:rPr>
      <w:kern w:val="2"/>
      <w:sz w:val="16"/>
      <w:szCs w:val="16"/>
    </w:rPr>
  </w:style>
  <w:style w:type="character" w:customStyle="1" w:styleId="162">
    <w:name w:val="批注框文本 Char1"/>
    <w:semiHidden/>
    <w:qFormat/>
    <w:uiPriority w:val="99"/>
    <w:rPr>
      <w:kern w:val="2"/>
      <w:sz w:val="18"/>
      <w:szCs w:val="18"/>
    </w:rPr>
  </w:style>
  <w:style w:type="character" w:customStyle="1" w:styleId="163">
    <w:name w:val="正文文本 Char1"/>
    <w:semiHidden/>
    <w:qFormat/>
    <w:uiPriority w:val="99"/>
    <w:rPr>
      <w:kern w:val="2"/>
      <w:sz w:val="21"/>
      <w:szCs w:val="22"/>
    </w:rPr>
  </w:style>
  <w:style w:type="character" w:customStyle="1" w:styleId="164">
    <w:name w:val="文档结构图 Char1"/>
    <w:semiHidden/>
    <w:qFormat/>
    <w:uiPriority w:val="99"/>
    <w:rPr>
      <w:rFonts w:ascii="宋体"/>
      <w:kern w:val="2"/>
      <w:sz w:val="18"/>
      <w:szCs w:val="18"/>
    </w:rPr>
  </w:style>
  <w:style w:type="character" w:customStyle="1" w:styleId="165">
    <w:name w:val="页眉 Char1"/>
    <w:semiHidden/>
    <w:qFormat/>
    <w:uiPriority w:val="99"/>
    <w:rPr>
      <w:kern w:val="2"/>
      <w:sz w:val="18"/>
      <w:szCs w:val="18"/>
    </w:rPr>
  </w:style>
  <w:style w:type="character" w:customStyle="1" w:styleId="166">
    <w:name w:val="日期 Char1"/>
    <w:semiHidden/>
    <w:qFormat/>
    <w:uiPriority w:val="99"/>
    <w:rPr>
      <w:kern w:val="2"/>
      <w:sz w:val="21"/>
      <w:szCs w:val="22"/>
    </w:rPr>
  </w:style>
  <w:style w:type="character" w:customStyle="1" w:styleId="167">
    <w:name w:val="标题 Char1"/>
    <w:qFormat/>
    <w:uiPriority w:val="10"/>
    <w:rPr>
      <w:rFonts w:ascii="Cambria" w:hAnsi="Cambria" w:cs="Times New Roman"/>
      <w:b/>
      <w:bCs/>
      <w:kern w:val="2"/>
      <w:sz w:val="32"/>
      <w:szCs w:val="32"/>
    </w:rPr>
  </w:style>
  <w:style w:type="character" w:customStyle="1" w:styleId="168">
    <w:name w:val="纯文本 Char1"/>
    <w:semiHidden/>
    <w:qFormat/>
    <w:uiPriority w:val="99"/>
    <w:rPr>
      <w:rFonts w:ascii="宋体" w:hAnsi="Courier New" w:cs="Courier New"/>
      <w:kern w:val="2"/>
      <w:sz w:val="21"/>
      <w:szCs w:val="21"/>
    </w:rPr>
  </w:style>
  <w:style w:type="character" w:customStyle="1" w:styleId="169">
    <w:name w:val="正文首行缩进 Char1"/>
    <w:semiHidden/>
    <w:qFormat/>
    <w:uiPriority w:val="99"/>
  </w:style>
  <w:style w:type="character" w:customStyle="1" w:styleId="170">
    <w:name w:val="正文文本 2 Char1"/>
    <w:semiHidden/>
    <w:qFormat/>
    <w:uiPriority w:val="99"/>
    <w:rPr>
      <w:kern w:val="2"/>
      <w:sz w:val="21"/>
      <w:szCs w:val="22"/>
    </w:rPr>
  </w:style>
  <w:style w:type="paragraph" w:customStyle="1" w:styleId="171">
    <w:name w:val="paragraphindent"/>
    <w:basedOn w:val="1"/>
    <w:qFormat/>
    <w:uiPriority w:val="0"/>
    <w:pPr>
      <w:widowControl/>
      <w:spacing w:before="75" w:after="75"/>
      <w:jc w:val="left"/>
    </w:pPr>
    <w:rPr>
      <w:rFonts w:ascii="宋体" w:hAnsi="宋体" w:cs="宋体"/>
      <w:kern w:val="0"/>
      <w:sz w:val="24"/>
    </w:rPr>
  </w:style>
  <w:style w:type="character" w:customStyle="1" w:styleId="172">
    <w:name w:val="正文2 Char"/>
    <w:link w:val="173"/>
    <w:qFormat/>
    <w:uiPriority w:val="0"/>
    <w:rPr>
      <w:rFonts w:ascii="宋体" w:eastAsia="楷体"/>
      <w:b/>
      <w:color w:val="0000FF"/>
      <w:kern w:val="2"/>
      <w:sz w:val="21"/>
      <w:szCs w:val="22"/>
      <w:lang w:val="en-US" w:eastAsia="zh-CN" w:bidi="ar-SA"/>
    </w:rPr>
  </w:style>
  <w:style w:type="paragraph" w:customStyle="1" w:styleId="173">
    <w:name w:val="正文2"/>
    <w:link w:val="172"/>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4">
    <w:name w:val="_Style 172"/>
    <w:unhideWhenUsed/>
    <w:qFormat/>
    <w:uiPriority w:val="99"/>
    <w:rPr>
      <w:rFonts w:ascii="Times New Roman" w:hAnsi="Times New Roman" w:eastAsia="宋体" w:cs="Times New Roman"/>
      <w:kern w:val="2"/>
      <w:sz w:val="21"/>
      <w:szCs w:val="24"/>
      <w:lang w:val="en-US" w:eastAsia="zh-CN" w:bidi="ar-SA"/>
    </w:rPr>
  </w:style>
  <w:style w:type="paragraph" w:customStyle="1" w:styleId="175">
    <w:name w:val="msolistparagraph"/>
    <w:basedOn w:val="1"/>
    <w:qFormat/>
    <w:uiPriority w:val="0"/>
    <w:pPr>
      <w:autoSpaceDE w:val="0"/>
      <w:autoSpaceDN w:val="0"/>
      <w:ind w:left="205" w:right="169" w:firstLine="655"/>
      <w:jc w:val="left"/>
    </w:pPr>
    <w:rPr>
      <w:rFonts w:hint="eastAsia" w:ascii="仿宋" w:hAnsi="仿宋" w:eastAsia="仿宋"/>
      <w:kern w:val="0"/>
      <w:sz w:val="22"/>
      <w:szCs w:val="22"/>
      <w:u w:val="single" w:color="000000"/>
    </w:rPr>
  </w:style>
  <w:style w:type="character" w:customStyle="1" w:styleId="176">
    <w:name w:val="button"/>
    <w:basedOn w:val="48"/>
    <w:qFormat/>
    <w:uiPriority w:val="0"/>
  </w:style>
  <w:style w:type="paragraph" w:customStyle="1" w:styleId="177">
    <w:name w:val="D&amp;L"/>
    <w:basedOn w:val="30"/>
    <w:qFormat/>
    <w:uiPriority w:val="0"/>
    <w:pPr>
      <w:pBdr>
        <w:bottom w:val="thinThickSmallGap" w:color="auto" w:sz="18" w:space="1"/>
      </w:pBdr>
      <w:adjustRightInd w:val="0"/>
      <w:snapToGrid/>
      <w:spacing w:line="240" w:lineRule="atLeast"/>
      <w:textAlignment w:val="baseline"/>
    </w:pPr>
    <w:rPr>
      <w:sz w:val="24"/>
      <w:szCs w:val="20"/>
    </w:rPr>
  </w:style>
  <w:style w:type="paragraph" w:customStyle="1" w:styleId="178">
    <w:name w:val="xl31"/>
    <w:basedOn w:val="1"/>
    <w:qFormat/>
    <w:uiPriority w:val="0"/>
    <w:pPr>
      <w:widowControl/>
      <w:spacing w:before="100" w:beforeAutospacing="1" w:after="100" w:afterAutospacing="1"/>
      <w:jc w:val="center"/>
    </w:pPr>
    <w:rPr>
      <w:b/>
      <w:bCs/>
      <w:kern w:val="0"/>
      <w:sz w:val="28"/>
      <w:szCs w:val="28"/>
    </w:rPr>
  </w:style>
  <w:style w:type="paragraph" w:customStyle="1" w:styleId="17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Table Text"/>
    <w:basedOn w:val="1"/>
    <w:semiHidden/>
    <w:qFormat/>
    <w:uiPriority w:val="0"/>
    <w:rPr>
      <w:rFonts w:ascii="宋体" w:hAnsi="宋体" w:cs="宋体"/>
      <w:sz w:val="25"/>
      <w:szCs w:val="25"/>
      <w:lang w:eastAsia="en-US"/>
    </w:rPr>
  </w:style>
  <w:style w:type="table" w:customStyle="1" w:styleId="181">
    <w:name w:val="Table Normal"/>
    <w:unhideWhenUsed/>
    <w:qFormat/>
    <w:uiPriority w:val="0"/>
    <w:tblPr>
      <w:tblCellMar>
        <w:top w:w="0" w:type="dxa"/>
        <w:left w:w="0" w:type="dxa"/>
        <w:bottom w:w="0" w:type="dxa"/>
        <w:right w:w="0" w:type="dxa"/>
      </w:tblCellMar>
    </w:tblPr>
  </w:style>
  <w:style w:type="paragraph" w:customStyle="1" w:styleId="182">
    <w:name w:val="Table Paragraph"/>
    <w:basedOn w:val="1"/>
    <w:qFormat/>
    <w:uiPriority w:val="1"/>
    <w:pPr>
      <w:spacing w:before="1"/>
      <w:ind w:left="11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63</Pages>
  <Words>11524</Words>
  <Characters>12723</Characters>
  <Lines>305</Lines>
  <Paragraphs>86</Paragraphs>
  <TotalTime>0</TotalTime>
  <ScaleCrop>false</ScaleCrop>
  <LinksUpToDate>false</LinksUpToDate>
  <CharactersWithSpaces>12914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2023-02-28T09:16:00Z</dcterms:created>
  <dc:creator>孟凡金</dc:creator>
  <cp:lastModifiedBy>Archer</cp:lastModifiedBy>
  <cp:lastPrinted>2026-02-13T10:47:00Z</cp:lastPrinted>
  <dcterms:modified xsi:type="dcterms:W3CDTF">2026-05-06T02:50:15Z</dcterms:modified>
  <dc:title>项目名称</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24A4BB5A9D5B48FBAA2EDC9989398B49_13</vt:lpwstr>
  </property>
  <property fmtid="{D5CDD505-2E9C-101B-9397-08002B2CF9AE}" pid="4" name="KSOTemplateDocerSaveRecord">
    <vt:lpwstr>eyJoZGlkIjoiMDRiNTVmOTA3ZDg4NTcwYzM4OGFmZGQ3OTQ2MGNiMmMiLCJ1c2VySWQiOiI1MzU4NDk1ODUifQ==</vt:lpwstr>
  </property>
</Properties>
</file>