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66AFE3">
      <w:pPr>
        <w:pStyle w:val="3"/>
        <w:wordWrap w:val="0"/>
        <w:rPr>
          <w:rFonts w:hint="eastAsia" w:ascii="方正小标宋_GBK" w:hAnsi="方正小标宋_GBK" w:eastAsia="华文中宋" w:cs="方正小标宋_GBK"/>
          <w:color w:val="auto"/>
          <w:highlight w:val="none"/>
        </w:rPr>
      </w:pPr>
      <w:r>
        <w:rPr>
          <w:rFonts w:hint="eastAsia" w:ascii="方正小标宋_GBK" w:hAnsi="方正小标宋_GBK" w:eastAsia="华文中宋" w:cs="方正小标宋_GBK"/>
          <w:color w:val="auto"/>
          <w:highlight w:val="none"/>
        </w:rPr>
        <w:t>采购需求</w:t>
      </w:r>
    </w:p>
    <w:p w14:paraId="043A8341">
      <w:pPr>
        <w:wordWrap w:val="0"/>
        <w:spacing w:line="360" w:lineRule="auto"/>
        <w:rPr>
          <w:rFonts w:hint="eastAsia" w:ascii="宋体" w:hAnsi="宋体" w:eastAsia="宋体"/>
          <w:b/>
          <w:color w:val="auto"/>
          <w:sz w:val="24"/>
          <w:highlight w:val="none"/>
        </w:rPr>
      </w:pPr>
      <w:r>
        <w:rPr>
          <w:rFonts w:hint="eastAsia" w:ascii="宋体" w:hAnsi="宋体" w:eastAsia="宋体"/>
          <w:b/>
          <w:color w:val="auto"/>
          <w:sz w:val="24"/>
          <w:highlight w:val="none"/>
        </w:rPr>
        <w:t>前注：</w:t>
      </w:r>
    </w:p>
    <w:p w14:paraId="22447956">
      <w:pPr>
        <w:wordWrap w:val="0"/>
        <w:spacing w:line="360" w:lineRule="auto"/>
        <w:ind w:firstLine="480" w:firstLineChars="200"/>
        <w:rPr>
          <w:rFonts w:hint="eastAsia" w:ascii="宋体" w:hAnsi="宋体" w:eastAsia="宋体" w:cs="宋体"/>
          <w:color w:val="auto"/>
          <w:sz w:val="24"/>
          <w:szCs w:val="18"/>
          <w:highlight w:val="none"/>
        </w:rPr>
      </w:pPr>
      <w:bookmarkStart w:id="0" w:name="_Hlk16461016"/>
      <w:r>
        <w:rPr>
          <w:rFonts w:hint="eastAsia" w:ascii="宋体" w:hAnsi="宋体" w:eastAsia="宋体" w:cs="宋体"/>
          <w:color w:val="auto"/>
          <w:sz w:val="24"/>
          <w:highlight w:val="none"/>
        </w:rPr>
        <w:t>1.</w:t>
      </w:r>
      <w:r>
        <w:rPr>
          <w:rFonts w:hint="eastAsia" w:ascii="宋体" w:hAnsi="宋体" w:eastAsia="宋体" w:cs="宋体"/>
          <w:color w:val="auto"/>
          <w:sz w:val="24"/>
          <w:szCs w:val="18"/>
          <w:highlight w:val="none"/>
        </w:rPr>
        <w:t>根据《关于规范政府采购进口产品有关工作的通知》及政府采购管理部门的相关规定，下列采购需求中标注进口产品的货物（科研仪器设备）均已履行相关论证手续，经核准采购进口产品，但不限制满足招标文件要求的国内产品参与竞争。未标注进口产品的货物均为拒绝采购进口产品。</w:t>
      </w:r>
    </w:p>
    <w:p w14:paraId="6F285390">
      <w:pPr>
        <w:wordWrap w:val="0"/>
        <w:spacing w:line="360" w:lineRule="auto"/>
        <w:ind w:firstLine="435"/>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2.下列采购需求中：</w:t>
      </w:r>
    </w:p>
    <w:p w14:paraId="0F64FBE1">
      <w:pPr>
        <w:wordWrap w:val="0"/>
        <w:spacing w:line="360" w:lineRule="auto"/>
        <w:ind w:firstLine="435"/>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228CAF1F">
      <w:pPr>
        <w:wordWrap w:val="0"/>
        <w:spacing w:line="360" w:lineRule="auto"/>
        <w:ind w:firstLine="480" w:firstLineChars="200"/>
        <w:rPr>
          <w:rFonts w:hint="eastAsia" w:ascii="宋体" w:hAnsi="宋体" w:eastAsia="宋体" w:cs="宋体"/>
          <w:color w:val="auto"/>
          <w:sz w:val="24"/>
          <w:szCs w:val="18"/>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71214E1B">
      <w:pPr>
        <w:wordWrap w:val="0"/>
        <w:spacing w:line="360" w:lineRule="auto"/>
        <w:ind w:firstLine="480" w:firstLineChars="200"/>
        <w:jc w:val="left"/>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3.下列采购需求中：标注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18"/>
          <w:highlight w:val="none"/>
        </w:rPr>
        <w:t>的产品（核心产品），投标人在投标文件《主要中标标的承诺函》中填写名称、品牌、规格、型号、数量、单价等信息。</w:t>
      </w:r>
    </w:p>
    <w:p w14:paraId="66ECB479">
      <w:pPr>
        <w:pStyle w:val="4"/>
        <w:wordWrap w:val="0"/>
        <w:ind w:firstLine="0" w:firstLineChars="0"/>
        <w:rPr>
          <w:rFonts w:eastAsia="黑体"/>
          <w:color w:val="auto"/>
          <w:highlight w:val="none"/>
        </w:rPr>
      </w:pPr>
      <w:bookmarkStart w:id="1" w:name="_Toc1899401549"/>
      <w:bookmarkStart w:id="2" w:name="_Toc1437377518_WPSOffice_Level2"/>
      <w:bookmarkStart w:id="3" w:name="_Toc292361325"/>
      <w:bookmarkStart w:id="4" w:name="_Toc382548620"/>
      <w:bookmarkStart w:id="5" w:name="_Toc2025078090"/>
      <w:bookmarkStart w:id="6" w:name="_Toc1064185329"/>
      <w:bookmarkStart w:id="7" w:name="_Toc337877615"/>
      <w:bookmarkStart w:id="8" w:name="_Toc1452677390"/>
      <w:r>
        <w:rPr>
          <w:rFonts w:hint="eastAsia" w:eastAsia="黑体"/>
          <w:color w:val="auto"/>
          <w:highlight w:val="none"/>
        </w:rPr>
        <w:t>一、采购需求前附表</w:t>
      </w:r>
      <w:bookmarkEnd w:id="1"/>
      <w:bookmarkEnd w:id="2"/>
      <w:bookmarkEnd w:id="3"/>
      <w:bookmarkEnd w:id="4"/>
      <w:bookmarkEnd w:id="5"/>
      <w:bookmarkEnd w:id="6"/>
      <w:bookmarkEnd w:id="7"/>
      <w:bookmarkEnd w:id="8"/>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054"/>
        <w:gridCol w:w="5544"/>
      </w:tblGrid>
      <w:tr w14:paraId="4022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0FAA9951">
            <w:pPr>
              <w:pStyle w:val="14"/>
              <w:pBdr>
                <w:bottom w:val="none" w:color="auto" w:sz="0" w:space="0"/>
              </w:pBdr>
              <w:tabs>
                <w:tab w:val="clear" w:pos="4153"/>
                <w:tab w:val="clear" w:pos="8306"/>
              </w:tabs>
              <w:wordWrap w:val="0"/>
              <w:adjustRightInd/>
              <w:spacing w:line="300" w:lineRule="auto"/>
              <w:textAlignment w:val="auto"/>
              <w:rPr>
                <w:rFonts w:hint="eastAsia" w:ascii="宋体" w:hAnsi="宋体" w:eastAsia="宋体" w:cs="宋体"/>
                <w:b/>
                <w:color w:val="auto"/>
                <w:kern w:val="2"/>
                <w:highlight w:val="none"/>
              </w:rPr>
            </w:pPr>
            <w:r>
              <w:rPr>
                <w:rFonts w:hint="eastAsia" w:ascii="宋体" w:hAnsi="宋体" w:eastAsia="宋体" w:cs="宋体"/>
                <w:b/>
                <w:color w:val="auto"/>
                <w:kern w:val="2"/>
                <w:highlight w:val="none"/>
              </w:rPr>
              <w:t>序号</w:t>
            </w:r>
          </w:p>
        </w:tc>
        <w:tc>
          <w:tcPr>
            <w:tcW w:w="2054" w:type="dxa"/>
            <w:vAlign w:val="center"/>
          </w:tcPr>
          <w:p w14:paraId="257AB92B">
            <w:pPr>
              <w:pStyle w:val="15"/>
              <w:widowControl w:val="0"/>
              <w:wordWrap w:val="0"/>
              <w:spacing w:before="0" w:beforeAutospacing="0" w:after="0" w:afterAutospacing="0" w:line="300" w:lineRule="auto"/>
              <w:rPr>
                <w:rFonts w:hint="eastAsia" w:ascii="宋体" w:hAnsi="宋体" w:eastAsia="宋体" w:cs="宋体"/>
                <w:bCs w:val="0"/>
                <w:color w:val="auto"/>
                <w:sz w:val="24"/>
                <w:highlight w:val="none"/>
              </w:rPr>
            </w:pPr>
            <w:r>
              <w:rPr>
                <w:rFonts w:hint="eastAsia" w:ascii="宋体" w:hAnsi="宋体" w:eastAsia="宋体" w:cs="宋体"/>
                <w:bCs w:val="0"/>
                <w:color w:val="auto"/>
                <w:sz w:val="24"/>
                <w:highlight w:val="none"/>
              </w:rPr>
              <w:t>条款名称</w:t>
            </w:r>
          </w:p>
        </w:tc>
        <w:tc>
          <w:tcPr>
            <w:tcW w:w="5544" w:type="dxa"/>
            <w:vAlign w:val="center"/>
          </w:tcPr>
          <w:p w14:paraId="440E273B">
            <w:pPr>
              <w:pStyle w:val="15"/>
              <w:widowControl w:val="0"/>
              <w:wordWrap w:val="0"/>
              <w:spacing w:before="0" w:beforeAutospacing="0" w:after="0" w:afterAutospacing="0" w:line="300" w:lineRule="auto"/>
              <w:rPr>
                <w:rFonts w:hint="eastAsia" w:ascii="宋体" w:hAnsi="宋体" w:eastAsia="宋体" w:cs="宋体"/>
                <w:bCs w:val="0"/>
                <w:color w:val="auto"/>
                <w:sz w:val="24"/>
                <w:highlight w:val="none"/>
              </w:rPr>
            </w:pPr>
            <w:r>
              <w:rPr>
                <w:rFonts w:hint="eastAsia" w:ascii="宋体" w:hAnsi="宋体" w:eastAsia="宋体" w:cs="宋体"/>
                <w:bCs w:val="0"/>
                <w:color w:val="auto"/>
                <w:sz w:val="24"/>
                <w:highlight w:val="none"/>
              </w:rPr>
              <w:t>内容、说明与要求</w:t>
            </w:r>
          </w:p>
        </w:tc>
      </w:tr>
      <w:tr w14:paraId="3981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59D7F1E8">
            <w:pPr>
              <w:pStyle w:val="14"/>
              <w:pBdr>
                <w:bottom w:val="none" w:color="auto" w:sz="0" w:space="0"/>
              </w:pBdr>
              <w:tabs>
                <w:tab w:val="clear" w:pos="4153"/>
                <w:tab w:val="clear" w:pos="8306"/>
              </w:tabs>
              <w:wordWrap w:val="0"/>
              <w:adjustRightInd/>
              <w:spacing w:line="300" w:lineRule="auto"/>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1</w:t>
            </w:r>
          </w:p>
        </w:tc>
        <w:tc>
          <w:tcPr>
            <w:tcW w:w="2054" w:type="dxa"/>
            <w:vAlign w:val="center"/>
          </w:tcPr>
          <w:p w14:paraId="00497385">
            <w:pPr>
              <w:pStyle w:val="15"/>
              <w:widowControl w:val="0"/>
              <w:wordWrap w:val="0"/>
              <w:spacing w:before="0" w:beforeAutospacing="0" w:after="0" w:afterAutospacing="0" w:line="300" w:lineRule="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付款方式</w:t>
            </w:r>
          </w:p>
        </w:tc>
        <w:tc>
          <w:tcPr>
            <w:tcW w:w="5544" w:type="dxa"/>
            <w:vAlign w:val="center"/>
          </w:tcPr>
          <w:p w14:paraId="70281532">
            <w:pPr>
              <w:pStyle w:val="15"/>
              <w:widowControl w:val="0"/>
              <w:wordWrap w:val="0"/>
              <w:spacing w:before="0" w:beforeAutospacing="0" w:after="0" w:afterAutospacing="0" w:line="300" w:lineRule="auto"/>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1.进口产品设备：采购人指定外贸代理机构办理进口产品采购事宜，并按下述方式支付合同款：合同生效后，外贸代理机构开出进口产品信用证后</w:t>
            </w:r>
            <w:r>
              <w:rPr>
                <w:rFonts w:hint="eastAsia" w:ascii="宋体" w:hAnsi="宋体" w:eastAsia="宋体" w:cs="宋体"/>
                <w:b w:val="0"/>
                <w:color w:val="auto"/>
                <w:sz w:val="24"/>
                <w:highlight w:val="none"/>
                <w:lang w:eastAsia="zh-CN"/>
              </w:rPr>
              <w:t>采购人</w:t>
            </w:r>
            <w:r>
              <w:rPr>
                <w:rFonts w:hint="eastAsia" w:ascii="宋体" w:hAnsi="宋体" w:eastAsia="宋体" w:cs="宋体"/>
                <w:b w:val="0"/>
                <w:color w:val="auto"/>
                <w:sz w:val="24"/>
                <w:highlight w:val="none"/>
              </w:rPr>
              <w:t>支付70%合同款（专指进口产品部分）给外贸代理机构，剩余30%在验收合格后一次性付给外贸代理机构。</w:t>
            </w:r>
          </w:p>
          <w:p w14:paraId="7ED2961A">
            <w:pPr>
              <w:pStyle w:val="15"/>
              <w:widowControl w:val="0"/>
              <w:wordWrap w:val="0"/>
              <w:spacing w:before="0" w:beforeAutospacing="0" w:after="0" w:afterAutospacing="0" w:line="300" w:lineRule="auto"/>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注：双方以人民币结算。外贸代理机构与投标人另行签订合同约定付款方式进行结算，投标人须按照采购人与外贸代理机构签署的《外贸代理机构收取进口代理费标准》向外贸代理机构支付进口代理费。</w:t>
            </w:r>
          </w:p>
          <w:p w14:paraId="25B9B9A6">
            <w:pPr>
              <w:pStyle w:val="15"/>
              <w:widowControl w:val="0"/>
              <w:wordWrap w:val="0"/>
              <w:spacing w:before="0" w:beforeAutospacing="0" w:after="0" w:afterAutospacing="0" w:line="300" w:lineRule="auto"/>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2.国产产品设备：合同签订生效后，采购人向中标人支付合同价款（专指国产产品部分）的70%预付款（中标人须同时向采购人递交等额预付款保函），全部货物安装调试完毕，剩余30%在验收合格后一次性付给中标人，同时退还预付款保函。</w:t>
            </w:r>
          </w:p>
          <w:p w14:paraId="3F189882">
            <w:pPr>
              <w:pStyle w:val="15"/>
              <w:widowControl w:val="0"/>
              <w:wordWrap w:val="0"/>
              <w:spacing w:before="0" w:beforeAutospacing="0" w:after="0" w:afterAutospacing="0" w:line="300" w:lineRule="auto"/>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注：</w:t>
            </w:r>
          </w:p>
          <w:p w14:paraId="47192471">
            <w:pPr>
              <w:pStyle w:val="15"/>
              <w:widowControl w:val="0"/>
              <w:wordWrap w:val="0"/>
              <w:spacing w:before="0" w:beforeAutospacing="0" w:after="0" w:afterAutospacing="0" w:line="300" w:lineRule="auto"/>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（1）预付款保函形式：☑银行保函☑担保机构担保</w:t>
            </w:r>
          </w:p>
          <w:p w14:paraId="301EB109">
            <w:pPr>
              <w:pStyle w:val="15"/>
              <w:widowControl w:val="0"/>
              <w:wordWrap w:val="0"/>
              <w:spacing w:before="0" w:beforeAutospacing="0" w:after="0" w:afterAutospacing="0" w:line="300" w:lineRule="auto"/>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（2）预付款保函递交要求：</w:t>
            </w:r>
          </w:p>
          <w:p w14:paraId="7A5861E6">
            <w:pPr>
              <w:pStyle w:val="15"/>
              <w:widowControl w:val="0"/>
              <w:wordWrap w:val="0"/>
              <w:spacing w:before="0" w:beforeAutospacing="0" w:after="0" w:afterAutospacing="0" w:line="300" w:lineRule="auto"/>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①如采用银行保函，银行保函应为具有分支机构的银行出具的见索即付无条件保函。（例如A银行总部在合肥或者A银行在合肥行政区域（含四县一市）具有分支机构，那么A银行任一分支机构或者总部出具的见索即付无条件保函符合要求），且应将原件交至采购人保管。</w:t>
            </w:r>
          </w:p>
          <w:p w14:paraId="16C51580">
            <w:pPr>
              <w:pStyle w:val="15"/>
              <w:widowControl w:val="0"/>
              <w:wordWrap w:val="0"/>
              <w:spacing w:before="0" w:beforeAutospacing="0" w:after="0" w:afterAutospacing="0" w:line="300" w:lineRule="auto"/>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②如采用担保机构担保，应为具有备案资质的融资担保机构出具的见索即付无条件担保，且应将原件交至采购人保管。</w:t>
            </w:r>
          </w:p>
          <w:p w14:paraId="74EF3F1C">
            <w:pPr>
              <w:pStyle w:val="15"/>
              <w:widowControl w:val="0"/>
              <w:wordWrap w:val="0"/>
              <w:spacing w:before="0" w:beforeAutospacing="0" w:after="0" w:afterAutospacing="0" w:line="300" w:lineRule="auto"/>
              <w:jc w:val="left"/>
              <w:rPr>
                <w:rFonts w:hint="eastAsia" w:ascii="宋体" w:hAnsi="宋体" w:eastAsia="宋体" w:cs="宋体"/>
                <w:b w:val="0"/>
                <w:bCs w:val="0"/>
                <w:color w:val="auto"/>
                <w:sz w:val="24"/>
                <w:highlight w:val="none"/>
              </w:rPr>
            </w:pPr>
            <w:r>
              <w:rPr>
                <w:rFonts w:hint="eastAsia" w:ascii="宋体" w:hAnsi="宋体" w:eastAsia="宋体" w:cs="宋体"/>
                <w:b w:val="0"/>
                <w:color w:val="auto"/>
                <w:sz w:val="24"/>
                <w:highlight w:val="none"/>
              </w:rPr>
              <w:t>（3）在签订合同时，中标人书面明确表示无需预付款或者主动要求降低预付款比例的，采购人可不适用前述预付款规定。</w:t>
            </w:r>
          </w:p>
        </w:tc>
      </w:tr>
      <w:tr w14:paraId="0190B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018" w:type="dxa"/>
            <w:vAlign w:val="center"/>
          </w:tcPr>
          <w:p w14:paraId="085AFE4A">
            <w:pPr>
              <w:pStyle w:val="14"/>
              <w:pBdr>
                <w:bottom w:val="none" w:color="auto" w:sz="0" w:space="0"/>
              </w:pBdr>
              <w:tabs>
                <w:tab w:val="clear" w:pos="4153"/>
                <w:tab w:val="clear" w:pos="8306"/>
              </w:tabs>
              <w:wordWrap w:val="0"/>
              <w:adjustRightInd/>
              <w:spacing w:line="300" w:lineRule="auto"/>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2</w:t>
            </w:r>
          </w:p>
        </w:tc>
        <w:tc>
          <w:tcPr>
            <w:tcW w:w="2054" w:type="dxa"/>
            <w:vAlign w:val="center"/>
          </w:tcPr>
          <w:p w14:paraId="12498710">
            <w:pPr>
              <w:pStyle w:val="15"/>
              <w:widowControl w:val="0"/>
              <w:wordWrap w:val="0"/>
              <w:spacing w:before="0" w:beforeAutospacing="0" w:after="0" w:afterAutospacing="0" w:line="300" w:lineRule="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供货及安装地点</w:t>
            </w:r>
          </w:p>
        </w:tc>
        <w:tc>
          <w:tcPr>
            <w:tcW w:w="5544" w:type="dxa"/>
            <w:vAlign w:val="center"/>
          </w:tcPr>
          <w:p w14:paraId="57863E19">
            <w:pPr>
              <w:pStyle w:val="15"/>
              <w:widowControl w:val="0"/>
              <w:wordWrap w:val="0"/>
              <w:spacing w:before="0" w:beforeAutospacing="0" w:after="0" w:afterAutospacing="0" w:line="300" w:lineRule="auto"/>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安徽大学，具体按采购人指定。</w:t>
            </w:r>
          </w:p>
        </w:tc>
      </w:tr>
      <w:tr w14:paraId="3E254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018" w:type="dxa"/>
            <w:vAlign w:val="center"/>
          </w:tcPr>
          <w:p w14:paraId="24AD1DAF">
            <w:pPr>
              <w:pStyle w:val="14"/>
              <w:pBdr>
                <w:bottom w:val="none" w:color="auto" w:sz="0" w:space="0"/>
              </w:pBdr>
              <w:tabs>
                <w:tab w:val="clear" w:pos="4153"/>
                <w:tab w:val="clear" w:pos="8306"/>
              </w:tabs>
              <w:wordWrap w:val="0"/>
              <w:adjustRightInd/>
              <w:spacing w:line="300" w:lineRule="auto"/>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3</w:t>
            </w:r>
          </w:p>
        </w:tc>
        <w:tc>
          <w:tcPr>
            <w:tcW w:w="2054" w:type="dxa"/>
            <w:vAlign w:val="center"/>
          </w:tcPr>
          <w:p w14:paraId="0630B550">
            <w:pPr>
              <w:pStyle w:val="15"/>
              <w:widowControl w:val="0"/>
              <w:wordWrap w:val="0"/>
              <w:spacing w:before="0" w:beforeAutospacing="0" w:after="0" w:afterAutospacing="0" w:line="300" w:lineRule="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供货及安装期限</w:t>
            </w:r>
          </w:p>
        </w:tc>
        <w:tc>
          <w:tcPr>
            <w:tcW w:w="5544" w:type="dxa"/>
            <w:vAlign w:val="center"/>
          </w:tcPr>
          <w:p w14:paraId="258ADA20">
            <w:pPr>
              <w:pStyle w:val="15"/>
              <w:widowControl w:val="0"/>
              <w:wordWrap w:val="0"/>
              <w:spacing w:before="0" w:beforeAutospacing="0" w:after="0" w:afterAutospacing="0" w:line="300" w:lineRule="auto"/>
              <w:jc w:val="left"/>
              <w:rPr>
                <w:rFonts w:hint="eastAsia" w:ascii="宋体" w:hAnsi="宋体" w:eastAsia="宋体" w:cs="宋体"/>
                <w:b w:val="0"/>
                <w:color w:val="auto"/>
                <w:sz w:val="24"/>
                <w:highlight w:val="none"/>
                <w:lang w:eastAsia="zh-CN"/>
              </w:rPr>
            </w:pPr>
            <w:r>
              <w:rPr>
                <w:rFonts w:hint="eastAsia" w:ascii="宋体" w:hAnsi="宋体" w:eastAsia="宋体" w:cs="宋体"/>
                <w:b w:val="0"/>
                <w:color w:val="auto"/>
                <w:sz w:val="24"/>
                <w:highlight w:val="none"/>
                <w:lang w:eastAsia="zh-CN"/>
              </w:rPr>
              <w:t>合同签订后并接采购人通知之日起3个月完成供货安装及调试等所有工作内容。</w:t>
            </w:r>
          </w:p>
        </w:tc>
      </w:tr>
      <w:tr w14:paraId="1DFE8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38E4EBE9">
            <w:pPr>
              <w:pStyle w:val="14"/>
              <w:pBdr>
                <w:bottom w:val="none" w:color="auto" w:sz="0" w:space="0"/>
              </w:pBdr>
              <w:tabs>
                <w:tab w:val="clear" w:pos="4153"/>
                <w:tab w:val="clear" w:pos="8306"/>
              </w:tabs>
              <w:wordWrap w:val="0"/>
              <w:adjustRightInd/>
              <w:spacing w:line="300" w:lineRule="auto"/>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4</w:t>
            </w:r>
          </w:p>
        </w:tc>
        <w:tc>
          <w:tcPr>
            <w:tcW w:w="2054" w:type="dxa"/>
            <w:vAlign w:val="center"/>
          </w:tcPr>
          <w:p w14:paraId="5548F9C7">
            <w:pPr>
              <w:pStyle w:val="15"/>
              <w:widowControl w:val="0"/>
              <w:wordWrap w:val="0"/>
              <w:spacing w:before="0" w:beforeAutospacing="0" w:after="0" w:afterAutospacing="0" w:line="300" w:lineRule="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免费质保期</w:t>
            </w:r>
          </w:p>
        </w:tc>
        <w:tc>
          <w:tcPr>
            <w:tcW w:w="5544" w:type="dxa"/>
            <w:vAlign w:val="center"/>
          </w:tcPr>
          <w:p w14:paraId="4CBCF2C7">
            <w:pPr>
              <w:pStyle w:val="15"/>
              <w:widowControl w:val="0"/>
              <w:wordWrap w:val="0"/>
              <w:spacing w:before="0" w:beforeAutospacing="0" w:after="0" w:afterAutospacing="0" w:line="300" w:lineRule="auto"/>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自验收合格之日起1年。</w:t>
            </w:r>
          </w:p>
          <w:p w14:paraId="6064CCBB">
            <w:pPr>
              <w:pStyle w:val="15"/>
              <w:widowControl w:val="0"/>
              <w:wordWrap w:val="0"/>
              <w:spacing w:before="0" w:beforeAutospacing="0" w:after="0" w:afterAutospacing="0" w:line="300" w:lineRule="auto"/>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注：免费质保期从验收合格之日起开始计算。</w:t>
            </w:r>
          </w:p>
        </w:tc>
      </w:tr>
    </w:tbl>
    <w:p w14:paraId="1C8CF1C3">
      <w:pPr>
        <w:pStyle w:val="4"/>
        <w:wordWrap w:val="0"/>
        <w:ind w:firstLine="0" w:firstLineChars="0"/>
        <w:rPr>
          <w:rFonts w:eastAsia="黑体"/>
          <w:color w:val="auto"/>
          <w:highlight w:val="none"/>
        </w:rPr>
      </w:pPr>
      <w:bookmarkStart w:id="9" w:name="_Toc369119811"/>
      <w:bookmarkStart w:id="10" w:name="_Toc717369146"/>
      <w:bookmarkStart w:id="11" w:name="_Toc626387511"/>
      <w:bookmarkStart w:id="12" w:name="_Toc302804901"/>
      <w:bookmarkStart w:id="13" w:name="_Toc1715351726"/>
      <w:bookmarkStart w:id="14" w:name="_Toc1191965283_WPSOffice_Level2"/>
      <w:bookmarkStart w:id="15" w:name="_Toc1693477008"/>
      <w:bookmarkStart w:id="16" w:name="_Toc58935147"/>
      <w:r>
        <w:rPr>
          <w:rFonts w:hint="eastAsia" w:eastAsia="黑体"/>
          <w:color w:val="auto"/>
          <w:highlight w:val="none"/>
        </w:rPr>
        <w:t>二、货物需求</w:t>
      </w:r>
      <w:bookmarkEnd w:id="9"/>
      <w:bookmarkEnd w:id="10"/>
      <w:bookmarkEnd w:id="11"/>
      <w:bookmarkEnd w:id="12"/>
      <w:bookmarkEnd w:id="13"/>
      <w:bookmarkEnd w:id="14"/>
      <w:bookmarkEnd w:id="15"/>
      <w:bookmarkEnd w:id="16"/>
    </w:p>
    <w:p w14:paraId="5401F847">
      <w:pPr>
        <w:pStyle w:val="11"/>
        <w:wordWrap w:val="0"/>
        <w:spacing w:line="360" w:lineRule="auto"/>
        <w:ind w:left="0"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（一）货物需求说明</w:t>
      </w:r>
    </w:p>
    <w:tbl>
      <w:tblPr>
        <w:tblStyle w:val="12"/>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6"/>
        <w:gridCol w:w="1277"/>
        <w:gridCol w:w="5692"/>
      </w:tblGrid>
      <w:tr w14:paraId="2367F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tcPr>
          <w:p w14:paraId="0A5A60EA">
            <w:pPr>
              <w:pStyle w:val="11"/>
              <w:wordWrap w:val="0"/>
              <w:spacing w:line="500" w:lineRule="exact"/>
              <w:ind w:left="0" w:firstLine="0" w:firstLineChars="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需求内容类别</w:t>
            </w:r>
          </w:p>
        </w:tc>
        <w:tc>
          <w:tcPr>
            <w:tcW w:w="1277" w:type="dxa"/>
          </w:tcPr>
          <w:p w14:paraId="4F262645">
            <w:pPr>
              <w:pStyle w:val="11"/>
              <w:wordWrap w:val="0"/>
              <w:spacing w:line="500" w:lineRule="exact"/>
              <w:ind w:left="0" w:firstLine="0" w:firstLineChars="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标识符号</w:t>
            </w:r>
          </w:p>
        </w:tc>
        <w:tc>
          <w:tcPr>
            <w:tcW w:w="5692" w:type="dxa"/>
          </w:tcPr>
          <w:p w14:paraId="74D05CB0">
            <w:pPr>
              <w:pStyle w:val="11"/>
              <w:wordWrap w:val="0"/>
              <w:spacing w:line="300" w:lineRule="auto"/>
              <w:ind w:left="0" w:firstLine="0" w:firstLineChars="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投标要求</w:t>
            </w:r>
          </w:p>
        </w:tc>
      </w:tr>
      <w:tr w14:paraId="31B66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96" w:type="dxa"/>
            <w:vAlign w:val="center"/>
          </w:tcPr>
          <w:p w14:paraId="203FDB36">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18"/>
                <w:highlight w:val="none"/>
              </w:rPr>
              <w:t>关键性指标项</w:t>
            </w:r>
          </w:p>
        </w:tc>
        <w:tc>
          <w:tcPr>
            <w:tcW w:w="1277" w:type="dxa"/>
            <w:vAlign w:val="center"/>
          </w:tcPr>
          <w:p w14:paraId="52CB6E1C">
            <w:pPr>
              <w:pStyle w:val="11"/>
              <w:wordWrap w:val="0"/>
              <w:spacing w:line="500" w:lineRule="exact"/>
              <w:ind w:left="0" w:lef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w:t>
            </w:r>
          </w:p>
        </w:tc>
        <w:tc>
          <w:tcPr>
            <w:tcW w:w="5692" w:type="dxa"/>
            <w:vAlign w:val="center"/>
          </w:tcPr>
          <w:p w14:paraId="60052918">
            <w:pPr>
              <w:widowControl w:val="0"/>
              <w:wordWrap w:val="0"/>
              <w:spacing w:line="300" w:lineRule="auto"/>
              <w:ind w:left="0" w:lef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符合性审查项，该指标项负偏离或未响应，将导致</w:t>
            </w:r>
            <w:r>
              <w:rPr>
                <w:rFonts w:hint="eastAsia" w:ascii="宋体" w:hAnsi="宋体" w:eastAsia="宋体" w:cs="宋体"/>
                <w:b/>
                <w:bCs/>
                <w:color w:val="auto"/>
                <w:kern w:val="2"/>
                <w:sz w:val="24"/>
                <w:szCs w:val="24"/>
                <w:highlight w:val="none"/>
                <w:lang w:val="en-US" w:eastAsia="zh-CN" w:bidi="ar-SA"/>
              </w:rPr>
              <w:t>投标无效</w:t>
            </w:r>
            <w:r>
              <w:rPr>
                <w:rFonts w:hint="eastAsia" w:ascii="宋体" w:hAnsi="宋体" w:eastAsia="宋体" w:cs="宋体"/>
                <w:color w:val="auto"/>
                <w:kern w:val="2"/>
                <w:sz w:val="24"/>
                <w:szCs w:val="24"/>
                <w:highlight w:val="none"/>
                <w:lang w:val="en-US" w:eastAsia="zh-CN" w:bidi="ar-SA"/>
              </w:rPr>
              <w:t>。</w:t>
            </w:r>
          </w:p>
        </w:tc>
      </w:tr>
      <w:tr w14:paraId="34960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96" w:type="dxa"/>
            <w:shd w:val="clear" w:color="auto" w:fill="auto"/>
            <w:vAlign w:val="center"/>
          </w:tcPr>
          <w:p w14:paraId="057EC31B">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18"/>
                <w:highlight w:val="none"/>
              </w:rPr>
              <w:t>重要指标项</w:t>
            </w:r>
          </w:p>
        </w:tc>
        <w:tc>
          <w:tcPr>
            <w:tcW w:w="1277" w:type="dxa"/>
            <w:shd w:val="clear" w:color="auto" w:fill="auto"/>
            <w:vAlign w:val="center"/>
          </w:tcPr>
          <w:p w14:paraId="3A8409AA">
            <w:pPr>
              <w:pStyle w:val="11"/>
              <w:wordWrap w:val="0"/>
              <w:spacing w:line="500" w:lineRule="exact"/>
              <w:ind w:left="0" w:lef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p>
        </w:tc>
        <w:tc>
          <w:tcPr>
            <w:tcW w:w="5692" w:type="dxa"/>
            <w:shd w:val="clear" w:color="auto" w:fill="auto"/>
            <w:vAlign w:val="center"/>
          </w:tcPr>
          <w:p w14:paraId="38E71823">
            <w:pPr>
              <w:pStyle w:val="11"/>
              <w:wordWrap w:val="0"/>
              <w:spacing w:line="300" w:lineRule="auto"/>
              <w:ind w:left="0" w:leftChars="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评分项，详见“第四章评标方法和标准”中评分细则。</w:t>
            </w:r>
          </w:p>
        </w:tc>
      </w:tr>
      <w:tr w14:paraId="3E258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Align w:val="center"/>
          </w:tcPr>
          <w:p w14:paraId="72AC93B6">
            <w:pPr>
              <w:pStyle w:val="11"/>
              <w:wordWrap w:val="0"/>
              <w:spacing w:line="500" w:lineRule="exact"/>
              <w:ind w:left="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无标识项</w:t>
            </w:r>
          </w:p>
        </w:tc>
        <w:tc>
          <w:tcPr>
            <w:tcW w:w="1277" w:type="dxa"/>
            <w:vAlign w:val="center"/>
          </w:tcPr>
          <w:p w14:paraId="01C36AA2">
            <w:pPr>
              <w:pStyle w:val="11"/>
              <w:wordWrap w:val="0"/>
              <w:spacing w:line="500" w:lineRule="exact"/>
              <w:ind w:left="0" w:firstLine="0" w:firstLineChars="0"/>
              <w:jc w:val="center"/>
              <w:rPr>
                <w:rFonts w:hint="eastAsia" w:ascii="宋体" w:hAnsi="宋体" w:eastAsia="宋体" w:cs="宋体"/>
                <w:color w:val="auto"/>
                <w:sz w:val="24"/>
                <w:szCs w:val="24"/>
                <w:highlight w:val="none"/>
              </w:rPr>
            </w:pPr>
          </w:p>
        </w:tc>
        <w:tc>
          <w:tcPr>
            <w:tcW w:w="5692" w:type="dxa"/>
            <w:vAlign w:val="center"/>
          </w:tcPr>
          <w:p w14:paraId="7C17960F">
            <w:pPr>
              <w:wordWrap w:val="0"/>
              <w:adjustRightInd w:val="0"/>
              <w:snapToGrid w:val="0"/>
              <w:spacing w:before="0" w:beforeAutospacing="0" w:after="0" w:line="300"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bCs/>
                <w:color w:val="auto"/>
                <w:kern w:val="2"/>
                <w:sz w:val="24"/>
                <w:szCs w:val="24"/>
                <w:highlight w:val="none"/>
                <w:lang w:val="en-US" w:eastAsia="zh-CN" w:bidi="ar-SA"/>
              </w:rPr>
              <w:t>符合性审查项，该指标项最大允许负偏离</w:t>
            </w:r>
            <w:r>
              <w:rPr>
                <w:rFonts w:hint="eastAsia" w:ascii="宋体" w:hAnsi="宋体" w:eastAsia="宋体" w:cs="宋体"/>
                <w:bCs/>
                <w:color w:val="auto"/>
                <w:kern w:val="2"/>
                <w:sz w:val="24"/>
                <w:szCs w:val="24"/>
                <w:highlight w:val="none"/>
                <w:u w:val="single"/>
                <w:lang w:val="en-US" w:eastAsia="zh-CN" w:bidi="ar-SA"/>
              </w:rPr>
              <w:t xml:space="preserve"> 3 </w:t>
            </w:r>
            <w:r>
              <w:rPr>
                <w:rFonts w:hint="eastAsia" w:ascii="宋体" w:hAnsi="宋体" w:eastAsia="宋体" w:cs="宋体"/>
                <w:bCs/>
                <w:color w:val="auto"/>
                <w:kern w:val="2"/>
                <w:sz w:val="24"/>
                <w:szCs w:val="24"/>
                <w:highlight w:val="none"/>
                <w:lang w:val="en-US" w:eastAsia="zh-CN" w:bidi="ar-SA"/>
              </w:rPr>
              <w:t>项，超过最大允许负偏离项数的，</w:t>
            </w:r>
            <w:r>
              <w:rPr>
                <w:rFonts w:hint="eastAsia" w:ascii="宋体" w:hAnsi="宋体" w:eastAsia="宋体" w:cs="宋体"/>
                <w:b/>
                <w:color w:val="auto"/>
                <w:kern w:val="2"/>
                <w:sz w:val="24"/>
                <w:szCs w:val="24"/>
                <w:highlight w:val="none"/>
                <w:lang w:val="en-US" w:eastAsia="zh-CN" w:bidi="ar-SA"/>
              </w:rPr>
              <w:t>投标无效</w:t>
            </w:r>
            <w:r>
              <w:rPr>
                <w:rFonts w:hint="eastAsia" w:ascii="宋体" w:hAnsi="宋体" w:eastAsia="宋体" w:cs="宋体"/>
                <w:bCs/>
                <w:color w:val="auto"/>
                <w:kern w:val="2"/>
                <w:sz w:val="24"/>
                <w:szCs w:val="24"/>
                <w:highlight w:val="none"/>
                <w:lang w:val="en-US" w:eastAsia="zh-CN" w:bidi="ar-SA"/>
              </w:rPr>
              <w:t>。</w:t>
            </w:r>
          </w:p>
        </w:tc>
      </w:tr>
      <w:tr w14:paraId="659AA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5" w:type="dxa"/>
            <w:gridSpan w:val="3"/>
            <w:vAlign w:val="center"/>
          </w:tcPr>
          <w:p w14:paraId="7AF25B56">
            <w:pPr>
              <w:pStyle w:val="11"/>
              <w:wordWrap w:val="0"/>
              <w:spacing w:line="300" w:lineRule="auto"/>
              <w:ind w:left="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26275F6B">
            <w:pPr>
              <w:pStyle w:val="11"/>
              <w:wordWrap w:val="0"/>
              <w:spacing w:line="300" w:lineRule="auto"/>
              <w:ind w:left="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ascii="宋体" w:hAnsi="宋体" w:eastAsia="宋体" w:cs="宋体"/>
                <w:color w:val="auto"/>
                <w:sz w:val="24"/>
                <w:szCs w:val="24"/>
                <w:highlight w:val="none"/>
              </w:rPr>
              <w:t>.如某项标识中包含多条技术参数或要求，则该项标识所含内容均需满足或优于招标文件要求，否则不予认可。</w:t>
            </w:r>
          </w:p>
          <w:p w14:paraId="06B20F80">
            <w:pPr>
              <w:pStyle w:val="11"/>
              <w:wordWrap w:val="0"/>
              <w:spacing w:line="300" w:lineRule="auto"/>
              <w:ind w:left="0" w:firstLine="0" w:firstLine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.“所属行业”栏标注为“/”的项为所投产品配套的工程或服务，无需在《中小企业声明函》中列明。</w:t>
            </w:r>
          </w:p>
          <w:p w14:paraId="140776B0">
            <w:pPr>
              <w:pStyle w:val="11"/>
              <w:wordWrap w:val="0"/>
              <w:spacing w:line="300" w:lineRule="auto"/>
              <w:ind w:left="0" w:firstLine="0" w:firstLineChars="0"/>
              <w:jc w:val="left"/>
              <w:rPr>
                <w:rFonts w:hint="default"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rPr>
              <w:t>货物需求清单中未要求提供证明材料的参数以6.2技术响应表作为评审依据。货物需求清单中要求提供证明材料的参数：</w:t>
            </w:r>
            <w:r>
              <w:rPr>
                <w:rFonts w:hint="eastAsia" w:ascii="宋体" w:hAnsi="宋体" w:eastAsia="宋体" w:cs="宋体"/>
                <w:b w:val="0"/>
                <w:bCs w:val="0"/>
                <w:color w:val="auto"/>
                <w:sz w:val="24"/>
                <w:szCs w:val="24"/>
                <w:highlight w:val="none"/>
              </w:rPr>
              <w:t>技术参数及要求</w:t>
            </w:r>
            <w:r>
              <w:rPr>
                <w:rFonts w:hint="eastAsia" w:ascii="宋体" w:hAnsi="宋体" w:eastAsia="宋体" w:cs="宋体"/>
                <w:b w:val="0"/>
                <w:bCs w:val="0"/>
                <w:color w:val="auto"/>
                <w:sz w:val="24"/>
                <w:szCs w:val="24"/>
              </w:rPr>
              <w:t>中未明确证明材料类型的，证明材料为产品技术说明书或产品彩页或产品功能截图或产品官网截图（需能体现关键评审因素，建议标注关键评审因素便于评审）；</w:t>
            </w:r>
            <w:r>
              <w:rPr>
                <w:rFonts w:hint="eastAsia" w:ascii="宋体" w:hAnsi="宋体" w:eastAsia="宋体" w:cs="宋体"/>
                <w:b w:val="0"/>
                <w:bCs w:val="0"/>
                <w:color w:val="auto"/>
                <w:sz w:val="24"/>
                <w:szCs w:val="24"/>
                <w:highlight w:val="none"/>
              </w:rPr>
              <w:t>技术参数及要求</w:t>
            </w:r>
            <w:r>
              <w:rPr>
                <w:rFonts w:hint="eastAsia" w:ascii="宋体" w:hAnsi="宋体" w:eastAsia="宋体" w:cs="宋体"/>
                <w:b w:val="0"/>
                <w:bCs w:val="0"/>
                <w:color w:val="auto"/>
                <w:sz w:val="24"/>
                <w:szCs w:val="24"/>
              </w:rPr>
              <w:t>中明确要求证明材料类型的，按要求执行。</w:t>
            </w:r>
          </w:p>
        </w:tc>
      </w:tr>
    </w:tbl>
    <w:p w14:paraId="1511A1CA">
      <w:pPr>
        <w:pStyle w:val="11"/>
        <w:wordWrap w:val="0"/>
        <w:ind w:left="0" w:firstLine="0" w:firstLineChars="0"/>
        <w:rPr>
          <w:rFonts w:hint="eastAsia" w:ascii="宋体" w:hAnsi="宋体" w:eastAsia="宋体" w:cs="宋体"/>
          <w:b/>
          <w:bCs/>
          <w:color w:val="auto"/>
          <w:sz w:val="24"/>
          <w:szCs w:val="24"/>
          <w:highlight w:val="none"/>
        </w:rPr>
      </w:pPr>
    </w:p>
    <w:p w14:paraId="59CCFDF4">
      <w:pPr>
        <w:pStyle w:val="11"/>
        <w:wordWrap w:val="0"/>
        <w:spacing w:line="360" w:lineRule="auto"/>
        <w:ind w:left="0"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（二）货物需求清单</w:t>
      </w:r>
    </w:p>
    <w:tbl>
      <w:tblPr>
        <w:tblStyle w:val="12"/>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038"/>
        <w:gridCol w:w="5759"/>
        <w:gridCol w:w="614"/>
        <w:gridCol w:w="569"/>
        <w:gridCol w:w="897"/>
      </w:tblGrid>
      <w:tr w14:paraId="06D3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7" w:hRule="atLeast"/>
          <w:jc w:val="center"/>
        </w:trPr>
        <w:tc>
          <w:tcPr>
            <w:tcW w:w="721" w:type="dxa"/>
            <w:vAlign w:val="center"/>
          </w:tcPr>
          <w:p w14:paraId="785FF117">
            <w:pPr>
              <w:keepNext w:val="0"/>
              <w:keepLines w:val="0"/>
              <w:pageBreakBefore w:val="0"/>
              <w:widowControl w:val="0"/>
              <w:kinsoku/>
              <w:wordWrap/>
              <w:overflowPunct/>
              <w:topLinePunct w:val="0"/>
              <w:autoSpaceDE/>
              <w:autoSpaceDN/>
              <w:bidi w:val="0"/>
              <w:adjustRightInd w:val="0"/>
              <w:snapToGrid w:val="0"/>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ADDIN CNKISM.UserStyle</w:instrText>
            </w:r>
            <w:r>
              <w:rPr>
                <w:rFonts w:hint="eastAsia" w:ascii="宋体" w:hAnsi="宋体" w:eastAsia="宋体" w:cs="宋体"/>
                <w:b/>
                <w:color w:val="auto"/>
                <w:sz w:val="24"/>
                <w:szCs w:val="24"/>
                <w:highlight w:val="none"/>
              </w:rPr>
              <w:fldChar w:fldCharType="end"/>
            </w:r>
            <w:r>
              <w:rPr>
                <w:rFonts w:hint="eastAsia" w:ascii="宋体" w:hAnsi="宋体" w:eastAsia="宋体" w:cs="宋体"/>
                <w:b/>
                <w:color w:val="auto"/>
                <w:sz w:val="24"/>
                <w:szCs w:val="24"/>
                <w:highlight w:val="none"/>
              </w:rPr>
              <w:t>序号</w:t>
            </w:r>
          </w:p>
        </w:tc>
        <w:tc>
          <w:tcPr>
            <w:tcW w:w="1038" w:type="dxa"/>
            <w:vAlign w:val="center"/>
          </w:tcPr>
          <w:p w14:paraId="41AB237E">
            <w:pPr>
              <w:keepNext w:val="0"/>
              <w:keepLines w:val="0"/>
              <w:pageBreakBefore w:val="0"/>
              <w:widowControl w:val="0"/>
              <w:kinsoku/>
              <w:wordWrap/>
              <w:overflowPunct/>
              <w:topLinePunct w:val="0"/>
              <w:autoSpaceDE/>
              <w:autoSpaceDN/>
              <w:bidi w:val="0"/>
              <w:adjustRightInd w:val="0"/>
              <w:snapToGrid w:val="0"/>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货物名称</w:t>
            </w:r>
          </w:p>
        </w:tc>
        <w:tc>
          <w:tcPr>
            <w:tcW w:w="5759" w:type="dxa"/>
            <w:vAlign w:val="center"/>
          </w:tcPr>
          <w:p w14:paraId="27D1ED26">
            <w:pPr>
              <w:keepNext w:val="0"/>
              <w:keepLines w:val="0"/>
              <w:pageBreakBefore w:val="0"/>
              <w:widowControl w:val="0"/>
              <w:kinsoku/>
              <w:wordWrap/>
              <w:overflowPunct/>
              <w:topLinePunct w:val="0"/>
              <w:autoSpaceDE/>
              <w:autoSpaceDN/>
              <w:bidi w:val="0"/>
              <w:adjustRightInd w:val="0"/>
              <w:snapToGrid w:val="0"/>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技术参数及要求</w:t>
            </w:r>
          </w:p>
        </w:tc>
        <w:tc>
          <w:tcPr>
            <w:tcW w:w="614" w:type="dxa"/>
            <w:vAlign w:val="center"/>
          </w:tcPr>
          <w:p w14:paraId="34AA4891">
            <w:pPr>
              <w:keepNext w:val="0"/>
              <w:keepLines w:val="0"/>
              <w:pageBreakBefore w:val="0"/>
              <w:widowControl w:val="0"/>
              <w:kinsoku/>
              <w:wordWrap/>
              <w:overflowPunct/>
              <w:topLinePunct w:val="0"/>
              <w:autoSpaceDE/>
              <w:autoSpaceDN/>
              <w:bidi w:val="0"/>
              <w:adjustRightInd w:val="0"/>
              <w:snapToGrid w:val="0"/>
              <w:spacing w:line="312"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569" w:type="dxa"/>
            <w:vAlign w:val="center"/>
          </w:tcPr>
          <w:p w14:paraId="7C5741C3">
            <w:pPr>
              <w:keepNext w:val="0"/>
              <w:keepLines w:val="0"/>
              <w:pageBreakBefore w:val="0"/>
              <w:widowControl w:val="0"/>
              <w:kinsoku/>
              <w:wordWrap/>
              <w:overflowPunct/>
              <w:topLinePunct w:val="0"/>
              <w:autoSpaceDE/>
              <w:autoSpaceDN/>
              <w:bidi w:val="0"/>
              <w:adjustRightInd w:val="0"/>
              <w:snapToGrid w:val="0"/>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所属行业</w:t>
            </w:r>
          </w:p>
        </w:tc>
        <w:tc>
          <w:tcPr>
            <w:tcW w:w="897" w:type="dxa"/>
            <w:vAlign w:val="center"/>
          </w:tcPr>
          <w:p w14:paraId="19093071">
            <w:pPr>
              <w:keepNext w:val="0"/>
              <w:keepLines w:val="0"/>
              <w:pageBreakBefore w:val="0"/>
              <w:widowControl w:val="0"/>
              <w:kinsoku/>
              <w:wordWrap/>
              <w:overflowPunct/>
              <w:topLinePunct w:val="0"/>
              <w:autoSpaceDE/>
              <w:autoSpaceDN/>
              <w:bidi w:val="0"/>
              <w:adjustRightInd w:val="0"/>
              <w:snapToGrid w:val="0"/>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备注（进口或强制节能）</w:t>
            </w:r>
          </w:p>
        </w:tc>
      </w:tr>
      <w:tr w14:paraId="0A8DF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shd w:val="clear" w:color="auto" w:fill="auto"/>
            <w:vAlign w:val="center"/>
          </w:tcPr>
          <w:p w14:paraId="5A78EC3C">
            <w:pPr>
              <w:keepNext w:val="0"/>
              <w:keepLines w:val="0"/>
              <w:pageBreakBefore w:val="0"/>
              <w:widowControl w:val="0"/>
              <w:kinsoku/>
              <w:wordWrap/>
              <w:overflowPunct/>
              <w:topLinePunct w:val="0"/>
              <w:autoSpaceDE/>
              <w:autoSpaceDN/>
              <w:bidi w:val="0"/>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038" w:type="dxa"/>
            <w:shd w:val="clear" w:color="auto" w:fill="auto"/>
            <w:vAlign w:val="center"/>
          </w:tcPr>
          <w:p w14:paraId="3887A686">
            <w:pPr>
              <w:keepNext w:val="0"/>
              <w:keepLines w:val="0"/>
              <w:pageBreakBefore w:val="0"/>
              <w:widowControl w:val="0"/>
              <w:kinsoku/>
              <w:wordWrap w:val="0"/>
              <w:overflowPunct/>
              <w:topLinePunct w:val="0"/>
              <w:autoSpaceDE/>
              <w:autoSpaceDN/>
              <w:bidi w:val="0"/>
              <w:adjustRightInd/>
              <w:snapToGrid/>
              <w:spacing w:line="312" w:lineRule="auto"/>
              <w:jc w:val="center"/>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倒装贴片机</w:t>
            </w:r>
          </w:p>
        </w:tc>
        <w:tc>
          <w:tcPr>
            <w:tcW w:w="5759" w:type="dxa"/>
            <w:shd w:val="clear" w:color="auto" w:fill="auto"/>
            <w:vAlign w:val="top"/>
          </w:tcPr>
          <w:p w14:paraId="50E21572">
            <w:pPr>
              <w:keepNext w:val="0"/>
              <w:keepLines w:val="0"/>
              <w:pageBreakBefore w:val="0"/>
              <w:widowControl w:val="0"/>
              <w:kinsoku/>
              <w:wordWrap w:val="0"/>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贴装系统</w:t>
            </w:r>
          </w:p>
          <w:p w14:paraId="1291F2F8">
            <w:pPr>
              <w:pStyle w:val="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贴装精度：±1.5μm；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重复定位精度：±0.5μm；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rPr>
              <w:t>贴装力控制范围：10g~500g（可编程）；</w:t>
            </w:r>
            <w:r>
              <w:rPr>
                <w:rFonts w:hint="eastAsia" w:ascii="宋体" w:hAnsi="宋体" w:eastAsia="宋体" w:cs="宋体"/>
                <w:b/>
                <w:bCs/>
                <w:color w:val="auto"/>
                <w:sz w:val="24"/>
                <w:szCs w:val="24"/>
                <w:highlight w:val="none"/>
              </w:rPr>
              <w:t>(投标文件中需提供证明材料)</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★1.4</w:t>
            </w:r>
            <w:r>
              <w:rPr>
                <w:rFonts w:hint="eastAsia" w:ascii="宋体" w:hAnsi="宋体" w:eastAsia="宋体" w:cs="宋体"/>
                <w:color w:val="auto"/>
                <w:sz w:val="24"/>
                <w:szCs w:val="24"/>
                <w:highlight w:val="none"/>
              </w:rPr>
              <w:t>贴装力控制精度：±5g；</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芯片尺寸兼容范围：0.1mm×0.1mm~20mm×20mm；基板尺寸兼容范围：≤200mm×200mm；</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贴装方式：支持倒装</w:t>
            </w:r>
            <w:bookmarkStart w:id="17" w:name="OLE_LINK2"/>
            <w:r>
              <w:rPr>
                <w:rFonts w:hint="eastAsia" w:ascii="宋体" w:hAnsi="宋体" w:eastAsia="宋体" w:cs="宋体"/>
                <w:color w:val="auto"/>
                <w:sz w:val="24"/>
                <w:szCs w:val="24"/>
                <w:highlight w:val="none"/>
              </w:rPr>
              <w:t>（Flip</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Chip</w:t>
            </w:r>
            <w:bookmarkEnd w:id="17"/>
            <w:r>
              <w:rPr>
                <w:rFonts w:hint="eastAsia" w:ascii="宋体" w:hAnsi="宋体" w:eastAsia="宋体" w:cs="宋体"/>
                <w:color w:val="auto"/>
                <w:sz w:val="24"/>
                <w:szCs w:val="24"/>
                <w:highlight w:val="none"/>
              </w:rPr>
              <w:t>）及正装；</w:t>
            </w:r>
          </w:p>
          <w:p w14:paraId="1EB2C7CD">
            <w:pPr>
              <w:keepNext w:val="0"/>
              <w:keepLines w:val="0"/>
              <w:pageBreakBefore w:val="0"/>
              <w:widowControl w:val="0"/>
              <w:kinsoku/>
              <w:wordWrap w:val="0"/>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视觉校准系统</w:t>
            </w:r>
          </w:p>
          <w:p w14:paraId="18028487">
            <w:pPr>
              <w:keepNext w:val="0"/>
              <w:keepLines w:val="0"/>
              <w:pageBreakBefore w:val="0"/>
              <w:widowControl w:val="0"/>
              <w:kinsoku/>
              <w:wordWrap w:val="0"/>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.1校准装置；</w:t>
            </w:r>
          </w:p>
          <w:p w14:paraId="21EE9940">
            <w:pPr>
              <w:keepNext w:val="0"/>
              <w:keepLines w:val="0"/>
              <w:pageBreakBefore w:val="0"/>
              <w:widowControl w:val="0"/>
              <w:kinsoku/>
              <w:wordWrap w:val="0"/>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.2视觉系统类型：双CCD同轴/旁轴视觉系统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.3相机分辨率:≥2000万像素</w:t>
            </w:r>
            <w:r>
              <w:rPr>
                <w:rFonts w:hint="eastAsia" w:ascii="宋体" w:hAnsi="宋体" w:eastAsia="宋体" w:cs="宋体"/>
                <w:color w:val="auto"/>
                <w:sz w:val="24"/>
                <w:szCs w:val="24"/>
                <w:highlight w:val="none"/>
                <w:lang w:eastAsia="zh-CN"/>
              </w:rPr>
              <w:t>；</w:t>
            </w:r>
          </w:p>
          <w:p w14:paraId="7BE5A655">
            <w:pPr>
              <w:keepNext w:val="0"/>
              <w:keepLines w:val="0"/>
              <w:pageBreakBefore w:val="0"/>
              <w:widowControl w:val="0"/>
              <w:kinsoku/>
              <w:wordWrap w:val="0"/>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.4照明方式:同轴LED照明+环形光源（多角度可调）</w:t>
            </w:r>
            <w:r>
              <w:rPr>
                <w:rFonts w:hint="eastAsia" w:ascii="宋体" w:hAnsi="宋体" w:eastAsia="宋体" w:cs="宋体"/>
                <w:color w:val="auto"/>
                <w:sz w:val="24"/>
                <w:szCs w:val="24"/>
                <w:highlight w:val="none"/>
                <w:lang w:eastAsia="zh-CN"/>
              </w:rPr>
              <w:t>；</w:t>
            </w:r>
          </w:p>
          <w:p w14:paraId="4C0DD861">
            <w:pPr>
              <w:keepNext w:val="0"/>
              <w:keepLines w:val="0"/>
              <w:pageBreakBefore w:val="0"/>
              <w:widowControl w:val="0"/>
              <w:kinsoku/>
              <w:wordWrap w:val="0"/>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.5图像识别算法:亚像素边缘检测+模板匹配</w:t>
            </w:r>
            <w:r>
              <w:rPr>
                <w:rFonts w:hint="eastAsia" w:ascii="宋体" w:hAnsi="宋体" w:eastAsia="宋体" w:cs="宋体"/>
                <w:color w:val="auto"/>
                <w:sz w:val="24"/>
                <w:szCs w:val="24"/>
                <w:highlight w:val="none"/>
                <w:lang w:eastAsia="zh-CN"/>
              </w:rPr>
              <w:t>；</w:t>
            </w:r>
          </w:p>
          <w:p w14:paraId="4D8C591D">
            <w:pPr>
              <w:keepNext w:val="0"/>
              <w:keepLines w:val="0"/>
              <w:pageBreakBefore w:val="0"/>
              <w:widowControl w:val="0"/>
              <w:kinsoku/>
              <w:wordWrap w:val="0"/>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激光测距系统</w:t>
            </w:r>
          </w:p>
          <w:p w14:paraId="02B433D5">
            <w:pPr>
              <w:keepNext w:val="0"/>
              <w:keepLines w:val="0"/>
              <w:pageBreakBefore w:val="0"/>
              <w:widowControl w:val="0"/>
              <w:kinsoku/>
              <w:wordWrap w:val="0"/>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.1测距方式：非接触式高精度测距；</w:t>
            </w:r>
          </w:p>
          <w:p w14:paraId="522FD632">
            <w:pPr>
              <w:keepNext w:val="0"/>
              <w:keepLines w:val="0"/>
              <w:pageBreakBefore w:val="0"/>
              <w:widowControl w:val="0"/>
              <w:kinsoku/>
              <w:wordWrap w:val="0"/>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.2测量精度：±0.5μm；</w:t>
            </w:r>
          </w:p>
          <w:p w14:paraId="500F63D7">
            <w:pPr>
              <w:keepNext w:val="0"/>
              <w:keepLines w:val="0"/>
              <w:pageBreakBefore w:val="0"/>
              <w:widowControl w:val="0"/>
              <w:kinsoku/>
              <w:wordWrap w:val="0"/>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.3数据反馈：实时反馈至运动控制系统实现贴装高度闭环补偿；</w:t>
            </w:r>
          </w:p>
          <w:p w14:paraId="052FE4EA">
            <w:pPr>
              <w:keepNext w:val="0"/>
              <w:keepLines w:val="0"/>
              <w:pageBreakBefore w:val="0"/>
              <w:widowControl w:val="0"/>
              <w:kinsoku/>
              <w:wordWrap w:val="0"/>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蘸胶系统</w:t>
            </w:r>
          </w:p>
          <w:p w14:paraId="539075EC">
            <w:pPr>
              <w:keepNext w:val="0"/>
              <w:keepLines w:val="0"/>
              <w:pageBreakBefore w:val="0"/>
              <w:widowControl w:val="0"/>
              <w:kinsoku/>
              <w:wordWrap w:val="0"/>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.1蘸胶料槽≥1套；</w:t>
            </w:r>
          </w:p>
          <w:p w14:paraId="644349CE">
            <w:pPr>
              <w:keepNext w:val="0"/>
              <w:keepLines w:val="0"/>
              <w:pageBreakBefore w:val="0"/>
              <w:widowControl w:val="0"/>
              <w:kinsoku/>
              <w:wordWrap w:val="0"/>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.2蘸胶方式：精密蘸胶，支持蘸胶与点胶双模式；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.3清洁模式：自动蘸胶+自动清洁；</w:t>
            </w:r>
          </w:p>
          <w:p w14:paraId="554A4D3B">
            <w:pPr>
              <w:keepNext w:val="0"/>
              <w:keepLines w:val="0"/>
              <w:pageBreakBefore w:val="0"/>
              <w:widowControl w:val="0"/>
              <w:kinsoku/>
              <w:wordWrap w:val="0"/>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高精密视觉对位系统</w:t>
            </w:r>
          </w:p>
          <w:p w14:paraId="5F4E7D35">
            <w:pPr>
              <w:keepNext w:val="0"/>
              <w:keepLines w:val="0"/>
              <w:pageBreakBefore w:val="0"/>
              <w:widowControl w:val="0"/>
              <w:kinsoku/>
              <w:wordWrap w:val="0"/>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.1对位方式：上/下双光路同步对位，芯片与基板同时成像实时对准；</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.2对位精度：±0.5μm（亚微米级对位能力）；</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.3识别能力：支持Mark点识别</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芯片电极识别</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图形轮廓识别多种识别模式；</w:t>
            </w:r>
          </w:p>
          <w:p w14:paraId="137B965D">
            <w:pPr>
              <w:keepNext w:val="0"/>
              <w:keepLines w:val="0"/>
              <w:pageBreakBefore w:val="0"/>
              <w:widowControl w:val="0"/>
              <w:kinsoku/>
              <w:wordWrap w:val="0"/>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运动控制系统</w:t>
            </w:r>
          </w:p>
          <w:p w14:paraId="6F4A9FFF">
            <w:pPr>
              <w:keepNext w:val="0"/>
              <w:keepLines w:val="0"/>
              <w:pageBreakBefore w:val="0"/>
              <w:widowControl w:val="0"/>
              <w:kinsoku/>
              <w:wordWrap w:val="0"/>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.1运动平台≥1套；</w:t>
            </w:r>
          </w:p>
          <w:p w14:paraId="4361C9E1">
            <w:pPr>
              <w:keepNext w:val="0"/>
              <w:keepLines w:val="0"/>
              <w:pageBreakBefore w:val="0"/>
              <w:widowControl w:val="0"/>
              <w:kinsoku/>
              <w:wordWrap w:val="0"/>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.2驱动方式：直线电机驱动（X/Y轴）+伺服电机（Z/θ轴）；</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.3防震动设计：大理石基座+主动减振系统；</w:t>
            </w:r>
          </w:p>
          <w:p w14:paraId="16A364C6">
            <w:pPr>
              <w:keepNext w:val="0"/>
              <w:keepLines w:val="0"/>
              <w:pageBreakBefore w:val="0"/>
              <w:widowControl w:val="0"/>
              <w:kinsoku/>
              <w:wordWrap w:val="0"/>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芯片倒装模块</w:t>
            </w:r>
          </w:p>
          <w:p w14:paraId="2779C633">
            <w:pPr>
              <w:keepNext w:val="0"/>
              <w:keepLines w:val="0"/>
              <w:pageBreakBefore w:val="0"/>
              <w:widowControl w:val="0"/>
              <w:kinsoku/>
              <w:wordWrap w:val="0"/>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.1倒装平台≥1套；</w:t>
            </w:r>
          </w:p>
          <w:p w14:paraId="297AFEDE">
            <w:pPr>
              <w:keepNext w:val="0"/>
              <w:keepLines w:val="0"/>
              <w:pageBreakBefore w:val="0"/>
              <w:widowControl w:val="0"/>
              <w:kinsoku/>
              <w:wordWrap w:val="0"/>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.2键合方式：热压键合+共晶键合，支持固态热压与液相共晶双模式；</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.3键合温度：室温~350℃（可编程控制）；</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.4气氛保护：支持N</w:t>
            </w:r>
            <w:r>
              <w:rPr>
                <w:rFonts w:hint="eastAsia" w:ascii="宋体" w:hAnsi="宋体" w:eastAsia="宋体" w:cs="宋体"/>
                <w:color w:val="auto"/>
                <w:sz w:val="24"/>
                <w:szCs w:val="24"/>
                <w:highlight w:val="none"/>
                <w:vertAlign w:val="subscript"/>
              </w:rPr>
              <w:t>2</w:t>
            </w:r>
            <w:r>
              <w:rPr>
                <w:rFonts w:hint="eastAsia" w:ascii="宋体" w:hAnsi="宋体" w:eastAsia="宋体" w:cs="宋体"/>
                <w:color w:val="auto"/>
                <w:sz w:val="24"/>
                <w:szCs w:val="24"/>
                <w:highlight w:val="none"/>
              </w:rPr>
              <w:t>气氛</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防止焊接氧化，适用于光芯片封装；</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.5键合压力范围：20g~1000g（可编程）适应不同芯片尺寸；</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.6压力控制精度：±10g</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精密力控；</w:t>
            </w:r>
          </w:p>
          <w:p w14:paraId="6575BC94">
            <w:pPr>
              <w:keepNext w:val="0"/>
              <w:keepLines w:val="0"/>
              <w:pageBreakBefore w:val="0"/>
              <w:widowControl w:val="0"/>
              <w:kinsoku/>
              <w:wordWrap w:val="0"/>
              <w:overflowPunct/>
              <w:topLinePunct w:val="0"/>
              <w:autoSpaceDE/>
              <w:autoSpaceDN/>
              <w:bidi w:val="0"/>
              <w:adjustRightInd/>
              <w:snapToGrid/>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固化模块</w:t>
            </w:r>
          </w:p>
          <w:p w14:paraId="0A33EC1A">
            <w:pPr>
              <w:keepNext w:val="0"/>
              <w:keepLines w:val="0"/>
              <w:pageBreakBefore w:val="0"/>
              <w:widowControl w:val="0"/>
              <w:kinsoku/>
              <w:wordWrap w:val="0"/>
              <w:overflowPunct/>
              <w:topLinePunct w:val="0"/>
              <w:autoSpaceDE/>
              <w:autoSpaceDN/>
              <w:bidi w:val="0"/>
              <w:adjustRightInd/>
              <w:snapToGrid/>
              <w:spacing w:line="312"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.1固化方式：热固化（集成于设备）</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贴装后立即固化，避免移位；</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.2固化温度范围：室温~350℃；</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.3固化平台尺寸：≥100mm×100mm</w:t>
            </w:r>
            <w:r>
              <w:rPr>
                <w:rFonts w:hint="eastAsia" w:ascii="宋体" w:hAnsi="宋体" w:eastAsia="宋体" w:cs="宋体"/>
                <w:color w:val="auto"/>
                <w:sz w:val="24"/>
                <w:szCs w:val="24"/>
                <w:highlight w:val="none"/>
                <w:lang w:eastAsia="zh-CN"/>
              </w:rPr>
              <w:t>。</w:t>
            </w:r>
          </w:p>
        </w:tc>
        <w:tc>
          <w:tcPr>
            <w:tcW w:w="614" w:type="dxa"/>
            <w:shd w:val="clear" w:color="auto" w:fill="auto"/>
            <w:vAlign w:val="center"/>
          </w:tcPr>
          <w:p w14:paraId="15EF0630">
            <w:pPr>
              <w:keepNext w:val="0"/>
              <w:keepLines w:val="0"/>
              <w:pageBreakBefore w:val="0"/>
              <w:widowControl w:val="0"/>
              <w:kinsoku/>
              <w:wordWrap/>
              <w:overflowPunct/>
              <w:topLinePunct w:val="0"/>
              <w:autoSpaceDE/>
              <w:autoSpaceDN/>
              <w:bidi w:val="0"/>
              <w:spacing w:line="312" w:lineRule="auto"/>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1套</w:t>
            </w:r>
          </w:p>
        </w:tc>
        <w:tc>
          <w:tcPr>
            <w:tcW w:w="569" w:type="dxa"/>
            <w:vAlign w:val="center"/>
          </w:tcPr>
          <w:p w14:paraId="505E7DBE">
            <w:pPr>
              <w:keepNext w:val="0"/>
              <w:keepLines w:val="0"/>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工业</w:t>
            </w:r>
          </w:p>
        </w:tc>
        <w:tc>
          <w:tcPr>
            <w:tcW w:w="897" w:type="dxa"/>
            <w:vAlign w:val="center"/>
          </w:tcPr>
          <w:p w14:paraId="4B5BD58A">
            <w:pPr>
              <w:keepNext w:val="0"/>
              <w:keepLines w:val="0"/>
              <w:pageBreakBefore w:val="0"/>
              <w:widowControl w:val="0"/>
              <w:kinsoku/>
              <w:wordWrap/>
              <w:overflowPunct/>
              <w:topLinePunct w:val="0"/>
              <w:autoSpaceDE/>
              <w:autoSpaceDN/>
              <w:bidi w:val="0"/>
              <w:spacing w:line="312"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eastAsia="zh-CN"/>
              </w:rPr>
              <w:t>进口</w:t>
            </w:r>
          </w:p>
        </w:tc>
      </w:tr>
      <w:tr w14:paraId="00747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shd w:val="clear" w:color="auto" w:fill="auto"/>
            <w:vAlign w:val="center"/>
          </w:tcPr>
          <w:p w14:paraId="7A5617BA">
            <w:pPr>
              <w:keepNext w:val="0"/>
              <w:keepLines w:val="0"/>
              <w:pageBreakBefore w:val="0"/>
              <w:widowControl w:val="0"/>
              <w:kinsoku/>
              <w:wordWrap/>
              <w:overflowPunct/>
              <w:topLinePunct w:val="0"/>
              <w:autoSpaceDE/>
              <w:autoSpaceDN/>
              <w:bidi w:val="0"/>
              <w:spacing w:line="312"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038" w:type="dxa"/>
            <w:shd w:val="clear" w:color="auto" w:fill="auto"/>
            <w:vAlign w:val="center"/>
          </w:tcPr>
          <w:p w14:paraId="7F5FFDC5">
            <w:pPr>
              <w:spacing w:line="30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光电集成对准耦合机</w:t>
            </w:r>
          </w:p>
        </w:tc>
        <w:tc>
          <w:tcPr>
            <w:tcW w:w="5759" w:type="dxa"/>
            <w:shd w:val="clear" w:color="auto" w:fill="auto"/>
            <w:vAlign w:val="top"/>
          </w:tcPr>
          <w:p w14:paraId="658AA99E">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1.主轴X：行程≥320mm，分辨率≤25nm，重复定位精度±25nm</w:t>
            </w:r>
            <w:r>
              <w:rPr>
                <w:rFonts w:hint="eastAsia" w:ascii="宋体" w:hAnsi="宋体" w:eastAsia="宋体" w:cs="宋体"/>
                <w:color w:val="auto"/>
                <w:sz w:val="24"/>
                <w:szCs w:val="24"/>
                <w:highlight w:val="none"/>
                <w:lang w:eastAsia="zh-CN"/>
              </w:rPr>
              <w:t>；</w:t>
            </w:r>
          </w:p>
          <w:p w14:paraId="45022E6A">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2.主轴Y：行程≥80mm，分辨率≤25nm，重复定位精度±25nm</w:t>
            </w:r>
            <w:r>
              <w:rPr>
                <w:rFonts w:hint="eastAsia" w:ascii="宋体" w:hAnsi="宋体" w:eastAsia="宋体" w:cs="宋体"/>
                <w:color w:val="auto"/>
                <w:sz w:val="24"/>
                <w:szCs w:val="24"/>
                <w:highlight w:val="none"/>
                <w:lang w:eastAsia="zh-CN"/>
              </w:rPr>
              <w:t>；</w:t>
            </w:r>
          </w:p>
          <w:p w14:paraId="310DD47F">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3.主轴Z：行程≥80mm，分辨率≤25nm，重复定位精度±25nm</w:t>
            </w:r>
            <w:r>
              <w:rPr>
                <w:rFonts w:hint="eastAsia" w:ascii="宋体" w:hAnsi="宋体" w:eastAsia="宋体" w:cs="宋体"/>
                <w:color w:val="auto"/>
                <w:sz w:val="24"/>
                <w:szCs w:val="24"/>
                <w:highlight w:val="none"/>
                <w:lang w:eastAsia="zh-CN"/>
              </w:rPr>
              <w:t>；</w:t>
            </w:r>
          </w:p>
          <w:p w14:paraId="7F291EF5">
            <w:pPr>
              <w:spacing w:line="300" w:lineRule="auto"/>
              <w:rPr>
                <w:rFonts w:hint="eastAsia" w:ascii="宋体" w:hAnsi="宋体" w:eastAsia="宋体" w:cs="宋体"/>
                <w:color w:val="auto"/>
                <w:sz w:val="24"/>
                <w:szCs w:val="24"/>
                <w:highlight w:val="none"/>
                <w:lang w:eastAsia="zh-CN"/>
              </w:rPr>
            </w:pPr>
            <w:bookmarkStart w:id="18" w:name="OLE_LINK9"/>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4.角度轴：行程±4°，分辨率≤0.05°，重复定位精度±0.03°</w:t>
            </w:r>
            <w:r>
              <w:rPr>
                <w:rFonts w:hint="eastAsia" w:ascii="宋体" w:hAnsi="宋体" w:eastAsia="宋体" w:cs="宋体"/>
                <w:color w:val="auto"/>
                <w:sz w:val="24"/>
                <w:szCs w:val="24"/>
                <w:highlight w:val="none"/>
                <w:lang w:eastAsia="zh-CN"/>
              </w:rPr>
              <w:t>；</w:t>
            </w:r>
          </w:p>
          <w:bookmarkEnd w:id="18"/>
          <w:p w14:paraId="3CE40E69">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5.</w:t>
            </w:r>
            <w:r>
              <w:rPr>
                <w:rFonts w:hint="eastAsia" w:ascii="宋体" w:hAnsi="宋体" w:eastAsia="宋体" w:cs="宋体"/>
                <w:color w:val="auto"/>
                <w:kern w:val="0"/>
                <w:sz w:val="24"/>
                <w:szCs w:val="24"/>
                <w:highlight w:val="none"/>
                <w:lang w:bidi="ar"/>
              </w:rPr>
              <w:t>适用范围：</w:t>
            </w:r>
            <w:r>
              <w:rPr>
                <w:rFonts w:hint="eastAsia" w:ascii="宋体" w:hAnsi="宋体" w:eastAsia="宋体" w:cs="宋体"/>
                <w:color w:val="auto"/>
                <w:sz w:val="24"/>
                <w:szCs w:val="24"/>
                <w:highlight w:val="none"/>
              </w:rPr>
              <w:t>适用于800GDR/FR、1.6TDR/FR系列硅光模块自动化耦合生产</w:t>
            </w:r>
            <w:r>
              <w:rPr>
                <w:rFonts w:hint="eastAsia" w:ascii="宋体" w:hAnsi="宋体" w:eastAsia="宋体" w:cs="宋体"/>
                <w:color w:val="auto"/>
                <w:sz w:val="24"/>
                <w:szCs w:val="24"/>
                <w:highlight w:val="none"/>
                <w:lang w:eastAsia="zh-CN"/>
              </w:rPr>
              <w:t>；</w:t>
            </w:r>
          </w:p>
          <w:p w14:paraId="64B7066F">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6.</w:t>
            </w:r>
            <w:r>
              <w:rPr>
                <w:rFonts w:hint="eastAsia" w:ascii="宋体" w:hAnsi="宋体" w:eastAsia="宋体" w:cs="宋体"/>
                <w:color w:val="auto"/>
                <w:kern w:val="0"/>
                <w:sz w:val="24"/>
                <w:szCs w:val="24"/>
                <w:highlight w:val="none"/>
                <w:lang w:bidi="ar"/>
              </w:rPr>
              <w:t>光功率检测模块：不低于</w:t>
            </w:r>
            <w:r>
              <w:rPr>
                <w:rFonts w:hint="eastAsia" w:ascii="宋体" w:hAnsi="宋体" w:eastAsia="宋体" w:cs="宋体"/>
                <w:color w:val="auto"/>
                <w:sz w:val="24"/>
                <w:szCs w:val="24"/>
                <w:highlight w:val="none"/>
              </w:rPr>
              <w:t>8通道光功率检测，量程-75dBm～+15dBm，波长范围800nm-1700nm，</w:t>
            </w:r>
            <w:r>
              <w:rPr>
                <w:rFonts w:hint="eastAsia" w:ascii="宋体" w:hAnsi="宋体" w:eastAsia="宋体" w:cs="宋体"/>
                <w:color w:val="auto"/>
                <w:kern w:val="0"/>
                <w:sz w:val="24"/>
                <w:szCs w:val="24"/>
                <w:highlight w:val="none"/>
                <w:lang w:bidi="ar"/>
              </w:rPr>
              <w:t>校准波长满足850/1300/1310/1490/1550/1625nm，</w:t>
            </w:r>
            <w:r>
              <w:rPr>
                <w:rFonts w:hint="eastAsia" w:ascii="宋体" w:hAnsi="宋体" w:eastAsia="宋体" w:cs="宋体"/>
                <w:color w:val="auto"/>
                <w:sz w:val="24"/>
                <w:szCs w:val="24"/>
                <w:highlight w:val="none"/>
              </w:rPr>
              <w:t>校准后偏差±0.2dB</w:t>
            </w:r>
            <w:r>
              <w:rPr>
                <w:rFonts w:hint="eastAsia" w:ascii="宋体" w:hAnsi="宋体" w:eastAsia="宋体" w:cs="宋体"/>
                <w:color w:val="auto"/>
                <w:sz w:val="24"/>
                <w:szCs w:val="24"/>
                <w:highlight w:val="none"/>
                <w:lang w:eastAsia="zh-CN"/>
              </w:rPr>
              <w:t>；</w:t>
            </w:r>
          </w:p>
          <w:p w14:paraId="389F764E">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7.</w:t>
            </w:r>
            <w:r>
              <w:rPr>
                <w:rFonts w:hint="eastAsia" w:ascii="宋体" w:hAnsi="宋体" w:eastAsia="宋体" w:cs="宋体"/>
                <w:color w:val="auto"/>
                <w:kern w:val="0"/>
                <w:sz w:val="24"/>
                <w:szCs w:val="24"/>
                <w:highlight w:val="none"/>
                <w:lang w:bidi="ar"/>
              </w:rPr>
              <w:t>点胶系统：不低于</w:t>
            </w:r>
            <w:r>
              <w:rPr>
                <w:rFonts w:hint="eastAsia" w:ascii="宋体" w:hAnsi="宋体" w:eastAsia="宋体" w:cs="宋体"/>
                <w:color w:val="auto"/>
                <w:sz w:val="24"/>
                <w:szCs w:val="24"/>
                <w:highlight w:val="none"/>
              </w:rPr>
              <w:t>2套独立点胶机构，分别实现FA底部点胶、波导匹配液点胶</w:t>
            </w:r>
            <w:r>
              <w:rPr>
                <w:rFonts w:hint="eastAsia" w:ascii="宋体" w:hAnsi="宋体" w:eastAsia="宋体" w:cs="宋体"/>
                <w:color w:val="auto"/>
                <w:sz w:val="24"/>
                <w:szCs w:val="24"/>
                <w:highlight w:val="none"/>
                <w:lang w:eastAsia="zh-CN"/>
              </w:rPr>
              <w:t>；</w:t>
            </w:r>
          </w:p>
          <w:p w14:paraId="12F33060">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8.UV固化系统：波长365nm，具备紫外光防泄露防护结构</w:t>
            </w:r>
            <w:r>
              <w:rPr>
                <w:rFonts w:hint="eastAsia" w:ascii="宋体" w:hAnsi="宋体" w:eastAsia="宋体" w:cs="宋体"/>
                <w:color w:val="auto"/>
                <w:sz w:val="24"/>
                <w:szCs w:val="24"/>
                <w:highlight w:val="none"/>
                <w:lang w:eastAsia="zh-CN"/>
              </w:rPr>
              <w:t>；</w:t>
            </w:r>
          </w:p>
          <w:p w14:paraId="56504171">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■9.点胶机：气动点胶机（支持程控）</w:t>
            </w:r>
            <w:r>
              <w:rPr>
                <w:rFonts w:hint="eastAsia" w:ascii="宋体" w:hAnsi="宋体" w:eastAsia="宋体" w:cs="宋体"/>
                <w:color w:val="auto"/>
                <w:sz w:val="24"/>
                <w:szCs w:val="24"/>
                <w:highlight w:val="none"/>
                <w:lang w:eastAsia="zh-CN"/>
              </w:rPr>
              <w:t>；</w:t>
            </w:r>
          </w:p>
          <w:p w14:paraId="758336DA">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■10.视觉定位系统：重复定位精度±5µm；夹具装配精度±10µm；配置上下视相机、点胶观察相机、激光测距模组</w:t>
            </w:r>
            <w:r>
              <w:rPr>
                <w:rFonts w:hint="eastAsia" w:ascii="宋体" w:hAnsi="宋体" w:eastAsia="宋体" w:cs="宋体"/>
                <w:color w:val="auto"/>
                <w:sz w:val="24"/>
                <w:szCs w:val="24"/>
                <w:highlight w:val="none"/>
                <w:lang w:eastAsia="zh-CN"/>
              </w:rPr>
              <w:t>；</w:t>
            </w:r>
          </w:p>
          <w:p w14:paraId="7356BA7C">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■11.压力传感器：综合误差±3gf，分辨率≤1gf，工作温度区间-40℃～85℃</w:t>
            </w:r>
            <w:r>
              <w:rPr>
                <w:rFonts w:hint="eastAsia" w:ascii="宋体" w:hAnsi="宋体" w:eastAsia="宋体" w:cs="宋体"/>
                <w:color w:val="auto"/>
                <w:sz w:val="24"/>
                <w:szCs w:val="24"/>
                <w:highlight w:val="none"/>
                <w:lang w:eastAsia="zh-CN"/>
              </w:rPr>
              <w:t>；</w:t>
            </w:r>
          </w:p>
          <w:p w14:paraId="3AF8A70A">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12.</w:t>
            </w:r>
            <w:r>
              <w:rPr>
                <w:rFonts w:hint="eastAsia" w:ascii="宋体" w:hAnsi="宋体" w:eastAsia="宋体" w:cs="宋体"/>
                <w:color w:val="auto"/>
                <w:kern w:val="0"/>
                <w:sz w:val="24"/>
                <w:szCs w:val="24"/>
                <w:highlight w:val="none"/>
                <w:lang w:bidi="ar"/>
              </w:rPr>
              <w:t>软件与数据系统：</w:t>
            </w:r>
            <w:r>
              <w:rPr>
                <w:rFonts w:hint="eastAsia" w:ascii="宋体" w:hAnsi="宋体" w:eastAsia="宋体" w:cs="宋体"/>
                <w:color w:val="auto"/>
                <w:sz w:val="24"/>
                <w:szCs w:val="24"/>
                <w:highlight w:val="none"/>
              </w:rPr>
              <w:t>具备三级权限管理，本地数据存储时长≥6个月，支持MES系统对接与生产追溯</w:t>
            </w:r>
            <w:r>
              <w:rPr>
                <w:rFonts w:hint="eastAsia" w:ascii="宋体" w:hAnsi="宋体" w:eastAsia="宋体" w:cs="宋体"/>
                <w:color w:val="auto"/>
                <w:sz w:val="24"/>
                <w:szCs w:val="24"/>
                <w:highlight w:val="none"/>
                <w:lang w:eastAsia="zh-CN"/>
              </w:rPr>
              <w:t>；</w:t>
            </w:r>
          </w:p>
          <w:p w14:paraId="270B8E88">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13.无尘等级：</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Class10000（万级）</w:t>
            </w:r>
            <w:r>
              <w:rPr>
                <w:rFonts w:hint="eastAsia" w:ascii="宋体" w:hAnsi="宋体" w:eastAsia="宋体" w:cs="宋体"/>
                <w:color w:val="auto"/>
                <w:sz w:val="24"/>
                <w:szCs w:val="24"/>
                <w:highlight w:val="none"/>
                <w:lang w:eastAsia="zh-CN"/>
              </w:rPr>
              <w:t>；</w:t>
            </w:r>
          </w:p>
          <w:p w14:paraId="2DA28DC3">
            <w:pPr>
              <w:spacing w:line="30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.安全与防护：配</w:t>
            </w:r>
            <w:r>
              <w:rPr>
                <w:rFonts w:hint="eastAsia" w:ascii="宋体" w:hAnsi="宋体" w:eastAsia="宋体" w:cs="宋体"/>
                <w:color w:val="auto"/>
                <w:sz w:val="24"/>
                <w:szCs w:val="24"/>
                <w:highlight w:val="none"/>
                <w:lang w:val="en-US" w:eastAsia="zh-CN"/>
              </w:rPr>
              <w:t>置</w:t>
            </w:r>
            <w:r>
              <w:rPr>
                <w:rFonts w:hint="eastAsia" w:ascii="宋体" w:hAnsi="宋体" w:eastAsia="宋体" w:cs="宋体"/>
                <w:color w:val="auto"/>
                <w:sz w:val="24"/>
                <w:szCs w:val="24"/>
                <w:highlight w:val="none"/>
              </w:rPr>
              <w:t>急停、安全门锁、安全光栅；具备故障监测、声光报警与异常停机功能；模块化设计，预留拓展位</w:t>
            </w:r>
            <w:r>
              <w:rPr>
                <w:rFonts w:hint="eastAsia" w:ascii="宋体" w:hAnsi="宋体" w:eastAsia="宋体" w:cs="宋体"/>
                <w:color w:val="auto"/>
                <w:sz w:val="24"/>
                <w:szCs w:val="24"/>
                <w:highlight w:val="none"/>
                <w:lang w:eastAsia="zh-CN"/>
              </w:rPr>
              <w:t>。</w:t>
            </w:r>
          </w:p>
        </w:tc>
        <w:tc>
          <w:tcPr>
            <w:tcW w:w="614" w:type="dxa"/>
            <w:shd w:val="clear" w:color="auto" w:fill="auto"/>
            <w:vAlign w:val="center"/>
          </w:tcPr>
          <w:p w14:paraId="0D15351E">
            <w:pPr>
              <w:keepNext w:val="0"/>
              <w:keepLines w:val="0"/>
              <w:pageBreakBefore w:val="0"/>
              <w:widowControl w:val="0"/>
              <w:kinsoku/>
              <w:wordWrap/>
              <w:overflowPunct/>
              <w:topLinePunct w:val="0"/>
              <w:autoSpaceDE/>
              <w:autoSpaceDN/>
              <w:bidi w:val="0"/>
              <w:spacing w:line="312" w:lineRule="auto"/>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val="en-US" w:eastAsia="zh-CN"/>
              </w:rPr>
              <w:t>套</w:t>
            </w:r>
          </w:p>
        </w:tc>
        <w:tc>
          <w:tcPr>
            <w:tcW w:w="569" w:type="dxa"/>
            <w:vAlign w:val="center"/>
          </w:tcPr>
          <w:p w14:paraId="022F2CD8">
            <w:pPr>
              <w:keepNext w:val="0"/>
              <w:keepLines w:val="0"/>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工业</w:t>
            </w:r>
          </w:p>
        </w:tc>
        <w:tc>
          <w:tcPr>
            <w:tcW w:w="897" w:type="dxa"/>
            <w:vAlign w:val="center"/>
          </w:tcPr>
          <w:p w14:paraId="358F027C">
            <w:pPr>
              <w:keepNext w:val="0"/>
              <w:keepLines w:val="0"/>
              <w:pageBreakBefore w:val="0"/>
              <w:widowControl w:val="0"/>
              <w:kinsoku/>
              <w:wordWrap/>
              <w:overflowPunct/>
              <w:topLinePunct w:val="0"/>
              <w:autoSpaceDE/>
              <w:autoSpaceDN/>
              <w:bidi w:val="0"/>
              <w:spacing w:line="312" w:lineRule="auto"/>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w:t>
            </w:r>
          </w:p>
        </w:tc>
      </w:tr>
      <w:tr w14:paraId="3CB0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shd w:val="clear" w:color="auto" w:fill="auto"/>
            <w:vAlign w:val="center"/>
          </w:tcPr>
          <w:p w14:paraId="0DB2732D">
            <w:pPr>
              <w:keepNext w:val="0"/>
              <w:keepLines w:val="0"/>
              <w:pageBreakBefore w:val="0"/>
              <w:widowControl w:val="0"/>
              <w:kinsoku/>
              <w:wordWrap/>
              <w:overflowPunct/>
              <w:topLinePunct w:val="0"/>
              <w:autoSpaceDE/>
              <w:autoSpaceDN/>
              <w:bidi w:val="0"/>
              <w:spacing w:line="312"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038" w:type="dxa"/>
            <w:shd w:val="clear" w:color="auto" w:fill="auto"/>
            <w:vAlign w:val="center"/>
          </w:tcPr>
          <w:p w14:paraId="544ECF66">
            <w:pPr>
              <w:spacing w:line="30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color w:val="auto"/>
                <w:sz w:val="24"/>
                <w:szCs w:val="24"/>
                <w:highlight w:val="none"/>
              </w:rPr>
              <w:t>键合机</w:t>
            </w:r>
          </w:p>
        </w:tc>
        <w:tc>
          <w:tcPr>
            <w:tcW w:w="5759" w:type="dxa"/>
            <w:shd w:val="clear" w:color="auto" w:fill="auto"/>
            <w:vAlign w:val="top"/>
          </w:tcPr>
          <w:p w14:paraId="7350FE3B">
            <w:pPr>
              <w:spacing w:line="300" w:lineRule="auto"/>
              <w:rPr>
                <w:rFonts w:hint="eastAsia" w:ascii="宋体" w:hAnsi="宋体" w:eastAsia="宋体" w:cs="宋体"/>
                <w:color w:val="auto"/>
                <w:sz w:val="24"/>
                <w:szCs w:val="24"/>
                <w:highlight w:val="none"/>
                <w:lang w:eastAsia="zh-CN"/>
              </w:rPr>
            </w:pPr>
            <w:bookmarkStart w:id="19" w:name="OLE_LINK12"/>
            <w:r>
              <w:rPr>
                <w:rFonts w:hint="eastAsia" w:ascii="宋体" w:hAnsi="宋体" w:eastAsia="宋体" w:cs="宋体"/>
                <w:color w:val="auto"/>
                <w:sz w:val="24"/>
                <w:szCs w:val="24"/>
                <w:highlight w:val="none"/>
              </w:rPr>
              <w:t>1.可同机实现楔形键合、球键合和小金带键合三种键合方式</w:t>
            </w:r>
            <w:r>
              <w:rPr>
                <w:rFonts w:hint="eastAsia" w:ascii="宋体" w:hAnsi="宋体" w:eastAsia="宋体" w:cs="宋体"/>
                <w:color w:val="auto"/>
                <w:sz w:val="24"/>
                <w:szCs w:val="24"/>
                <w:highlight w:val="none"/>
                <w:lang w:eastAsia="zh-CN"/>
              </w:rPr>
              <w:t>；</w:t>
            </w:r>
          </w:p>
          <w:p w14:paraId="4F8E6FF4">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2.楔形键合线径范围：18至75微米,可同机实现45度和90度深腔键合</w:t>
            </w:r>
            <w:r>
              <w:rPr>
                <w:rFonts w:hint="eastAsia" w:ascii="宋体" w:hAnsi="宋体" w:eastAsia="宋体" w:cs="宋体"/>
                <w:color w:val="auto"/>
                <w:sz w:val="24"/>
                <w:szCs w:val="24"/>
                <w:highlight w:val="none"/>
                <w:lang w:eastAsia="zh-CN"/>
              </w:rPr>
              <w:t>；</w:t>
            </w:r>
          </w:p>
          <w:p w14:paraId="045EB6F5">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3.X、Y、Z操纵杆，8比1比例</w:t>
            </w:r>
            <w:r>
              <w:rPr>
                <w:rFonts w:hint="eastAsia" w:ascii="宋体" w:hAnsi="宋体" w:eastAsia="宋体" w:cs="宋体"/>
                <w:color w:val="auto"/>
                <w:sz w:val="24"/>
                <w:szCs w:val="24"/>
                <w:highlight w:val="none"/>
                <w:lang w:eastAsia="zh-CN"/>
              </w:rPr>
              <w:t>；</w:t>
            </w:r>
          </w:p>
          <w:p w14:paraId="1F612CCC">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4.整机身静电保护</w:t>
            </w:r>
            <w:r>
              <w:rPr>
                <w:rFonts w:hint="eastAsia" w:ascii="宋体" w:hAnsi="宋体" w:eastAsia="宋体" w:cs="宋体"/>
                <w:color w:val="auto"/>
                <w:sz w:val="24"/>
                <w:szCs w:val="24"/>
                <w:highlight w:val="none"/>
                <w:lang w:eastAsia="zh-CN"/>
              </w:rPr>
              <w:t>；</w:t>
            </w:r>
          </w:p>
          <w:p w14:paraId="15018E4E">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5.键合力10克到250克连续可调</w:t>
            </w:r>
            <w:r>
              <w:rPr>
                <w:rFonts w:hint="eastAsia" w:ascii="宋体" w:hAnsi="宋体" w:eastAsia="宋体" w:cs="宋体"/>
                <w:color w:val="auto"/>
                <w:sz w:val="24"/>
                <w:szCs w:val="24"/>
                <w:highlight w:val="none"/>
                <w:lang w:eastAsia="zh-CN"/>
              </w:rPr>
              <w:t>；</w:t>
            </w:r>
          </w:p>
          <w:p w14:paraId="19B98673">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.可键合金丝、金带、铝丝；</w:t>
            </w:r>
          </w:p>
          <w:p w14:paraId="7F19B5C3">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.球焊键合线径范围：18</w:t>
            </w:r>
            <w:r>
              <w:rPr>
                <w:rFonts w:hint="eastAsia" w:ascii="宋体" w:hAnsi="宋体" w:eastAsia="宋体" w:cs="宋体"/>
                <w:color w:val="auto"/>
                <w:sz w:val="24"/>
                <w:szCs w:val="24"/>
                <w:highlight w:val="none"/>
                <w:lang w:val="en-US" w:eastAsia="zh-CN"/>
              </w:rPr>
              <w:t>微米</w:t>
            </w:r>
            <w:r>
              <w:rPr>
                <w:rFonts w:hint="eastAsia" w:ascii="宋体" w:hAnsi="宋体" w:eastAsia="宋体" w:cs="宋体"/>
                <w:color w:val="auto"/>
                <w:sz w:val="24"/>
                <w:szCs w:val="24"/>
                <w:highlight w:val="none"/>
              </w:rPr>
              <w:t>至50微米</w:t>
            </w:r>
            <w:r>
              <w:rPr>
                <w:rFonts w:hint="eastAsia" w:ascii="宋体" w:hAnsi="宋体" w:eastAsia="宋体" w:cs="宋体"/>
                <w:color w:val="auto"/>
                <w:sz w:val="24"/>
                <w:szCs w:val="24"/>
                <w:highlight w:val="none"/>
                <w:lang w:eastAsia="zh-CN"/>
              </w:rPr>
              <w:t>；</w:t>
            </w:r>
          </w:p>
          <w:p w14:paraId="78B347B3">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.可键合金带尺寸:</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250</w:t>
            </w:r>
            <w:r>
              <w:rPr>
                <w:rFonts w:hint="eastAsia" w:ascii="宋体" w:hAnsi="宋体" w:eastAsia="宋体" w:cs="宋体"/>
                <w:color w:val="auto"/>
                <w:sz w:val="24"/>
                <w:szCs w:val="24"/>
                <w:highlight w:val="none"/>
                <w:lang w:val="en-US" w:eastAsia="zh-CN"/>
              </w:rPr>
              <w:t>μ</w:t>
            </w:r>
            <w:r>
              <w:rPr>
                <w:rFonts w:hint="eastAsia" w:ascii="宋体" w:hAnsi="宋体" w:eastAsia="宋体" w:cs="宋体"/>
                <w:color w:val="auto"/>
                <w:sz w:val="24"/>
                <w:szCs w:val="24"/>
                <w:highlight w:val="none"/>
              </w:rPr>
              <w:t>m*25</w:t>
            </w:r>
            <w:r>
              <w:rPr>
                <w:rFonts w:hint="eastAsia" w:ascii="宋体" w:hAnsi="宋体" w:eastAsia="宋体" w:cs="宋体"/>
                <w:color w:val="auto"/>
                <w:sz w:val="24"/>
                <w:szCs w:val="24"/>
                <w:highlight w:val="none"/>
                <w:lang w:val="en-US" w:eastAsia="zh-CN"/>
              </w:rPr>
              <w:t>μ</w:t>
            </w:r>
            <w:r>
              <w:rPr>
                <w:rFonts w:hint="eastAsia" w:ascii="宋体" w:hAnsi="宋体" w:eastAsia="宋体" w:cs="宋体"/>
                <w:color w:val="auto"/>
                <w:sz w:val="24"/>
                <w:szCs w:val="24"/>
                <w:highlight w:val="none"/>
              </w:rPr>
              <w:t>m</w:t>
            </w:r>
            <w:r>
              <w:rPr>
                <w:rFonts w:hint="eastAsia" w:ascii="宋体" w:hAnsi="宋体" w:eastAsia="宋体" w:cs="宋体"/>
                <w:color w:val="auto"/>
                <w:sz w:val="24"/>
                <w:szCs w:val="24"/>
                <w:highlight w:val="none"/>
                <w:lang w:eastAsia="zh-CN"/>
              </w:rPr>
              <w:t>；</w:t>
            </w:r>
          </w:p>
          <w:p w14:paraId="62AE00E8">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.不低于63KHz超声换能器，超声功率≥</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w:t>
            </w:r>
            <w:r>
              <w:rPr>
                <w:rFonts w:hint="eastAsia" w:ascii="宋体" w:hAnsi="宋体" w:eastAsia="宋体" w:cs="宋体"/>
                <w:color w:val="auto"/>
                <w:sz w:val="24"/>
                <w:szCs w:val="24"/>
                <w:highlight w:val="none"/>
                <w:lang w:eastAsia="zh-CN"/>
              </w:rPr>
              <w:t>；</w:t>
            </w:r>
          </w:p>
          <w:p w14:paraId="1FC91E08">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.具有夹具、工具头加热功能</w:t>
            </w:r>
            <w:r>
              <w:rPr>
                <w:rFonts w:hint="eastAsia" w:ascii="宋体" w:hAnsi="宋体" w:eastAsia="宋体" w:cs="宋体"/>
                <w:color w:val="auto"/>
                <w:sz w:val="24"/>
                <w:szCs w:val="24"/>
                <w:highlight w:val="none"/>
                <w:lang w:eastAsia="zh-CN"/>
              </w:rPr>
              <w:t>；</w:t>
            </w:r>
          </w:p>
          <w:p w14:paraId="5D63F813">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.双力键合控制，适用于砷化镓器件及敏感器件</w:t>
            </w:r>
            <w:r>
              <w:rPr>
                <w:rFonts w:hint="eastAsia" w:ascii="宋体" w:hAnsi="宋体" w:eastAsia="宋体" w:cs="宋体"/>
                <w:color w:val="auto"/>
                <w:sz w:val="24"/>
                <w:szCs w:val="24"/>
                <w:highlight w:val="none"/>
                <w:lang w:eastAsia="zh-CN"/>
              </w:rPr>
              <w:t>；</w:t>
            </w:r>
          </w:p>
          <w:p w14:paraId="48F6B892">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.不低于四行液晶显示；不低于30个器件参数存储</w:t>
            </w:r>
            <w:r>
              <w:rPr>
                <w:rFonts w:hint="eastAsia" w:ascii="宋体" w:hAnsi="宋体" w:eastAsia="宋体" w:cs="宋体"/>
                <w:color w:val="auto"/>
                <w:sz w:val="24"/>
                <w:szCs w:val="24"/>
                <w:highlight w:val="none"/>
                <w:lang w:eastAsia="zh-CN"/>
              </w:rPr>
              <w:t>；</w:t>
            </w:r>
          </w:p>
          <w:p w14:paraId="3C5861A4">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.深腔，楔形键合标准长度为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0.750英寸的刀具，球键合标准为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0.625英寸的刀具</w:t>
            </w:r>
            <w:r>
              <w:rPr>
                <w:rFonts w:hint="eastAsia" w:ascii="宋体" w:hAnsi="宋体" w:eastAsia="宋体" w:cs="宋体"/>
                <w:color w:val="auto"/>
                <w:sz w:val="24"/>
                <w:szCs w:val="24"/>
                <w:highlight w:val="none"/>
                <w:lang w:eastAsia="zh-CN"/>
              </w:rPr>
              <w:t>；</w:t>
            </w:r>
          </w:p>
          <w:p w14:paraId="2EBA5786">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16.</w:t>
            </w:r>
            <w:bookmarkStart w:id="20" w:name="OLE_LINK13"/>
            <w:r>
              <w:rPr>
                <w:rFonts w:hint="eastAsia" w:ascii="宋体" w:hAnsi="宋体" w:eastAsia="宋体" w:cs="宋体"/>
                <w:color w:val="auto"/>
                <w:sz w:val="24"/>
                <w:szCs w:val="24"/>
                <w:highlight w:val="none"/>
              </w:rPr>
              <w:t>配置立体显微镜</w:t>
            </w:r>
            <w:bookmarkEnd w:id="20"/>
            <w:r>
              <w:rPr>
                <w:rFonts w:hint="eastAsia" w:ascii="宋体" w:hAnsi="宋体" w:eastAsia="宋体" w:cs="宋体"/>
                <w:color w:val="auto"/>
                <w:sz w:val="24"/>
                <w:szCs w:val="24"/>
                <w:highlight w:val="none"/>
                <w:lang w:eastAsia="zh-CN"/>
              </w:rPr>
              <w:t>，放大倍数不小于60倍；</w:t>
            </w:r>
          </w:p>
          <w:p w14:paraId="14952A5D">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17.所有键合参数均可编程</w:t>
            </w:r>
            <w:r>
              <w:rPr>
                <w:rFonts w:hint="eastAsia" w:ascii="宋体" w:hAnsi="宋体" w:eastAsia="宋体" w:cs="宋体"/>
                <w:color w:val="auto"/>
                <w:sz w:val="24"/>
                <w:szCs w:val="24"/>
                <w:highlight w:val="none"/>
                <w:lang w:eastAsia="zh-CN"/>
              </w:rPr>
              <w:t>；</w:t>
            </w:r>
          </w:p>
          <w:p w14:paraId="09944B28">
            <w:pPr>
              <w:spacing w:line="30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18.配置线夹送线装置，焊线尾部精确控制</w:t>
            </w:r>
            <w:bookmarkEnd w:id="19"/>
            <w:r>
              <w:rPr>
                <w:rFonts w:hint="eastAsia" w:ascii="宋体" w:hAnsi="宋体" w:eastAsia="宋体" w:cs="宋体"/>
                <w:color w:val="auto"/>
                <w:sz w:val="24"/>
                <w:szCs w:val="24"/>
                <w:highlight w:val="none"/>
                <w:lang w:eastAsia="zh-CN"/>
              </w:rPr>
              <w:t>。</w:t>
            </w:r>
          </w:p>
        </w:tc>
        <w:tc>
          <w:tcPr>
            <w:tcW w:w="614" w:type="dxa"/>
            <w:shd w:val="clear" w:color="auto" w:fill="auto"/>
            <w:vAlign w:val="center"/>
          </w:tcPr>
          <w:p w14:paraId="2605B6DD">
            <w:pPr>
              <w:spacing w:line="30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val="en-US" w:eastAsia="zh-CN"/>
              </w:rPr>
              <w:t>套</w:t>
            </w:r>
          </w:p>
        </w:tc>
        <w:tc>
          <w:tcPr>
            <w:tcW w:w="569" w:type="dxa"/>
            <w:vAlign w:val="center"/>
          </w:tcPr>
          <w:p w14:paraId="05420E94">
            <w:pPr>
              <w:spacing w:line="30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工业</w:t>
            </w:r>
          </w:p>
        </w:tc>
        <w:tc>
          <w:tcPr>
            <w:tcW w:w="897" w:type="dxa"/>
            <w:vAlign w:val="center"/>
          </w:tcPr>
          <w:p w14:paraId="5CCA05BF">
            <w:pPr>
              <w:keepNext w:val="0"/>
              <w:keepLines w:val="0"/>
              <w:pageBreakBefore w:val="0"/>
              <w:widowControl w:val="0"/>
              <w:kinsoku/>
              <w:wordWrap/>
              <w:overflowPunct/>
              <w:topLinePunct w:val="0"/>
              <w:autoSpaceDE/>
              <w:autoSpaceDN/>
              <w:bidi w:val="0"/>
              <w:spacing w:line="312" w:lineRule="auto"/>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进口</w:t>
            </w:r>
          </w:p>
        </w:tc>
      </w:tr>
      <w:tr w14:paraId="108FE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shd w:val="clear" w:color="auto" w:fill="auto"/>
            <w:vAlign w:val="center"/>
          </w:tcPr>
          <w:p w14:paraId="2C87440E">
            <w:pPr>
              <w:keepNext w:val="0"/>
              <w:keepLines w:val="0"/>
              <w:pageBreakBefore w:val="0"/>
              <w:widowControl w:val="0"/>
              <w:kinsoku/>
              <w:wordWrap/>
              <w:overflowPunct/>
              <w:topLinePunct w:val="0"/>
              <w:autoSpaceDE/>
              <w:autoSpaceDN/>
              <w:bidi w:val="0"/>
              <w:spacing w:line="312"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038" w:type="dxa"/>
            <w:shd w:val="clear" w:color="auto" w:fill="auto"/>
            <w:vAlign w:val="center"/>
          </w:tcPr>
          <w:p w14:paraId="37F90D16">
            <w:pPr>
              <w:spacing w:line="30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红外热像仪</w:t>
            </w:r>
          </w:p>
        </w:tc>
        <w:tc>
          <w:tcPr>
            <w:tcW w:w="5759" w:type="dxa"/>
            <w:shd w:val="clear" w:color="auto" w:fill="auto"/>
            <w:vAlign w:val="top"/>
          </w:tcPr>
          <w:p w14:paraId="378C19E8">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1.探测器冷却方式：斯特林循环制冷；</w:t>
            </w:r>
          </w:p>
          <w:p w14:paraId="3E904984">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2.探测器类型：锑化铟(InSb)</w:t>
            </w:r>
            <w:r>
              <w:rPr>
                <w:rFonts w:hint="eastAsia" w:ascii="宋体" w:hAnsi="宋体" w:eastAsia="宋体" w:cs="宋体"/>
                <w:color w:val="auto"/>
                <w:sz w:val="24"/>
                <w:szCs w:val="24"/>
                <w:highlight w:val="none"/>
                <w:lang w:eastAsia="zh-CN"/>
              </w:rPr>
              <w:t>；</w:t>
            </w:r>
          </w:p>
          <w:p w14:paraId="3606709F">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3.分辨率：≥640×512像素；</w:t>
            </w:r>
          </w:p>
          <w:p w14:paraId="4BB3CF94">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4.波段：3.7</w:t>
            </w:r>
            <w:r>
              <w:rPr>
                <w:rFonts w:hint="eastAsia" w:ascii="宋体" w:hAnsi="宋体" w:eastAsia="宋体" w:cs="宋体"/>
                <w:color w:val="auto"/>
                <w:sz w:val="24"/>
                <w:szCs w:val="24"/>
                <w:highlight w:val="none"/>
                <w:lang w:val="en-US" w:eastAsia="zh-CN"/>
              </w:rPr>
              <w:t>μ</w:t>
            </w:r>
            <w:r>
              <w:rPr>
                <w:rFonts w:hint="eastAsia" w:ascii="宋体" w:hAnsi="宋体" w:eastAsia="宋体" w:cs="宋体"/>
                <w:color w:val="auto"/>
                <w:sz w:val="24"/>
                <w:szCs w:val="24"/>
                <w:highlight w:val="none"/>
              </w:rPr>
              <w:t>m~4.8</w:t>
            </w:r>
            <w:r>
              <w:rPr>
                <w:rFonts w:hint="eastAsia" w:ascii="宋体" w:hAnsi="宋体" w:eastAsia="宋体" w:cs="宋体"/>
                <w:color w:val="auto"/>
                <w:sz w:val="24"/>
                <w:szCs w:val="24"/>
                <w:highlight w:val="none"/>
                <w:lang w:val="en-US" w:eastAsia="zh-CN"/>
              </w:rPr>
              <w:t>μ</w:t>
            </w:r>
            <w:r>
              <w:rPr>
                <w:rFonts w:hint="eastAsia" w:ascii="宋体" w:hAnsi="宋体" w:eastAsia="宋体" w:cs="宋体"/>
                <w:color w:val="auto"/>
                <w:sz w:val="24"/>
                <w:szCs w:val="24"/>
                <w:highlight w:val="none"/>
              </w:rPr>
              <w:t>m</w:t>
            </w:r>
            <w:r>
              <w:rPr>
                <w:rFonts w:hint="eastAsia" w:ascii="宋体" w:hAnsi="宋体" w:eastAsia="宋体" w:cs="宋体"/>
                <w:color w:val="auto"/>
                <w:sz w:val="24"/>
                <w:szCs w:val="24"/>
                <w:highlight w:val="none"/>
                <w:lang w:eastAsia="zh-CN"/>
              </w:rPr>
              <w:t>；</w:t>
            </w:r>
          </w:p>
          <w:p w14:paraId="5D583B8E">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5.热灵敏度（NETD）：≤20mK（室温条件）；</w:t>
            </w:r>
          </w:p>
          <w:p w14:paraId="7A4929E4">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6.满帧采样频率：≥200Hz；</w:t>
            </w:r>
          </w:p>
          <w:p w14:paraId="00EE5D35">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7.测量温度范围：覆盖0℃~100℃；50-1000℃；300℃-2000℃</w:t>
            </w:r>
            <w:r>
              <w:rPr>
                <w:rFonts w:hint="eastAsia" w:ascii="宋体" w:hAnsi="宋体" w:eastAsia="宋体" w:cs="宋体"/>
                <w:color w:val="auto"/>
                <w:sz w:val="24"/>
                <w:szCs w:val="24"/>
                <w:highlight w:val="none"/>
                <w:lang w:eastAsia="zh-CN"/>
              </w:rPr>
              <w:t>；</w:t>
            </w:r>
          </w:p>
          <w:p w14:paraId="6F357D95">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8.测温精度：±1℃（0℃~100℃）；</w:t>
            </w:r>
          </w:p>
          <w:p w14:paraId="1D44FED3">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9.动态范围：≥14bit；</w:t>
            </w:r>
          </w:p>
          <w:p w14:paraId="30FFEA96">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10.调焦模式：手动；</w:t>
            </w:r>
          </w:p>
          <w:p w14:paraId="7375DB3E">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11.能同步输出触发信号或具备外触发功能；</w:t>
            </w:r>
          </w:p>
          <w:p w14:paraId="0B5BA99C">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12.操控和传输接口：GigE；</w:t>
            </w:r>
          </w:p>
          <w:p w14:paraId="7C8A98F9">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13.命令与控制：GenICam(GigE),RS-485；</w:t>
            </w:r>
          </w:p>
          <w:p w14:paraId="54D18FF5">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14.支持开窗功能，子窗口模式：480×384</w:t>
            </w:r>
            <w:r>
              <w:rPr>
                <w:rFonts w:hint="eastAsia" w:ascii="宋体" w:hAnsi="宋体" w:eastAsia="宋体" w:cs="宋体"/>
                <w:color w:val="auto"/>
                <w:sz w:val="24"/>
                <w:szCs w:val="24"/>
                <w:highlight w:val="none"/>
                <w:lang w:val="en-US" w:eastAsia="zh-CN"/>
              </w:rPr>
              <w:t>像素点帧率</w:t>
            </w:r>
            <w:r>
              <w:rPr>
                <w:rFonts w:hint="eastAsia" w:ascii="宋体" w:hAnsi="宋体" w:eastAsia="宋体" w:cs="宋体"/>
                <w:color w:val="auto"/>
                <w:sz w:val="24"/>
                <w:szCs w:val="24"/>
                <w:highlight w:val="none"/>
              </w:rPr>
              <w:t>≥340Hz,320×256</w:t>
            </w:r>
            <w:r>
              <w:rPr>
                <w:rFonts w:hint="eastAsia" w:ascii="宋体" w:hAnsi="宋体" w:eastAsia="宋体" w:cs="宋体"/>
                <w:color w:val="auto"/>
                <w:sz w:val="24"/>
                <w:szCs w:val="24"/>
                <w:highlight w:val="none"/>
                <w:lang w:val="en-US" w:eastAsia="zh-CN"/>
              </w:rPr>
              <w:t>像素点帧率</w:t>
            </w:r>
            <w:r>
              <w:rPr>
                <w:rFonts w:hint="eastAsia" w:ascii="宋体" w:hAnsi="宋体" w:eastAsia="宋体" w:cs="宋体"/>
                <w:color w:val="auto"/>
                <w:sz w:val="24"/>
                <w:szCs w:val="24"/>
                <w:highlight w:val="none"/>
              </w:rPr>
              <w:t>≥710Hz,160×128</w:t>
            </w:r>
            <w:r>
              <w:rPr>
                <w:rFonts w:hint="eastAsia" w:ascii="宋体" w:hAnsi="宋体" w:eastAsia="宋体" w:cs="宋体"/>
                <w:color w:val="auto"/>
                <w:sz w:val="24"/>
                <w:szCs w:val="24"/>
                <w:highlight w:val="none"/>
                <w:lang w:val="en-US" w:eastAsia="zh-CN"/>
              </w:rPr>
              <w:t>像素点帧率</w:t>
            </w:r>
            <w:r>
              <w:rPr>
                <w:rFonts w:hint="eastAsia" w:ascii="宋体" w:hAnsi="宋体" w:eastAsia="宋体" w:cs="宋体"/>
                <w:color w:val="auto"/>
                <w:sz w:val="24"/>
                <w:szCs w:val="24"/>
                <w:highlight w:val="none"/>
              </w:rPr>
              <w:t>≥2190Hz</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128×64</w:t>
            </w:r>
            <w:r>
              <w:rPr>
                <w:rFonts w:hint="eastAsia" w:ascii="宋体" w:hAnsi="宋体" w:eastAsia="宋体" w:cs="宋体"/>
                <w:color w:val="auto"/>
                <w:sz w:val="24"/>
                <w:szCs w:val="24"/>
                <w:highlight w:val="none"/>
                <w:lang w:val="en-US" w:eastAsia="zh-CN"/>
              </w:rPr>
              <w:t>像素点帧率</w:t>
            </w:r>
            <w:r>
              <w:rPr>
                <w:rFonts w:hint="eastAsia" w:ascii="宋体" w:hAnsi="宋体" w:eastAsia="宋体" w:cs="宋体"/>
                <w:color w:val="auto"/>
                <w:sz w:val="24"/>
                <w:szCs w:val="24"/>
                <w:highlight w:val="none"/>
              </w:rPr>
              <w:t>≥4100Hz；</w:t>
            </w:r>
          </w:p>
          <w:p w14:paraId="31EF63FE">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15.支持</w:t>
            </w:r>
            <w:r>
              <w:rPr>
                <w:rFonts w:hint="eastAsia" w:ascii="宋体" w:hAnsi="宋体" w:eastAsia="宋体" w:cs="宋体"/>
                <w:color w:val="auto"/>
                <w:sz w:val="24"/>
                <w:szCs w:val="24"/>
                <w:highlight w:val="none"/>
                <w:lang w:val="en-US" w:eastAsia="zh-CN"/>
              </w:rPr>
              <w:t>卫星导航</w:t>
            </w:r>
            <w:r>
              <w:rPr>
                <w:rFonts w:hint="eastAsia" w:ascii="宋体" w:hAnsi="宋体" w:eastAsia="宋体" w:cs="宋体"/>
                <w:color w:val="auto"/>
                <w:sz w:val="24"/>
                <w:szCs w:val="24"/>
                <w:highlight w:val="none"/>
              </w:rPr>
              <w:t>授时，毫秒级同步，支持多设备联动，同步触发；</w:t>
            </w:r>
          </w:p>
          <w:p w14:paraId="39485278">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16.红外光谱轮：控制模式：电动控制；孔位设计：直径不小于1英寸，限位深度不小于2mm；孔位数：不少于5个，并支持定制；光谱模式：开放型</w:t>
            </w:r>
            <w:r>
              <w:rPr>
                <w:rFonts w:hint="eastAsia" w:ascii="宋体" w:hAnsi="宋体" w:eastAsia="宋体" w:cs="宋体"/>
                <w:color w:val="auto"/>
                <w:sz w:val="24"/>
                <w:szCs w:val="24"/>
                <w:highlight w:val="none"/>
                <w:lang w:eastAsia="zh-CN"/>
              </w:rPr>
              <w:t>；</w:t>
            </w:r>
          </w:p>
          <w:p w14:paraId="65DE5412">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17.后处理分析系统</w:t>
            </w:r>
          </w:p>
          <w:p w14:paraId="7AAC398C">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17.1可获取全屏任意点、线、区域温度值以及的最大值、最小值、平均值和标准方差</w:t>
            </w:r>
            <w:r>
              <w:rPr>
                <w:rFonts w:hint="eastAsia" w:ascii="宋体" w:hAnsi="宋体" w:eastAsia="宋体" w:cs="宋体"/>
                <w:color w:val="auto"/>
                <w:sz w:val="24"/>
                <w:szCs w:val="24"/>
                <w:highlight w:val="none"/>
                <w:lang w:eastAsia="zh-CN"/>
              </w:rPr>
              <w:t>；</w:t>
            </w:r>
          </w:p>
          <w:p w14:paraId="161D0C50">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17.2自定义等温线功能：可根据需要自行添加、删除，等温线显示数量</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10条，等温线的温度范围、等温线颜色可自定义设置</w:t>
            </w:r>
            <w:r>
              <w:rPr>
                <w:rFonts w:hint="eastAsia" w:ascii="宋体" w:hAnsi="宋体" w:eastAsia="宋体" w:cs="宋体"/>
                <w:color w:val="auto"/>
                <w:sz w:val="24"/>
                <w:szCs w:val="24"/>
                <w:highlight w:val="none"/>
                <w:lang w:eastAsia="zh-CN"/>
              </w:rPr>
              <w:t>；</w:t>
            </w:r>
          </w:p>
          <w:p w14:paraId="5929A640">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■17.3表格分析模块：主要用于热像仪数据多维度的温度对比分析，可生成最高温、最低温、平均温度的空间分布及时间曲线，通过图表、图像等方式直观地展示数据、</w:t>
            </w:r>
            <w:r>
              <w:rPr>
                <w:rFonts w:hint="eastAsia" w:ascii="宋体" w:hAnsi="宋体" w:eastAsia="宋体" w:cs="宋体"/>
                <w:color w:val="auto"/>
                <w:sz w:val="24"/>
                <w:szCs w:val="24"/>
                <w:highlight w:val="none"/>
                <w:lang w:val="en-US" w:eastAsia="zh-CN"/>
              </w:rPr>
              <w:t>可支持</w:t>
            </w:r>
            <w:r>
              <w:rPr>
                <w:rFonts w:hint="eastAsia" w:ascii="宋体" w:hAnsi="宋体" w:eastAsia="宋体" w:cs="宋体"/>
                <w:color w:val="auto"/>
                <w:sz w:val="24"/>
                <w:szCs w:val="24"/>
                <w:highlight w:val="none"/>
              </w:rPr>
              <w:t>数据分析；</w:t>
            </w:r>
          </w:p>
          <w:p w14:paraId="3A82AB20">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17.4MP4视频导出功能：可直接将热图文件转换为MP4视频文件；支持多文件抽薄功能；视频速度与压缩比可调；MP4视频中，热图初始标记信息，实时显示；STREAM温度流生成过程中，支持更换调色板的更改，并保存在AVI视频中；视频生成过程中的软件操作（如：对比度调整、添加或减少测量工具等），不影响MP4的视频生成效果。支持视频导出过程中可以任意停止（不影响已生成的热图视频）</w:t>
            </w:r>
            <w:r>
              <w:rPr>
                <w:rFonts w:hint="eastAsia" w:ascii="宋体" w:hAnsi="宋体" w:eastAsia="宋体" w:cs="宋体"/>
                <w:color w:val="auto"/>
                <w:sz w:val="24"/>
                <w:szCs w:val="24"/>
                <w:highlight w:val="none"/>
                <w:lang w:eastAsia="zh-CN"/>
              </w:rPr>
              <w:t>；</w:t>
            </w:r>
          </w:p>
          <w:p w14:paraId="01186C98">
            <w:pPr>
              <w:spacing w:line="30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17.5数据导出功能：可导出局部和全局热图（单帧热图或热图序列）的℃、K、数字值、辐射亮度、辐射照度的数值；可导出点、线、区域（包括：矩形、圆形、不规则区域）的时间曲线,时间曲线的图片和数据均可以导出；上述的导出文件均为CSV等通用格式，可以使用Excel直接打开</w:t>
            </w:r>
            <w:r>
              <w:rPr>
                <w:rFonts w:hint="eastAsia" w:ascii="宋体" w:hAnsi="宋体" w:eastAsia="宋体" w:cs="宋体"/>
                <w:color w:val="auto"/>
                <w:sz w:val="24"/>
                <w:szCs w:val="24"/>
                <w:highlight w:val="none"/>
                <w:lang w:eastAsia="zh-CN"/>
              </w:rPr>
              <w:t>；</w:t>
            </w:r>
          </w:p>
          <w:p w14:paraId="1522D440">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17.6支持自定义删减帧头和帧尾字节长度；</w:t>
            </w:r>
          </w:p>
          <w:p w14:paraId="304A18E5">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■17.7</w:t>
            </w:r>
            <w:r>
              <w:rPr>
                <w:rFonts w:hint="eastAsia" w:ascii="宋体" w:hAnsi="宋体" w:eastAsia="宋体" w:cs="宋体"/>
                <w:color w:val="auto"/>
                <w:sz w:val="24"/>
                <w:szCs w:val="24"/>
                <w:highlight w:val="none"/>
                <w:lang w:val="en-US" w:eastAsia="zh-CN"/>
              </w:rPr>
              <w:t>支持</w:t>
            </w:r>
            <w:r>
              <w:rPr>
                <w:rFonts w:hint="eastAsia" w:ascii="宋体" w:hAnsi="宋体" w:eastAsia="宋体" w:cs="宋体"/>
                <w:color w:val="auto"/>
                <w:sz w:val="24"/>
                <w:szCs w:val="24"/>
                <w:highlight w:val="none"/>
              </w:rPr>
              <w:t>基于基准源反向修正能动强度系数（黑体校准）；</w:t>
            </w:r>
          </w:p>
          <w:p w14:paraId="1C504B60">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bookmarkStart w:id="21" w:name="OLE_LINK14"/>
            <w:r>
              <w:rPr>
                <w:rFonts w:hint="eastAsia" w:ascii="宋体" w:hAnsi="宋体" w:eastAsia="宋体" w:cs="宋体"/>
                <w:color w:val="auto"/>
                <w:sz w:val="24"/>
                <w:szCs w:val="24"/>
                <w:highlight w:val="none"/>
              </w:rPr>
              <w:t>17.8</w:t>
            </w:r>
            <w:bookmarkEnd w:id="21"/>
            <w:r>
              <w:rPr>
                <w:rFonts w:hint="eastAsia" w:ascii="宋体" w:hAnsi="宋体" w:eastAsia="宋体" w:cs="宋体"/>
                <w:color w:val="auto"/>
                <w:sz w:val="24"/>
                <w:szCs w:val="24"/>
                <w:highlight w:val="none"/>
              </w:rPr>
              <w:t>修正后的数据，支持实时</w:t>
            </w:r>
            <w:r>
              <w:rPr>
                <w:rFonts w:hint="eastAsia" w:ascii="宋体" w:hAnsi="宋体" w:eastAsia="宋体" w:cs="宋体"/>
                <w:color w:val="auto"/>
                <w:sz w:val="24"/>
                <w:szCs w:val="24"/>
                <w:highlight w:val="none"/>
                <w:lang w:val="en-US" w:eastAsia="zh-CN"/>
              </w:rPr>
              <w:t>和</w:t>
            </w:r>
            <w:r>
              <w:rPr>
                <w:rFonts w:hint="eastAsia" w:ascii="宋体" w:hAnsi="宋体" w:eastAsia="宋体" w:cs="宋体"/>
                <w:color w:val="auto"/>
                <w:sz w:val="24"/>
                <w:szCs w:val="24"/>
                <w:highlight w:val="none"/>
              </w:rPr>
              <w:t>离线3D动静态热场镂空分布显示功能，并支持拽式修正塑形功能（放大缩小旋转）；至少支持3台计算机安装使用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软件系统</w:t>
            </w:r>
            <w:r>
              <w:rPr>
                <w:rFonts w:hint="eastAsia" w:ascii="宋体" w:hAnsi="宋体" w:eastAsia="宋体" w:cs="宋体"/>
                <w:color w:val="auto"/>
                <w:sz w:val="24"/>
                <w:szCs w:val="24"/>
                <w:highlight w:val="none"/>
              </w:rPr>
              <w:t>5年内升级和维护</w:t>
            </w:r>
            <w:r>
              <w:rPr>
                <w:rFonts w:hint="eastAsia" w:ascii="宋体" w:hAnsi="宋体" w:eastAsia="宋体" w:cs="宋体"/>
                <w:color w:val="auto"/>
                <w:sz w:val="24"/>
                <w:szCs w:val="24"/>
                <w:highlight w:val="none"/>
                <w:lang w:val="en-US" w:eastAsia="zh-CN"/>
              </w:rPr>
              <w:t>(相关费用包含在本项目投标报价内)</w:t>
            </w:r>
            <w:r>
              <w:rPr>
                <w:rFonts w:hint="eastAsia" w:ascii="宋体" w:hAnsi="宋体" w:eastAsia="宋体" w:cs="宋体"/>
                <w:color w:val="auto"/>
                <w:sz w:val="24"/>
                <w:szCs w:val="24"/>
                <w:highlight w:val="none"/>
              </w:rPr>
              <w:t>；</w:t>
            </w:r>
          </w:p>
          <w:p w14:paraId="60804BA7">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17.9支持数据的提取，将大数据调整为核心小规格数据；</w:t>
            </w:r>
          </w:p>
          <w:p w14:paraId="241E6D33">
            <w:pPr>
              <w:spacing w:line="30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17.10支持空间计算和校准，自动识别镜头参数并进行空间尺寸识别计算；</w:t>
            </w:r>
          </w:p>
          <w:p w14:paraId="1D449078">
            <w:pPr>
              <w:spacing w:line="30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17.11支持视频分割和合成，可以将多个图片合</w:t>
            </w:r>
            <w:r>
              <w:rPr>
                <w:rFonts w:hint="eastAsia" w:ascii="宋体" w:hAnsi="宋体" w:eastAsia="宋体" w:cs="宋体"/>
                <w:color w:val="auto"/>
                <w:sz w:val="24"/>
                <w:szCs w:val="24"/>
                <w:highlight w:val="none"/>
                <w:lang w:val="en-US" w:eastAsia="zh-CN"/>
              </w:rPr>
              <w:t>成</w:t>
            </w:r>
            <w:r>
              <w:rPr>
                <w:rFonts w:hint="eastAsia" w:ascii="宋体" w:hAnsi="宋体" w:eastAsia="宋体" w:cs="宋体"/>
                <w:color w:val="auto"/>
                <w:sz w:val="24"/>
                <w:szCs w:val="24"/>
                <w:highlight w:val="none"/>
              </w:rPr>
              <w:t>为一个视频，也可以将1个视频分割为多帧图片</w:t>
            </w:r>
            <w:r>
              <w:rPr>
                <w:rFonts w:hint="eastAsia" w:ascii="宋体" w:hAnsi="宋体" w:eastAsia="宋体" w:cs="宋体"/>
                <w:color w:val="auto"/>
                <w:sz w:val="24"/>
                <w:szCs w:val="24"/>
                <w:highlight w:val="none"/>
                <w:lang w:eastAsia="zh-CN"/>
              </w:rPr>
              <w:t>。</w:t>
            </w:r>
          </w:p>
        </w:tc>
        <w:tc>
          <w:tcPr>
            <w:tcW w:w="614" w:type="dxa"/>
            <w:shd w:val="clear" w:color="auto" w:fill="auto"/>
            <w:vAlign w:val="center"/>
          </w:tcPr>
          <w:p w14:paraId="081F7BB0">
            <w:pPr>
              <w:spacing w:line="30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val="en-US" w:eastAsia="zh-CN"/>
              </w:rPr>
              <w:t>套</w:t>
            </w:r>
          </w:p>
        </w:tc>
        <w:tc>
          <w:tcPr>
            <w:tcW w:w="569" w:type="dxa"/>
            <w:vAlign w:val="center"/>
          </w:tcPr>
          <w:p w14:paraId="34E2E4E0">
            <w:pPr>
              <w:spacing w:line="30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工业</w:t>
            </w:r>
          </w:p>
        </w:tc>
        <w:tc>
          <w:tcPr>
            <w:tcW w:w="897" w:type="dxa"/>
            <w:vAlign w:val="center"/>
          </w:tcPr>
          <w:p w14:paraId="685C0F9C">
            <w:pPr>
              <w:keepNext w:val="0"/>
              <w:keepLines w:val="0"/>
              <w:pageBreakBefore w:val="0"/>
              <w:widowControl w:val="0"/>
              <w:kinsoku/>
              <w:wordWrap/>
              <w:overflowPunct/>
              <w:topLinePunct w:val="0"/>
              <w:autoSpaceDE/>
              <w:autoSpaceDN/>
              <w:bidi w:val="0"/>
              <w:spacing w:line="312" w:lineRule="auto"/>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w:t>
            </w:r>
          </w:p>
        </w:tc>
      </w:tr>
      <w:bookmarkEnd w:id="0"/>
    </w:tbl>
    <w:p w14:paraId="468127A5">
      <w:pPr>
        <w:autoSpaceDE w:val="0"/>
        <w:autoSpaceDN w:val="0"/>
        <w:adjustRightInd w:val="0"/>
        <w:spacing w:line="360" w:lineRule="auto"/>
        <w:jc w:val="left"/>
        <w:rPr>
          <w:rFonts w:hint="default" w:ascii="宋体" w:hAnsi="宋体" w:eastAsia="宋体" w:cs="宋体"/>
          <w:b/>
          <w:bCs/>
          <w:sz w:val="24"/>
          <w:szCs w:val="24"/>
          <w:lang w:val="en-US" w:eastAsia="zh-CN"/>
        </w:rPr>
      </w:pPr>
      <w:r>
        <w:rPr>
          <w:rFonts w:hint="eastAsia" w:ascii="宋体" w:hAnsi="宋体" w:eastAsia="宋体" w:cs="宋体"/>
          <w:b/>
          <w:bCs/>
          <w:sz w:val="24"/>
          <w:szCs w:val="24"/>
        </w:rPr>
        <w:t>注：</w:t>
      </w:r>
      <w:r>
        <w:rPr>
          <w:rFonts w:hint="eastAsia" w:ascii="宋体" w:hAnsi="宋体" w:eastAsia="宋体" w:cs="宋体"/>
          <w:b/>
          <w:bCs/>
          <w:sz w:val="24"/>
          <w:szCs w:val="24"/>
          <w:lang w:eastAsia="zh-CN"/>
        </w:rPr>
        <w:t>上述</w:t>
      </w:r>
      <w:r>
        <w:rPr>
          <w:rFonts w:hint="eastAsia" w:ascii="宋体" w:hAnsi="宋体" w:eastAsia="宋体" w:cs="宋体"/>
          <w:b/>
          <w:bCs/>
          <w:sz w:val="24"/>
          <w:szCs w:val="24"/>
          <w:lang w:val="en-US" w:eastAsia="zh-CN"/>
        </w:rPr>
        <w:t>1-4项产品共同组成一套低噪声微腔光频梳相干光源产生和锁定测试系统。</w:t>
      </w:r>
    </w:p>
    <w:p w14:paraId="35D60753">
      <w:pPr>
        <w:pStyle w:val="4"/>
        <w:wordWrap w:val="0"/>
        <w:spacing w:before="0"/>
        <w:ind w:firstLine="0" w:firstLineChars="0"/>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三、安装调试、质保及售后服务要求</w:t>
      </w:r>
    </w:p>
    <w:p w14:paraId="2BC16CD7">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1、安装调试：</w:t>
      </w:r>
    </w:p>
    <w:p w14:paraId="09BD4F4C">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（1）中标人需协助安装调试前的准备工作，中标人需提供</w:t>
      </w:r>
      <w:r>
        <w:rPr>
          <w:rFonts w:hint="eastAsia" w:ascii="宋体" w:hAnsi="宋体" w:eastAsia="宋体" w:cs="宋体"/>
          <w:color w:val="auto"/>
          <w:sz w:val="24"/>
          <w:szCs w:val="24"/>
          <w:highlight w:val="none"/>
          <w:lang w:val="en-US" w:eastAsia="zh-CN"/>
        </w:rPr>
        <w:t>设备</w:t>
      </w:r>
      <w:r>
        <w:rPr>
          <w:rFonts w:hint="eastAsia" w:ascii="宋体" w:hAnsi="宋体" w:eastAsia="宋体" w:cs="宋体"/>
          <w:color w:val="auto"/>
          <w:sz w:val="24"/>
          <w:szCs w:val="24"/>
          <w:highlight w:val="none"/>
        </w:rPr>
        <w:t>安装调试服务及相应的技术指导服务。</w:t>
      </w:r>
    </w:p>
    <w:p w14:paraId="2B149342">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（2）货物到达采购人指定交货地点后，中标人在接到采购人通知后进行安装调试，直至验收通过，并就货物的性能、原理、操作、保养和维护等对用户技术人员（至少</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人）进行培训，相关费用包含在本项目投标报价中。 </w:t>
      </w:r>
    </w:p>
    <w:p w14:paraId="1ADDC44A">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2、售后服务：</w:t>
      </w:r>
    </w:p>
    <w:p w14:paraId="0ADFFB9F">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质保期内，</w:t>
      </w:r>
      <w:r>
        <w:rPr>
          <w:rFonts w:hint="eastAsia" w:ascii="宋体" w:hAnsi="宋体" w:eastAsia="宋体" w:cs="宋体"/>
          <w:color w:val="auto"/>
          <w:sz w:val="24"/>
          <w:szCs w:val="24"/>
          <w:highlight w:val="none"/>
        </w:rPr>
        <w:t>中标人需提供7×24小时技术支持热线服务。如仪器出现故障时，中标人应在</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 xml:space="preserve">小时内对采购人的维修要求作出响应，如未能解决故障中标人需在24小时内到达现场维修直至故障解决。 </w:t>
      </w:r>
    </w:p>
    <w:p w14:paraId="477A0666">
      <w:pPr>
        <w:pStyle w:val="4"/>
        <w:wordWrap w:val="0"/>
        <w:spacing w:before="0"/>
        <w:ind w:firstLine="0" w:firstLineChars="0"/>
        <w:rPr>
          <w:rFonts w:hint="eastAsia" w:ascii="宋体" w:hAnsi="宋体" w:eastAsia="宋体" w:cs="宋体"/>
          <w:b/>
          <w:bCs w:val="0"/>
          <w:color w:val="auto"/>
          <w:sz w:val="24"/>
          <w:szCs w:val="24"/>
          <w:highlight w:val="none"/>
        </w:rPr>
      </w:pPr>
    </w:p>
    <w:p w14:paraId="27ACDE9E">
      <w:pPr>
        <w:pStyle w:val="4"/>
        <w:wordWrap w:val="0"/>
        <w:spacing w:before="0"/>
        <w:ind w:firstLine="0" w:firstLineChars="0"/>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四、报价要求</w:t>
      </w:r>
    </w:p>
    <w:p w14:paraId="50D3672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本项目报投标总报价</w:t>
      </w:r>
      <w:r>
        <w:rPr>
          <w:rFonts w:hint="eastAsia" w:ascii="宋体" w:hAnsi="宋体" w:eastAsia="宋体" w:cs="宋体"/>
          <w:bCs w:val="0"/>
          <w:color w:val="auto"/>
          <w:sz w:val="24"/>
          <w:szCs w:val="24"/>
          <w:highlight w:val="none"/>
          <w:lang w:eastAsia="zh-CN"/>
        </w:rPr>
        <w:t>。</w:t>
      </w:r>
      <w:r>
        <w:rPr>
          <w:rFonts w:hint="eastAsia" w:ascii="宋体" w:hAnsi="宋体" w:eastAsia="宋体" w:cs="宋体"/>
          <w:color w:val="auto"/>
          <w:sz w:val="24"/>
          <w:szCs w:val="24"/>
          <w:highlight w:val="none"/>
        </w:rPr>
        <w:t>投标报价包括货物从设计、采购、制造、交货（包括运输至采购人指定地点卸车就位）至售后服务的一切费用（如设计费、采购费、制造费、试验检测费、包装费、运输保险费、运输费、装卸费、其他技术服务及质保期服务费等）、管理费、利润和税金，以及采购合同中所有责任、义务和风险。</w:t>
      </w:r>
    </w:p>
    <w:p w14:paraId="1267FB8D">
      <w:pPr>
        <w:spacing w:line="360" w:lineRule="auto"/>
        <w:ind w:firstLine="480" w:firstLineChars="200"/>
      </w:pPr>
      <w:r>
        <w:rPr>
          <w:rFonts w:hint="eastAsia" w:ascii="宋体" w:hAnsi="宋体" w:eastAsia="宋体" w:cs="宋体"/>
          <w:color w:val="auto"/>
          <w:sz w:val="24"/>
          <w:szCs w:val="24"/>
          <w:highlight w:val="none"/>
          <w:lang w:val="en-US" w:eastAsia="zh-CN"/>
        </w:rPr>
        <w:t>2.本项目按照人民币报价，投标人在报价时，应主动、充分调研中美及各类贸易战背景下进口关税的现行适用政策及未来潜在波动风险，并将贸易战相关关税成本纳入投标报价中，自行承担相关风险。（供应商如若中标，不得在履约阶段以关税政策变化、成本超支为由，向采购人主张价款调增、额外费用索赔或履约责任减免。）</w:t>
      </w:r>
      <w:r>
        <w:rPr>
          <w:rFonts w:ascii="宋体" w:hAnsi="宋体" w:eastAsia="宋体"/>
          <w:color w:val="auto"/>
          <w:sz w:val="24"/>
          <w:highlight w:val="none"/>
        </w:rPr>
        <w:br w:type="page"/>
      </w:r>
      <w:bookmarkStart w:id="22" w:name="_GoBack"/>
      <w:bookmarkEnd w:id="2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2000000000000000000"/>
    <w:charset w:val="86"/>
    <w:family w:val="script"/>
    <w:pitch w:val="default"/>
    <w:sig w:usb0="00000000" w:usb1="00000000" w:usb2="00082016" w:usb3="00000000" w:csb0="00040001" w:csb1="00000000"/>
  </w:font>
  <w:font w:name="方正黑体_GBK">
    <w:altName w:val="微软雅黑"/>
    <w:panose1 w:val="00000000000000000000"/>
    <w:charset w:val="86"/>
    <w:family w:val="script"/>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宋体">
    <w:panose1 w:val="02010600030101010101"/>
    <w:charset w:val="86"/>
    <w:family w:val="auto"/>
    <w:pitch w:val="default"/>
    <w:sig w:usb0="000002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311DC6"/>
    <w:rsid w:val="3796606A"/>
    <w:rsid w:val="77311DC6"/>
    <w:rsid w:val="7B713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1"/>
    <w:basedOn w:val="1"/>
    <w:next w:val="1"/>
    <w:qFormat/>
    <w:uiPriority w:val="9"/>
    <w:pPr>
      <w:keepNext/>
      <w:keepLines/>
      <w:spacing w:line="360" w:lineRule="auto"/>
      <w:jc w:val="center"/>
      <w:outlineLvl w:val="0"/>
    </w:pPr>
    <w:rPr>
      <w:rFonts w:ascii="Times New Roman" w:hAnsi="Times New Roman" w:eastAsia="方正小标宋_GBK" w:cs="Times New Roman"/>
      <w:bCs/>
      <w:kern w:val="44"/>
      <w:sz w:val="44"/>
      <w:szCs w:val="44"/>
    </w:rPr>
  </w:style>
  <w:style w:type="paragraph" w:styleId="4">
    <w:name w:val="heading 2"/>
    <w:basedOn w:val="1"/>
    <w:next w:val="1"/>
    <w:qFormat/>
    <w:uiPriority w:val="0"/>
    <w:pPr>
      <w:keepNext/>
      <w:keepLines/>
      <w:spacing w:before="240" w:line="360" w:lineRule="auto"/>
      <w:ind w:firstLine="640" w:firstLineChars="200"/>
      <w:jc w:val="left"/>
      <w:outlineLvl w:val="1"/>
    </w:pPr>
    <w:rPr>
      <w:rFonts w:ascii="Arial" w:hAnsi="Arial" w:eastAsia="方正黑体_GBK" w:cs="Times New Roman"/>
      <w:bCs/>
      <w:kern w:val="0"/>
      <w:sz w:val="28"/>
      <w:szCs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微软简标宋" w:hAnsi="@微软简标宋" w:eastAsia="@微软简标宋" w:cs="@微软简标宋"/>
      <w:szCs w:val="24"/>
      <w:lang w:val="zh-CN"/>
    </w:rPr>
  </w:style>
  <w:style w:type="paragraph" w:styleId="5">
    <w:name w:val="annotation text"/>
    <w:basedOn w:val="1"/>
    <w:next w:val="6"/>
    <w:qFormat/>
    <w:uiPriority w:val="0"/>
    <w:pPr>
      <w:jc w:val="left"/>
    </w:pPr>
    <w:rPr>
      <w:rFonts w:ascii="@仿宋_GB2312" w:hAnsi="@仿宋_GB2312" w:eastAsia="仿宋" w:cs="@仿宋_GB2312"/>
    </w:rPr>
  </w:style>
  <w:style w:type="paragraph" w:styleId="6">
    <w:name w:val="annotation subject"/>
    <w:basedOn w:val="5"/>
    <w:next w:val="5"/>
    <w:qFormat/>
    <w:uiPriority w:val="0"/>
    <w:rPr>
      <w:b/>
    </w:rPr>
  </w:style>
  <w:style w:type="paragraph" w:styleId="7">
    <w:name w:val="Body Text Indent"/>
    <w:basedOn w:val="1"/>
    <w:next w:val="8"/>
    <w:unhideWhenUsed/>
    <w:qFormat/>
    <w:uiPriority w:val="99"/>
    <w:pPr>
      <w:ind w:firstLine="645"/>
    </w:pPr>
    <w:rPr>
      <w:rFonts w:ascii="楷体_GB2312" w:eastAsia="楷体_GB2312"/>
      <w:sz w:val="32"/>
    </w:rPr>
  </w:style>
  <w:style w:type="paragraph" w:styleId="8">
    <w:name w:val="envelope return"/>
    <w:basedOn w:val="1"/>
    <w:qFormat/>
    <w:uiPriority w:val="99"/>
    <w:pPr>
      <w:snapToGrid w:val="0"/>
    </w:pPr>
    <w:rPr>
      <w:rFonts w:ascii="Arial" w:hAnsi="Arial" w:cs="Arial"/>
    </w:rPr>
  </w:style>
  <w:style w:type="paragraph" w:styleId="9">
    <w:name w:val="Block Text"/>
    <w:basedOn w:val="1"/>
    <w:qFormat/>
    <w:uiPriority w:val="0"/>
    <w:pPr>
      <w:spacing w:after="120" w:afterLines="0" w:afterAutospacing="0"/>
      <w:ind w:left="1440" w:leftChars="700" w:rightChars="700"/>
    </w:p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Body Text First Indent 2"/>
    <w:basedOn w:val="7"/>
    <w:unhideWhenUsed/>
    <w:qFormat/>
    <w:uiPriority w:val="99"/>
    <w:pPr>
      <w:ind w:left="420" w:firstLine="420" w:firstLineChars="200"/>
    </w:pPr>
    <w:rPr>
      <w:rFonts w:ascii="Times New Roman" w:cs="Times New Roman"/>
    </w:rPr>
  </w:style>
  <w:style w:type="paragraph" w:customStyle="1" w:styleId="14">
    <w:name w:val="D&amp;L"/>
    <w:basedOn w:val="10"/>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5">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2026-07-14T08:59:00Z</dcterms:created>
  <dc:creator>省招</dc:creator>
  <cp:lastModifiedBy>省招</cp:lastModifiedBy>
  <dcterms:modified xsi:type="dcterms:W3CDTF">2026-07-14T09:00:25Z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BF337BF859A74A00A62CF1CF3E086CBF_11</vt:lpwstr>
  </property>
  <property fmtid="{D5CDD505-2E9C-101B-9397-08002B2CF9AE}" pid="4" name="KSOTemplateDocerSaveRecord">
    <vt:lpwstr>eyJoZGlkIjoiNjQ4Y2ExNzI3NTAxYWY2Njk0NmNhOWFlOWQ3ZmYzYTQiLCJ1c2VySWQiOiI4ODgyMDUxMzUifQ==</vt:lpwstr>
  </property>
</Properties>
</file>