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63B03">
      <w:pPr>
        <w:pStyle w:val="3"/>
        <w:widowControl/>
        <w:numPr>
          <w:numId w:val="0"/>
        </w:numPr>
        <w:snapToGrid w:val="0"/>
        <w:spacing w:before="0" w:after="0" w:line="360" w:lineRule="auto"/>
        <w:jc w:val="center"/>
        <w:rPr>
          <w:rFonts w:hint="eastAsia" w:ascii="宋体" w:hAnsi="宋体" w:eastAsia="仿宋"/>
        </w:rPr>
      </w:pPr>
      <w:bookmarkStart w:id="0" w:name="_Toc24366"/>
      <w:bookmarkStart w:id="1" w:name="_Toc466024555"/>
      <w:bookmarkStart w:id="2" w:name="_Toc445554746"/>
      <w:r>
        <w:rPr>
          <w:rFonts w:hint="eastAsia" w:ascii="宋体" w:hAnsi="宋体" w:eastAsia="仿宋"/>
        </w:rPr>
        <w:t>采购需求</w:t>
      </w:r>
      <w:bookmarkEnd w:id="0"/>
      <w:bookmarkEnd w:id="1"/>
      <w:bookmarkEnd w:id="2"/>
    </w:p>
    <w:p w14:paraId="6F4B2877">
      <w:pPr>
        <w:autoSpaceDE w:val="0"/>
        <w:autoSpaceDN w:val="0"/>
        <w:spacing w:line="460" w:lineRule="exact"/>
        <w:ind w:firstLine="466" w:firstLineChars="200"/>
        <w:jc w:val="left"/>
        <w:rPr>
          <w:rFonts w:ascii="Microsoft JhengHei" w:hAnsi="宋体" w:eastAsia="Microsoft JhengHei" w:cs="Microsoft JhengHei"/>
          <w:b/>
          <w:sz w:val="24"/>
          <w:szCs w:val="22"/>
        </w:rPr>
      </w:pPr>
      <w:r>
        <w:rPr>
          <w:rFonts w:hint="eastAsia" w:ascii="宋体" w:hAnsi="宋体" w:cs="宋体"/>
          <w:b/>
          <w:spacing w:val="-4"/>
          <w:kern w:val="0"/>
          <w:sz w:val="24"/>
          <w:szCs w:val="22"/>
          <w:lang w:bidi="ar"/>
        </w:rPr>
        <w:t>前注：</w:t>
      </w:r>
    </w:p>
    <w:p w14:paraId="246AF88D">
      <w:pPr>
        <w:pStyle w:val="7"/>
        <w:widowControl/>
        <w:tabs>
          <w:tab w:val="left" w:pos="1341"/>
        </w:tabs>
        <w:spacing w:line="460" w:lineRule="exact"/>
        <w:ind w:left="0" w:right="0" w:firstLine="464" w:firstLineChars="200"/>
        <w:jc w:val="both"/>
        <w:rPr>
          <w:rFonts w:hint="default" w:ascii="宋体" w:hAnsi="宋体" w:eastAsia="宋体"/>
          <w:spacing w:val="-4"/>
          <w:sz w:val="24"/>
          <w:u w:val="none"/>
        </w:rPr>
      </w:pPr>
      <w:r>
        <w:rPr>
          <w:rFonts w:ascii="宋体" w:hAnsi="宋体" w:eastAsia="宋体"/>
          <w:spacing w:val="-4"/>
          <w:sz w:val="24"/>
          <w:u w:val="none"/>
        </w:rPr>
        <w:t>1.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7037E6">
      <w:pPr>
        <w:pStyle w:val="7"/>
        <w:widowControl/>
        <w:tabs>
          <w:tab w:val="left" w:pos="1341"/>
        </w:tabs>
        <w:spacing w:line="460" w:lineRule="exact"/>
        <w:ind w:left="0" w:right="0" w:firstLine="464" w:firstLineChars="200"/>
        <w:jc w:val="both"/>
        <w:rPr>
          <w:rFonts w:hint="default"/>
          <w:sz w:val="24"/>
          <w:u w:val="none" w:color="auto"/>
        </w:rPr>
      </w:pPr>
      <w:r>
        <w:rPr>
          <w:rFonts w:ascii="宋体" w:hAnsi="宋体" w:eastAsia="宋体"/>
          <w:spacing w:val="-4"/>
          <w:sz w:val="24"/>
          <w:u w:val="none"/>
        </w:rPr>
        <w:t>2.下列采购需求中：标注▲的产品（核心产品）</w:t>
      </w:r>
      <w:r>
        <w:rPr>
          <w:rFonts w:hint="eastAsia" w:ascii="宋体" w:hAnsi="宋体" w:eastAsia="宋体"/>
          <w:spacing w:val="-4"/>
          <w:sz w:val="24"/>
          <w:u w:val="none"/>
          <w:lang w:eastAsia="zh-CN"/>
        </w:rPr>
        <w:t>，</w:t>
      </w:r>
      <w:r>
        <w:rPr>
          <w:rFonts w:hint="eastAsia" w:ascii="宋体" w:hAnsi="宋体" w:eastAsia="宋体"/>
          <w:spacing w:val="-4"/>
          <w:sz w:val="24"/>
          <w:u w:val="none"/>
        </w:rPr>
        <w:t>不同投标人使用同一品牌同一型号的，应算作一个投标人。投标人在投标文件《主要标的承诺函》中填写名称、品牌、规格、型号、数量、单价等信息，承诺函经评标委员会评审认可后随评审结果一并公示，如投标文件中未提供、提供不全将可能导致投标无效。</w:t>
      </w:r>
    </w:p>
    <w:p w14:paraId="30AF4065">
      <w:pPr>
        <w:pStyle w:val="7"/>
        <w:widowControl/>
        <w:tabs>
          <w:tab w:val="left" w:pos="1149"/>
          <w:tab w:val="left" w:pos="1341"/>
        </w:tabs>
        <w:spacing w:line="460" w:lineRule="exact"/>
        <w:ind w:left="0" w:right="0" w:firstLine="474" w:firstLineChars="200"/>
        <w:rPr>
          <w:rFonts w:ascii="宋体" w:hAnsi="宋体" w:eastAsia="宋体" w:cs="宋体"/>
          <w:b/>
          <w:sz w:val="24"/>
          <w:szCs w:val="24"/>
          <w:u w:val="none" w:color="auto"/>
        </w:rPr>
      </w:pPr>
      <w:r>
        <w:rPr>
          <w:rFonts w:ascii="宋体" w:hAnsi="宋体" w:eastAsia="宋体" w:cs="宋体"/>
          <w:b/>
          <w:spacing w:val="-2"/>
          <w:sz w:val="24"/>
          <w:szCs w:val="24"/>
          <w:u w:val="none" w:color="auto"/>
        </w:rPr>
        <w:t>一、</w:t>
      </w:r>
      <w:r>
        <w:rPr>
          <w:rFonts w:ascii="宋体" w:hAnsi="宋体" w:eastAsia="宋体" w:cs="宋体"/>
          <w:b/>
          <w:spacing w:val="-2"/>
          <w:sz w:val="24"/>
          <w:szCs w:val="24"/>
          <w:u w:val="none" w:color="auto"/>
          <w:lang w:bidi="ar"/>
        </w:rPr>
        <w:t>采购需求前附表</w:t>
      </w:r>
    </w:p>
    <w:tbl>
      <w:tblPr>
        <w:tblStyle w:val="5"/>
        <w:tblpPr w:leftFromText="180" w:rightFromText="180" w:vertAnchor="text" w:horzAnchor="page" w:tblpX="1591" w:tblpY="140"/>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63"/>
        <w:gridCol w:w="6379"/>
      </w:tblGrid>
      <w:tr w14:paraId="20A3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67C45948">
            <w:pPr>
              <w:pStyle w:val="8"/>
              <w:widowControl/>
              <w:spacing w:before="16"/>
              <w:ind w:left="9"/>
              <w:jc w:val="center"/>
              <w:rPr>
                <w:b/>
                <w:sz w:val="24"/>
              </w:rPr>
            </w:pPr>
            <w:r>
              <w:rPr>
                <w:b/>
                <w:spacing w:val="-5"/>
                <w:sz w:val="24"/>
              </w:rPr>
              <w:t>序号</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2CD0ED18">
            <w:pPr>
              <w:pStyle w:val="8"/>
              <w:widowControl/>
              <w:spacing w:before="16"/>
              <w:ind w:left="10" w:right="1"/>
              <w:jc w:val="center"/>
              <w:rPr>
                <w:b/>
                <w:sz w:val="24"/>
              </w:rPr>
            </w:pPr>
            <w:r>
              <w:rPr>
                <w:b/>
                <w:spacing w:val="-3"/>
                <w:sz w:val="24"/>
              </w:rPr>
              <w:t>条款名称</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4AC23FE0">
            <w:pPr>
              <w:pStyle w:val="8"/>
              <w:widowControl/>
              <w:spacing w:before="16"/>
              <w:jc w:val="center"/>
              <w:rPr>
                <w:b/>
                <w:sz w:val="24"/>
              </w:rPr>
            </w:pPr>
            <w:r>
              <w:rPr>
                <w:b/>
                <w:spacing w:val="-2"/>
                <w:sz w:val="24"/>
              </w:rPr>
              <w:t>内容、说明与要求</w:t>
            </w:r>
          </w:p>
        </w:tc>
      </w:tr>
      <w:tr w14:paraId="64FA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5DEAEAD5">
            <w:pPr>
              <w:autoSpaceDE w:val="0"/>
              <w:autoSpaceDN w:val="0"/>
              <w:jc w:val="center"/>
              <w:rPr>
                <w:rFonts w:ascii="Times New Roman" w:hAnsi="Times New Roman"/>
                <w:bCs/>
                <w:spacing w:val="-2"/>
                <w:kern w:val="0"/>
                <w:sz w:val="24"/>
                <w:szCs w:val="22"/>
              </w:rPr>
            </w:pPr>
            <w:r>
              <w:rPr>
                <w:rFonts w:hint="eastAsia" w:ascii="宋体" w:hAnsi="宋体" w:cs="宋体"/>
                <w:bCs/>
                <w:spacing w:val="-2"/>
                <w:kern w:val="0"/>
                <w:sz w:val="24"/>
                <w:szCs w:val="22"/>
                <w:lang w:bidi="ar"/>
              </w:rPr>
              <w:t>1</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679C02E6">
            <w:pPr>
              <w:autoSpaceDE w:val="0"/>
              <w:autoSpaceDN w:val="0"/>
              <w:jc w:val="center"/>
              <w:rPr>
                <w:rFonts w:ascii="Times New Roman" w:hAnsi="Times New Roman"/>
                <w:bCs/>
                <w:spacing w:val="-2"/>
                <w:kern w:val="0"/>
                <w:sz w:val="24"/>
                <w:szCs w:val="22"/>
                <w:highlight w:val="none"/>
              </w:rPr>
            </w:pPr>
            <w:r>
              <w:rPr>
                <w:rFonts w:hint="eastAsia" w:ascii="宋体" w:hAnsi="宋体" w:cs="宋体"/>
                <w:spacing w:val="-3"/>
                <w:kern w:val="0"/>
                <w:sz w:val="24"/>
                <w:szCs w:val="22"/>
                <w:highlight w:val="none"/>
                <w:lang w:bidi="ar"/>
              </w:rPr>
              <w:t>付款方式</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2E08D19D">
            <w:pPr>
              <w:pStyle w:val="8"/>
              <w:widowControl/>
              <w:tabs>
                <w:tab w:val="left" w:pos="671"/>
              </w:tabs>
              <w:ind w:left="4"/>
              <w:rPr>
                <w:sz w:val="24"/>
                <w:highlight w:val="none"/>
              </w:rPr>
            </w:pPr>
            <w:r>
              <w:rPr>
                <w:spacing w:val="-8"/>
                <w:sz w:val="24"/>
                <w:highlight w:val="none"/>
              </w:rPr>
              <w:t xml:space="preserve">（1）本项目预付款为合同金额的 </w:t>
            </w:r>
            <w:r>
              <w:rPr>
                <w:spacing w:val="-4"/>
                <w:sz w:val="24"/>
                <w:highlight w:val="none"/>
              </w:rPr>
              <w:t xml:space="preserve">40%，合同签订后 </w:t>
            </w:r>
            <w:r>
              <w:rPr>
                <w:sz w:val="24"/>
                <w:highlight w:val="none"/>
              </w:rPr>
              <w:t>7</w:t>
            </w:r>
            <w:r>
              <w:rPr>
                <w:spacing w:val="-8"/>
                <w:sz w:val="24"/>
                <w:highlight w:val="none"/>
              </w:rPr>
              <w:t xml:space="preserve"> 日内支付；</w:t>
            </w:r>
          </w:p>
          <w:p w14:paraId="57C427BA">
            <w:pPr>
              <w:pStyle w:val="8"/>
              <w:widowControl/>
              <w:tabs>
                <w:tab w:val="left" w:pos="720"/>
              </w:tabs>
              <w:ind w:left="4"/>
              <w:rPr>
                <w:sz w:val="24"/>
                <w:highlight w:val="none"/>
              </w:rPr>
            </w:pPr>
            <w:r>
              <w:rPr>
                <w:spacing w:val="-2"/>
                <w:sz w:val="24"/>
                <w:highlight w:val="none"/>
              </w:rPr>
              <w:t>（2）本项目设备上线运行后，</w:t>
            </w:r>
            <w:r>
              <w:rPr>
                <w:rFonts w:hint="eastAsia"/>
                <w:spacing w:val="-2"/>
                <w:sz w:val="24"/>
                <w:highlight w:val="none"/>
                <w:lang w:val="en-US" w:eastAsia="zh-CN"/>
              </w:rPr>
              <w:t>招标人</w:t>
            </w:r>
            <w:r>
              <w:rPr>
                <w:spacing w:val="-2"/>
                <w:sz w:val="24"/>
                <w:highlight w:val="none"/>
              </w:rPr>
              <w:t>向</w:t>
            </w:r>
            <w:r>
              <w:rPr>
                <w:rFonts w:hint="eastAsia"/>
                <w:spacing w:val="-2"/>
                <w:sz w:val="24"/>
                <w:highlight w:val="none"/>
                <w:lang w:val="en-US" w:eastAsia="zh-CN"/>
              </w:rPr>
              <w:t>中标人</w:t>
            </w:r>
            <w:r>
              <w:rPr>
                <w:spacing w:val="-2"/>
                <w:sz w:val="24"/>
                <w:highlight w:val="none"/>
              </w:rPr>
              <w:t>支付合同</w:t>
            </w:r>
            <w:r>
              <w:rPr>
                <w:spacing w:val="-11"/>
                <w:sz w:val="24"/>
                <w:highlight w:val="none"/>
              </w:rPr>
              <w:t>金额的5</w:t>
            </w:r>
            <w:r>
              <w:rPr>
                <w:sz w:val="24"/>
                <w:highlight w:val="none"/>
              </w:rPr>
              <w:t>0%；</w:t>
            </w:r>
          </w:p>
          <w:p w14:paraId="442AE5DD">
            <w:pPr>
              <w:pStyle w:val="8"/>
              <w:widowControl/>
              <w:tabs>
                <w:tab w:val="left" w:pos="719"/>
              </w:tabs>
              <w:ind w:left="4"/>
              <w:rPr>
                <w:sz w:val="24"/>
                <w:highlight w:val="none"/>
              </w:rPr>
            </w:pPr>
            <w:r>
              <w:rPr>
                <w:spacing w:val="-2"/>
                <w:sz w:val="24"/>
                <w:highlight w:val="none"/>
              </w:rPr>
              <w:t>（3）项目验收合格后，</w:t>
            </w:r>
            <w:r>
              <w:rPr>
                <w:rFonts w:hint="eastAsia"/>
                <w:spacing w:val="-2"/>
                <w:sz w:val="24"/>
                <w:highlight w:val="none"/>
                <w:lang w:val="en-US" w:eastAsia="zh-CN"/>
              </w:rPr>
              <w:t>招标人</w:t>
            </w:r>
            <w:r>
              <w:rPr>
                <w:spacing w:val="-2"/>
                <w:sz w:val="24"/>
                <w:highlight w:val="none"/>
              </w:rPr>
              <w:t>向</w:t>
            </w:r>
            <w:r>
              <w:rPr>
                <w:rFonts w:hint="eastAsia"/>
                <w:spacing w:val="-2"/>
                <w:sz w:val="24"/>
                <w:highlight w:val="none"/>
                <w:lang w:val="en-US" w:eastAsia="zh-CN"/>
              </w:rPr>
              <w:t>中标人</w:t>
            </w:r>
            <w:r>
              <w:rPr>
                <w:spacing w:val="-2"/>
                <w:sz w:val="24"/>
                <w:highlight w:val="none"/>
              </w:rPr>
              <w:t>支付合同金额</w:t>
            </w:r>
            <w:r>
              <w:rPr>
                <w:spacing w:val="-21"/>
                <w:sz w:val="24"/>
                <w:highlight w:val="none"/>
              </w:rPr>
              <w:t>的1</w:t>
            </w:r>
            <w:r>
              <w:rPr>
                <w:sz w:val="24"/>
                <w:highlight w:val="none"/>
              </w:rPr>
              <w:t>0%。</w:t>
            </w:r>
          </w:p>
          <w:p w14:paraId="496ABF5F">
            <w:pPr>
              <w:pStyle w:val="8"/>
              <w:widowControl/>
              <w:ind w:firstLine="4"/>
              <w:jc w:val="both"/>
              <w:rPr>
                <w:bCs/>
                <w:spacing w:val="-2"/>
                <w:sz w:val="24"/>
                <w:highlight w:val="none"/>
              </w:rPr>
            </w:pPr>
            <w:r>
              <w:rPr>
                <w:rFonts w:ascii="Microsoft JhengHei"/>
                <w:b/>
                <w:spacing w:val="2"/>
                <w:sz w:val="24"/>
                <w:highlight w:val="none"/>
              </w:rPr>
              <w:t>注：每次付款前由乙方开具相应金额的增值税发票。</w:t>
            </w:r>
          </w:p>
        </w:tc>
      </w:tr>
      <w:tr w14:paraId="4F7E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404985A">
            <w:pPr>
              <w:autoSpaceDE w:val="0"/>
              <w:autoSpaceDN w:val="0"/>
              <w:jc w:val="center"/>
              <w:rPr>
                <w:rFonts w:ascii="Times New Roman" w:hAnsi="Times New Roman"/>
                <w:bCs/>
                <w:spacing w:val="-2"/>
                <w:kern w:val="0"/>
                <w:sz w:val="24"/>
                <w:szCs w:val="22"/>
              </w:rPr>
            </w:pPr>
            <w:r>
              <w:rPr>
                <w:rFonts w:hint="eastAsia" w:ascii="宋体" w:hAnsi="宋体" w:cs="宋体"/>
                <w:bCs/>
                <w:spacing w:val="-2"/>
                <w:kern w:val="0"/>
                <w:sz w:val="24"/>
                <w:szCs w:val="22"/>
                <w:lang w:bidi="ar"/>
              </w:rPr>
              <w:t>2</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CEE0A58">
            <w:pPr>
              <w:autoSpaceDE w:val="0"/>
              <w:autoSpaceDN w:val="0"/>
              <w:jc w:val="center"/>
              <w:rPr>
                <w:rFonts w:ascii="Times New Roman" w:hAnsi="Times New Roman"/>
                <w:bCs/>
                <w:spacing w:val="-2"/>
                <w:kern w:val="0"/>
                <w:sz w:val="24"/>
                <w:szCs w:val="22"/>
              </w:rPr>
            </w:pPr>
            <w:r>
              <w:rPr>
                <w:rFonts w:hint="eastAsia" w:ascii="宋体" w:hAnsi="宋体" w:cs="宋体"/>
                <w:spacing w:val="-2"/>
                <w:kern w:val="0"/>
                <w:sz w:val="24"/>
                <w:szCs w:val="22"/>
                <w:lang w:bidi="ar"/>
              </w:rPr>
              <w:t>供货及安装地点</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30CFC324">
            <w:pPr>
              <w:pStyle w:val="8"/>
              <w:widowControl/>
              <w:spacing w:before="99"/>
              <w:ind w:left="107"/>
              <w:jc w:val="both"/>
              <w:rPr>
                <w:bCs/>
                <w:spacing w:val="-2"/>
                <w:sz w:val="24"/>
              </w:rPr>
            </w:pPr>
            <w:r>
              <w:rPr>
                <w:spacing w:val="-1"/>
                <w:sz w:val="24"/>
              </w:rPr>
              <w:t>合肥市，采购人指定地点</w:t>
            </w:r>
          </w:p>
        </w:tc>
      </w:tr>
      <w:tr w14:paraId="5D95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259CC06F">
            <w:pPr>
              <w:autoSpaceDE w:val="0"/>
              <w:autoSpaceDN w:val="0"/>
              <w:jc w:val="center"/>
              <w:rPr>
                <w:rFonts w:ascii="Times New Roman" w:hAnsi="Times New Roman"/>
                <w:bCs/>
                <w:spacing w:val="-2"/>
                <w:kern w:val="0"/>
                <w:sz w:val="24"/>
                <w:szCs w:val="22"/>
              </w:rPr>
            </w:pPr>
            <w:r>
              <w:rPr>
                <w:rFonts w:hint="eastAsia" w:ascii="宋体" w:hAnsi="宋体" w:cs="宋体"/>
                <w:bCs/>
                <w:spacing w:val="-2"/>
                <w:kern w:val="0"/>
                <w:sz w:val="24"/>
                <w:szCs w:val="22"/>
                <w:lang w:bidi="ar"/>
              </w:rPr>
              <w:t>3</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61B5DE3B">
            <w:pPr>
              <w:autoSpaceDE w:val="0"/>
              <w:autoSpaceDN w:val="0"/>
              <w:jc w:val="center"/>
              <w:rPr>
                <w:rFonts w:ascii="Times New Roman" w:hAnsi="Times New Roman"/>
                <w:bCs/>
                <w:spacing w:val="-2"/>
                <w:kern w:val="0"/>
                <w:sz w:val="24"/>
                <w:szCs w:val="22"/>
              </w:rPr>
            </w:pPr>
            <w:r>
              <w:rPr>
                <w:rFonts w:hint="eastAsia" w:ascii="宋体" w:hAnsi="宋体" w:cs="宋体"/>
                <w:spacing w:val="-2"/>
                <w:kern w:val="0"/>
                <w:sz w:val="24"/>
                <w:szCs w:val="22"/>
                <w:lang w:bidi="ar"/>
              </w:rPr>
              <w:t>供货及安装期限</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3401B916">
            <w:pPr>
              <w:pStyle w:val="8"/>
              <w:widowControl/>
              <w:spacing w:before="79"/>
              <w:ind w:left="107"/>
              <w:jc w:val="both"/>
              <w:rPr>
                <w:bCs/>
                <w:spacing w:val="-2"/>
                <w:sz w:val="24"/>
              </w:rPr>
            </w:pPr>
            <w:r>
              <w:rPr>
                <w:sz w:val="24"/>
              </w:rPr>
              <w:t>自合同签订之日起2个月内完成设备安装调试工作</w:t>
            </w:r>
          </w:p>
        </w:tc>
      </w:tr>
      <w:tr w14:paraId="402E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C89B3D5">
            <w:pPr>
              <w:autoSpaceDE w:val="0"/>
              <w:autoSpaceDN w:val="0"/>
              <w:jc w:val="center"/>
              <w:rPr>
                <w:rFonts w:ascii="Times New Roman" w:hAnsi="Times New Roman"/>
                <w:bCs/>
                <w:spacing w:val="-2"/>
                <w:kern w:val="0"/>
                <w:sz w:val="24"/>
                <w:szCs w:val="22"/>
              </w:rPr>
            </w:pPr>
            <w:r>
              <w:rPr>
                <w:rFonts w:hint="eastAsia" w:ascii="宋体" w:hAnsi="宋体" w:cs="宋体"/>
                <w:bCs/>
                <w:spacing w:val="-2"/>
                <w:kern w:val="0"/>
                <w:sz w:val="24"/>
                <w:szCs w:val="22"/>
                <w:lang w:bidi="ar"/>
              </w:rPr>
              <w:t>4</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08E57447">
            <w:pPr>
              <w:autoSpaceDE w:val="0"/>
              <w:autoSpaceDN w:val="0"/>
              <w:jc w:val="center"/>
              <w:rPr>
                <w:rFonts w:ascii="Times New Roman" w:hAnsi="Times New Roman"/>
                <w:bCs/>
                <w:spacing w:val="-2"/>
                <w:kern w:val="0"/>
                <w:sz w:val="24"/>
                <w:szCs w:val="22"/>
              </w:rPr>
            </w:pPr>
            <w:r>
              <w:rPr>
                <w:rFonts w:hint="eastAsia" w:ascii="宋体" w:hAnsi="宋体" w:cs="宋体"/>
                <w:spacing w:val="-2"/>
                <w:kern w:val="0"/>
                <w:sz w:val="24"/>
                <w:szCs w:val="22"/>
                <w:lang w:bidi="ar"/>
              </w:rPr>
              <w:t>免费质保期</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53C02BCE">
            <w:pPr>
              <w:pStyle w:val="8"/>
              <w:widowControl/>
              <w:spacing w:before="79"/>
              <w:ind w:left="107"/>
              <w:jc w:val="both"/>
              <w:rPr>
                <w:bCs/>
                <w:spacing w:val="-2"/>
                <w:sz w:val="24"/>
              </w:rPr>
            </w:pPr>
            <w:r>
              <w:rPr>
                <w:spacing w:val="-6"/>
                <w:sz w:val="24"/>
                <w:u w:val="single"/>
              </w:rPr>
              <w:t xml:space="preserve">验收合格之日起提供主要硬件 </w:t>
            </w:r>
            <w:r>
              <w:rPr>
                <w:spacing w:val="-2"/>
                <w:sz w:val="24"/>
                <w:u w:val="single"/>
              </w:rPr>
              <w:t>2</w:t>
            </w:r>
            <w:r>
              <w:rPr>
                <w:spacing w:val="-10"/>
                <w:sz w:val="24"/>
                <w:u w:val="single"/>
              </w:rPr>
              <w:t xml:space="preserve"> 年免费质保，后续</w:t>
            </w:r>
            <w:r>
              <w:rPr>
                <w:spacing w:val="-1"/>
                <w:sz w:val="24"/>
                <w:u w:val="single"/>
              </w:rPr>
              <w:t>提供软件维护、升级配合服务。</w:t>
            </w:r>
          </w:p>
        </w:tc>
      </w:tr>
    </w:tbl>
    <w:p w14:paraId="42119C4A">
      <w:pPr>
        <w:pStyle w:val="7"/>
        <w:widowControl/>
        <w:tabs>
          <w:tab w:val="left" w:pos="1149"/>
          <w:tab w:val="left" w:pos="1341"/>
        </w:tabs>
        <w:spacing w:line="460" w:lineRule="exact"/>
        <w:ind w:left="0" w:right="0" w:firstLine="474" w:firstLineChars="200"/>
        <w:rPr>
          <w:rFonts w:ascii="宋体" w:hAnsi="宋体" w:eastAsia="宋体" w:cs="宋体"/>
          <w:b/>
          <w:spacing w:val="-2"/>
          <w:sz w:val="24"/>
          <w:szCs w:val="24"/>
          <w:u w:val="none" w:color="auto"/>
        </w:rPr>
      </w:pPr>
      <w:r>
        <w:rPr>
          <w:rFonts w:ascii="宋体" w:hAnsi="宋体" w:eastAsia="宋体" w:cs="宋体"/>
          <w:b/>
          <w:spacing w:val="-2"/>
          <w:sz w:val="24"/>
          <w:szCs w:val="24"/>
          <w:u w:val="none" w:color="auto"/>
        </w:rPr>
        <w:t>二、项目概况</w:t>
      </w:r>
    </w:p>
    <w:p w14:paraId="1424EF0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互联网骨干直联点监测系统是面向互联网骨干直联点网间通信质量和网络运行安全监管需求建设的监测系统。为保障合肥国家级互联网骨干直联点网络运行与互联互通状况的监管需求,现计划对合肥国家级互联网骨干直联点监测系统进行扩容,计划采购13台专用设备，包括9台被动监测设备、4台网安流量分析探针设备。所采购设备将用于骨干直联点扩容增加的流量采集、监测和分析等。</w:t>
      </w:r>
    </w:p>
    <w:p w14:paraId="5249155F">
      <w:pPr>
        <w:pStyle w:val="7"/>
        <w:widowControl/>
        <w:tabs>
          <w:tab w:val="left" w:pos="1149"/>
          <w:tab w:val="left" w:pos="1341"/>
        </w:tabs>
        <w:spacing w:line="460" w:lineRule="exact"/>
        <w:ind w:left="0" w:right="0" w:firstLine="474" w:firstLineChars="200"/>
        <w:rPr>
          <w:rFonts w:ascii="宋体" w:hAnsi="宋体" w:eastAsia="宋体" w:cs="宋体"/>
          <w:b/>
          <w:spacing w:val="-2"/>
          <w:sz w:val="24"/>
          <w:szCs w:val="24"/>
          <w:u w:val="none" w:color="auto"/>
        </w:rPr>
      </w:pPr>
      <w:r>
        <w:rPr>
          <w:rFonts w:ascii="宋体" w:hAnsi="宋体" w:eastAsia="宋体" w:cs="宋体"/>
          <w:b/>
          <w:spacing w:val="-2"/>
          <w:sz w:val="24"/>
          <w:szCs w:val="24"/>
          <w:u w:val="none" w:color="auto"/>
        </w:rPr>
        <w:t>三、货物需求</w:t>
      </w:r>
    </w:p>
    <w:p w14:paraId="53279A50">
      <w:pPr>
        <w:pStyle w:val="9"/>
        <w:spacing w:line="460" w:lineRule="exact"/>
        <w:ind w:firstLine="482"/>
        <w:rPr>
          <w:rFonts w:hint="eastAsia" w:ascii="宋体" w:hAnsi="宋体" w:cs="宋体"/>
          <w:b/>
          <w:bCs/>
          <w:sz w:val="24"/>
        </w:rPr>
      </w:pPr>
      <w:r>
        <w:rPr>
          <w:rFonts w:hint="eastAsia" w:ascii="宋体" w:hAnsi="宋体" w:cs="宋体"/>
          <w:b/>
          <w:bCs/>
          <w:sz w:val="24"/>
        </w:rPr>
        <w:t>1.信息化硬件设备</w:t>
      </w:r>
    </w:p>
    <w:tbl>
      <w:tblPr>
        <w:tblStyle w:val="5"/>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40"/>
        <w:gridCol w:w="4111"/>
        <w:gridCol w:w="386"/>
        <w:gridCol w:w="470"/>
        <w:gridCol w:w="625"/>
        <w:gridCol w:w="1263"/>
      </w:tblGrid>
      <w:tr w14:paraId="5431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noWrap w:val="0"/>
            <w:vAlign w:val="center"/>
          </w:tcPr>
          <w:p w14:paraId="10389176">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序号</w:t>
            </w:r>
          </w:p>
        </w:tc>
        <w:tc>
          <w:tcPr>
            <w:tcW w:w="546" w:type="pct"/>
            <w:noWrap w:val="0"/>
            <w:vAlign w:val="center"/>
          </w:tcPr>
          <w:p w14:paraId="28BB8525">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名称</w:t>
            </w:r>
          </w:p>
        </w:tc>
        <w:tc>
          <w:tcPr>
            <w:tcW w:w="2388" w:type="pct"/>
            <w:noWrap w:val="0"/>
            <w:vAlign w:val="center"/>
          </w:tcPr>
          <w:p w14:paraId="5D3368C6">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技术参数及要求</w:t>
            </w:r>
          </w:p>
        </w:tc>
        <w:tc>
          <w:tcPr>
            <w:tcW w:w="224" w:type="pct"/>
            <w:noWrap w:val="0"/>
            <w:vAlign w:val="center"/>
          </w:tcPr>
          <w:p w14:paraId="7186AAD7">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单位</w:t>
            </w:r>
          </w:p>
        </w:tc>
        <w:tc>
          <w:tcPr>
            <w:tcW w:w="273" w:type="pct"/>
            <w:noWrap w:val="0"/>
            <w:vAlign w:val="center"/>
          </w:tcPr>
          <w:p w14:paraId="0A80FF94">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数量</w:t>
            </w:r>
          </w:p>
        </w:tc>
        <w:tc>
          <w:tcPr>
            <w:tcW w:w="363" w:type="pct"/>
            <w:noWrap w:val="0"/>
            <w:vAlign w:val="center"/>
          </w:tcPr>
          <w:p w14:paraId="6096CF23">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所属行业</w:t>
            </w:r>
          </w:p>
        </w:tc>
        <w:tc>
          <w:tcPr>
            <w:tcW w:w="732" w:type="pct"/>
            <w:noWrap w:val="0"/>
            <w:vAlign w:val="center"/>
          </w:tcPr>
          <w:p w14:paraId="2BFD5066">
            <w:pPr>
              <w:tabs>
                <w:tab w:val="left" w:pos="180"/>
              </w:tabs>
              <w:autoSpaceDE w:val="0"/>
              <w:autoSpaceDN w:val="0"/>
              <w:jc w:val="center"/>
              <w:rPr>
                <w:rFonts w:hint="eastAsia" w:ascii="宋体" w:hAnsi="宋体" w:cs="Microsoft JhengHei"/>
                <w:b/>
                <w:kern w:val="0"/>
                <w:sz w:val="24"/>
                <w:szCs w:val="22"/>
              </w:rPr>
            </w:pPr>
            <w:r>
              <w:rPr>
                <w:rFonts w:hint="eastAsia" w:ascii="宋体" w:hAnsi="宋体" w:cs="Microsoft JhengHei"/>
                <w:b/>
                <w:kern w:val="0"/>
                <w:sz w:val="24"/>
                <w:szCs w:val="22"/>
              </w:rPr>
              <w:t>备注</w:t>
            </w:r>
          </w:p>
        </w:tc>
      </w:tr>
      <w:tr w14:paraId="1AD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noWrap w:val="0"/>
            <w:vAlign w:val="center"/>
          </w:tcPr>
          <w:p w14:paraId="755D9579">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（一）</w:t>
            </w:r>
          </w:p>
        </w:tc>
        <w:tc>
          <w:tcPr>
            <w:tcW w:w="546" w:type="pct"/>
            <w:noWrap w:val="0"/>
            <w:vAlign w:val="center"/>
          </w:tcPr>
          <w:p w14:paraId="77D0D3DD">
            <w:pPr>
              <w:tabs>
                <w:tab w:val="left" w:pos="180"/>
              </w:tabs>
              <w:autoSpaceDE w:val="0"/>
              <w:autoSpaceDN w:val="0"/>
              <w:jc w:val="center"/>
              <w:rPr>
                <w:rFonts w:ascii="宋体" w:hAnsi="宋体" w:cs="Microsoft JhengHei"/>
                <w:b/>
                <w:kern w:val="0"/>
                <w:sz w:val="24"/>
                <w:szCs w:val="22"/>
              </w:rPr>
            </w:pPr>
            <w:r>
              <w:rPr>
                <w:rFonts w:hint="eastAsia" w:ascii="宋体" w:hAnsi="宋体" w:cs="Microsoft JhengHei"/>
                <w:b/>
                <w:kern w:val="0"/>
                <w:sz w:val="24"/>
                <w:szCs w:val="22"/>
              </w:rPr>
              <w:t>专用设备</w:t>
            </w:r>
          </w:p>
        </w:tc>
        <w:tc>
          <w:tcPr>
            <w:tcW w:w="3982" w:type="pct"/>
            <w:gridSpan w:val="5"/>
            <w:noWrap w:val="0"/>
            <w:vAlign w:val="center"/>
          </w:tcPr>
          <w:p w14:paraId="6E8AFA3C">
            <w:pPr>
              <w:tabs>
                <w:tab w:val="left" w:pos="180"/>
              </w:tabs>
              <w:autoSpaceDE w:val="0"/>
              <w:autoSpaceDN w:val="0"/>
              <w:jc w:val="center"/>
              <w:rPr>
                <w:rFonts w:ascii="宋体" w:hAnsi="宋体" w:cs="Microsoft JhengHei"/>
                <w:b/>
                <w:kern w:val="0"/>
                <w:sz w:val="24"/>
                <w:szCs w:val="22"/>
              </w:rPr>
            </w:pPr>
          </w:p>
        </w:tc>
      </w:tr>
      <w:tr w14:paraId="3A9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noWrap w:val="0"/>
            <w:vAlign w:val="center"/>
          </w:tcPr>
          <w:p w14:paraId="4EA0EABD">
            <w:pPr>
              <w:tabs>
                <w:tab w:val="left" w:pos="180"/>
              </w:tabs>
              <w:autoSpaceDE w:val="0"/>
              <w:autoSpaceDN w:val="0"/>
              <w:jc w:val="center"/>
              <w:rPr>
                <w:rFonts w:ascii="宋体" w:hAnsi="宋体" w:cs="Microsoft JhengHei"/>
                <w:bCs/>
                <w:kern w:val="0"/>
                <w:sz w:val="24"/>
                <w:szCs w:val="22"/>
                <w:highlight w:val="none"/>
              </w:rPr>
            </w:pPr>
            <w:bookmarkStart w:id="3" w:name="_GoBack" w:colFirst="6" w:colLast="6"/>
            <w:r>
              <w:rPr>
                <w:rFonts w:hint="eastAsia" w:ascii="宋体" w:hAnsi="宋体" w:cs="Microsoft JhengHei"/>
                <w:bCs/>
                <w:kern w:val="0"/>
                <w:sz w:val="24"/>
                <w:szCs w:val="22"/>
                <w:highlight w:val="none"/>
              </w:rPr>
              <w:t>1</w:t>
            </w:r>
          </w:p>
        </w:tc>
        <w:tc>
          <w:tcPr>
            <w:tcW w:w="546" w:type="pct"/>
            <w:noWrap w:val="0"/>
            <w:vAlign w:val="center"/>
          </w:tcPr>
          <w:p w14:paraId="6629F42F">
            <w:pPr>
              <w:tabs>
                <w:tab w:val="left" w:pos="180"/>
              </w:tabs>
              <w:autoSpaceDE w:val="0"/>
              <w:autoSpaceDN w:val="0"/>
              <w:jc w:val="center"/>
              <w:rPr>
                <w:rFonts w:ascii="宋体" w:hAnsi="宋体" w:cs="Microsoft JhengHei"/>
                <w:bCs/>
                <w:kern w:val="0"/>
                <w:sz w:val="24"/>
                <w:szCs w:val="22"/>
                <w:highlight w:val="none"/>
              </w:rPr>
            </w:pPr>
            <w:r>
              <w:rPr>
                <w:rFonts w:ascii="宋体" w:hAnsi="宋体"/>
                <w:spacing w:val="-4"/>
                <w:sz w:val="24"/>
                <w:highlight w:val="none"/>
              </w:rPr>
              <w:t>▲</w:t>
            </w:r>
            <w:r>
              <w:rPr>
                <w:rFonts w:hint="eastAsia" w:ascii="宋体" w:hAnsi="宋体" w:cs="Microsoft JhengHei"/>
                <w:bCs/>
                <w:kern w:val="0"/>
                <w:sz w:val="24"/>
                <w:szCs w:val="22"/>
                <w:highlight w:val="none"/>
              </w:rPr>
              <w:t>被动监测设备</w:t>
            </w:r>
          </w:p>
        </w:tc>
        <w:tc>
          <w:tcPr>
            <w:tcW w:w="2388" w:type="pct"/>
            <w:noWrap w:val="0"/>
            <w:vAlign w:val="center"/>
          </w:tcPr>
          <w:p w14:paraId="411A1412">
            <w:pPr>
              <w:tabs>
                <w:tab w:val="left" w:pos="180"/>
              </w:tabs>
              <w:autoSpaceDE w:val="0"/>
              <w:autoSpaceDN w:val="0"/>
              <w:jc w:val="left"/>
              <w:rPr>
                <w:rFonts w:ascii="宋体" w:hAnsi="宋体" w:cs="Microsoft JhengHei"/>
                <w:bCs/>
                <w:kern w:val="0"/>
                <w:sz w:val="24"/>
                <w:szCs w:val="22"/>
                <w:highlight w:val="none"/>
              </w:rPr>
            </w:pPr>
            <w:r>
              <w:rPr>
                <w:rFonts w:hint="eastAsia" w:ascii="宋体" w:hAnsi="宋体" w:cs="Microsoft JhengHei"/>
                <w:bCs/>
                <w:kern w:val="0"/>
                <w:sz w:val="24"/>
                <w:szCs w:val="22"/>
                <w:highlight w:val="none"/>
              </w:rPr>
              <w:t>采用 DPDK 高性能无锁网络并行处理架构，单台满足 80Gbps流量处理；支持 5万条 IPv4 灵活五元组规则，5 万条 IPv6 灵活五元组规则；支持3万条 IPv4 掩码五元组规则，2万条 IPv6 掩码五元组规则；支持 2000 种以上业务协议的识别；支持网络流量并行处理，通过 IPv4/IPv6 双栈流量分析引擎为网络数据中的每一条连接建立一条会话表条目，建立会话表项后可以对这条会话的连接进行流量统计、网络质量分析、应用协议识别等处理</w:t>
            </w:r>
          </w:p>
        </w:tc>
        <w:tc>
          <w:tcPr>
            <w:tcW w:w="224" w:type="pct"/>
            <w:noWrap w:val="0"/>
            <w:vAlign w:val="center"/>
          </w:tcPr>
          <w:p w14:paraId="2D5CD9F3">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台</w:t>
            </w:r>
          </w:p>
        </w:tc>
        <w:tc>
          <w:tcPr>
            <w:tcW w:w="273" w:type="pct"/>
            <w:noWrap w:val="0"/>
            <w:vAlign w:val="center"/>
          </w:tcPr>
          <w:p w14:paraId="0EEE5698">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9</w:t>
            </w:r>
          </w:p>
        </w:tc>
        <w:tc>
          <w:tcPr>
            <w:tcW w:w="363" w:type="pct"/>
            <w:noWrap w:val="0"/>
            <w:vAlign w:val="center"/>
          </w:tcPr>
          <w:p w14:paraId="2082A05B">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工业</w:t>
            </w:r>
          </w:p>
        </w:tc>
        <w:tc>
          <w:tcPr>
            <w:tcW w:w="732" w:type="pct"/>
            <w:noWrap w:val="0"/>
            <w:vAlign w:val="center"/>
          </w:tcPr>
          <w:p w14:paraId="247CCA98">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满足信创要求，使用信创产品；投标人需按第六章投标文件格式要求进行承诺，投标人若不提供承诺函或承诺内容不全，按无效投标处理</w:t>
            </w:r>
          </w:p>
        </w:tc>
      </w:tr>
      <w:tr w14:paraId="7887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noWrap w:val="0"/>
            <w:vAlign w:val="center"/>
          </w:tcPr>
          <w:p w14:paraId="1578D40B">
            <w:pPr>
              <w:tabs>
                <w:tab w:val="left" w:pos="180"/>
              </w:tabs>
              <w:autoSpaceDE w:val="0"/>
              <w:autoSpaceDN w:val="0"/>
              <w:jc w:val="center"/>
              <w:rPr>
                <w:rFonts w:ascii="宋体" w:hAnsi="宋体" w:cs="Microsoft JhengHei"/>
                <w:bCs/>
                <w:kern w:val="0"/>
                <w:sz w:val="24"/>
                <w:szCs w:val="22"/>
              </w:rPr>
            </w:pPr>
            <w:r>
              <w:rPr>
                <w:rFonts w:hint="eastAsia" w:ascii="宋体" w:hAnsi="宋体" w:cs="Microsoft JhengHei"/>
                <w:bCs/>
                <w:kern w:val="0"/>
                <w:sz w:val="24"/>
                <w:szCs w:val="22"/>
              </w:rPr>
              <w:t>2</w:t>
            </w:r>
          </w:p>
        </w:tc>
        <w:tc>
          <w:tcPr>
            <w:tcW w:w="546" w:type="pct"/>
            <w:noWrap w:val="0"/>
            <w:vAlign w:val="center"/>
          </w:tcPr>
          <w:p w14:paraId="719C0D1A">
            <w:pPr>
              <w:tabs>
                <w:tab w:val="left" w:pos="180"/>
              </w:tabs>
              <w:autoSpaceDE w:val="0"/>
              <w:autoSpaceDN w:val="0"/>
              <w:jc w:val="center"/>
              <w:rPr>
                <w:rFonts w:ascii="宋体" w:hAnsi="宋体" w:cs="Microsoft JhengHei"/>
                <w:bCs/>
                <w:kern w:val="0"/>
                <w:sz w:val="24"/>
                <w:szCs w:val="22"/>
              </w:rPr>
            </w:pPr>
            <w:r>
              <w:rPr>
                <w:rFonts w:hint="eastAsia" w:ascii="宋体" w:hAnsi="宋体" w:cs="Microsoft JhengHei"/>
                <w:bCs/>
                <w:kern w:val="0"/>
                <w:sz w:val="24"/>
                <w:szCs w:val="22"/>
              </w:rPr>
              <w:t>网安流量分析探针</w:t>
            </w:r>
          </w:p>
        </w:tc>
        <w:tc>
          <w:tcPr>
            <w:tcW w:w="2388" w:type="pct"/>
            <w:noWrap w:val="0"/>
            <w:vAlign w:val="center"/>
          </w:tcPr>
          <w:p w14:paraId="6C336CCC">
            <w:pPr>
              <w:tabs>
                <w:tab w:val="left" w:pos="180"/>
              </w:tabs>
              <w:autoSpaceDE w:val="0"/>
              <w:autoSpaceDN w:val="0"/>
              <w:jc w:val="left"/>
              <w:rPr>
                <w:rFonts w:ascii="宋体" w:hAnsi="宋体" w:cs="Microsoft JhengHei"/>
                <w:bCs/>
                <w:kern w:val="0"/>
                <w:sz w:val="24"/>
                <w:szCs w:val="22"/>
                <w:highlight w:val="none"/>
              </w:rPr>
            </w:pPr>
            <w:r>
              <w:rPr>
                <w:rFonts w:hint="eastAsia" w:ascii="宋体" w:hAnsi="宋体" w:cs="Microsoft JhengHei"/>
                <w:bCs/>
                <w:kern w:val="0"/>
                <w:sz w:val="24"/>
                <w:szCs w:val="22"/>
                <w:highlight w:val="none"/>
              </w:rPr>
              <w:t>标准机架式设备，冗余交流电源，≥4个千兆电口，≥8个万兆光口（配备8个万兆多模光模块）；80Gbps 应用层初步分析能力，并发连接数不少于 4000 万；新建连接数（CPS）不少于 200万；支持应用识别，应用识别不低于 95%，支持国内常见的 900余种应用协议；支持自定义规则加载，支持 2 万条以上入侵检测规则；支持对网站后门、XSS、SQL 注入、木马、蠕虫、漏洞探测利用等攻击事件检测；支持 IPv4 和 IPv6 双栈协议识别。包含3 年攻击检测规则库、应用识别库、地理信息库、僵尸主机规则库、威胁情报库、URL 分类库。</w:t>
            </w:r>
          </w:p>
        </w:tc>
        <w:tc>
          <w:tcPr>
            <w:tcW w:w="224" w:type="pct"/>
            <w:noWrap w:val="0"/>
            <w:vAlign w:val="center"/>
          </w:tcPr>
          <w:p w14:paraId="29ABA482">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台</w:t>
            </w:r>
          </w:p>
        </w:tc>
        <w:tc>
          <w:tcPr>
            <w:tcW w:w="273" w:type="pct"/>
            <w:noWrap w:val="0"/>
            <w:vAlign w:val="center"/>
          </w:tcPr>
          <w:p w14:paraId="00B0E80A">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4</w:t>
            </w:r>
          </w:p>
        </w:tc>
        <w:tc>
          <w:tcPr>
            <w:tcW w:w="363" w:type="pct"/>
            <w:noWrap w:val="0"/>
            <w:vAlign w:val="center"/>
          </w:tcPr>
          <w:p w14:paraId="6909D172">
            <w:pPr>
              <w:tabs>
                <w:tab w:val="left" w:pos="180"/>
              </w:tabs>
              <w:autoSpaceDE w:val="0"/>
              <w:autoSpaceDN w:val="0"/>
              <w:jc w:val="center"/>
              <w:rPr>
                <w:rFonts w:ascii="宋体" w:hAnsi="宋体" w:cs="Microsoft JhengHei"/>
                <w:bCs/>
                <w:kern w:val="0"/>
                <w:sz w:val="24"/>
                <w:szCs w:val="22"/>
                <w:highlight w:val="none"/>
              </w:rPr>
            </w:pPr>
            <w:r>
              <w:rPr>
                <w:rFonts w:hint="eastAsia" w:ascii="宋体" w:hAnsi="宋体" w:cs="Microsoft JhengHei"/>
                <w:bCs/>
                <w:kern w:val="0"/>
                <w:sz w:val="24"/>
                <w:szCs w:val="22"/>
                <w:highlight w:val="none"/>
              </w:rPr>
              <w:t>工业</w:t>
            </w:r>
          </w:p>
        </w:tc>
        <w:tc>
          <w:tcPr>
            <w:tcW w:w="732" w:type="pct"/>
            <w:noWrap w:val="0"/>
            <w:vAlign w:val="center"/>
          </w:tcPr>
          <w:p w14:paraId="6815E5F2">
            <w:pPr>
              <w:tabs>
                <w:tab w:val="left" w:pos="180"/>
              </w:tabs>
              <w:autoSpaceDE w:val="0"/>
              <w:autoSpaceDN w:val="0"/>
              <w:jc w:val="center"/>
              <w:rPr>
                <w:rFonts w:hint="eastAsia" w:ascii="宋体" w:hAnsi="宋体" w:cs="Microsoft JhengHei"/>
                <w:bCs/>
                <w:kern w:val="0"/>
                <w:sz w:val="24"/>
                <w:szCs w:val="22"/>
                <w:highlight w:val="none"/>
              </w:rPr>
            </w:pPr>
            <w:r>
              <w:rPr>
                <w:rFonts w:hint="eastAsia" w:ascii="宋体" w:hAnsi="宋体" w:cs="Microsoft JhengHei"/>
                <w:bCs/>
                <w:kern w:val="0"/>
                <w:sz w:val="24"/>
                <w:szCs w:val="22"/>
                <w:highlight w:val="none"/>
              </w:rPr>
              <w:t>满足信创要求，使用信创产品；投标人需按第六章投标文件格式要求进行承诺，投标人若不提供承诺函或承诺内容不全，按无效投标处理</w:t>
            </w:r>
          </w:p>
        </w:tc>
      </w:tr>
      <w:bookmarkEnd w:id="3"/>
    </w:tbl>
    <w:p w14:paraId="2CDEB3C5">
      <w:pPr>
        <w:pStyle w:val="7"/>
        <w:widowControl/>
        <w:tabs>
          <w:tab w:val="left" w:pos="1149"/>
          <w:tab w:val="left" w:pos="1341"/>
        </w:tabs>
        <w:spacing w:line="460" w:lineRule="exact"/>
        <w:ind w:left="0" w:right="0" w:firstLine="474" w:firstLineChars="200"/>
        <w:rPr>
          <w:rFonts w:ascii="宋体" w:hAnsi="宋体" w:eastAsia="宋体" w:cs="宋体"/>
          <w:b/>
          <w:spacing w:val="-2"/>
          <w:sz w:val="24"/>
          <w:szCs w:val="24"/>
          <w:u w:val="none" w:color="auto"/>
        </w:rPr>
      </w:pPr>
      <w:r>
        <w:rPr>
          <w:rFonts w:ascii="宋体" w:hAnsi="宋体" w:eastAsia="宋体" w:cs="宋体"/>
          <w:b/>
          <w:spacing w:val="-2"/>
          <w:sz w:val="24"/>
          <w:szCs w:val="24"/>
          <w:u w:val="none" w:color="auto"/>
        </w:rPr>
        <w:t>四、相关服务需求</w:t>
      </w:r>
    </w:p>
    <w:p w14:paraId="3A40C88B">
      <w:pPr>
        <w:pStyle w:val="9"/>
        <w:spacing w:line="460" w:lineRule="exact"/>
        <w:ind w:firstLine="482"/>
        <w:rPr>
          <w:rFonts w:hint="eastAsia" w:ascii="宋体" w:hAnsi="宋体" w:cs="宋体"/>
          <w:b/>
          <w:bCs/>
          <w:sz w:val="24"/>
        </w:rPr>
      </w:pPr>
      <w:r>
        <w:rPr>
          <w:rFonts w:hint="eastAsia" w:ascii="宋体" w:hAnsi="宋体" w:cs="宋体"/>
          <w:b/>
          <w:bCs/>
          <w:sz w:val="24"/>
        </w:rPr>
        <w:t>1.专用设备性能要求</w:t>
      </w:r>
    </w:p>
    <w:p w14:paraId="389C7FE3">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（1）被动监测设备：单台满足80Gbps流量处理能力。</w:t>
      </w:r>
    </w:p>
    <w:p w14:paraId="778868D5">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（2）网安流量分析探针：80Gbps 应用层初步分析能力，并发连接数不少于 4000 万；新建连接数（CPS）不少于200万。端口数：≥4个千兆电口，≥8个万兆光口（配备 8个万兆多模光模块）。</w:t>
      </w:r>
    </w:p>
    <w:p w14:paraId="729F08D7">
      <w:pPr>
        <w:pStyle w:val="9"/>
        <w:spacing w:line="460" w:lineRule="exact"/>
        <w:ind w:firstLine="482"/>
        <w:rPr>
          <w:rFonts w:hint="eastAsia" w:ascii="宋体" w:hAnsi="宋体" w:cs="宋体"/>
          <w:b/>
          <w:bCs/>
          <w:sz w:val="24"/>
        </w:rPr>
      </w:pPr>
      <w:r>
        <w:rPr>
          <w:rFonts w:hint="eastAsia" w:ascii="宋体" w:hAnsi="宋体" w:cs="宋体"/>
          <w:b/>
          <w:bCs/>
          <w:sz w:val="24"/>
        </w:rPr>
        <w:t>2.总集成及验收服务</w:t>
      </w:r>
    </w:p>
    <w:p w14:paraId="146ADE9E">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2.1 安装及调测</w:t>
      </w:r>
    </w:p>
    <w:p w14:paraId="64F8EF78">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（1）本项目全部软硬件产品的安装、系统调测等，全部由投标人负责；</w:t>
      </w:r>
    </w:p>
    <w:p w14:paraId="4C399F55">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（2）安装调测时使用的工具、设备由投标人提供。双方应协商制定工程进度表，投标人负责按工程进度表进行施工；</w:t>
      </w:r>
    </w:p>
    <w:p w14:paraId="79121FA0">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（3）作为本工程系统建设的第一响应方，投标人全方面负责工程的实施，对系统故障进行定位，并解决工程实施中出现的各类问题。</w:t>
      </w:r>
    </w:p>
    <w:p w14:paraId="6E2AC07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4）要求分阶段对整个工程的实施过程进行分析，确保工程整体目标的实现。投标人应利用自身的工程经验，主动协助招标人的工程管理人员安排工程计划，划分阶段性的工程界面，定时提交工程进度情况报告，适时地召开工程协调会，协调工程中有关各方的关系、分工、责任与进度，协调设备及系统软件的验收以及购置配套设备等。</w:t>
      </w:r>
    </w:p>
    <w:p w14:paraId="6E63738E">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（5）在实施过程中提供关于系统、软件上的技术保障，提供相关软件、补丁、升级服务；</w:t>
      </w:r>
    </w:p>
    <w:p w14:paraId="22F5EDFB">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（6）负责与其他相关系统数据接口的适配；</w:t>
      </w:r>
    </w:p>
    <w:p w14:paraId="5327A9BF">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（7）投标人负责对全网系统网络的规划，包括具体IP地址划分、协议选择、路由方式、安全机制、域名设置等；</w:t>
      </w:r>
    </w:p>
    <w:p w14:paraId="050060D9">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（9）投标人负责本系统及外围系统的联调、开通和网络性能优化，确保最终系统间的有效互联，确保达到本工程对整个系统的规范、功能要求。</w:t>
      </w:r>
    </w:p>
    <w:p w14:paraId="14EAF573">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（10）投标人新增软件功能不得影响现有系统（包括架构、功能、性能等）。</w:t>
      </w:r>
    </w:p>
    <w:p w14:paraId="2BA629B2">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2.2 系统联调</w:t>
      </w:r>
    </w:p>
    <w:p w14:paraId="6D22377B">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投标人除完成自身功能模块调试外，需配合完成整个平台系统的联调。</w:t>
      </w:r>
    </w:p>
    <w:p w14:paraId="553A49C4">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2.3 系统测试</w:t>
      </w:r>
    </w:p>
    <w:p w14:paraId="1CEC8582">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系统测试由双方共同进行。测试内容包括网络运行安全状态、过网流量流向及业务构成、端到端网络通信性能、端到端业务访问质量、网间不规范路由等检测分析功能，测试如需必要的仪器设备则由投标人提供。投标人应该提供测试报告，测试记录经投标人整理后移交建设方代表，作为验收依据。</w:t>
      </w:r>
    </w:p>
    <w:p w14:paraId="198FD86C">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2.4 系统验收</w:t>
      </w:r>
    </w:p>
    <w:p w14:paraId="5BA14FB5">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系统平台安装、调试达到验收标准后，可进行验收测试。验收规范(包括项目、指标、方式和测试仪器等)应由投标人在前一个月提交给招标方。招标人可根据合同及公司的有关规定进行修改和补充，经双方确认后形成验收文件作为验收依据。割接验收测试合格后，双方签署验收协议；</w:t>
      </w:r>
    </w:p>
    <w:p w14:paraId="2AD50F61">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验收前，投标人须把本项目的全部有关产品说明书、厂家安装手册、技术文件、资料及安装、测试、验收确认书等文档汇集成册交付招标人。</w:t>
      </w:r>
    </w:p>
    <w:p w14:paraId="59BC7E4A">
      <w:pPr>
        <w:pStyle w:val="9"/>
        <w:spacing w:line="460" w:lineRule="exact"/>
        <w:ind w:firstLine="482"/>
        <w:rPr>
          <w:rFonts w:hint="eastAsia" w:ascii="宋体" w:hAnsi="宋体" w:cs="宋体"/>
          <w:b/>
          <w:bCs/>
          <w:sz w:val="24"/>
        </w:rPr>
      </w:pPr>
      <w:r>
        <w:rPr>
          <w:rFonts w:hint="eastAsia" w:ascii="宋体" w:hAnsi="宋体" w:cs="宋体"/>
          <w:b/>
          <w:bCs/>
          <w:sz w:val="24"/>
        </w:rPr>
        <w:t>3.技术服务及培训</w:t>
      </w:r>
    </w:p>
    <w:p w14:paraId="5B62D32F">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3.1 技术支持服务</w:t>
      </w:r>
    </w:p>
    <w:p w14:paraId="3EF4302A">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（1）投标人应向招标人提供全面、有效、及时的技术支持和服务。在保修期内，投标人应定期进行系统优化。至少每半年一次。</w:t>
      </w:r>
    </w:p>
    <w:p w14:paraId="6934A63A">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（2）在系统试运行期间，根据需要投标人有责任派技术人员到现场指导维护工作。一般应在24小时内赶到现场，特殊情况下也应在48小时内赶到现场。</w:t>
      </w:r>
    </w:p>
    <w:p w14:paraId="0D287A72">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系统验收后至保修期结束前，投标人所提供的系统出现问题时，投标人应指定有经验的技术人员及时赶到现场，免费进行维护并解决问题。在系统发生严重故障的情况下，投标人应说明可承诺的赶赴现场并排除故障的时限。</w:t>
      </w:r>
    </w:p>
    <w:p w14:paraId="5A98048A">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（4）投标人应在每次软件升级前，向招标人提供详细的软件变动说明文档及更改后的详细技术文档，配合招标人技术支撑团队进行软件版本融合。</w:t>
      </w:r>
    </w:p>
    <w:p w14:paraId="5B3BAA97">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（5）在系统和设备扩容及软件升级时，投标人应派技术人员到场指导。</w:t>
      </w:r>
    </w:p>
    <w:p w14:paraId="5987DCAF">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（6）投标人应确保其技术建议以及所提供应用软件系统的完整性和可用性，保证系统能够投入正常运行，并全部满足功能要求。</w:t>
      </w:r>
    </w:p>
    <w:p w14:paraId="05162C71">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（7）投标人应详细说明技术指导和技术支持的范围和程度。</w:t>
      </w:r>
    </w:p>
    <w:p w14:paraId="3D8F859F">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（8）支持方式</w:t>
      </w:r>
    </w:p>
    <w:p w14:paraId="08DACE28">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1）电话支持</w:t>
      </w:r>
    </w:p>
    <w:p w14:paraId="78D61BF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投标人的指定技术人员将通过电话进行技术支持，协助和指导招标人的技术人员确定故障原因，找出解决方法。必要时，投标人应指定离故障地点最近的相关办事处技术人员负责直接处理。</w:t>
      </w:r>
    </w:p>
    <w:p w14:paraId="39B0E718">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2）远程支持</w:t>
      </w:r>
    </w:p>
    <w:p w14:paraId="67B8725B">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当电话支持不足以解决问题或故障情况比较复杂时，投标人技术人员将在招标人技术人员的协助下，通过远程登录的方式登录进入招标人的局域网。投标人的技术人员在招标人技术人员的协助下确定故障原因，找出解决办法。</w:t>
      </w:r>
    </w:p>
    <w:p w14:paraId="6AEC55FE">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3）现场支持</w:t>
      </w:r>
    </w:p>
    <w:p w14:paraId="6472DE93">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当电话支持和远程支持都不足以解决问题，确需技术人员到现场时，根据招标人要求，投标人需派指定技术人员赶赴现场。</w:t>
      </w:r>
    </w:p>
    <w:p w14:paraId="5447AC46">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3.2 培训服务</w:t>
      </w:r>
    </w:p>
    <w:p w14:paraId="45C9ACCE">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系统验收后1年内投标人必须对招标人维护人员进行培训，使其具备独立进行管理、维护测试、故障定位及处理等工作的能力。</w:t>
      </w:r>
    </w:p>
    <w:p w14:paraId="5E2A8156">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培训包括日常培训和专项培训：</w:t>
      </w:r>
    </w:p>
    <w:p w14:paraId="34701CF6">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（1）日常培训。投标人在日常维护工作中，对招标人维护人员进行维护测试、故障排查及处理等现场指导，无人数和次数限制；</w:t>
      </w:r>
    </w:p>
    <w:p w14:paraId="47A3AA0B">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专项培训。投标人须免费提供一次专项培训，对招标人维护人员进行设备操作、故障处理等深度培训。投标人应为培训人员提供学习、生活方便，所发生的费用包括培训费、培训场地费、培训地的食宿费等与培训相关的费用均由投标人承担。</w:t>
      </w:r>
    </w:p>
    <w:p w14:paraId="21C3DC65">
      <w:pPr>
        <w:pStyle w:val="9"/>
        <w:spacing w:line="460" w:lineRule="exact"/>
        <w:ind w:firstLine="482"/>
        <w:rPr>
          <w:rFonts w:hint="eastAsia" w:ascii="宋体" w:hAnsi="宋体" w:cs="宋体"/>
          <w:b/>
          <w:bCs/>
          <w:sz w:val="24"/>
        </w:rPr>
      </w:pPr>
      <w:r>
        <w:rPr>
          <w:rFonts w:hint="eastAsia" w:ascii="宋体" w:hAnsi="宋体" w:cs="宋体"/>
          <w:b/>
          <w:bCs/>
          <w:sz w:val="24"/>
        </w:rPr>
        <w:t>4.保修服务</w:t>
      </w:r>
    </w:p>
    <w:p w14:paraId="0DA40667">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系统最终验收完成后两年为保修期。在保修期内，投标人应根据招标人与本项目相关的需求向招标人提供必要、有效、及时的软件技术支持和升级服务。投标人应提供“7×24”的技术服务，并按照招标人要求提供技术说明相关资料。以上都应是免费的。</w:t>
      </w:r>
    </w:p>
    <w:p w14:paraId="264BC5CE">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（2）在保修期内，投标人应提供灵活、多样的通信手段，提供7*24小时的响应服务，保证在任何时候招标人人员都能及时找到投标人的工程师。如招标人认为需要，投标人的技术人员应及时赶到现场支持。</w:t>
      </w:r>
    </w:p>
    <w:p w14:paraId="19CB3C94">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在保修期内，投标人应作为系统产生任何问题时的第一响应方。在保修期内，投标人免费提供软件的维护及修复工作（包括但不限于恢复故障所需的软件、硬件、材料及人工等），当系统发生故障时，要求满足基本故障响应要求。</w:t>
      </w:r>
    </w:p>
    <w:p w14:paraId="1479125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（4）投标人对所提供的系统软件负责终身免费升级，即：无论在保修期内还是在保修期外，由投标人提供的软件缺陷影响运行使用而导致的升级或改造费用，由投标人承担。</w:t>
      </w:r>
    </w:p>
    <w:p w14:paraId="5B018FE7">
      <w:pPr>
        <w:pStyle w:val="9"/>
        <w:spacing w:line="460" w:lineRule="exact"/>
        <w:ind w:firstLine="482"/>
        <w:rPr>
          <w:rFonts w:hint="eastAsia" w:ascii="宋体" w:hAnsi="宋体" w:cs="宋体"/>
          <w:b/>
          <w:bCs/>
          <w:sz w:val="24"/>
        </w:rPr>
      </w:pPr>
      <w:r>
        <w:rPr>
          <w:rFonts w:hint="eastAsia" w:ascii="宋体" w:hAnsi="宋体" w:cs="宋体"/>
          <w:b/>
          <w:bCs/>
          <w:sz w:val="24"/>
        </w:rPr>
        <w:t>5.保密责任</w:t>
      </w:r>
    </w:p>
    <w:p w14:paraId="5A7D9331">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投标人不得将本项目中的任何内容透露给无关第三方。</w:t>
      </w:r>
    </w:p>
    <w:p w14:paraId="681B8561">
      <w:pPr>
        <w:pStyle w:val="9"/>
        <w:spacing w:line="460" w:lineRule="exact"/>
        <w:ind w:firstLine="482"/>
        <w:rPr>
          <w:rFonts w:hint="eastAsia" w:ascii="宋体" w:hAnsi="宋体" w:cs="宋体"/>
          <w:b/>
          <w:bCs/>
          <w:sz w:val="24"/>
        </w:rPr>
      </w:pPr>
      <w:r>
        <w:rPr>
          <w:rFonts w:hint="eastAsia" w:ascii="宋体" w:hAnsi="宋体" w:cs="宋体"/>
          <w:b/>
          <w:bCs/>
          <w:sz w:val="24"/>
        </w:rPr>
        <w:t>6.技术文件</w:t>
      </w:r>
    </w:p>
    <w:p w14:paraId="4E0479C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（1）投标人提供的书面技术资料应能满足确保系统正常运行所需的管理、运营及维护有关的全套文件。技术文件应该全面、完整、详细。投标人提供的技术文件至少应包括：</w:t>
      </w:r>
    </w:p>
    <w:p w14:paraId="585DD640">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1）系统说明文件；</w:t>
      </w:r>
    </w:p>
    <w:p w14:paraId="4235458C">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2）技术手册(安装、测试、操作、维护、故障排除等)；</w:t>
      </w:r>
    </w:p>
    <w:p w14:paraId="1AF776AC">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3）系统软件资料；</w:t>
      </w:r>
    </w:p>
    <w:p w14:paraId="2ED7E6FA">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4）简明扼要的日常操作维护指导(内容包括日常操作项目、操作步骤、预期结果、异常情况处理等)。</w:t>
      </w:r>
    </w:p>
    <w:p w14:paraId="2E1649BB">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（2）本工程提供全套技术文件纸介质1套以及电子介质1套。</w:t>
      </w:r>
    </w:p>
    <w:p w14:paraId="794FD2F8">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（3）设备开通后，如发生软件升级及设备升级、扩展等有关情况，投标人应向招标人免费提供必要的技术资料。</w:t>
      </w:r>
    </w:p>
    <w:p w14:paraId="71DE6A31">
      <w:pPr>
        <w:pStyle w:val="9"/>
        <w:spacing w:line="460" w:lineRule="exact"/>
        <w:ind w:firstLine="482"/>
        <w:rPr>
          <w:rFonts w:hint="eastAsia" w:ascii="宋体" w:hAnsi="宋体" w:cs="宋体"/>
          <w:b/>
          <w:bCs/>
          <w:sz w:val="24"/>
        </w:rPr>
      </w:pPr>
      <w:r>
        <w:rPr>
          <w:rFonts w:hint="eastAsia" w:ascii="宋体" w:hAnsi="宋体" w:cs="宋体"/>
          <w:b/>
          <w:bCs/>
          <w:sz w:val="24"/>
        </w:rPr>
        <w:t>7.安全风险测评服务</w:t>
      </w:r>
    </w:p>
    <w:p w14:paraId="4BA9B75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按照GB/T 20984-2007《信息安全技术信息安全风险评估规范》相关要求对本项目免费进行风险评估，同时需完成系统质量测评（功能、性能测评、可靠性、易用性）和代码安全审计，明确提出评估、测评方法手段和工具等，以及需要用户配合和提供的内容。本项目中可能需要的硬件平台（如笔记本电脑、PC终端、工作站等）均由投标人提供，招标人将按照相关要求对设备进行必要的处理。在实施过程中所使用到的各种工具软件由投标人推荐，经招标人确认后由投标人提供并在服务过程中使用。投标人必须保证所使用的所有工具和软件不具有所有权和知识产权纠纷，并保证工具和软件可用性和可靠性。</w:t>
      </w:r>
    </w:p>
    <w:p w14:paraId="20728AD5">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本项目风险测评时间为投标人中标后至项目验收，具体的时间由招标人根据实际情况统一安排。</w:t>
      </w:r>
    </w:p>
    <w:p w14:paraId="09845A86">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投标人需提供本系统安全风险测评报告和安全整改建议。</w:t>
      </w:r>
    </w:p>
    <w:p w14:paraId="125F5070">
      <w:pPr>
        <w:pStyle w:val="9"/>
        <w:spacing w:line="460" w:lineRule="exact"/>
        <w:ind w:firstLine="482"/>
        <w:rPr>
          <w:rFonts w:hint="eastAsia" w:ascii="宋体" w:hAnsi="宋体" w:cs="宋体"/>
          <w:b/>
          <w:bCs/>
          <w:sz w:val="24"/>
        </w:rPr>
      </w:pPr>
      <w:r>
        <w:rPr>
          <w:rFonts w:hint="eastAsia" w:ascii="宋体" w:hAnsi="宋体" w:cs="宋体"/>
          <w:b/>
          <w:bCs/>
          <w:sz w:val="24"/>
        </w:rPr>
        <w:t>8.系统安全性要求</w:t>
      </w:r>
    </w:p>
    <w:p w14:paraId="08088E08">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8.1 网络安全</w:t>
      </w:r>
    </w:p>
    <w:p w14:paraId="41336E72">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网络结构：网络拓扑设备处理能力有空余空间，网络拓扑图与实际网络拓扑一致，对网络系统划分VLAN，减少网络冲突和广播风暴；平台所在网段与其他网段之间采取可靠的技术隔离手段。</w:t>
      </w:r>
    </w:p>
    <w:p w14:paraId="2D46B185">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访问控制：关闭直接远程访问功能，通过运维统一的堡垒主机，进行对系统的远程访问；禁止不必要的数据通用协议通过（如SOCKET隧道等）。</w:t>
      </w:r>
    </w:p>
    <w:p w14:paraId="4E51000E">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冗余与备份：具备冗余传输通道，主备链路间能自动热切换。对设备的配置信息进行备份，并能以此及时恢复故障设备。</w:t>
      </w:r>
    </w:p>
    <w:p w14:paraId="48F05EFF">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通信保密性：对于关键数据，提供通信保密性服务，对通信过程中的整个报文或会话过程是否进行加密。</w:t>
      </w:r>
    </w:p>
    <w:p w14:paraId="51C3C95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通信完整性：采用密码技术保证通信过程中数据的完整性。</w:t>
      </w:r>
    </w:p>
    <w:p w14:paraId="5CBD4FE0">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8.2 服务器安全</w:t>
      </w:r>
    </w:p>
    <w:p w14:paraId="157BDC5C">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身份鉴别：使用用户名等方式对登录操作系统和数据库系统的用户进行身份标识和鉴别，口令保持一定的复杂度，最少8字符且包含数字和特殊字符，登录具备验证码校验功能，防止自动化弱口令尝试；启用登录失败处理功能。当对服务器进行远程管理时，采取必要的加密措施（如SSL、IPSec等），防止鉴别信息在网络传输过程中被窃听。</w:t>
      </w:r>
    </w:p>
    <w:p w14:paraId="695E7580">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访问控制：设置管理员与权限，仅授予管理用户所需的最小权限；访问控制的粒度达到访问主体为用户级或进程级，访问客体为文件、数据库表、记录和字段级。</w:t>
      </w:r>
    </w:p>
    <w:p w14:paraId="1DF5F0ED">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服务器加固：保证操作系统软件、数据库等基础软件的升级、漏洞修补，默认配置的去除等加固措施。</w:t>
      </w:r>
    </w:p>
    <w:p w14:paraId="60ED428F">
      <w:pPr>
        <w:pStyle w:val="9"/>
        <w:spacing w:line="460" w:lineRule="exact"/>
        <w:ind w:firstLine="464"/>
        <w:rPr>
          <w:rFonts w:hint="eastAsia" w:ascii="宋体" w:hAnsi="宋体"/>
          <w:spacing w:val="-4"/>
          <w:kern w:val="0"/>
          <w:sz w:val="24"/>
          <w:szCs w:val="22"/>
          <w:u w:val="none" w:color="000000"/>
        </w:rPr>
      </w:pPr>
      <w:r>
        <w:rPr>
          <w:rFonts w:hint="eastAsia" w:ascii="宋体" w:hAnsi="宋体"/>
          <w:spacing w:val="-4"/>
          <w:kern w:val="0"/>
          <w:sz w:val="24"/>
          <w:szCs w:val="22"/>
          <w:u w:val="none" w:color="000000"/>
        </w:rPr>
        <w:t>8.3 运行环境</w:t>
      </w:r>
    </w:p>
    <w:p w14:paraId="5FCA0429">
      <w:r>
        <w:rPr>
          <w:rFonts w:hint="eastAsia" w:ascii="宋体" w:hAnsi="宋体"/>
          <w:spacing w:val="-4"/>
          <w:kern w:val="0"/>
          <w:sz w:val="24"/>
          <w:szCs w:val="22"/>
          <w:u w:val="none" w:color="000000"/>
        </w:rPr>
        <w:t>系统及相关设备应部署在安全可靠的运行环境中。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901DC"/>
    <w:rsid w:val="1EF901DC"/>
    <w:rsid w:val="2AEA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9"/>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eastAsia="黑体"/>
      <w:sz w:val="36"/>
    </w:rPr>
  </w:style>
  <w:style w:type="paragraph" w:customStyle="1" w:styleId="4">
    <w:name w:val="正文段落"/>
    <w:basedOn w:val="1"/>
    <w:qFormat/>
    <w:uiPriority w:val="0"/>
    <w:pPr>
      <w:ind w:firstLine="200" w:firstLineChars="200"/>
    </w:pPr>
  </w:style>
  <w:style w:type="paragraph" w:customStyle="1" w:styleId="7">
    <w:name w:val="msolistparagraph"/>
    <w:basedOn w:val="1"/>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9">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2025-04-14T06:15:00Z</dcterms:created>
  <dc:creator>航海</dc:creator>
  <cp:lastModifiedBy>航海</cp:lastModifiedBy>
  <dcterms:modified xsi:type="dcterms:W3CDTF">2025-04-14T06:16:28Z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307984EFA855408DA319BAE1666D2E67_11</vt:lpwstr>
  </property>
  <property fmtid="{D5CDD505-2E9C-101B-9397-08002B2CF9AE}" pid="4" name="KSOTemplateDocerSaveRecord">
    <vt:lpwstr>eyJoZGlkIjoiMzEwNTM5NzYwMDRjMzkwZTVkZjY2ODkwMGIxNGU0OTUiLCJ1c2VySWQiOiI3NDcyMzkyMzUifQ==</vt:lpwstr>
  </property>
</Properties>
</file>