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left="482" w:firstLine="482"/>
        <w:jc w:val="center"/>
        <w:textAlignment w:val="auto"/>
        <w:outlineLvl w:val="0"/>
        <w:rPr>
          <w:rFonts w:ascii="宋体" w:hAnsi="宋体" w:eastAsia="宋体" w:cs="@仿宋_GB2312"/>
          <w:b/>
          <w:color w:val="auto"/>
          <w:sz w:val="28"/>
          <w:szCs w:val="20"/>
          <w:highlight w:val="none"/>
        </w:rPr>
      </w:pPr>
      <w:bookmarkStart w:id="37" w:name="_GoBack"/>
      <w:bookmarkStart w:id="0" w:name="_Toc711"/>
      <w:r>
        <w:rPr>
          <w:rFonts w:hint="eastAsia" w:ascii="宋体" w:hAnsi="宋体" w:eastAsia="宋体" w:cs="@仿宋_GB2312"/>
          <w:b/>
          <w:color w:val="auto"/>
          <w:sz w:val="28"/>
          <w:szCs w:val="20"/>
          <w:highlight w:val="none"/>
        </w:rPr>
        <w:t>第三章  采购需求</w:t>
      </w:r>
      <w:bookmarkEnd w:id="0"/>
    </w:p>
    <w:bookmarkEnd w:id="37"/>
    <w:p>
      <w:pPr>
        <w:adjustRightInd w:val="0"/>
        <w:snapToGrid w:val="0"/>
        <w:spacing w:line="360" w:lineRule="auto"/>
        <w:ind w:firstLine="422"/>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前注：</w:t>
      </w:r>
    </w:p>
    <w:p>
      <w:pPr>
        <w:adjustRightInd w:val="0"/>
        <w:snapToGrid w:val="0"/>
        <w:spacing w:line="360" w:lineRule="auto"/>
        <w:ind w:firstLine="420"/>
        <w:rPr>
          <w:rFonts w:ascii="宋体" w:hAnsi="宋体" w:eastAsia="宋体" w:cs="@仿宋_GB2312"/>
          <w:color w:val="auto"/>
          <w:szCs w:val="21"/>
          <w:highlight w:val="none"/>
        </w:rPr>
      </w:pPr>
      <w:r>
        <w:rPr>
          <w:rFonts w:hint="eastAsia" w:ascii="宋体" w:hAnsi="宋体" w:eastAsia="宋体" w:cs="@仿宋_GB2312"/>
          <w:color w:val="auto"/>
          <w:szCs w:val="21"/>
          <w:highlight w:val="none"/>
        </w:rPr>
        <w:t>1.</w:t>
      </w:r>
      <w:r>
        <w:rPr>
          <w:rFonts w:ascii="宋体" w:hAnsi="宋体" w:eastAsia="宋体" w:cs="@仿宋_GB2312"/>
          <w:color w:val="auto"/>
          <w:szCs w:val="21"/>
          <w:highlight w:val="none"/>
        </w:rPr>
        <w:t>根据《</w:t>
      </w:r>
      <w:r>
        <w:rPr>
          <w:rFonts w:hint="eastAsia" w:ascii="宋体" w:hAnsi="宋体" w:eastAsia="宋体" w:cs="@仿宋_GB2312"/>
          <w:color w:val="auto"/>
          <w:szCs w:val="21"/>
          <w:highlight w:val="none"/>
        </w:rPr>
        <w:t>政府采购进口产品管理办法</w:t>
      </w:r>
      <w:r>
        <w:rPr>
          <w:rFonts w:ascii="宋体" w:hAnsi="宋体" w:eastAsia="宋体" w:cs="@仿宋_GB2312"/>
          <w:color w:val="auto"/>
          <w:szCs w:val="21"/>
          <w:highlight w:val="none"/>
        </w:rPr>
        <w:t>》及政府采购管理部门的相关规定，下列采购需求中</w:t>
      </w:r>
      <w:r>
        <w:rPr>
          <w:rFonts w:hint="eastAsia" w:ascii="宋体" w:hAnsi="宋体" w:eastAsia="宋体" w:cs="@仿宋_GB2312"/>
          <w:color w:val="auto"/>
          <w:szCs w:val="21"/>
          <w:highlight w:val="none"/>
        </w:rPr>
        <w:t>标注进口产品的货物均</w:t>
      </w:r>
      <w:r>
        <w:rPr>
          <w:rFonts w:ascii="宋体" w:hAnsi="宋体" w:eastAsia="宋体" w:cs="@仿宋_GB2312"/>
          <w:color w:val="auto"/>
          <w:szCs w:val="21"/>
          <w:highlight w:val="none"/>
        </w:rPr>
        <w:t>已履行相关论证手续，经核准采购进口</w:t>
      </w:r>
      <w:r>
        <w:rPr>
          <w:rFonts w:hint="eastAsia" w:ascii="宋体" w:hAnsi="宋体" w:eastAsia="宋体" w:cs="@仿宋_GB2312"/>
          <w:color w:val="auto"/>
          <w:szCs w:val="21"/>
          <w:highlight w:val="none"/>
        </w:rPr>
        <w:t>产品</w:t>
      </w:r>
      <w:r>
        <w:rPr>
          <w:rFonts w:ascii="宋体" w:hAnsi="宋体" w:eastAsia="宋体" w:cs="@仿宋_GB2312"/>
          <w:color w:val="auto"/>
          <w:szCs w:val="21"/>
          <w:highlight w:val="none"/>
        </w:rPr>
        <w:t>，但不限制满足招标文件要求的国内产品参与竞争</w:t>
      </w:r>
      <w:r>
        <w:rPr>
          <w:rFonts w:hint="eastAsia" w:ascii="宋体" w:hAnsi="宋体" w:eastAsia="宋体" w:cs="@仿宋_GB2312"/>
          <w:color w:val="auto"/>
          <w:szCs w:val="21"/>
          <w:highlight w:val="none"/>
        </w:rPr>
        <w:t>。未标注进口产品的货物均</w:t>
      </w:r>
      <w:r>
        <w:rPr>
          <w:rFonts w:ascii="宋体" w:hAnsi="宋体" w:eastAsia="宋体" w:cs="@仿宋_GB2312"/>
          <w:color w:val="auto"/>
          <w:szCs w:val="21"/>
          <w:highlight w:val="none"/>
        </w:rPr>
        <w:t>为拒绝采购进口产品</w:t>
      </w:r>
      <w:r>
        <w:rPr>
          <w:rFonts w:hint="eastAsia" w:ascii="宋体" w:hAnsi="宋体" w:eastAsia="宋体" w:cs="@仿宋_GB2312"/>
          <w:color w:val="auto"/>
          <w:szCs w:val="21"/>
          <w:highlight w:val="none"/>
        </w:rPr>
        <w:t>。</w:t>
      </w:r>
    </w:p>
    <w:p>
      <w:pPr>
        <w:adjustRightInd w:val="0"/>
        <w:snapToGrid w:val="0"/>
        <w:spacing w:line="360" w:lineRule="auto"/>
        <w:ind w:firstLine="420"/>
        <w:rPr>
          <w:rFonts w:ascii="宋体" w:hAnsi="宋体" w:eastAsia="宋体" w:cs="@仿宋_GB2312"/>
          <w:color w:val="auto"/>
          <w:szCs w:val="21"/>
          <w:highlight w:val="none"/>
        </w:rPr>
      </w:pPr>
      <w:r>
        <w:rPr>
          <w:rFonts w:hint="eastAsia" w:ascii="宋体" w:hAnsi="宋体" w:eastAsia="宋体" w:cs="@仿宋_GB2312"/>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s="@仿宋_GB2312"/>
          <w:color w:val="auto"/>
          <w:szCs w:val="21"/>
          <w:highlight w:val="none"/>
        </w:rPr>
        <w:t>：</w:t>
      </w:r>
    </w:p>
    <w:p>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仿宋_GB2312"/>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pPr>
        <w:adjustRightInd w:val="0"/>
        <w:snapToGrid w:val="0"/>
        <w:spacing w:line="360" w:lineRule="auto"/>
        <w:ind w:firstLine="420"/>
        <w:rPr>
          <w:rFonts w:ascii="@仿宋_GB2312" w:hAnsi="@仿宋_GB2312" w:eastAsia="@仿宋_GB2312" w:cs="@仿宋_GB2312"/>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pPr>
        <w:adjustRightInd w:val="0"/>
        <w:snapToGrid w:val="0"/>
        <w:spacing w:line="360" w:lineRule="auto"/>
        <w:ind w:firstLine="482"/>
        <w:outlineLvl w:val="1"/>
        <w:rPr>
          <w:rFonts w:hint="eastAsia" w:ascii="宋体" w:hAnsi="宋体" w:eastAsia="宋体" w:cs="@仿宋_GB2312"/>
          <w:b/>
          <w:color w:val="auto"/>
          <w:szCs w:val="21"/>
          <w:highlight w:val="none"/>
          <w:lang w:eastAsia="zh-CN"/>
        </w:rPr>
      </w:pPr>
      <w:bookmarkStart w:id="1" w:name="_Toc32151"/>
      <w:bookmarkStart w:id="2" w:name="_Toc2554"/>
      <w:bookmarkStart w:id="3" w:name="_Toc16116"/>
      <w:bookmarkStart w:id="4" w:name="_Toc178465410"/>
      <w:r>
        <w:rPr>
          <w:rFonts w:hint="eastAsia" w:ascii="宋体" w:hAnsi="宋体" w:eastAsia="宋体" w:cs="@仿宋_GB2312"/>
          <w:b/>
          <w:color w:val="auto"/>
          <w:szCs w:val="21"/>
          <w:highlight w:val="none"/>
        </w:rPr>
        <w:t>一、采购需求前附表</w:t>
      </w:r>
      <w:bookmarkEnd w:id="1"/>
      <w:bookmarkEnd w:id="2"/>
      <w:bookmarkEnd w:id="3"/>
      <w:bookmarkEnd w:id="4"/>
      <w:r>
        <w:rPr>
          <w:rFonts w:hint="eastAsia" w:ascii="宋体" w:hAnsi="宋体" w:eastAsia="宋体" w:cs="@仿宋_GB2312"/>
          <w:b/>
          <w:color w:val="auto"/>
          <w:szCs w:val="21"/>
          <w:highlight w:val="none"/>
          <w:lang w:eastAsia="zh-CN"/>
        </w:rPr>
        <w:t>（</w:t>
      </w:r>
      <w:r>
        <w:rPr>
          <w:rFonts w:hint="eastAsia" w:ascii="宋体" w:hAnsi="宋体" w:eastAsia="宋体" w:cs="@仿宋_GB2312"/>
          <w:b/>
          <w:color w:val="auto"/>
          <w:szCs w:val="21"/>
          <w:highlight w:val="none"/>
          <w:lang w:val="en-US" w:eastAsia="zh-CN"/>
        </w:rPr>
        <w:t>适用于包1、包2</w:t>
      </w:r>
      <w:r>
        <w:rPr>
          <w:rFonts w:hint="eastAsia" w:ascii="宋体" w:hAnsi="宋体" w:eastAsia="宋体" w:cs="@仿宋_GB2312"/>
          <w:b/>
          <w:color w:val="auto"/>
          <w:szCs w:val="21"/>
          <w:highlight w:val="none"/>
          <w:lang w:eastAsia="zh-CN"/>
        </w:rPr>
        <w:t>）</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7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2" w:type="dxa"/>
            <w:noWrap w:val="0"/>
            <w:vAlign w:val="center"/>
          </w:tcPr>
          <w:p>
            <w:pPr>
              <w:widowControl w:val="0"/>
              <w:pBdr>
                <w:bottom w:val="none" w:color="auto" w:sz="0" w:space="0"/>
              </w:pBdr>
              <w:adjustRightInd w:val="0"/>
              <w:snapToGrid w:val="0"/>
              <w:spacing w:line="300" w:lineRule="auto"/>
              <w:jc w:val="center"/>
              <w:rPr>
                <w:rFonts w:ascii="宋体" w:hAnsi="宋体" w:eastAsia="宋体" w:cs="@仿宋_GB2312"/>
                <w:b/>
                <w:bCs/>
                <w:color w:val="auto"/>
                <w:kern w:val="2"/>
                <w:sz w:val="21"/>
                <w:szCs w:val="21"/>
                <w:highlight w:val="none"/>
                <w:lang w:val="en-US" w:eastAsia="zh-CN" w:bidi="ar-SA"/>
              </w:rPr>
            </w:pPr>
            <w:r>
              <w:rPr>
                <w:rFonts w:hint="eastAsia" w:ascii="宋体" w:hAnsi="宋体" w:eastAsia="宋体" w:cs="@仿宋_GB2312"/>
                <w:b/>
                <w:bCs/>
                <w:color w:val="auto"/>
                <w:kern w:val="2"/>
                <w:sz w:val="21"/>
                <w:szCs w:val="21"/>
                <w:highlight w:val="none"/>
                <w:lang w:val="en-US" w:eastAsia="zh-CN" w:bidi="ar-SA"/>
              </w:rPr>
              <w:t>序号</w:t>
            </w:r>
          </w:p>
        </w:tc>
        <w:tc>
          <w:tcPr>
            <w:tcW w:w="1375" w:type="dxa"/>
            <w:noWrap w:val="0"/>
            <w:vAlign w:val="center"/>
          </w:tcPr>
          <w:p>
            <w:pPr>
              <w:widowControl w:val="0"/>
              <w:adjustRightInd w:val="0"/>
              <w:snapToGrid w:val="0"/>
              <w:spacing w:line="300" w:lineRule="auto"/>
              <w:jc w:val="center"/>
              <w:rPr>
                <w:rFonts w:ascii="宋体" w:hAnsi="宋体" w:eastAsia="宋体" w:cs="@仿宋_GB2312"/>
                <w:b/>
                <w:bCs/>
                <w:color w:val="auto"/>
                <w:kern w:val="0"/>
                <w:sz w:val="21"/>
                <w:szCs w:val="21"/>
                <w:highlight w:val="none"/>
                <w:lang w:val="en-US" w:eastAsia="zh-CN" w:bidi="ar-SA"/>
              </w:rPr>
            </w:pPr>
            <w:r>
              <w:rPr>
                <w:rFonts w:hint="eastAsia" w:ascii="宋体" w:hAnsi="宋体" w:eastAsia="宋体" w:cs="@仿宋_GB2312"/>
                <w:b/>
                <w:bCs/>
                <w:color w:val="auto"/>
                <w:kern w:val="0"/>
                <w:sz w:val="21"/>
                <w:szCs w:val="21"/>
                <w:highlight w:val="none"/>
                <w:lang w:val="en-US" w:eastAsia="zh-CN" w:bidi="ar-SA"/>
              </w:rPr>
              <w:t>条款名称</w:t>
            </w:r>
          </w:p>
        </w:tc>
        <w:tc>
          <w:tcPr>
            <w:tcW w:w="6385" w:type="dxa"/>
            <w:noWrap w:val="0"/>
            <w:vAlign w:val="center"/>
          </w:tcPr>
          <w:p>
            <w:pPr>
              <w:widowControl w:val="0"/>
              <w:adjustRightInd w:val="0"/>
              <w:snapToGrid w:val="0"/>
              <w:spacing w:line="300" w:lineRule="auto"/>
              <w:jc w:val="center"/>
              <w:rPr>
                <w:rFonts w:ascii="宋体" w:hAnsi="宋体" w:eastAsia="宋体" w:cs="@仿宋_GB2312"/>
                <w:b/>
                <w:bCs/>
                <w:color w:val="auto"/>
                <w:kern w:val="0"/>
                <w:sz w:val="21"/>
                <w:szCs w:val="21"/>
                <w:highlight w:val="none"/>
                <w:lang w:val="en-US" w:eastAsia="zh-CN" w:bidi="ar-SA"/>
              </w:rPr>
            </w:pPr>
            <w:r>
              <w:rPr>
                <w:rFonts w:hint="eastAsia" w:ascii="宋体" w:hAnsi="宋体" w:eastAsia="宋体" w:cs="@仿宋_GB2312"/>
                <w:b/>
                <w:bCs/>
                <w:color w:val="auto"/>
                <w:kern w:val="0"/>
                <w:sz w:val="21"/>
                <w:szCs w:val="21"/>
                <w:highlight w:val="none"/>
                <w:lang w:val="en-US" w:eastAsia="zh-CN" w:bidi="ar-SA"/>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2" w:type="dxa"/>
            <w:noWrap w:val="0"/>
            <w:vAlign w:val="center"/>
          </w:tcPr>
          <w:p>
            <w:pPr>
              <w:widowControl w:val="0"/>
              <w:pBdr>
                <w:bottom w:val="none" w:color="auto" w:sz="0" w:space="0"/>
              </w:pBdr>
              <w:adjustRightInd w:val="0"/>
              <w:snapToGrid w:val="0"/>
              <w:spacing w:line="300" w:lineRule="auto"/>
              <w:jc w:val="center"/>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1</w:t>
            </w:r>
          </w:p>
        </w:tc>
        <w:tc>
          <w:tcPr>
            <w:tcW w:w="1375" w:type="dxa"/>
            <w:noWrap w:val="0"/>
            <w:vAlign w:val="center"/>
          </w:tcPr>
          <w:p>
            <w:pPr>
              <w:widowControl w:val="0"/>
              <w:adjustRightInd w:val="0"/>
              <w:snapToGrid w:val="0"/>
              <w:spacing w:line="360" w:lineRule="auto"/>
              <w:jc w:val="center"/>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付款方式</w:t>
            </w:r>
          </w:p>
        </w:tc>
        <w:tc>
          <w:tcPr>
            <w:tcW w:w="6385" w:type="dxa"/>
            <w:noWrap w:val="0"/>
            <w:vAlign w:val="center"/>
          </w:tcPr>
          <w:p>
            <w:pPr>
              <w:widowControl w:val="0"/>
              <w:adjustRightInd w:val="0"/>
              <w:snapToGrid w:val="0"/>
              <w:spacing w:line="360" w:lineRule="auto"/>
              <w:jc w:val="left"/>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合同生效后，采购人付至合同价的40%（中标人须提供等额预付款担保），项目经验收合格且相关资料齐备己移交给采购人，一次性付清合同余款。</w:t>
            </w:r>
          </w:p>
          <w:p>
            <w:pPr>
              <w:widowControl w:val="0"/>
              <w:adjustRightInd w:val="0"/>
              <w:snapToGrid w:val="0"/>
              <w:spacing w:line="360" w:lineRule="auto"/>
              <w:jc w:val="left"/>
              <w:rPr>
                <w:rFonts w:hint="eastAsia" w:ascii="宋体" w:hAnsi="宋体" w:eastAsia="宋体" w:cs="@仿宋_GB2312"/>
                <w:b/>
                <w:bCs/>
                <w:color w:val="auto"/>
                <w:kern w:val="0"/>
                <w:sz w:val="21"/>
                <w:szCs w:val="21"/>
                <w:highlight w:val="none"/>
                <w:lang w:val="en-US" w:eastAsia="zh-CN" w:bidi="ar-SA"/>
              </w:rPr>
            </w:pPr>
            <w:r>
              <w:rPr>
                <w:rFonts w:hint="eastAsia" w:ascii="宋体" w:hAnsi="宋体" w:eastAsia="宋体" w:cs="@仿宋_GB2312"/>
                <w:b/>
                <w:bCs/>
                <w:color w:val="auto"/>
                <w:kern w:val="0"/>
                <w:sz w:val="21"/>
                <w:szCs w:val="21"/>
                <w:highlight w:val="none"/>
                <w:lang w:val="en-US" w:eastAsia="zh-CN" w:bidi="ar-SA"/>
              </w:rPr>
              <w:t>注：</w:t>
            </w:r>
          </w:p>
          <w:p>
            <w:pPr>
              <w:widowControl w:val="0"/>
              <w:adjustRightInd w:val="0"/>
              <w:snapToGrid w:val="0"/>
              <w:spacing w:line="360" w:lineRule="auto"/>
              <w:jc w:val="left"/>
              <w:rPr>
                <w:rFonts w:hint="eastAsia" w:ascii="宋体" w:hAnsi="宋体" w:eastAsia="宋体" w:cs="@仿宋_GB2312"/>
                <w:b/>
                <w:bCs/>
                <w:color w:val="auto"/>
                <w:kern w:val="0"/>
                <w:sz w:val="21"/>
                <w:szCs w:val="21"/>
                <w:highlight w:val="none"/>
                <w:lang w:val="en-US" w:eastAsia="zh-CN" w:bidi="ar-SA"/>
              </w:rPr>
            </w:pPr>
            <w:r>
              <w:rPr>
                <w:rFonts w:hint="eastAsia" w:ascii="宋体" w:hAnsi="宋体" w:eastAsia="宋体" w:cs="@仿宋_GB2312"/>
                <w:b/>
                <w:bCs/>
                <w:color w:val="auto"/>
                <w:kern w:val="0"/>
                <w:sz w:val="21"/>
                <w:szCs w:val="21"/>
                <w:highlight w:val="none"/>
                <w:lang w:val="en-US" w:eastAsia="zh-CN" w:bidi="ar-SA"/>
              </w:rPr>
              <w:t>（1）中标人未按规定提供预付款担保的，视为放弃预付款；</w:t>
            </w:r>
          </w:p>
          <w:p>
            <w:pPr>
              <w:widowControl w:val="0"/>
              <w:adjustRightInd w:val="0"/>
              <w:snapToGrid w:val="0"/>
              <w:spacing w:line="360" w:lineRule="auto"/>
              <w:jc w:val="left"/>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
                <w:bCs/>
                <w:color w:val="auto"/>
                <w:kern w:val="0"/>
                <w:sz w:val="21"/>
                <w:szCs w:val="21"/>
                <w:highlight w:val="none"/>
                <w:lang w:val="en-US" w:eastAsia="zh-CN" w:bidi="ar-SA"/>
              </w:rPr>
              <w:t>（2）预付款担保要求：如采用银行保函、担保机构出具的保函（担保机构担保）均须满足无条件见索即付条件。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2" w:type="dxa"/>
            <w:noWrap w:val="0"/>
            <w:vAlign w:val="center"/>
          </w:tcPr>
          <w:p>
            <w:pPr>
              <w:widowControl w:val="0"/>
              <w:pBdr>
                <w:bottom w:val="none" w:color="auto" w:sz="0" w:space="0"/>
              </w:pBdr>
              <w:adjustRightInd w:val="0"/>
              <w:snapToGrid w:val="0"/>
              <w:spacing w:line="300" w:lineRule="auto"/>
              <w:jc w:val="center"/>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2</w:t>
            </w:r>
          </w:p>
        </w:tc>
        <w:tc>
          <w:tcPr>
            <w:tcW w:w="1375" w:type="dxa"/>
            <w:noWrap w:val="0"/>
            <w:vAlign w:val="center"/>
          </w:tcPr>
          <w:p>
            <w:pPr>
              <w:widowControl w:val="0"/>
              <w:adjustRightInd w:val="0"/>
              <w:snapToGrid w:val="0"/>
              <w:spacing w:line="360" w:lineRule="auto"/>
              <w:jc w:val="center"/>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供货及安装地点</w:t>
            </w:r>
          </w:p>
        </w:tc>
        <w:tc>
          <w:tcPr>
            <w:tcW w:w="6385" w:type="dxa"/>
            <w:noWrap w:val="0"/>
            <w:vAlign w:val="center"/>
          </w:tcPr>
          <w:p>
            <w:pPr>
              <w:widowControl w:val="0"/>
              <w:adjustRightInd w:val="0"/>
              <w:snapToGrid w:val="0"/>
              <w:spacing w:line="360" w:lineRule="auto"/>
              <w:jc w:val="left"/>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安徽省农业科学院蔬菜研究所，具体按采购人指定地点。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2" w:type="dxa"/>
            <w:noWrap w:val="0"/>
            <w:vAlign w:val="center"/>
          </w:tcPr>
          <w:p>
            <w:pPr>
              <w:widowControl w:val="0"/>
              <w:pBdr>
                <w:bottom w:val="none" w:color="auto" w:sz="0" w:space="0"/>
              </w:pBdr>
              <w:adjustRightInd w:val="0"/>
              <w:snapToGrid w:val="0"/>
              <w:spacing w:line="300" w:lineRule="auto"/>
              <w:jc w:val="center"/>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3</w:t>
            </w:r>
          </w:p>
        </w:tc>
        <w:tc>
          <w:tcPr>
            <w:tcW w:w="1375" w:type="dxa"/>
            <w:noWrap w:val="0"/>
            <w:vAlign w:val="center"/>
          </w:tcPr>
          <w:p>
            <w:pPr>
              <w:widowControl w:val="0"/>
              <w:adjustRightInd w:val="0"/>
              <w:snapToGrid w:val="0"/>
              <w:spacing w:line="360" w:lineRule="auto"/>
              <w:jc w:val="center"/>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供货及安装期限</w:t>
            </w:r>
          </w:p>
        </w:tc>
        <w:tc>
          <w:tcPr>
            <w:tcW w:w="6385" w:type="dxa"/>
            <w:noWrap w:val="0"/>
            <w:vAlign w:val="center"/>
          </w:tcPr>
          <w:p>
            <w:pPr>
              <w:widowControl w:val="0"/>
              <w:adjustRightInd w:val="0"/>
              <w:snapToGrid w:val="0"/>
              <w:spacing w:line="360" w:lineRule="auto"/>
              <w:jc w:val="left"/>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合同生效之日起，60个日历日内完成供货、安装、调试、培训等所有工作内容。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2" w:type="dxa"/>
            <w:noWrap w:val="0"/>
            <w:vAlign w:val="center"/>
          </w:tcPr>
          <w:p>
            <w:pPr>
              <w:widowControl w:val="0"/>
              <w:pBdr>
                <w:bottom w:val="none" w:color="auto" w:sz="0" w:space="0"/>
              </w:pBdr>
              <w:adjustRightInd w:val="0"/>
              <w:snapToGrid w:val="0"/>
              <w:spacing w:line="300" w:lineRule="auto"/>
              <w:jc w:val="center"/>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4</w:t>
            </w:r>
          </w:p>
        </w:tc>
        <w:tc>
          <w:tcPr>
            <w:tcW w:w="1375" w:type="dxa"/>
            <w:noWrap w:val="0"/>
            <w:vAlign w:val="center"/>
          </w:tcPr>
          <w:p>
            <w:pPr>
              <w:widowControl w:val="0"/>
              <w:adjustRightInd w:val="0"/>
              <w:snapToGrid w:val="0"/>
              <w:spacing w:line="360" w:lineRule="auto"/>
              <w:jc w:val="center"/>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质保期</w:t>
            </w:r>
          </w:p>
        </w:tc>
        <w:tc>
          <w:tcPr>
            <w:tcW w:w="6385" w:type="dxa"/>
            <w:noWrap w:val="0"/>
            <w:vAlign w:val="center"/>
          </w:tcPr>
          <w:p>
            <w:pPr>
              <w:widowControl w:val="0"/>
              <w:adjustRightInd w:val="0"/>
              <w:snapToGrid w:val="0"/>
              <w:spacing w:line="360" w:lineRule="auto"/>
              <w:jc w:val="left"/>
              <w:rPr>
                <w:rFonts w:hint="eastAsia" w:ascii="宋体" w:hAnsi="宋体" w:eastAsia="宋体" w:cs="@仿宋_GB2312"/>
                <w:bCs w:val="0"/>
                <w:color w:val="auto"/>
                <w:kern w:val="0"/>
                <w:sz w:val="21"/>
                <w:szCs w:val="21"/>
                <w:highlight w:val="none"/>
                <w:lang w:val="en-US" w:eastAsia="zh-CN" w:bidi="ar-SA"/>
              </w:rPr>
            </w:pPr>
            <w:r>
              <w:rPr>
                <w:rFonts w:hint="eastAsia" w:ascii="宋体" w:hAnsi="宋体" w:eastAsia="宋体" w:cs="@仿宋_GB2312"/>
                <w:bCs w:val="0"/>
                <w:color w:val="auto"/>
                <w:kern w:val="0"/>
                <w:sz w:val="21"/>
                <w:szCs w:val="21"/>
                <w:highlight w:val="none"/>
                <w:lang w:val="en-US" w:eastAsia="zh-CN" w:bidi="ar-SA"/>
              </w:rPr>
              <w:t>采购清单中未明确的，</w:t>
            </w:r>
            <w:r>
              <w:rPr>
                <w:rFonts w:hint="eastAsia" w:ascii="宋体" w:hAnsi="宋体" w:eastAsia="宋体" w:cs="@仿宋_GB2312"/>
                <w:b/>
                <w:bCs/>
                <w:color w:val="auto"/>
                <w:kern w:val="0"/>
                <w:sz w:val="21"/>
                <w:szCs w:val="21"/>
                <w:highlight w:val="none"/>
                <w:lang w:val="en-US" w:eastAsia="zh-CN" w:bidi="ar-SA"/>
              </w:rPr>
              <w:t>质保期为自验收合格之日起1年；</w:t>
            </w:r>
            <w:r>
              <w:rPr>
                <w:rFonts w:hint="eastAsia" w:ascii="宋体" w:hAnsi="宋体" w:eastAsia="宋体" w:cs="@仿宋_GB2312"/>
                <w:bCs w:val="0"/>
                <w:color w:val="auto"/>
                <w:kern w:val="0"/>
                <w:sz w:val="21"/>
                <w:szCs w:val="21"/>
                <w:highlight w:val="none"/>
                <w:lang w:val="en-US" w:eastAsia="zh-CN" w:bidi="ar-SA"/>
              </w:rPr>
              <w:t>采购清单中明确的，质保期按采购清单执行。</w:t>
            </w:r>
          </w:p>
        </w:tc>
      </w:tr>
    </w:tbl>
    <w:p>
      <w:pPr>
        <w:adjustRightInd w:val="0"/>
        <w:snapToGrid w:val="0"/>
        <w:spacing w:line="360" w:lineRule="auto"/>
        <w:ind w:firstLine="482"/>
        <w:outlineLvl w:val="1"/>
        <w:rPr>
          <w:rFonts w:hint="eastAsia" w:ascii="宋体" w:hAnsi="宋体" w:eastAsia="宋体" w:cs="@仿宋_GB2312"/>
          <w:b/>
          <w:color w:val="auto"/>
          <w:szCs w:val="21"/>
          <w:highlight w:val="none"/>
          <w:lang w:eastAsia="zh-CN"/>
        </w:rPr>
      </w:pPr>
      <w:bookmarkStart w:id="5" w:name="_Toc369119811"/>
      <w:bookmarkStart w:id="6" w:name="_Toc1693477008"/>
      <w:bookmarkStart w:id="7" w:name="_Toc717369146"/>
      <w:bookmarkStart w:id="8" w:name="_Toc1715351726"/>
      <w:bookmarkStart w:id="9" w:name="_Toc1191965283_WPSOffice_Level2"/>
      <w:bookmarkStart w:id="10" w:name="_Toc302804901"/>
      <w:bookmarkStart w:id="11" w:name="_Toc13925"/>
      <w:bookmarkStart w:id="12" w:name="_Toc58935147"/>
      <w:bookmarkStart w:id="13" w:name="_Toc626387511"/>
      <w:r>
        <w:rPr>
          <w:rFonts w:hint="eastAsia" w:ascii="宋体" w:hAnsi="宋体" w:eastAsia="宋体" w:cs="@仿宋_GB2312"/>
          <w:b/>
          <w:color w:val="auto"/>
          <w:szCs w:val="21"/>
          <w:highlight w:val="none"/>
        </w:rPr>
        <w:t>二、货物需求</w:t>
      </w:r>
      <w:bookmarkEnd w:id="5"/>
      <w:bookmarkEnd w:id="6"/>
      <w:bookmarkEnd w:id="7"/>
      <w:bookmarkEnd w:id="8"/>
      <w:bookmarkEnd w:id="9"/>
      <w:bookmarkEnd w:id="10"/>
      <w:bookmarkEnd w:id="11"/>
      <w:bookmarkEnd w:id="12"/>
      <w:bookmarkEnd w:id="13"/>
      <w:r>
        <w:rPr>
          <w:rFonts w:hint="eastAsia" w:ascii="宋体" w:hAnsi="宋体" w:eastAsia="宋体" w:cs="@仿宋_GB2312"/>
          <w:b/>
          <w:color w:val="auto"/>
          <w:szCs w:val="21"/>
          <w:highlight w:val="none"/>
          <w:lang w:eastAsia="zh-CN"/>
        </w:rPr>
        <w:t>（</w:t>
      </w:r>
      <w:r>
        <w:rPr>
          <w:rFonts w:hint="eastAsia" w:ascii="宋体" w:hAnsi="宋体" w:eastAsia="宋体" w:cs="@仿宋_GB2312"/>
          <w:b/>
          <w:color w:val="auto"/>
          <w:szCs w:val="21"/>
          <w:highlight w:val="none"/>
          <w:lang w:val="en-US" w:eastAsia="zh-CN"/>
        </w:rPr>
        <w:t>适用于包1</w:t>
      </w:r>
      <w:r>
        <w:rPr>
          <w:rFonts w:hint="eastAsia" w:ascii="宋体" w:hAnsi="宋体" w:eastAsia="宋体" w:cs="@仿宋_GB2312"/>
          <w:b/>
          <w:color w:val="auto"/>
          <w:szCs w:val="21"/>
          <w:highlight w:val="none"/>
          <w:lang w:eastAsia="zh-CN"/>
        </w:rPr>
        <w:t>）</w:t>
      </w:r>
    </w:p>
    <w:p>
      <w:pPr>
        <w:widowControl/>
        <w:adjustRightInd w:val="0"/>
        <w:snapToGrid w:val="0"/>
        <w:spacing w:line="360" w:lineRule="auto"/>
        <w:ind w:firstLine="422" w:firstLineChars="200"/>
        <w:outlineLvl w:val="2"/>
        <w:rPr>
          <w:rFonts w:hint="eastAsia" w:ascii="宋体" w:hAnsi="宋体" w:eastAsia="宋体" w:cs="宋体"/>
          <w:b/>
          <w:bCs/>
          <w:color w:val="auto"/>
          <w:szCs w:val="21"/>
          <w:highlight w:val="none"/>
        </w:rPr>
      </w:pPr>
      <w:bookmarkStart w:id="14" w:name="_Toc7421"/>
      <w:bookmarkStart w:id="15" w:name="_Toc4843"/>
      <w:r>
        <w:rPr>
          <w:rFonts w:hint="eastAsia" w:ascii="宋体" w:hAnsi="宋体" w:eastAsia="宋体" w:cs="宋体"/>
          <w:b/>
          <w:bCs/>
          <w:color w:val="auto"/>
          <w:szCs w:val="21"/>
          <w:highlight w:val="none"/>
        </w:rPr>
        <w:t>1、标识符号</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4"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标识类型</w:t>
            </w:r>
          </w:p>
        </w:tc>
        <w:tc>
          <w:tcPr>
            <w:tcW w:w="1365"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w:t>
            </w:r>
          </w:p>
        </w:tc>
        <w:tc>
          <w:tcPr>
            <w:tcW w:w="5363"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794" w:type="dxa"/>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重要指标项</w:t>
            </w:r>
          </w:p>
        </w:tc>
        <w:tc>
          <w:tcPr>
            <w:tcW w:w="1365" w:type="dxa"/>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p>
        </w:tc>
        <w:tc>
          <w:tcPr>
            <w:tcW w:w="5363"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评分项，详见评标办法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79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指标项</w:t>
            </w:r>
          </w:p>
        </w:tc>
        <w:tc>
          <w:tcPr>
            <w:tcW w:w="1365"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p>
        </w:tc>
        <w:tc>
          <w:tcPr>
            <w:tcW w:w="5363"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评分项，详见评标办法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79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无标识项</w:t>
            </w:r>
          </w:p>
        </w:tc>
        <w:tc>
          <w:tcPr>
            <w:tcW w:w="1365" w:type="dxa"/>
            <w:noWrap w:val="0"/>
            <w:vAlign w:val="center"/>
          </w:tcPr>
          <w:p>
            <w:pPr>
              <w:spacing w:line="360" w:lineRule="auto"/>
              <w:jc w:val="center"/>
              <w:rPr>
                <w:rFonts w:hint="eastAsia" w:ascii="宋体" w:hAnsi="宋体" w:eastAsia="宋体" w:cs="宋体"/>
                <w:color w:val="auto"/>
                <w:szCs w:val="21"/>
                <w:highlight w:val="none"/>
              </w:rPr>
            </w:pPr>
          </w:p>
        </w:tc>
        <w:tc>
          <w:tcPr>
            <w:tcW w:w="5363"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五项以上（不含）负偏离或未响应的，投标无效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8522" w:type="dxa"/>
            <w:gridSpan w:val="3"/>
            <w:noWrap w:val="0"/>
            <w:vAlign w:val="center"/>
          </w:tcPr>
          <w:p>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标识条款中如包含多条子项技术参数或要求，则需满足或优于该标识条款内所有子项技术参数或要求方能得分。</w:t>
            </w:r>
          </w:p>
        </w:tc>
      </w:tr>
    </w:tbl>
    <w:p>
      <w:pPr>
        <w:widowControl/>
        <w:adjustRightInd w:val="0"/>
        <w:snapToGrid w:val="0"/>
        <w:spacing w:line="360" w:lineRule="auto"/>
        <w:ind w:firstLine="422" w:firstLineChars="200"/>
        <w:outlineLvl w:val="2"/>
        <w:rPr>
          <w:rFonts w:hint="eastAsia" w:ascii="宋体" w:hAnsi="宋体" w:eastAsia="宋体" w:cs="宋体"/>
          <w:b/>
          <w:bCs/>
          <w:color w:val="auto"/>
          <w:szCs w:val="21"/>
          <w:highlight w:val="none"/>
        </w:rPr>
      </w:pPr>
    </w:p>
    <w:p>
      <w:pPr>
        <w:widowControl/>
        <w:adjustRightInd w:val="0"/>
        <w:snapToGrid w:val="0"/>
        <w:spacing w:line="360" w:lineRule="auto"/>
        <w:ind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2、采购清单</w:t>
      </w:r>
    </w:p>
    <w:p>
      <w:pPr>
        <w:widowControl/>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（1）下述技术参数所涉及的具体物理尺寸</w:t>
      </w:r>
      <w:r>
        <w:rPr>
          <w:rFonts w:hint="eastAsia" w:ascii="宋体" w:hAnsi="宋体" w:eastAsia="宋体" w:cs="宋体"/>
          <w:color w:val="auto"/>
          <w:szCs w:val="21"/>
          <w:highlight w:val="none"/>
        </w:rPr>
        <w:t>的已明确偏离范围的按要求执行，未明确偏离范围的允许±5%偏离。</w:t>
      </w:r>
    </w:p>
    <w:p>
      <w:pPr>
        <w:widowControl/>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（2）技术规格书：</w:t>
      </w:r>
    </w:p>
    <w:tbl>
      <w:tblPr>
        <w:tblStyle w:val="3"/>
        <w:tblW w:w="82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842"/>
        <w:gridCol w:w="4943"/>
        <w:gridCol w:w="530"/>
        <w:gridCol w:w="540"/>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6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8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49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最低技术参数</w:t>
            </w:r>
          </w:p>
        </w:tc>
        <w:tc>
          <w:tcPr>
            <w:tcW w:w="5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5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color w:val="auto"/>
                <w:sz w:val="21"/>
                <w:szCs w:val="21"/>
                <w:highlight w:val="none"/>
              </w:rPr>
              <w:t>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育种系统</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（一）秧盘播种成套设备</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sz w:val="21"/>
                <w:szCs w:val="21"/>
                <w:u w:val="none"/>
              </w:rPr>
              <w:t>1、播种精度（丸粒化种子）≥98</w:t>
            </w:r>
            <w:r>
              <w:rPr>
                <w:rFonts w:hint="eastAsia" w:ascii="宋体" w:hAnsi="宋体" w:eastAsia="宋体" w:cs="宋体"/>
                <w:color w:val="auto"/>
                <w:sz w:val="21"/>
                <w:szCs w:val="21"/>
                <w:lang w:val="en-US"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2、空穴率≤1</w:t>
            </w:r>
            <w:r>
              <w:rPr>
                <w:rFonts w:hint="eastAsia" w:ascii="宋体" w:hAnsi="宋体" w:eastAsia="宋体" w:cs="宋体"/>
                <w:color w:val="auto"/>
                <w:sz w:val="21"/>
                <w:szCs w:val="21"/>
                <w:lang w:val="en-US"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3、小时生产率≥1000盘/h</w:t>
            </w:r>
            <w:r>
              <w:rPr>
                <w:rFonts w:hint="eastAsia" w:ascii="宋体" w:hAnsi="宋体" w:eastAsia="宋体" w:cs="宋体"/>
                <w:color w:val="auto"/>
                <w:sz w:val="21"/>
                <w:szCs w:val="21"/>
                <w:lang w:val="en-US"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4、种子破碎率≤0.1</w:t>
            </w:r>
            <w:r>
              <w:rPr>
                <w:rFonts w:hint="eastAsia" w:ascii="宋体" w:hAnsi="宋体" w:eastAsia="宋体" w:cs="宋体"/>
                <w:color w:val="auto"/>
                <w:sz w:val="21"/>
                <w:szCs w:val="21"/>
                <w:lang w:val="en-US"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、排种器形式：自动气吸滚筒式</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6</w:t>
            </w:r>
            <w:r>
              <w:rPr>
                <w:rFonts w:hint="eastAsia" w:ascii="宋体" w:hAnsi="宋体" w:eastAsia="宋体" w:cs="宋体"/>
                <w:i w:val="0"/>
                <w:iCs w:val="0"/>
                <w:color w:val="auto"/>
                <w:sz w:val="21"/>
                <w:szCs w:val="21"/>
                <w:u w:val="none"/>
              </w:rPr>
              <w:t>、气源压力（Mpa）：0.4～0.8</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7</w:t>
            </w:r>
            <w:r>
              <w:rPr>
                <w:rFonts w:hint="eastAsia" w:ascii="宋体" w:hAnsi="宋体" w:eastAsia="宋体" w:cs="宋体"/>
                <w:i w:val="0"/>
                <w:iCs w:val="0"/>
                <w:color w:val="auto"/>
                <w:sz w:val="21"/>
                <w:szCs w:val="21"/>
                <w:u w:val="none"/>
              </w:rPr>
              <w:t>、铺土厚度（mm）：20</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120</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8</w:t>
            </w:r>
            <w:r>
              <w:rPr>
                <w:rFonts w:hint="eastAsia" w:ascii="宋体" w:hAnsi="宋体" w:eastAsia="宋体" w:cs="宋体"/>
                <w:i w:val="0"/>
                <w:iCs w:val="0"/>
                <w:color w:val="auto"/>
                <w:sz w:val="21"/>
                <w:szCs w:val="21"/>
                <w:u w:val="none"/>
              </w:rPr>
              <w:t>、覆土厚度（mm）：10</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20</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9</w:t>
            </w:r>
            <w:r>
              <w:rPr>
                <w:rFonts w:hint="eastAsia" w:ascii="宋体" w:hAnsi="宋体" w:eastAsia="宋体" w:cs="宋体"/>
                <w:i w:val="0"/>
                <w:iCs w:val="0"/>
                <w:color w:val="auto"/>
                <w:sz w:val="21"/>
                <w:szCs w:val="21"/>
                <w:u w:val="none"/>
              </w:rPr>
              <w:t>、配套动力类型：电动机动力驱动</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（二）基质装盘机（1台）</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1、机架：钣金框架结构，材质：Q235，采用喷塑处理</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2、传动方式：链条提升+输送带传动；</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3、传动链条：材质304</w:t>
            </w:r>
            <w:r>
              <w:rPr>
                <w:rFonts w:hint="eastAsia" w:ascii="宋体" w:hAnsi="宋体" w:eastAsia="宋体" w:cs="宋体"/>
                <w:color w:val="auto"/>
                <w:sz w:val="21"/>
                <w:szCs w:val="21"/>
                <w:highlight w:val="none"/>
                <w:lang w:val="en-US" w:eastAsia="zh-CN"/>
              </w:rPr>
              <w:t>不锈钢</w:t>
            </w:r>
            <w:r>
              <w:rPr>
                <w:rFonts w:hint="eastAsia" w:ascii="宋体" w:hAnsi="宋体" w:eastAsia="宋体" w:cs="宋体"/>
                <w:i w:val="0"/>
                <w:iCs w:val="0"/>
                <w:color w:val="auto"/>
                <w:sz w:val="21"/>
                <w:szCs w:val="21"/>
                <w:u w:val="none"/>
              </w:rPr>
              <w:t>，规格</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双节距；</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4、平扫刷土机构：毛刷块连续清扫育苗盘表面</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5、装土搅拌箱：内设三幅式旋转抹平装置</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6、配置：包含底槽输送带1条，送盘输送带1条，提升减速电机1台，输送减速电机1台，搅拌减速电机1台，刷土减速电机1台，变频器1台。</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（三）滚筒式精量播种机（1台）</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1、机架：钣金框架结构，材质：</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color w:val="auto"/>
                <w:sz w:val="21"/>
                <w:szCs w:val="21"/>
                <w:highlight w:val="none"/>
                <w:lang w:val="en-US" w:eastAsia="zh-CN"/>
              </w:rPr>
              <w:t>04不锈钢；</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2、传动方式：输送带传动；</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3、压穴输送减速电机：数量1台</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4、毛刷减速电机：数量1台</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5、滚筒伺服电机：数量1台</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6、输送伺服电机：数量1台</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7、电磁振动控制系统</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8、操作面板控制箱材质：铝合金，操作角度可调节</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sz w:val="21"/>
                <w:szCs w:val="21"/>
                <w:u w:val="none"/>
              </w:rPr>
              <w:t>9、压穴系统：滚轮式无动力压穴，采用组合式分片结构；材质：</w:t>
            </w:r>
            <w:r>
              <w:rPr>
                <w:rFonts w:hint="eastAsia" w:ascii="宋体" w:hAnsi="宋体" w:eastAsia="宋体" w:cs="宋体"/>
                <w:color w:val="auto"/>
                <w:sz w:val="21"/>
                <w:szCs w:val="21"/>
                <w:highlight w:val="none"/>
                <w:lang w:eastAsia="zh-CN"/>
              </w:rPr>
              <w:t>铝合金材质；</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10、播种系统：插拔式播种滚筒，材质：铝合金，热处理：硬质氧化</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11、真空系统：真空泵</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12、气动系统：减压阀、电磁阀等</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1</w:t>
            </w:r>
            <w:r>
              <w:rPr>
                <w:rFonts w:hint="eastAsia" w:ascii="宋体" w:hAnsi="宋体" w:eastAsia="宋体" w:cs="宋体"/>
                <w:i w:val="0"/>
                <w:iCs w:val="0"/>
                <w:color w:val="auto"/>
                <w:sz w:val="21"/>
                <w:szCs w:val="21"/>
                <w:u w:val="none"/>
              </w:rPr>
              <w:t>3、</w:t>
            </w:r>
            <w:r>
              <w:rPr>
                <w:rFonts w:hint="eastAsia" w:ascii="宋体" w:hAnsi="宋体" w:eastAsia="宋体" w:cs="宋体"/>
                <w:i w:val="0"/>
                <w:iCs w:val="0"/>
                <w:color w:val="auto"/>
                <w:sz w:val="21"/>
                <w:szCs w:val="21"/>
                <w:u w:val="none"/>
                <w:lang w:val="en-US" w:eastAsia="zh-CN"/>
              </w:rPr>
              <w:t>变</w:t>
            </w:r>
            <w:r>
              <w:rPr>
                <w:rFonts w:hint="eastAsia" w:ascii="宋体" w:hAnsi="宋体" w:eastAsia="宋体" w:cs="宋体"/>
                <w:i w:val="0"/>
                <w:iCs w:val="0"/>
                <w:color w:val="auto"/>
                <w:sz w:val="21"/>
                <w:szCs w:val="21"/>
                <w:u w:val="none"/>
              </w:rPr>
              <w:t>频器：数量1台</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（四）覆土、浇水机（1台）</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1、机架：钣金框架结构，材质：不锈钢304</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2、传动方式：输送带传动；</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3、刷土机构：滚刷；</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4、料仓搅拌：搅拌棒2付，链条传动</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5、送盘输送带：光带1条</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6、覆土输送带：剑齿型带1条</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10、浇水输送带：光带2条</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11、浇水管：喷淋式，材质：铝合金</w:t>
            </w:r>
            <w:r>
              <w:rPr>
                <w:rFonts w:hint="eastAsia" w:ascii="宋体" w:hAnsi="宋体" w:eastAsia="宋体" w:cs="宋体"/>
                <w:i w:val="0"/>
                <w:iCs w:val="0"/>
                <w:color w:val="auto"/>
                <w:sz w:val="21"/>
                <w:szCs w:val="21"/>
                <w:u w:val="none"/>
                <w:lang w:eastAsia="zh-CN"/>
              </w:rPr>
              <w:t>；</w:t>
            </w:r>
          </w:p>
          <w:p>
            <w:pPr>
              <w:widowControl w:val="0"/>
              <w:jc w:val="left"/>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12、浇水电磁阀：接口管直径≥15mm。</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（五）接盘机（1台）</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1、机架：钣金框架结构，材质：不锈钢304</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2、机脚：可调式脚垫</w:t>
            </w:r>
            <w:r>
              <w:rPr>
                <w:rFonts w:hint="eastAsia" w:ascii="宋体" w:hAnsi="宋体" w:eastAsia="宋体" w:cs="宋体"/>
                <w:i w:val="0"/>
                <w:iCs w:val="0"/>
                <w:color w:val="auto"/>
                <w:sz w:val="21"/>
                <w:szCs w:val="21"/>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六）基质搅拌</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lang w:val="en-US" w:eastAsia="zh-CN"/>
              </w:rPr>
              <w:t>解压</w:t>
            </w:r>
            <w:r>
              <w:rPr>
                <w:rFonts w:hint="eastAsia" w:ascii="宋体" w:hAnsi="宋体" w:eastAsia="宋体" w:cs="宋体"/>
                <w:i w:val="0"/>
                <w:iCs w:val="0"/>
                <w:color w:val="auto"/>
                <w:sz w:val="21"/>
                <w:szCs w:val="21"/>
                <w:u w:val="none"/>
              </w:rPr>
              <w:t>机</w:t>
            </w: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rPr>
              <w:t>功能</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单人操作，实现多种基质轻松上料、快速均匀混合、可控加湿、便捷出料</w:t>
            </w:r>
            <w:r>
              <w:rPr>
                <w:rFonts w:hint="eastAsia" w:ascii="宋体" w:hAnsi="宋体" w:eastAsia="宋体" w:cs="宋体"/>
                <w:i w:val="0"/>
                <w:iCs w:val="0"/>
                <w:color w:val="auto"/>
                <w:sz w:val="21"/>
                <w:szCs w:val="21"/>
                <w:highlight w:val="none"/>
                <w:u w:val="none"/>
                <w:lang w:eastAsia="zh-CN"/>
              </w:rPr>
              <w:t>；</w:t>
            </w:r>
          </w:p>
          <w:p>
            <w:pPr>
              <w:keepNext w:val="0"/>
              <w:keepLines w:val="0"/>
              <w:widowControl/>
              <w:numPr>
                <w:ilvl w:val="-1"/>
                <w:numId w:val="0"/>
              </w:numPr>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rPr>
              <w:t>解压</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200-3</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0升包装泥炭、压缩椰砖等基质材料的快速松散解压</w:t>
            </w:r>
            <w:r>
              <w:rPr>
                <w:rFonts w:hint="eastAsia" w:ascii="宋体" w:hAnsi="宋体" w:eastAsia="宋体" w:cs="宋体"/>
                <w:i w:val="0"/>
                <w:iCs w:val="0"/>
                <w:color w:val="auto"/>
                <w:sz w:val="21"/>
                <w:szCs w:val="21"/>
                <w:highlight w:val="none"/>
                <w:u w:val="none"/>
                <w:lang w:eastAsia="zh-CN"/>
              </w:rPr>
              <w:t>；</w:t>
            </w:r>
          </w:p>
          <w:p>
            <w:pPr>
              <w:keepNext w:val="0"/>
              <w:keepLines w:val="0"/>
              <w:widowControl/>
              <w:numPr>
                <w:ilvl w:val="-1"/>
                <w:numId w:val="0"/>
              </w:numPr>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混合</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泥炭、椰糠、珍珠岩、蛭石、黏土、有机肥、颗粒肥等多种材料快速均匀混合</w:t>
            </w:r>
            <w:r>
              <w:rPr>
                <w:rFonts w:hint="eastAsia" w:ascii="宋体" w:hAnsi="宋体" w:eastAsia="宋体" w:cs="宋体"/>
                <w:i w:val="0"/>
                <w:iCs w:val="0"/>
                <w:color w:val="auto"/>
                <w:sz w:val="21"/>
                <w:szCs w:val="21"/>
                <w:highlight w:val="none"/>
                <w:u w:val="none"/>
                <w:lang w:eastAsia="zh-CN"/>
              </w:rPr>
              <w:t>；</w:t>
            </w:r>
          </w:p>
          <w:p>
            <w:pPr>
              <w:keepNext w:val="0"/>
              <w:keepLines w:val="0"/>
              <w:widowControl/>
              <w:numPr>
                <w:ilvl w:val="-1"/>
                <w:numId w:val="0"/>
              </w:numPr>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rPr>
              <w:t>加湿</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水、液肥等自动定时</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时间可调</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添加</w:t>
            </w:r>
            <w:r>
              <w:rPr>
                <w:rFonts w:hint="eastAsia" w:ascii="宋体" w:hAnsi="宋体" w:eastAsia="宋体" w:cs="宋体"/>
                <w:i w:val="0"/>
                <w:iCs w:val="0"/>
                <w:color w:val="auto"/>
                <w:sz w:val="21"/>
                <w:szCs w:val="21"/>
                <w:highlight w:val="none"/>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、出料</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出料实现手动开关和定时自动关闭</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时间可调</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w:t>
            </w:r>
          </w:p>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七</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参数</w:t>
            </w:r>
            <w:r>
              <w:rPr>
                <w:rFonts w:hint="eastAsia" w:ascii="宋体" w:hAnsi="宋体" w:eastAsia="宋体" w:cs="宋体"/>
                <w:i w:val="0"/>
                <w:iCs w:val="0"/>
                <w:color w:val="auto"/>
                <w:sz w:val="21"/>
                <w:szCs w:val="21"/>
                <w:highlight w:val="none"/>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混合</w:t>
            </w:r>
            <w:r>
              <w:rPr>
                <w:rFonts w:hint="eastAsia" w:ascii="宋体" w:hAnsi="宋体" w:eastAsia="宋体" w:cs="宋体"/>
                <w:i w:val="0"/>
                <w:iCs w:val="0"/>
                <w:color w:val="auto"/>
                <w:sz w:val="21"/>
                <w:szCs w:val="21"/>
                <w:highlight w:val="none"/>
                <w:u w:val="none"/>
              </w:rPr>
              <w:t>料斗容积</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val="en-US" w:eastAsia="zh-CN"/>
              </w:rPr>
              <w:t>m</w:t>
            </w:r>
            <w:r>
              <w:rPr>
                <w:rFonts w:hint="eastAsia" w:ascii="宋体" w:hAnsi="宋体" w:eastAsia="宋体" w:cs="宋体"/>
                <w:i w:val="0"/>
                <w:iCs w:val="0"/>
                <w:color w:val="auto"/>
                <w:sz w:val="21"/>
                <w:szCs w:val="21"/>
                <w:highlight w:val="none"/>
                <w:u w:val="none"/>
                <w:vertAlign w:val="superscript"/>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处理粒径</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无限制</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禁止纤维类材料处理</w:t>
            </w:r>
            <w:r>
              <w:rPr>
                <w:rFonts w:hint="eastAsia" w:ascii="宋体" w:hAnsi="宋体" w:eastAsia="宋体" w:cs="宋体"/>
                <w:i w:val="0"/>
                <w:iCs w:val="0"/>
                <w:color w:val="auto"/>
                <w:sz w:val="21"/>
                <w:szCs w:val="21"/>
                <w:highlight w:val="none"/>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rPr>
              <w:t>额定功率</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8</w:t>
            </w:r>
            <w:r>
              <w:rPr>
                <w:rFonts w:hint="eastAsia" w:ascii="宋体" w:hAnsi="宋体" w:eastAsia="宋体" w:cs="宋体"/>
                <w:i w:val="0"/>
                <w:iCs w:val="0"/>
                <w:color w:val="auto"/>
                <w:sz w:val="21"/>
                <w:szCs w:val="21"/>
                <w:highlight w:val="none"/>
                <w:u w:val="none"/>
                <w:lang w:eastAsia="zh-CN"/>
              </w:rPr>
              <w:t>kW；</w:t>
            </w:r>
          </w:p>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工作电压</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380V</w:t>
            </w:r>
            <w:r>
              <w:rPr>
                <w:rFonts w:hint="eastAsia" w:ascii="宋体" w:hAnsi="宋体" w:eastAsia="宋体" w:cs="宋体"/>
                <w:i w:val="0"/>
                <w:iCs w:val="0"/>
                <w:color w:val="auto"/>
                <w:sz w:val="21"/>
                <w:szCs w:val="21"/>
                <w:highlight w:val="none"/>
                <w:u w:val="none"/>
                <w:lang w:eastAsia="zh-CN"/>
              </w:rPr>
              <w:t>；</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rPr>
              <w:t>处理效率</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5</w:t>
            </w:r>
            <w:r>
              <w:rPr>
                <w:rFonts w:hint="eastAsia" w:ascii="宋体" w:hAnsi="宋体" w:eastAsia="宋体" w:cs="宋体"/>
                <w:i w:val="0"/>
                <w:iCs w:val="0"/>
                <w:color w:val="auto"/>
                <w:sz w:val="21"/>
                <w:szCs w:val="21"/>
                <w:highlight w:val="none"/>
                <w:u w:val="none"/>
                <w:lang w:val="en-US" w:eastAsia="zh-CN"/>
              </w:rPr>
              <w:t>m</w:t>
            </w:r>
            <w:r>
              <w:rPr>
                <w:rFonts w:hint="eastAsia" w:ascii="宋体" w:hAnsi="宋体" w:eastAsia="宋体" w:cs="宋体"/>
                <w:i w:val="0"/>
                <w:iCs w:val="0"/>
                <w:color w:val="auto"/>
                <w:sz w:val="21"/>
                <w:szCs w:val="21"/>
                <w:highlight w:val="none"/>
                <w:u w:val="none"/>
                <w:vertAlign w:val="superscript"/>
                <w:lang w:val="en-US" w:eastAsia="zh-CN"/>
              </w:rPr>
              <w:t>3</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val="en-US" w:eastAsia="zh-CN"/>
              </w:rPr>
              <w:t>h</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单次处理量</w:t>
            </w:r>
            <w:r>
              <w:rPr>
                <w:rFonts w:hint="eastAsia" w:ascii="宋体" w:hAnsi="宋体" w:eastAsia="宋体" w:cs="宋体"/>
                <w:i w:val="0"/>
                <w:iCs w:val="0"/>
                <w:color w:val="auto"/>
                <w:sz w:val="21"/>
                <w:szCs w:val="21"/>
                <w:highlight w:val="none"/>
                <w:u w:val="none"/>
                <w:lang w:val="en-US" w:eastAsia="zh-CN"/>
              </w:rPr>
              <w:t>≥1m</w:t>
            </w:r>
            <w:r>
              <w:rPr>
                <w:rFonts w:hint="eastAsia" w:ascii="宋体" w:hAnsi="宋体" w:eastAsia="宋体" w:cs="宋体"/>
                <w:i w:val="0"/>
                <w:iCs w:val="0"/>
                <w:color w:val="auto"/>
                <w:sz w:val="21"/>
                <w:szCs w:val="21"/>
                <w:highlight w:val="none"/>
                <w:u w:val="none"/>
                <w:vertAlign w:val="superscript"/>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单次作业时间</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5分钟/次</w:t>
            </w:r>
            <w:r>
              <w:rPr>
                <w:rFonts w:hint="eastAsia" w:ascii="宋体" w:hAnsi="宋体" w:eastAsia="宋体" w:cs="宋体"/>
                <w:i w:val="0"/>
                <w:iCs w:val="0"/>
                <w:color w:val="auto"/>
                <w:sz w:val="21"/>
                <w:szCs w:val="21"/>
                <w:highlight w:val="none"/>
                <w:u w:val="none"/>
                <w:lang w:eastAsia="zh-CN"/>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▲瓜类全自动嫁接机</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单机尺寸</w:t>
            </w:r>
            <w:r>
              <w:rPr>
                <w:rFonts w:hint="eastAsia" w:ascii="宋体" w:hAnsi="宋体" w:eastAsia="宋体" w:cs="宋体"/>
                <w:i w:val="0"/>
                <w:iCs w:val="0"/>
                <w:color w:val="auto"/>
                <w:sz w:val="21"/>
                <w:szCs w:val="21"/>
                <w:u w:val="none"/>
                <w:lang w:val="en-US" w:eastAsia="zh-CN"/>
              </w:rPr>
              <w:t>≥</w:t>
            </w:r>
            <w:r>
              <w:rPr>
                <w:rFonts w:hint="eastAsia" w:ascii="宋体" w:hAnsi="宋体" w:eastAsia="宋体" w:cs="宋体"/>
                <w:color w:val="auto"/>
                <w:sz w:val="21"/>
                <w:szCs w:val="21"/>
              </w:rPr>
              <w:t>2100×1600×17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0mm（长宽高）</w:t>
            </w:r>
          </w:p>
          <w:p>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嫁接效率≥1200株/小时</w:t>
            </w:r>
            <w:r>
              <w:rPr>
                <w:rFonts w:hint="eastAsia" w:ascii="宋体" w:hAnsi="宋体" w:eastAsia="宋体" w:cs="宋体"/>
                <w:b/>
                <w:bCs/>
                <w:color w:val="auto"/>
                <w:sz w:val="21"/>
                <w:szCs w:val="21"/>
                <w:lang w:val="en-US" w:eastAsia="zh-CN"/>
              </w:rPr>
              <w:t>（投标文件中提供产品技术白皮书或产品彩页或第三方机构出具的带有CMA标识的检测报告）</w:t>
            </w:r>
            <w:r>
              <w:rPr>
                <w:rFonts w:hint="eastAsia" w:ascii="宋体" w:hAnsi="宋体" w:eastAsia="宋体" w:cs="宋体"/>
                <w:color w:val="auto"/>
                <w:sz w:val="21"/>
                <w:szCs w:val="21"/>
                <w:lang w:val="en-US" w:eastAsia="zh-CN"/>
              </w:rPr>
              <w:t>；</w:t>
            </w:r>
          </w:p>
          <w:p>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作业模式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嫁接全程自动化，自动取苗、切割、贴接、包扎、成品苗自动码盘；单株嫁接</w:t>
            </w:r>
            <w:r>
              <w:rPr>
                <w:rFonts w:hint="eastAsia" w:ascii="宋体" w:hAnsi="宋体" w:eastAsia="宋体" w:cs="宋体"/>
                <w:b/>
                <w:bCs/>
                <w:color w:val="auto"/>
                <w:sz w:val="21"/>
                <w:szCs w:val="21"/>
                <w:lang w:val="en-US" w:eastAsia="zh-CN"/>
              </w:rPr>
              <w:t>（投标文件中提供产品技术白皮书或产品彩页或第三方机构出具的带有CMA标识的检测报告）</w:t>
            </w:r>
            <w:bookmarkStart w:id="16" w:name="OLE_LINK13"/>
            <w:r>
              <w:rPr>
                <w:rFonts w:hint="eastAsia" w:ascii="宋体" w:hAnsi="宋体" w:eastAsia="宋体" w:cs="宋体"/>
                <w:color w:val="auto"/>
                <w:sz w:val="21"/>
                <w:szCs w:val="21"/>
                <w:lang w:val="en-US" w:eastAsia="zh-CN"/>
              </w:rPr>
              <w:t>；</w:t>
            </w:r>
            <w:bookmarkEnd w:id="16"/>
          </w:p>
          <w:p>
            <w:pPr>
              <w:keepNext w:val="0"/>
              <w:keepLines w:val="0"/>
              <w:widowControl/>
              <w:suppressLineNumbers w:val="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嫁接种类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瓜类</w:t>
            </w:r>
            <w:r>
              <w:rPr>
                <w:rFonts w:hint="eastAsia" w:ascii="宋体" w:hAnsi="宋体" w:eastAsia="宋体" w:cs="宋体"/>
                <w:b/>
                <w:bCs/>
                <w:color w:val="auto"/>
                <w:sz w:val="21"/>
                <w:szCs w:val="21"/>
                <w:lang w:val="en-US" w:eastAsia="zh-CN"/>
              </w:rPr>
              <w:t>（投标文件中提供产品技术白皮书或产品彩页或第三方机构出具的带有CMA标识的检测报告）</w:t>
            </w:r>
            <w:r>
              <w:rPr>
                <w:rFonts w:hint="eastAsia" w:ascii="宋体" w:hAnsi="宋体" w:eastAsia="宋体" w:cs="宋体"/>
                <w:color w:val="auto"/>
                <w:sz w:val="21"/>
                <w:szCs w:val="21"/>
                <w:lang w:val="en-US" w:eastAsia="zh-CN"/>
              </w:rPr>
              <w:t>；</w:t>
            </w:r>
          </w:p>
          <w:p>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成功率≥98%</w:t>
            </w:r>
            <w:r>
              <w:rPr>
                <w:rFonts w:hint="eastAsia" w:ascii="宋体" w:hAnsi="宋体" w:eastAsia="宋体" w:cs="宋体"/>
                <w:b/>
                <w:bCs/>
                <w:color w:val="auto"/>
                <w:sz w:val="21"/>
                <w:szCs w:val="21"/>
                <w:lang w:val="en-US" w:eastAsia="zh-CN"/>
              </w:rPr>
              <w:t>（投标文件中提供产品技术白皮书或产品彩页或第三方机构出具的带有CMA标识的检测报告）</w:t>
            </w:r>
            <w:r>
              <w:rPr>
                <w:rFonts w:hint="eastAsia" w:ascii="宋体" w:hAnsi="宋体" w:eastAsia="宋体" w:cs="宋体"/>
                <w:color w:val="auto"/>
                <w:sz w:val="21"/>
                <w:szCs w:val="21"/>
                <w:lang w:val="en-US" w:eastAsia="zh-CN"/>
              </w:rPr>
              <w:t>；</w:t>
            </w:r>
          </w:p>
          <w:p>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嫁接精度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±0.2mm</w:t>
            </w:r>
            <w:r>
              <w:rPr>
                <w:rFonts w:hint="eastAsia" w:ascii="宋体" w:hAnsi="宋体" w:eastAsia="宋体" w:cs="宋体"/>
                <w:b/>
                <w:bCs/>
                <w:color w:val="auto"/>
                <w:sz w:val="21"/>
                <w:szCs w:val="21"/>
                <w:lang w:val="en-US" w:eastAsia="zh-CN"/>
              </w:rPr>
              <w:t>（投标文件中提供产品技术白皮书或产品彩页或第三方机构出具的带有CMA标识的检测报告）</w:t>
            </w:r>
            <w:r>
              <w:rPr>
                <w:rFonts w:hint="eastAsia" w:ascii="宋体" w:hAnsi="宋体" w:eastAsia="宋体" w:cs="宋体"/>
                <w:color w:val="auto"/>
                <w:sz w:val="21"/>
                <w:szCs w:val="21"/>
                <w:lang w:val="en-US"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额定功率、电压</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2.2</w:t>
            </w:r>
            <w:r>
              <w:rPr>
                <w:rFonts w:hint="eastAsia" w:ascii="宋体" w:hAnsi="宋体" w:eastAsia="宋体" w:cs="宋体"/>
                <w:color w:val="auto"/>
                <w:sz w:val="21"/>
                <w:szCs w:val="21"/>
                <w:lang w:eastAsia="zh-CN"/>
              </w:rPr>
              <w:t>kW</w:t>
            </w:r>
            <w:r>
              <w:rPr>
                <w:rFonts w:hint="eastAsia" w:ascii="宋体" w:hAnsi="宋体" w:eastAsia="宋体" w:cs="宋体"/>
                <w:color w:val="auto"/>
                <w:sz w:val="21"/>
                <w:szCs w:val="21"/>
              </w:rPr>
              <w:t>、220V</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气源压力</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0.4-0.6MPa</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工作环境温度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5℃～50℃</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整机保护</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双空开线路+漏电保护</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主控电路保护</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过流、短路保护</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运动模组位置定位</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电机运动位置错误弹窗报警</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机器异常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异常报警灯闪烁，蜂鸣器啸叫</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人机交互界面</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大于10</w:t>
            </w:r>
            <w:r>
              <w:rPr>
                <w:rFonts w:hint="eastAsia" w:ascii="宋体" w:hAnsi="宋体" w:eastAsia="宋体" w:cs="宋体"/>
                <w:color w:val="auto"/>
                <w:sz w:val="21"/>
                <w:szCs w:val="21"/>
                <w:lang w:val="en-US" w:eastAsia="zh-CN"/>
              </w:rPr>
              <w:t>英</w:t>
            </w:r>
            <w:r>
              <w:rPr>
                <w:rFonts w:hint="eastAsia" w:ascii="宋体" w:hAnsi="宋体" w:eastAsia="宋体" w:cs="宋体"/>
                <w:color w:val="auto"/>
                <w:sz w:val="21"/>
                <w:szCs w:val="21"/>
              </w:rPr>
              <w:t>寸</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安全接地桩</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外壳6</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rPr>
              <w:t>安全接地桩</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气缸到位检测</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气缸位置异常弹窗报警</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主电路</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ARM+FPGA</w:t>
            </w:r>
            <w:r>
              <w:rPr>
                <w:rFonts w:hint="eastAsia" w:ascii="宋体" w:hAnsi="宋体" w:eastAsia="宋体" w:cs="宋体"/>
                <w:color w:val="auto"/>
                <w:sz w:val="21"/>
                <w:szCs w:val="21"/>
                <w:lang w:eastAsia="zh-CN"/>
              </w:rPr>
              <w:t>；</w:t>
            </w:r>
          </w:p>
          <w:p>
            <w:pPr>
              <w:keepNext w:val="0"/>
              <w:keepLines w:val="0"/>
              <w:widowControl/>
              <w:suppressLineNumbers w:val="0"/>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强弱电分离布局、布线</w:t>
            </w:r>
            <w:r>
              <w:rPr>
                <w:rFonts w:hint="eastAsia" w:ascii="宋体" w:hAnsi="宋体" w:eastAsia="宋体" w:cs="宋体"/>
                <w:color w:val="auto"/>
                <w:sz w:val="21"/>
                <w:szCs w:val="21"/>
                <w:lang w:eastAsia="zh-CN"/>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大棚王拖拉机</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kern w:val="2"/>
                <w:sz w:val="21"/>
                <w:szCs w:val="21"/>
                <w:lang w:val="en-US" w:eastAsia="zh-CN" w:bidi="ar-SA"/>
              </w:rPr>
              <w:t>不低于</w:t>
            </w:r>
            <w:r>
              <w:rPr>
                <w:rFonts w:hint="eastAsia" w:ascii="宋体" w:hAnsi="宋体" w:eastAsia="宋体" w:cs="宋体"/>
                <w:color w:val="auto"/>
                <w:kern w:val="2"/>
                <w:sz w:val="21"/>
                <w:szCs w:val="21"/>
                <w:lang w:val="en-US" w:eastAsia="zh-CN" w:bidi="ar-SA"/>
              </w:rPr>
              <w:t>504中型拖拉机，四缸柴油发动机不低于35kW；</w:t>
            </w:r>
          </w:p>
          <w:p>
            <w:pPr>
              <w:widowControl w:val="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2、四驱车型，二驱四驱可以切换，不低于8+8梭式换挡，档位4带高低速，有独立档杆，前推前进，中间空挡，后拉倒档；</w:t>
            </w:r>
          </w:p>
          <w:p>
            <w:pPr>
              <w:widowControl w:val="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2"/>
                <w:sz w:val="21"/>
                <w:szCs w:val="21"/>
                <w:u w:val="none"/>
                <w:lang w:val="en-US" w:eastAsia="zh-CN" w:bidi="ar"/>
              </w:rPr>
              <w:t>后轮距1.1-1.3米可调，后动力输出转速≥540720</w:t>
            </w:r>
            <w:r>
              <w:rPr>
                <w:rFonts w:hint="eastAsia" w:ascii="宋体" w:hAnsi="宋体" w:eastAsia="宋体" w:cs="宋体"/>
                <w:color w:val="auto"/>
                <w:kern w:val="2"/>
                <w:sz w:val="21"/>
                <w:szCs w:val="21"/>
                <w:lang w:val="en-US" w:eastAsia="zh-CN" w:bidi="ar-SA"/>
              </w:rPr>
              <w:t>转</w:t>
            </w:r>
            <w:r>
              <w:rPr>
                <w:rFonts w:hint="eastAsia" w:ascii="宋体" w:hAnsi="宋体" w:eastAsia="宋体" w:cs="宋体"/>
                <w:i w:val="0"/>
                <w:iCs w:val="0"/>
                <w:color w:val="auto"/>
                <w:kern w:val="2"/>
                <w:sz w:val="21"/>
                <w:szCs w:val="21"/>
                <w:u w:val="none"/>
                <w:lang w:val="en-US" w:eastAsia="zh-CN" w:bidi="ar"/>
              </w:rPr>
              <w:t>；</w:t>
            </w:r>
          </w:p>
          <w:p>
            <w:pPr>
              <w:widowControl w:val="0"/>
              <w:jc w:val="left"/>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kern w:val="2"/>
                <w:sz w:val="21"/>
                <w:szCs w:val="21"/>
                <w:lang w:val="en-US" w:eastAsia="zh-CN" w:bidi="ar-SA"/>
              </w:rPr>
              <w:t>4、旋耕机：外径宽度</w:t>
            </w:r>
            <w:r>
              <w:rPr>
                <w:rFonts w:hint="eastAsia" w:ascii="宋体" w:hAnsi="宋体" w:eastAsia="宋体" w:cs="宋体"/>
                <w:kern w:val="2"/>
                <w:sz w:val="21"/>
                <w:szCs w:val="21"/>
                <w:lang w:val="en-US" w:eastAsia="zh-CN" w:bidi="ar-SA"/>
              </w:rPr>
              <w:t>不低于</w:t>
            </w:r>
            <w:r>
              <w:rPr>
                <w:rFonts w:hint="eastAsia" w:ascii="宋体" w:hAnsi="宋体" w:eastAsia="宋体" w:cs="宋体"/>
                <w:color w:val="auto"/>
                <w:kern w:val="2"/>
                <w:sz w:val="21"/>
                <w:szCs w:val="21"/>
                <w:lang w:val="en-US" w:eastAsia="zh-CN" w:bidi="ar-SA"/>
              </w:rPr>
              <w:t>1.6米，</w:t>
            </w:r>
            <w:r>
              <w:rPr>
                <w:rFonts w:hint="eastAsia" w:ascii="宋体" w:hAnsi="宋体" w:eastAsia="宋体" w:cs="宋体"/>
                <w:kern w:val="2"/>
                <w:sz w:val="21"/>
                <w:szCs w:val="21"/>
                <w:lang w:val="en-US" w:eastAsia="zh-CN" w:bidi="ar-SA"/>
              </w:rPr>
              <w:t>不低于</w:t>
            </w:r>
            <w:r>
              <w:rPr>
                <w:rFonts w:hint="eastAsia" w:ascii="宋体" w:hAnsi="宋体" w:eastAsia="宋体" w:cs="宋体"/>
                <w:color w:val="auto"/>
                <w:kern w:val="2"/>
                <w:sz w:val="21"/>
                <w:szCs w:val="21"/>
                <w:lang w:val="en-US" w:eastAsia="zh-CN" w:bidi="ar-SA"/>
              </w:rPr>
              <w:t>36把刀，旋耕深度</w:t>
            </w:r>
            <w:r>
              <w:rPr>
                <w:rFonts w:hint="eastAsia" w:ascii="宋体" w:hAnsi="宋体" w:eastAsia="宋体" w:cs="宋体"/>
                <w:kern w:val="2"/>
                <w:sz w:val="21"/>
                <w:szCs w:val="21"/>
                <w:lang w:val="en-US" w:eastAsia="zh-CN" w:bidi="ar-SA"/>
              </w:rPr>
              <w:t>不低于</w:t>
            </w:r>
            <w:r>
              <w:rPr>
                <w:rFonts w:hint="eastAsia" w:ascii="宋体" w:hAnsi="宋体" w:eastAsia="宋体" w:cs="宋体"/>
                <w:color w:val="auto"/>
                <w:kern w:val="2"/>
                <w:sz w:val="21"/>
                <w:szCs w:val="21"/>
                <w:lang w:val="en-US" w:eastAsia="zh-CN" w:bidi="ar-SA"/>
              </w:rPr>
              <w:t>24cm。</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小喇叭</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1、空气温度测量范围：-10℃-60℃；</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2、空气温度测量精度：±0.5℃；</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3、空气温度测量分辨率≥0.1℃；</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4、空气湿度测量范围：0%-100%RH；</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5、空气湿度测量精度：±5%RH；</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6、空气湿度测量分辨率≥0.1%RH；</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7、土壤温度测量范围：-40～80℃；</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8、土壤温度测量精度：±0.5℃；</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9、土壤温度测量分辨率≥0.1℃；</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10、土壤湿度测量范围：0%-100%RH；</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11、土壤湿度测量精度：±5%RH；</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12、土壤湿度测量分辨率≥0.1%RH；</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13、光照测量范围：0-200000Lux；</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14、光照测量精度：±7%；</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15、光照测量分辨率≥1Lux。</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加温灯</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1、材质：铝合金；</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2、功率≥200W。</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工业</w:t>
            </w:r>
          </w:p>
        </w:tc>
      </w:tr>
    </w:tbl>
    <w:p>
      <w:pPr>
        <w:adjustRightInd w:val="0"/>
        <w:snapToGrid w:val="0"/>
        <w:spacing w:line="360" w:lineRule="auto"/>
        <w:ind w:firstLine="482"/>
        <w:outlineLvl w:val="1"/>
        <w:rPr>
          <w:rFonts w:hint="eastAsia" w:ascii="宋体" w:hAnsi="宋体" w:eastAsia="宋体" w:cs="@仿宋_GB2312"/>
          <w:b/>
          <w:color w:val="auto"/>
          <w:szCs w:val="21"/>
          <w:highlight w:val="none"/>
          <w:lang w:val="en-US" w:eastAsia="zh-CN"/>
        </w:rPr>
      </w:pPr>
    </w:p>
    <w:p>
      <w:pPr>
        <w:adjustRightInd w:val="0"/>
        <w:snapToGrid w:val="0"/>
        <w:spacing w:line="360" w:lineRule="auto"/>
        <w:ind w:firstLine="482"/>
        <w:outlineLvl w:val="1"/>
        <w:rPr>
          <w:rFonts w:hint="eastAsia" w:ascii="宋体" w:hAnsi="宋体" w:eastAsia="宋体" w:cs="@仿宋_GB2312"/>
          <w:b/>
          <w:color w:val="auto"/>
          <w:szCs w:val="21"/>
          <w:highlight w:val="none"/>
          <w:lang w:eastAsia="zh-CN"/>
        </w:rPr>
      </w:pPr>
      <w:r>
        <w:rPr>
          <w:rFonts w:hint="eastAsia" w:ascii="宋体" w:hAnsi="宋体" w:eastAsia="宋体" w:cs="@仿宋_GB2312"/>
          <w:b/>
          <w:color w:val="auto"/>
          <w:szCs w:val="21"/>
          <w:highlight w:val="none"/>
          <w:lang w:val="en-US" w:eastAsia="zh-CN"/>
        </w:rPr>
        <w:t>三</w:t>
      </w:r>
      <w:r>
        <w:rPr>
          <w:rFonts w:hint="eastAsia" w:ascii="宋体" w:hAnsi="宋体" w:eastAsia="宋体" w:cs="@仿宋_GB2312"/>
          <w:b/>
          <w:color w:val="auto"/>
          <w:szCs w:val="21"/>
          <w:highlight w:val="none"/>
        </w:rPr>
        <w:t>、货物需求</w:t>
      </w:r>
      <w:r>
        <w:rPr>
          <w:rFonts w:hint="eastAsia" w:ascii="宋体" w:hAnsi="宋体" w:eastAsia="宋体" w:cs="@仿宋_GB2312"/>
          <w:b/>
          <w:color w:val="auto"/>
          <w:szCs w:val="21"/>
          <w:highlight w:val="none"/>
          <w:lang w:eastAsia="zh-CN"/>
        </w:rPr>
        <w:t>（</w:t>
      </w:r>
      <w:r>
        <w:rPr>
          <w:rFonts w:hint="eastAsia" w:ascii="宋体" w:hAnsi="宋体" w:eastAsia="宋体" w:cs="@仿宋_GB2312"/>
          <w:b/>
          <w:color w:val="auto"/>
          <w:szCs w:val="21"/>
          <w:highlight w:val="none"/>
          <w:lang w:val="en-US" w:eastAsia="zh-CN"/>
        </w:rPr>
        <w:t>适用于包2</w:t>
      </w:r>
      <w:r>
        <w:rPr>
          <w:rFonts w:hint="eastAsia" w:ascii="宋体" w:hAnsi="宋体" w:eastAsia="宋体" w:cs="@仿宋_GB2312"/>
          <w:b/>
          <w:color w:val="auto"/>
          <w:szCs w:val="21"/>
          <w:highlight w:val="none"/>
          <w:lang w:eastAsia="zh-CN"/>
        </w:rPr>
        <w:t>）</w:t>
      </w:r>
    </w:p>
    <w:p>
      <w:pPr>
        <w:widowControl/>
        <w:adjustRightInd w:val="0"/>
        <w:snapToGrid w:val="0"/>
        <w:spacing w:line="360" w:lineRule="auto"/>
        <w:ind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1、标识符号</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4"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标识类型</w:t>
            </w:r>
          </w:p>
        </w:tc>
        <w:tc>
          <w:tcPr>
            <w:tcW w:w="1365"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w:t>
            </w:r>
          </w:p>
        </w:tc>
        <w:tc>
          <w:tcPr>
            <w:tcW w:w="5363"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794" w:type="dxa"/>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重要指标项</w:t>
            </w:r>
          </w:p>
        </w:tc>
        <w:tc>
          <w:tcPr>
            <w:tcW w:w="1365" w:type="dxa"/>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p>
        </w:tc>
        <w:tc>
          <w:tcPr>
            <w:tcW w:w="5363"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评分项，详见评标办法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79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无标识项</w:t>
            </w:r>
          </w:p>
        </w:tc>
        <w:tc>
          <w:tcPr>
            <w:tcW w:w="1365" w:type="dxa"/>
            <w:noWrap w:val="0"/>
            <w:vAlign w:val="center"/>
          </w:tcPr>
          <w:p>
            <w:pPr>
              <w:spacing w:line="360" w:lineRule="auto"/>
              <w:jc w:val="center"/>
              <w:rPr>
                <w:rFonts w:hint="eastAsia" w:ascii="宋体" w:hAnsi="宋体" w:eastAsia="宋体" w:cs="宋体"/>
                <w:color w:val="auto"/>
                <w:szCs w:val="21"/>
                <w:highlight w:val="none"/>
              </w:rPr>
            </w:pPr>
          </w:p>
        </w:tc>
        <w:tc>
          <w:tcPr>
            <w:tcW w:w="5363"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五项以上（不含）负偏离或未响应的，投标无效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8522" w:type="dxa"/>
            <w:gridSpan w:val="3"/>
            <w:noWrap w:val="0"/>
            <w:vAlign w:val="center"/>
          </w:tcPr>
          <w:p>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标识条款中如包含多条子项技术参数或要求，则需满足或优于该标识条款内所有子项技术参数或要求方能得分。</w:t>
            </w:r>
          </w:p>
        </w:tc>
      </w:tr>
    </w:tbl>
    <w:p>
      <w:pPr>
        <w:widowControl/>
        <w:adjustRightInd w:val="0"/>
        <w:snapToGrid w:val="0"/>
        <w:spacing w:line="360" w:lineRule="auto"/>
        <w:ind w:firstLine="422" w:firstLineChars="200"/>
        <w:outlineLvl w:val="2"/>
        <w:rPr>
          <w:rFonts w:hint="eastAsia" w:ascii="宋体" w:hAnsi="宋体" w:eastAsia="宋体" w:cs="宋体"/>
          <w:b/>
          <w:bCs/>
          <w:color w:val="auto"/>
          <w:szCs w:val="21"/>
          <w:highlight w:val="none"/>
        </w:rPr>
      </w:pPr>
    </w:p>
    <w:p>
      <w:pPr>
        <w:widowControl/>
        <w:adjustRightInd w:val="0"/>
        <w:snapToGrid w:val="0"/>
        <w:spacing w:line="360" w:lineRule="auto"/>
        <w:ind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2、采购清单</w:t>
      </w:r>
    </w:p>
    <w:p>
      <w:pPr>
        <w:widowControl/>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（1）下述技术参数所涉及的具体物理尺寸</w:t>
      </w:r>
      <w:r>
        <w:rPr>
          <w:rFonts w:hint="eastAsia" w:ascii="宋体" w:hAnsi="宋体" w:eastAsia="宋体" w:cs="宋体"/>
          <w:color w:val="auto"/>
          <w:szCs w:val="21"/>
          <w:highlight w:val="none"/>
        </w:rPr>
        <w:t>的已明确偏离范围的按要求执行，未明确偏离范围的允许±5%偏离。</w:t>
      </w:r>
    </w:p>
    <w:p>
      <w:pPr>
        <w:widowControl/>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（2）技术规格书：</w:t>
      </w:r>
    </w:p>
    <w:tbl>
      <w:tblPr>
        <w:tblStyle w:val="3"/>
        <w:tblW w:w="8403" w:type="dxa"/>
        <w:jc w:val="center"/>
        <w:tblInd w:w="607" w:type="dxa"/>
        <w:tblLayout w:type="fixed"/>
        <w:tblCellMar>
          <w:top w:w="0" w:type="dxa"/>
          <w:left w:w="108" w:type="dxa"/>
          <w:bottom w:w="0" w:type="dxa"/>
          <w:right w:w="108" w:type="dxa"/>
        </w:tblCellMar>
      </w:tblPr>
      <w:tblGrid>
        <w:gridCol w:w="555"/>
        <w:gridCol w:w="690"/>
        <w:gridCol w:w="5409"/>
        <w:gridCol w:w="555"/>
        <w:gridCol w:w="510"/>
        <w:gridCol w:w="684"/>
      </w:tblGrid>
      <w:tr>
        <w:tblPrEx>
          <w:tblLayout w:type="fixed"/>
          <w:tblCellMar>
            <w:top w:w="0" w:type="dxa"/>
            <w:left w:w="108" w:type="dxa"/>
            <w:bottom w:w="0" w:type="dxa"/>
            <w:right w:w="108" w:type="dxa"/>
          </w:tblCellMar>
        </w:tblPrEx>
        <w:trPr>
          <w:trHeight w:val="360" w:hRule="atLeast"/>
          <w:jc w:val="center"/>
        </w:trPr>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69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货物名称</w:t>
            </w:r>
          </w:p>
        </w:tc>
        <w:tc>
          <w:tcPr>
            <w:tcW w:w="540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最低技术参数</w:t>
            </w:r>
          </w:p>
        </w:tc>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51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sz w:val="21"/>
                <w:szCs w:val="21"/>
              </w:rPr>
              <w:t>所属行业</w:t>
            </w:r>
          </w:p>
        </w:tc>
      </w:tr>
      <w:tr>
        <w:tblPrEx>
          <w:tblLayout w:type="fixed"/>
          <w:tblCellMar>
            <w:top w:w="0" w:type="dxa"/>
            <w:left w:w="108" w:type="dxa"/>
            <w:bottom w:w="0" w:type="dxa"/>
            <w:right w:w="108" w:type="dxa"/>
          </w:tblCellMar>
        </w:tblPrEx>
        <w:trPr>
          <w:trHeight w:val="435" w:hRule="atLeast"/>
          <w:jc w:val="center"/>
        </w:trPr>
        <w:tc>
          <w:tcPr>
            <w:tcW w:w="7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一、前端部分</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103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室外枪式摄像机</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1、具有不低于400万像素,</w:t>
            </w:r>
            <w:bookmarkStart w:id="17" w:name="OLE_LINK4"/>
            <w:bookmarkStart w:id="18" w:name="OLE_LINK3"/>
            <w:r>
              <w:rPr>
                <w:rFonts w:hint="eastAsia" w:ascii="宋体" w:hAnsi="宋体" w:eastAsia="宋体" w:cs="宋体"/>
                <w:color w:val="000000"/>
                <w:kern w:val="0"/>
                <w:sz w:val="21"/>
                <w:szCs w:val="21"/>
                <w:lang w:bidi="ar"/>
              </w:rPr>
              <w:t>CMOS传感器</w:t>
            </w:r>
            <w:bookmarkEnd w:id="17"/>
            <w:bookmarkEnd w:id="18"/>
            <w:r>
              <w:rPr>
                <w:rFonts w:hint="eastAsia" w:ascii="宋体" w:hAnsi="宋体" w:eastAsia="宋体" w:cs="宋体"/>
                <w:color w:val="000000"/>
                <w:kern w:val="0"/>
                <w:sz w:val="21"/>
                <w:szCs w:val="21"/>
                <w:lang w:bidi="ar"/>
              </w:rPr>
              <w:t>。具有不</w:t>
            </w:r>
            <w:r>
              <w:rPr>
                <w:rFonts w:hint="eastAsia" w:ascii="宋体" w:hAnsi="宋体" w:eastAsia="宋体" w:cs="宋体"/>
                <w:color w:val="000000"/>
                <w:kern w:val="0"/>
                <w:sz w:val="21"/>
                <w:szCs w:val="21"/>
                <w:lang w:val="en-US" w:eastAsia="zh-CN" w:bidi="ar"/>
              </w:rPr>
              <w:t>低</w:t>
            </w:r>
            <w:r>
              <w:rPr>
                <w:rFonts w:hint="eastAsia" w:ascii="宋体" w:hAnsi="宋体" w:eastAsia="宋体" w:cs="宋体"/>
                <w:color w:val="000000"/>
                <w:kern w:val="0"/>
                <w:sz w:val="21"/>
                <w:szCs w:val="21"/>
                <w:lang w:bidi="ar"/>
              </w:rPr>
              <w:t>于1/1.8英寸靶面尺寸，最低照度彩色：0.0005lx；</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2、最高分辨率不低于2560×1920</w:t>
            </w:r>
            <w:r>
              <w:rPr>
                <w:rFonts w:hint="eastAsia" w:ascii="宋体" w:hAnsi="宋体" w:eastAsia="宋体" w:cs="宋体"/>
                <w:sz w:val="21"/>
                <w:szCs w:val="21"/>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3、智能侦测：支持越界侦测、区域入侵侦测；</w:t>
            </w:r>
          </w:p>
          <w:p>
            <w:pP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bidi="ar"/>
              </w:rPr>
              <w:t>4、支持双码流技术，主码流最高不低于2560×</w:t>
            </w:r>
            <w:r>
              <w:rPr>
                <w:rFonts w:hint="eastAsia" w:ascii="宋体" w:hAnsi="宋体" w:eastAsia="宋体" w:cs="宋体"/>
                <w:color w:val="000000"/>
                <w:kern w:val="0"/>
                <w:sz w:val="21"/>
                <w:szCs w:val="21"/>
                <w:lang w:val="en-US" w:eastAsia="zh-CN" w:bidi="ar"/>
              </w:rPr>
              <w:t>1440</w:t>
            </w:r>
            <w:r>
              <w:rPr>
                <w:rFonts w:hint="eastAsia" w:ascii="宋体" w:hAnsi="宋体" w:eastAsia="宋体" w:cs="宋体"/>
                <w:color w:val="000000"/>
                <w:kern w:val="0"/>
                <w:sz w:val="21"/>
                <w:szCs w:val="21"/>
                <w:lang w:bidi="ar"/>
              </w:rPr>
              <w:t>，子码流不低于</w:t>
            </w:r>
            <w:r>
              <w:rPr>
                <w:rFonts w:hint="eastAsia" w:ascii="宋体" w:hAnsi="宋体" w:eastAsia="宋体" w:cs="宋体"/>
                <w:color w:val="000000"/>
                <w:kern w:val="0"/>
                <w:sz w:val="21"/>
                <w:szCs w:val="21"/>
                <w:lang w:val="en-US" w:eastAsia="zh-CN" w:bidi="ar"/>
              </w:rPr>
              <w:t>680</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640；</w:t>
            </w:r>
          </w:p>
          <w:p>
            <w:pPr>
              <w:rPr>
                <w:rFonts w:hint="eastAsia" w:ascii="宋体" w:hAnsi="宋体" w:eastAsia="宋体" w:cs="宋体"/>
                <w:sz w:val="21"/>
                <w:szCs w:val="21"/>
              </w:rPr>
            </w:pPr>
            <w:r>
              <w:rPr>
                <w:rFonts w:hint="eastAsia" w:ascii="宋体" w:hAnsi="宋体" w:eastAsia="宋体" w:cs="宋体"/>
                <w:color w:val="000000"/>
                <w:kern w:val="0"/>
                <w:sz w:val="21"/>
                <w:szCs w:val="21"/>
                <w:lang w:bidi="ar"/>
              </w:rPr>
              <w:t>5、支持背光补偿，强光抑制，3D数字降噪，宽动态；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6、内置麦克风；</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7、支持白光/红外双补光，红外光最远不低于50m，白光最远不低于30m；</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8、不低于IP67防尘防水；</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■9、补光灯灯杯采用双层透镜结构，外表平面为柔光层，具有六边形阵列纹路；下层束光层为鳞甲TIR透镜，内壁具有鳞甲阵列纹路</w:t>
            </w:r>
            <w:r>
              <w:rPr>
                <w:rFonts w:hint="eastAsia" w:ascii="宋体" w:hAnsi="宋体" w:eastAsia="宋体" w:cs="宋体"/>
                <w:b/>
                <w:bCs/>
                <w:color w:val="000000"/>
                <w:kern w:val="0"/>
                <w:sz w:val="21"/>
                <w:szCs w:val="21"/>
                <w:lang w:bidi="ar"/>
              </w:rPr>
              <w:t>（投标文件中提供产品技术白皮书或产品彩页或第三方机构出具的带有CMA标识的检测报告）</w:t>
            </w:r>
            <w:r>
              <w:rPr>
                <w:rFonts w:hint="eastAsia" w:ascii="宋体" w:hAnsi="宋体" w:eastAsia="宋体" w:cs="宋体"/>
                <w:color w:val="000000"/>
                <w:kern w:val="0"/>
                <w:sz w:val="21"/>
                <w:szCs w:val="21"/>
                <w:lang w:bidi="ar"/>
              </w:rPr>
              <w:t>；</w:t>
            </w:r>
          </w:p>
          <w:p>
            <w:pP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■10、要求具有日夜场景自适应功能，在白天和夜晚环境下，样机均可输出彩色图像，在夜晚自动开启补光灯条件下，夜晚图像清晰度应不低于白天图像清晰度的95%</w:t>
            </w:r>
            <w:r>
              <w:rPr>
                <w:rFonts w:hint="eastAsia" w:ascii="宋体" w:hAnsi="宋体" w:eastAsia="宋体" w:cs="宋体"/>
                <w:b/>
                <w:bCs/>
                <w:color w:val="000000"/>
                <w:kern w:val="0"/>
                <w:sz w:val="21"/>
                <w:szCs w:val="21"/>
                <w:lang w:bidi="ar"/>
              </w:rPr>
              <w:t>（投标文件中提供产品技术白皮书或产品彩页或第三方机构出具的带有CMA标识的检测报告）</w:t>
            </w:r>
            <w:r>
              <w:rPr>
                <w:rFonts w:hint="eastAsia" w:ascii="宋体" w:hAnsi="宋体" w:eastAsia="宋体" w:cs="宋体"/>
                <w:color w:val="000000"/>
                <w:kern w:val="0"/>
                <w:sz w:val="21"/>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11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室外球式摄像机</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1、不低于400万像素球式网络摄像机，主码流支持不低于2560*1440；</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2、传感器类型：不小于1/2.8英寸CMOS；</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3、支持背光补偿，3D数字降噪；</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4、支持白光/红外双补光，最大补光距离：白光不低于30m；红外不低于30m；</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5、支持移动侦测，声音报警；</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6、支持图像饱和度，亮度，对比度，锐度可调；</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7、内置麦克风和扬声器，支持双向语音对讲；</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8、支持SD卡存储；</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9、支持12VDC供电及PoE供电；</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10、不低于IP66防尘防水；</w:t>
            </w:r>
          </w:p>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11、工作温度和湿度：至少满足-30℃~60℃，湿度小于95%(无凝结)。</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摄像机电源</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AC12V电源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摄像机支架</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定制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室外摄像机立杆</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4米立杆（含地笼）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接入交换机</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5口10/100/1000M自适应千兆非管理型交换机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接入交换机</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8口10/100/1000M自适应千兆二层管理型交换机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接入交换机</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24口10/100/1000M自适应千兆二层管理型交换机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光纤收发器</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单模单纤，1个千兆SC光口，1个千兆RJ45网口</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4芯熔纤盒</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含耦合器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8芯熔纤盒</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含耦合器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光纤熔接</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光纤熔接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69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光纤尾纤</w:t>
            </w:r>
          </w:p>
        </w:tc>
        <w:tc>
          <w:tcPr>
            <w:tcW w:w="540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1米SC光纤跳线国标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69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光纤跳线</w:t>
            </w:r>
          </w:p>
        </w:tc>
        <w:tc>
          <w:tcPr>
            <w:tcW w:w="540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3米SC光纤跳线国标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36</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室外线路汇聚箱</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bookmarkStart w:id="19" w:name="OLE_LINK6"/>
            <w:bookmarkStart w:id="20" w:name="OLE_LINK5"/>
            <w:r>
              <w:rPr>
                <w:rFonts w:hint="eastAsia" w:ascii="宋体" w:hAnsi="宋体" w:eastAsia="宋体" w:cs="宋体"/>
                <w:color w:val="000000"/>
                <w:kern w:val="0"/>
                <w:sz w:val="21"/>
                <w:szCs w:val="21"/>
                <w:lang w:bidi="ar"/>
              </w:rPr>
              <w:t>箱体尺寸：</w:t>
            </w:r>
            <w:bookmarkEnd w:id="19"/>
            <w:bookmarkEnd w:id="20"/>
            <w:r>
              <w:rPr>
                <w:rFonts w:hint="eastAsia" w:ascii="宋体" w:hAnsi="宋体" w:eastAsia="宋体" w:cs="宋体"/>
                <w:color w:val="000000"/>
                <w:kern w:val="0"/>
                <w:sz w:val="21"/>
                <w:szCs w:val="21"/>
                <w:lang w:bidi="ar"/>
              </w:rPr>
              <w:t>500×600×300mm，不锈钢（含防雷排插及漏保开关）。</w:t>
            </w:r>
          </w:p>
        </w:tc>
        <w:tc>
          <w:tcPr>
            <w:tcW w:w="55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室内监控汇集箱</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箱体尺寸：400×500×200mm，不锈钢（含防雷排插）。</w:t>
            </w:r>
          </w:p>
        </w:tc>
        <w:tc>
          <w:tcPr>
            <w:tcW w:w="55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监控立杆箱</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箱体尺寸：400×500×200mm，不锈钢（含防雷排插）。</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光纤端口其他辅材</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法兰等其它终端所需要辅材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r>
      <w:tr>
        <w:tblPrEx>
          <w:tblLayout w:type="fixed"/>
          <w:tblCellMar>
            <w:top w:w="0" w:type="dxa"/>
            <w:left w:w="108" w:type="dxa"/>
            <w:bottom w:w="0" w:type="dxa"/>
            <w:right w:w="108" w:type="dxa"/>
          </w:tblCellMar>
        </w:tblPrEx>
        <w:trPr>
          <w:trHeight w:val="450" w:hRule="atLeast"/>
          <w:jc w:val="center"/>
        </w:trPr>
        <w:tc>
          <w:tcPr>
            <w:tcW w:w="7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二、线缆管材部分</w:t>
            </w: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信号线</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不低于国标超五类UTP5E无氧铜</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电源线</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未端分支电缆国标无氧铜RVV2×1.0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电源线</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二级分支电缆国标无氧铜RVV2×2.5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主电源电缆线</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color w:val="000000"/>
                <w:kern w:val="0"/>
                <w:sz w:val="21"/>
                <w:szCs w:val="21"/>
                <w:lang w:bidi="ar"/>
              </w:rPr>
              <w:t>主电缆，国标</w:t>
            </w:r>
            <w:r>
              <w:rPr>
                <w:rFonts w:hint="eastAsia" w:ascii="宋体" w:hAnsi="宋体" w:eastAsia="宋体" w:cs="宋体"/>
                <w:color w:val="000000"/>
                <w:kern w:val="0"/>
                <w:sz w:val="21"/>
                <w:szCs w:val="21"/>
              </w:rPr>
              <w:t>3芯ZC-</w:t>
            </w:r>
            <w:r>
              <w:rPr>
                <w:rFonts w:hint="eastAsia" w:ascii="宋体" w:hAnsi="宋体" w:eastAsia="宋体" w:cs="宋体"/>
                <w:color w:val="000000"/>
                <w:kern w:val="0"/>
                <w:sz w:val="21"/>
                <w:szCs w:val="21"/>
                <w:lang w:bidi="ar"/>
              </w:rPr>
              <w:t>YJV3×4电缆。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四芯单模光纤</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国标4芯单模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2800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八芯单模光纤</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国标8芯单模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PE线管</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园区埋设光缆及电缆线管，黑色32PE线管国标。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PE线管</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园区埋设光缆及电缆线管，黑色25PE线管国标。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PVC线管</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20PVC线管国标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金属线管</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25KBG镀锌金属线管国标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金属线管辅材</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KBG镀锌线管弯头、接头、卡箍等、膨胀管辅材。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管线布线接线辅材</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扎带，接头，水晶头，波纹软管，电工胶带，抱箍等。</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1"/>
                <w:szCs w:val="21"/>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p>
        </w:tc>
      </w:tr>
      <w:tr>
        <w:tblPrEx>
          <w:tblLayout w:type="fixed"/>
          <w:tblCellMar>
            <w:top w:w="0" w:type="dxa"/>
            <w:left w:w="108" w:type="dxa"/>
            <w:bottom w:w="0" w:type="dxa"/>
            <w:right w:w="108" w:type="dxa"/>
          </w:tblCellMar>
        </w:tblPrEx>
        <w:trPr>
          <w:trHeight w:val="465" w:hRule="atLeast"/>
          <w:jc w:val="center"/>
        </w:trPr>
        <w:tc>
          <w:tcPr>
            <w:tcW w:w="7719" w:type="dxa"/>
            <w:gridSpan w:val="5"/>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三、机房控制部分</w:t>
            </w: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11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硬盘录像机</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1、具有</w:t>
            </w:r>
            <w:bookmarkStart w:id="21" w:name="OLE_LINK8"/>
            <w:bookmarkStart w:id="22" w:name="OLE_LINK7"/>
            <w:r>
              <w:rPr>
                <w:rFonts w:hint="eastAsia" w:ascii="宋体" w:hAnsi="宋体" w:eastAsia="宋体" w:cs="宋体"/>
                <w:color w:val="000000"/>
                <w:kern w:val="0"/>
                <w:sz w:val="21"/>
                <w:szCs w:val="21"/>
                <w:lang w:bidi="ar"/>
              </w:rPr>
              <w:t>不少于</w:t>
            </w:r>
            <w:bookmarkEnd w:id="21"/>
            <w:bookmarkEnd w:id="22"/>
            <w:r>
              <w:rPr>
                <w:rFonts w:hint="eastAsia" w:ascii="宋体" w:hAnsi="宋体" w:eastAsia="宋体" w:cs="宋体"/>
                <w:color w:val="000000"/>
                <w:kern w:val="0"/>
                <w:sz w:val="21"/>
                <w:szCs w:val="21"/>
                <w:lang w:bidi="ar"/>
              </w:rPr>
              <w:t>2个HDMI接口、不少于2个VGA接口、不少于2个RJ45千兆网络接口；不少于2个USB2.0接口和2个USB3.0接口、不少于1个RS232接口、不少于1个RS485接口（可接入RS485键盘）、不少于1个eSata接口；具有不少于1路音频输入接口、不少于2路音频输出接口、不少于16路报警输入接口、不少于8路报警输出接口、具有不少于1路直流12V输出接口（12V 1A）、可内置不少于9块SATA硬盘接口；</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2、HDMI1和HDMI2支持最大单路</w:t>
            </w:r>
            <w:bookmarkStart w:id="23" w:name="OLE_LINK9"/>
            <w:bookmarkStart w:id="24" w:name="OLE_LINK10"/>
            <w:r>
              <w:rPr>
                <w:rFonts w:hint="eastAsia" w:ascii="宋体" w:hAnsi="宋体" w:eastAsia="宋体" w:cs="宋体"/>
                <w:color w:val="000000"/>
                <w:kern w:val="0"/>
                <w:sz w:val="21"/>
                <w:szCs w:val="21"/>
                <w:lang w:bidi="ar"/>
              </w:rPr>
              <w:t>不低于</w:t>
            </w:r>
            <w:bookmarkEnd w:id="23"/>
            <w:bookmarkEnd w:id="24"/>
            <w:r>
              <w:rPr>
                <w:rFonts w:hint="eastAsia" w:ascii="宋体" w:hAnsi="宋体" w:eastAsia="宋体" w:cs="宋体"/>
                <w:color w:val="000000"/>
                <w:kern w:val="0"/>
                <w:sz w:val="21"/>
                <w:szCs w:val="21"/>
                <w:lang w:bidi="ar"/>
              </w:rPr>
              <w:t>8K（7680×4320）和不低于1080P（1920×1080）异源输出；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3、接入能力：不低于64路H.264、H.265格式高清码流接入；</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设备支持文搜功能，可通过文字语义描述，快速检索目标对象或内容；支持对人体、车辆、非机动车、物品、动物、基础事件等类型的检索；并可基于文搜快速检索的结果，对目标进行图搜的二次精准检索定位；</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■5、支持独立的文搜应用展示界面，默认支持全通道录像检索，且通道和时间范围可设；支持自定义选择时间范围，可快速选择1天、3天、7天</w:t>
            </w:r>
            <w:r>
              <w:rPr>
                <w:rFonts w:hint="eastAsia" w:ascii="宋体" w:hAnsi="宋体" w:eastAsia="宋体" w:cs="宋体"/>
                <w:b/>
                <w:bCs/>
                <w:color w:val="000000"/>
                <w:kern w:val="0"/>
                <w:sz w:val="21"/>
                <w:szCs w:val="21"/>
                <w:lang w:bidi="ar"/>
              </w:rPr>
              <w:t>（投标文件中提供产品技术白皮书</w:t>
            </w:r>
            <w:bookmarkStart w:id="25" w:name="OLE_LINK22"/>
            <w:r>
              <w:rPr>
                <w:rFonts w:hint="eastAsia" w:ascii="宋体" w:hAnsi="宋体" w:eastAsia="宋体" w:cs="宋体"/>
                <w:b/>
                <w:bCs/>
                <w:color w:val="000000"/>
                <w:kern w:val="0"/>
                <w:sz w:val="21"/>
                <w:szCs w:val="21"/>
                <w:lang w:bidi="ar"/>
              </w:rPr>
              <w:t>或</w:t>
            </w:r>
            <w:bookmarkStart w:id="26" w:name="OLE_LINK21"/>
            <w:bookmarkStart w:id="27" w:name="OLE_LINK17"/>
            <w:r>
              <w:rPr>
                <w:rFonts w:hint="eastAsia" w:ascii="宋体" w:hAnsi="宋体" w:eastAsia="宋体" w:cs="宋体"/>
                <w:b/>
                <w:bCs/>
                <w:color w:val="000000"/>
                <w:kern w:val="0"/>
                <w:sz w:val="21"/>
                <w:szCs w:val="21"/>
                <w:lang w:bidi="ar"/>
              </w:rPr>
              <w:t>产品彩页</w:t>
            </w:r>
            <w:bookmarkEnd w:id="25"/>
            <w:bookmarkEnd w:id="26"/>
            <w:bookmarkEnd w:id="27"/>
            <w:r>
              <w:rPr>
                <w:rFonts w:hint="eastAsia" w:ascii="宋体" w:hAnsi="宋体" w:eastAsia="宋体" w:cs="宋体"/>
                <w:b/>
                <w:bCs/>
                <w:color w:val="000000"/>
                <w:kern w:val="0"/>
                <w:sz w:val="21"/>
                <w:szCs w:val="21"/>
                <w:lang w:bidi="ar"/>
              </w:rPr>
              <w:t>或第三方机构出具的带有CMA标识的检测报告）</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6、支持不低于4路视频流人脸识别，支持不低于16路图片流人脸识别；</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sz w:val="21"/>
                <w:szCs w:val="21"/>
              </w:rPr>
              <w:t>■</w:t>
            </w:r>
            <w:r>
              <w:rPr>
                <w:rFonts w:hint="eastAsia" w:ascii="宋体" w:hAnsi="宋体" w:eastAsia="宋体" w:cs="宋体"/>
                <w:color w:val="000000"/>
                <w:kern w:val="0"/>
                <w:sz w:val="21"/>
                <w:szCs w:val="21"/>
                <w:lang w:bidi="ar"/>
              </w:rPr>
              <w:t>7、支持切片回放，支持按月、日、小时维度进行切片展示，按月最大支持不低于30个切片，按日最大支持不低于24个切片，按时最大支持低于60个切片</w:t>
            </w:r>
            <w:r>
              <w:rPr>
                <w:rFonts w:hint="eastAsia" w:ascii="宋体" w:hAnsi="宋体" w:eastAsia="宋体" w:cs="宋体"/>
                <w:b/>
                <w:bCs/>
                <w:color w:val="000000"/>
                <w:kern w:val="0"/>
                <w:sz w:val="21"/>
                <w:szCs w:val="21"/>
                <w:lang w:bidi="ar"/>
              </w:rPr>
              <w:t>（投标文件中提供产品技术白皮书或产品彩页或第三方机构出具的带有CMA标识的检测报告）</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8、支持对切片回放片段进行目标检索、备份导出、开启/关闭智能POS信息等操作；</w:t>
            </w:r>
          </w:p>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9、支持对登入IP安全性检测，检测到上一次登录与本次登录的IP地址不在同一个网段时，会提示上一次登录信息（IP和时间）并有日志记录；</w:t>
            </w:r>
          </w:p>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■10、支持查看在线用户信息，包括用户名、用户类型、IP地址和用户最后操作时间等维护信息</w:t>
            </w:r>
            <w:bookmarkStart w:id="28" w:name="OLE_LINK24"/>
            <w:bookmarkStart w:id="29" w:name="OLE_LINK23"/>
            <w:r>
              <w:rPr>
                <w:rFonts w:hint="eastAsia" w:ascii="宋体" w:hAnsi="宋体" w:eastAsia="宋体" w:cs="宋体"/>
                <w:b/>
                <w:bCs/>
                <w:color w:val="000000"/>
                <w:kern w:val="0"/>
                <w:sz w:val="21"/>
                <w:szCs w:val="21"/>
                <w:lang w:bidi="ar"/>
              </w:rPr>
              <w:t>（投标文件中提供产品技术白皮书或产品彩页或第三方机构出具的带有CMA标识的检测报告）</w:t>
            </w:r>
            <w:bookmarkEnd w:id="28"/>
            <w:bookmarkEnd w:id="29"/>
            <w:r>
              <w:rPr>
                <w:rFonts w:hint="eastAsia" w:ascii="宋体" w:hAnsi="宋体" w:eastAsia="宋体" w:cs="宋体"/>
                <w:color w:val="000000"/>
                <w:kern w:val="0"/>
                <w:sz w:val="21"/>
                <w:szCs w:val="21"/>
                <w:lang w:bidi="ar"/>
              </w:rPr>
              <w:t>；</w:t>
            </w:r>
          </w:p>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12、支持将搜索内容添加到历史记录，历史检索词条保持最近10条，通过直接点击该高频热词或历史记录可直接进行重复检索。</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监控专用硬盘</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光纤收发器机架</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1"/>
                <w:szCs w:val="21"/>
              </w:rPr>
            </w:pPr>
            <w:r>
              <w:rPr>
                <w:rFonts w:hint="eastAsia" w:ascii="宋体" w:hAnsi="宋体" w:eastAsia="宋体" w:cs="宋体"/>
                <w:color w:val="000000"/>
                <w:kern w:val="0"/>
                <w:sz w:val="21"/>
                <w:szCs w:val="21"/>
              </w:rPr>
              <w:t>标准14位双电源光纤收发器机架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49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bookmarkStart w:id="30" w:name="OLE_LINK11"/>
            <w:bookmarkStart w:id="31" w:name="OLE_LINK12"/>
            <w:r>
              <w:rPr>
                <w:rFonts w:hint="eastAsia" w:ascii="宋体" w:hAnsi="宋体" w:eastAsia="宋体" w:cs="宋体"/>
                <w:sz w:val="21"/>
                <w:szCs w:val="21"/>
              </w:rPr>
              <w:t>▲</w:t>
            </w:r>
            <w:bookmarkEnd w:id="30"/>
            <w:bookmarkEnd w:id="31"/>
            <w:r>
              <w:rPr>
                <w:rFonts w:hint="eastAsia" w:ascii="宋体" w:hAnsi="宋体" w:eastAsia="宋体" w:cs="宋体"/>
                <w:color w:val="000000"/>
                <w:kern w:val="0"/>
                <w:sz w:val="21"/>
                <w:szCs w:val="21"/>
                <w:lang w:bidi="ar"/>
              </w:rPr>
              <w:t>24口核心交换机</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1、交换容量≥600Gbps/6Tbps，包转发率≥170Mpps/300Mpps；</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2、千兆电口≥24个，万兆SFP+光口≥4个；Console口≥1个；</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3、支持MAC地址自动学习，支持源MAC地址过滤，支持接口MAC地址学习个数限制；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4、支持IGMP v1/v2/v3 Snooping，支持STP、RSTP、MSTP协议，支持端口聚合，支持手工和静态LACP，支持静态路由支持DHCP Server；</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5、支持防网关ARP欺骗，支持端口保护、隔离、防止ARP泛洪攻击功能；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■6、支持M-LAG技术，跨设备链路聚合（非堆叠技术实现），要求配对的设备有独立的控制平面</w:t>
            </w:r>
            <w:r>
              <w:rPr>
                <w:rFonts w:hint="eastAsia" w:ascii="宋体" w:hAnsi="宋体" w:eastAsia="宋体" w:cs="宋体"/>
                <w:b/>
                <w:bCs/>
                <w:color w:val="000000"/>
                <w:kern w:val="0"/>
                <w:sz w:val="21"/>
                <w:szCs w:val="21"/>
                <w:lang w:bidi="ar"/>
              </w:rPr>
              <w:t>（投标文件中提供产品技术白皮书或产品彩页或第三方机构出具的带有CMA标识的检测报告）</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7、支持DHCP Snooping，支持交换机端口设置为信任端口或非信任端口，非信任端口也可设置白名单响应DHCP报文；</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■8、支持以下上线方式：支持二层广播自动发现网管中心平台；支持配置静态IP地址三层发现网管中心平台；支持DHCP Option43方式发现网管中心平台；支持DNS域名发现网管中心平台</w:t>
            </w:r>
            <w:r>
              <w:rPr>
                <w:rFonts w:hint="eastAsia" w:ascii="宋体" w:hAnsi="宋体" w:eastAsia="宋体" w:cs="宋体"/>
                <w:b/>
                <w:bCs/>
                <w:color w:val="000000"/>
                <w:kern w:val="0"/>
                <w:sz w:val="21"/>
                <w:szCs w:val="21"/>
                <w:lang w:bidi="ar"/>
              </w:rPr>
              <w:t>（投标文件中提供产品技术白皮书或产品彩页或第三方机构出具的带有CMA标识的检测报告）</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■9、支持通过网管中心平台一键替换“按钮”即可完成故障设备替换</w:t>
            </w:r>
            <w:r>
              <w:rPr>
                <w:rFonts w:hint="eastAsia" w:ascii="宋体" w:hAnsi="宋体" w:eastAsia="宋体" w:cs="宋体"/>
                <w:b/>
                <w:bCs/>
                <w:color w:val="000000"/>
                <w:kern w:val="0"/>
                <w:sz w:val="21"/>
                <w:szCs w:val="21"/>
                <w:lang w:bidi="ar"/>
              </w:rPr>
              <w:t>（投标文件中提供产品技术白皮书或产品彩页或第三方机构出具的带有CMA标识的检测报告）</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10、支持终端IP-MAC绑定，当IP-MAC不对应时，可以将终端加入黑名单实现断开终端流量；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11、支持通过在网管中心平台的Web页面对交换机进行可视化管理查看，包括交换机的端口状态及配置、vlan信息；</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■12、支持终端类型库，基于指纹自动识别PC、路由器、摄像头设备、无线AP等</w:t>
            </w:r>
            <w:r>
              <w:rPr>
                <w:rFonts w:hint="eastAsia" w:ascii="宋体" w:hAnsi="宋体" w:eastAsia="宋体" w:cs="宋体"/>
                <w:b/>
                <w:bCs/>
                <w:color w:val="000000"/>
                <w:kern w:val="0"/>
                <w:sz w:val="21"/>
                <w:szCs w:val="21"/>
                <w:lang w:bidi="ar"/>
              </w:rPr>
              <w:t>（投标文件中提供产品技术白皮书或产品彩页或第三方机构出具的带有CMA标识的检测报告）</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■13.支持在交换机上创建东西向安全策略，实现全网安全风险拦截</w:t>
            </w:r>
            <w:r>
              <w:rPr>
                <w:rFonts w:hint="eastAsia" w:ascii="宋体" w:hAnsi="宋体" w:eastAsia="宋体" w:cs="宋体"/>
                <w:b/>
                <w:bCs/>
                <w:color w:val="000000"/>
                <w:kern w:val="0"/>
                <w:sz w:val="21"/>
                <w:szCs w:val="21"/>
                <w:lang w:bidi="ar"/>
              </w:rPr>
              <w:t>（投标文件中提供产品技术白皮书或产品彩页或第三方机构出具的带有CMA标识的检测报告）</w:t>
            </w:r>
            <w:r>
              <w:rPr>
                <w:rFonts w:hint="eastAsia" w:ascii="宋体" w:hAnsi="宋体" w:eastAsia="宋体" w:cs="宋体"/>
                <w:color w:val="000000"/>
                <w:kern w:val="0"/>
                <w:sz w:val="21"/>
                <w:szCs w:val="21"/>
                <w:lang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光纤配线架</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color w:val="000000"/>
                <w:kern w:val="0"/>
                <w:sz w:val="21"/>
                <w:szCs w:val="21"/>
              </w:rPr>
              <w:t>标准机架式</w:t>
            </w:r>
            <w:r>
              <w:rPr>
                <w:rFonts w:hint="eastAsia" w:ascii="宋体" w:hAnsi="宋体" w:eastAsia="宋体" w:cs="宋体"/>
                <w:color w:val="000000"/>
                <w:kern w:val="0"/>
                <w:sz w:val="21"/>
                <w:szCs w:val="21"/>
                <w:lang w:bidi="ar"/>
              </w:rPr>
              <w:t>24芯光纤配线架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bookmarkStart w:id="32" w:name="OLE_LINK18"/>
            <w:r>
              <w:rPr>
                <w:rFonts w:hint="eastAsia" w:ascii="宋体" w:hAnsi="宋体" w:eastAsia="宋体" w:cs="宋体"/>
                <w:color w:val="000000"/>
                <w:kern w:val="0"/>
                <w:sz w:val="21"/>
                <w:szCs w:val="21"/>
                <w:lang w:bidi="ar"/>
              </w:rPr>
              <w:t>网络</w:t>
            </w:r>
            <w:bookmarkEnd w:id="32"/>
            <w:r>
              <w:rPr>
                <w:rFonts w:hint="eastAsia" w:ascii="宋体" w:hAnsi="宋体" w:eastAsia="宋体" w:cs="宋体"/>
                <w:color w:val="000000"/>
                <w:kern w:val="0"/>
                <w:sz w:val="21"/>
                <w:szCs w:val="21"/>
                <w:lang w:bidi="ar"/>
              </w:rPr>
              <w:t>机柜</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标准19寸网络机柜（600×600×2000mm）（含标准8位PDU电源）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强弱电桥架</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塑钢桥架200×100mm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5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设备房配电柜</w:t>
            </w:r>
          </w:p>
        </w:tc>
        <w:tc>
          <w:tcPr>
            <w:tcW w:w="5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设备间强电GGD配电柜，含柜体内母线、接地、断路器、DGN多功能仪表、隔离开关、各分部开关及配电柜内各部件组装。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99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工业级别</w:t>
            </w:r>
            <w:r>
              <w:rPr>
                <w:rFonts w:hint="eastAsia" w:ascii="宋体" w:hAnsi="宋体" w:eastAsia="宋体" w:cs="宋体"/>
                <w:color w:val="000000"/>
                <w:kern w:val="0"/>
                <w:sz w:val="21"/>
                <w:szCs w:val="21"/>
                <w:lang w:bidi="ar"/>
              </w:rPr>
              <w:t>5G双卡全网通插卡无线路由器</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1、支持双SIM卡槽；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2、支持5G/宽带双连接；</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w:t>
            </w:r>
            <w:bookmarkStart w:id="33" w:name="OLE_LINK19"/>
            <w:bookmarkStart w:id="34" w:name="OLE_LINK20"/>
            <w:r>
              <w:rPr>
                <w:rFonts w:hint="eastAsia" w:ascii="宋体" w:hAnsi="宋体" w:eastAsia="宋体" w:cs="宋体"/>
                <w:color w:val="000000"/>
                <w:kern w:val="0"/>
                <w:sz w:val="21"/>
                <w:szCs w:val="21"/>
                <w:lang w:bidi="ar"/>
              </w:rPr>
              <w:t>不低于</w:t>
            </w:r>
            <w:bookmarkEnd w:id="33"/>
            <w:bookmarkEnd w:id="34"/>
            <w:r>
              <w:rPr>
                <w:rFonts w:hint="eastAsia" w:ascii="宋体" w:hAnsi="宋体" w:eastAsia="宋体" w:cs="宋体"/>
                <w:color w:val="000000"/>
                <w:kern w:val="0"/>
                <w:sz w:val="21"/>
                <w:szCs w:val="21"/>
                <w:lang w:bidi="ar"/>
              </w:rPr>
              <w:t>1200M 11AC双频无线；</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4、不低于1个千兆WAN口，不低于1个千兆LAN口，不低于3个WAN/LAN千兆可变口；</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5、支持云展异地组网服务，实现跨区域互联互通；</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6、支持双连接智能负载均衡/冗余备份；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7、支持多WAN口、Web认证、访客网络功能；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8、支持AP管理、IPSec VPN、L2TP VPN、PPTP VPN；</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9、上网行为管理（应用限制、网站过滤、URL过滤、网页安全、访问控制列表；</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10、ARP防护、攻击防护、智能带宽控制及连接数限制。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tblPrEx>
          <w:tblLayout w:type="fixed"/>
          <w:tblCellMar>
            <w:top w:w="0" w:type="dxa"/>
            <w:left w:w="108" w:type="dxa"/>
            <w:bottom w:w="0" w:type="dxa"/>
            <w:right w:w="108" w:type="dxa"/>
          </w:tblCellMar>
        </w:tblPrEx>
        <w:trPr>
          <w:trHeight w:val="390" w:hRule="atLeast"/>
          <w:jc w:val="center"/>
        </w:trPr>
        <w:tc>
          <w:tcPr>
            <w:tcW w:w="7719" w:type="dxa"/>
            <w:gridSpan w:val="5"/>
            <w:tcBorders>
              <w:top w:val="nil"/>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bidi="ar"/>
              </w:rPr>
              <w:t>四、</w:t>
            </w:r>
            <w:r>
              <w:rPr>
                <w:rFonts w:hint="eastAsia" w:ascii="宋体" w:hAnsi="宋体" w:eastAsia="宋体" w:cs="宋体"/>
                <w:b/>
                <w:bCs/>
                <w:color w:val="000000"/>
                <w:kern w:val="0"/>
                <w:sz w:val="21"/>
                <w:szCs w:val="21"/>
                <w:lang w:val="en-US" w:eastAsia="zh-CN" w:bidi="ar"/>
              </w:rPr>
              <w:t>其他</w:t>
            </w:r>
          </w:p>
        </w:tc>
        <w:tc>
          <w:tcPr>
            <w:tcW w:w="684" w:type="dxa"/>
            <w:tcBorders>
              <w:top w:val="nil"/>
              <w:left w:val="nil"/>
              <w:bottom w:val="nil"/>
              <w:right w:val="nil"/>
            </w:tcBorders>
            <w:shd w:val="clear" w:color="auto" w:fill="auto"/>
            <w:noWrap/>
            <w:vAlign w:val="center"/>
          </w:tcPr>
          <w:p>
            <w:pP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76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系统集成服务</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棚内外混凝土开槽埋管走线，园区人工穿管布线，接线，所有设备材料运输、安装、调试，机械调运，移动式升降机，机械云梯，脚手架等设备租赁。</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r>
      <w:tr>
        <w:tblPrEx>
          <w:tblLayout w:type="fixed"/>
          <w:tblCellMar>
            <w:top w:w="0" w:type="dxa"/>
            <w:left w:w="108" w:type="dxa"/>
            <w:bottom w:w="0" w:type="dxa"/>
            <w:right w:w="108" w:type="dxa"/>
          </w:tblCellMar>
        </w:tblPrEx>
        <w:trPr>
          <w:trHeight w:val="2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基础及线槽施工辅材</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钢筋、砖、水泥、黄沙、石子等。</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r>
    </w:tbl>
    <w:p>
      <w:pPr>
        <w:widowControl w:val="0"/>
        <w:kinsoku w:val="0"/>
        <w:autoSpaceDE w:val="0"/>
        <w:autoSpaceDN w:val="0"/>
        <w:adjustRightInd w:val="0"/>
        <w:snapToGrid w:val="0"/>
        <w:ind w:left="1260" w:leftChars="600"/>
        <w:jc w:val="both"/>
        <w:textAlignment w:val="baseline"/>
        <w:rPr>
          <w:rFonts w:hint="eastAsia" w:ascii="Arial" w:hAnsi="Arial" w:eastAsia="Arial" w:cs="Arial"/>
          <w:snapToGrid w:val="0"/>
          <w:color w:val="auto"/>
          <w:kern w:val="2"/>
          <w:sz w:val="21"/>
          <w:szCs w:val="21"/>
          <w:highlight w:val="none"/>
          <w:lang w:val="en-US" w:eastAsia="zh-CN" w:bidi="ar-SA"/>
        </w:rPr>
      </w:pPr>
    </w:p>
    <w:bookmarkEnd w:id="14"/>
    <w:bookmarkEnd w:id="15"/>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四、其他要求</w:t>
      </w:r>
      <w:r>
        <w:rPr>
          <w:rFonts w:hint="eastAsia" w:ascii="宋体" w:hAnsi="宋体" w:eastAsia="宋体" w:cs="@仿宋_GB2312"/>
          <w:b/>
          <w:color w:val="auto"/>
          <w:szCs w:val="21"/>
          <w:highlight w:val="none"/>
          <w:lang w:eastAsia="zh-CN"/>
        </w:rPr>
        <w:t>（</w:t>
      </w:r>
      <w:r>
        <w:rPr>
          <w:rFonts w:hint="eastAsia" w:ascii="宋体" w:hAnsi="宋体" w:eastAsia="宋体" w:cs="@仿宋_GB2312"/>
          <w:b/>
          <w:color w:val="auto"/>
          <w:szCs w:val="21"/>
          <w:highlight w:val="none"/>
          <w:lang w:val="en-US" w:eastAsia="zh-CN"/>
        </w:rPr>
        <w:t>适用于包1、包2</w:t>
      </w:r>
      <w:r>
        <w:rPr>
          <w:rFonts w:hint="eastAsia" w:ascii="宋体" w:hAnsi="宋体" w:eastAsia="宋体" w:cs="@仿宋_GB2312"/>
          <w:b/>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、安装调试、验收试验及质量保证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中标人在设备安装地点负责安装、调试。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具体设备验收标准和程序按采购人要求执行，下列验收程序可参照执行：</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中标人提供的必要文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中标人应根据采购人使用单位的技术要求提供相应的产品。由中标人所提供的设备部件间的连线和插接件均应视为设备内部器件，包含在相应的设备之中。</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pPr>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包装运输</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中标人负责设备包装、办理运输和保险，将设备安全运抵交货地点。</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设备制造完成并通过试验后应及时包装，否则应得到切实的保护，确保其不受污损。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在包装箱外应标明采购人的订货号、发货号。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各种包装应能确保各零部件在运输过程中不致遭到损坏、丢失、变形、受潮和腐蚀。</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包装箱上应有明显的包装储运图示标志。</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整体产品或分别运输的部件都要适应运输和装载的要求。</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随产品提供的技术资料应完整无缺。</w:t>
      </w:r>
    </w:p>
    <w:p>
      <w:pPr>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技术培训</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为使合同设备能正常安装和运行，由中标人提供相应的技术培训。培训内容应与工程进度相一致。</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培训的时间、人数、地点等具体内容由买卖双方商定，内容至少包括：设备原理、使用、维护、运行操作、常见故障处理等。</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采购清单里有特别规定的，以采购清单中的需求为准。</w:t>
      </w:r>
    </w:p>
    <w:p>
      <w:pPr>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质保及售后服务</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自双方签订《验收报告》起进入质保期。</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质保期间内，非采购人过失和故意并且在正常使用的情况下发现产品有缺陷，中标人将免费修理或替换该设备；在质保期间内，非采购人过失和故意并且在正常使用的情况下设备发生故障，中标人应及时提供免费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1"/>
        <w:rPr>
          <w:rFonts w:hint="default" w:ascii="宋体" w:hAnsi="宋体" w:eastAsia="宋体" w:cs="宋体"/>
          <w:b/>
          <w:bCs/>
          <w:color w:val="auto"/>
          <w:szCs w:val="21"/>
          <w:highlight w:val="none"/>
          <w:lang w:val="en-US" w:eastAsia="zh-CN"/>
        </w:rPr>
      </w:pPr>
      <w:bookmarkStart w:id="35" w:name="_Toc19993"/>
      <w:r>
        <w:rPr>
          <w:rFonts w:hint="eastAsia" w:ascii="宋体" w:hAnsi="宋体" w:eastAsia="宋体" w:cs="宋体"/>
          <w:b/>
          <w:bCs/>
          <w:color w:val="auto"/>
          <w:szCs w:val="21"/>
          <w:highlight w:val="none"/>
          <w:lang w:val="en-US" w:eastAsia="zh-CN"/>
        </w:rPr>
        <w:t>5、报价要求</w:t>
      </w:r>
      <w:bookmarkEnd w:id="35"/>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1"/>
        <w:rPr>
          <w:rFonts w:hint="eastAsia" w:ascii="宋体" w:hAnsi="宋体" w:eastAsia="宋体" w:cs="宋体"/>
          <w:color w:val="auto"/>
          <w:szCs w:val="21"/>
          <w:highlight w:val="none"/>
        </w:rPr>
      </w:pPr>
      <w:bookmarkStart w:id="36" w:name="_Toc18194"/>
      <w:r>
        <w:rPr>
          <w:rFonts w:hint="eastAsia" w:ascii="宋体" w:hAnsi="宋体" w:eastAsia="宋体" w:cs="宋体"/>
          <w:color w:val="auto"/>
          <w:szCs w:val="21"/>
          <w:highlight w:val="none"/>
        </w:rPr>
        <w:t>本项目报总价，报价包括但不限于配套设备投入的费用、安装费、材料费、调试费、技术支持费、设备运输费、管理费、利润和税金等保障采购人正常使用的所有费用。</w:t>
      </w:r>
      <w:bookmarkEnd w:id="36"/>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82C4A"/>
    <w:multiLevelType w:val="singleLevel"/>
    <w:tmpl w:val="80982C4A"/>
    <w:lvl w:ilvl="0" w:tentative="0">
      <w:start w:val="1"/>
      <w:numFmt w:val="decimal"/>
      <w:suff w:val="nothing"/>
      <w:lvlText w:val="(%1)"/>
      <w:lvlJc w:val="left"/>
      <w:pPr>
        <w:ind w:left="0" w:firstLine="0"/>
      </w:pPr>
      <w:rPr>
        <w:rFonts w:hint="default"/>
      </w:rPr>
    </w:lvl>
  </w:abstractNum>
  <w:abstractNum w:abstractNumId="1">
    <w:nsid w:val="BDF6AA73"/>
    <w:multiLevelType w:val="singleLevel"/>
    <w:tmpl w:val="BDF6AA73"/>
    <w:lvl w:ilvl="0" w:tentative="0">
      <w:start w:val="1"/>
      <w:numFmt w:val="decimal"/>
      <w:suff w:val="nothing"/>
      <w:lvlText w:val="(%1)"/>
      <w:lvlJc w:val="left"/>
      <w:pPr>
        <w:ind w:left="0" w:firstLine="0"/>
      </w:pPr>
      <w:rPr>
        <w:rFonts w:hint="default"/>
      </w:rPr>
    </w:lvl>
  </w:abstractNum>
  <w:abstractNum w:abstractNumId="2">
    <w:nsid w:val="D1B7E79B"/>
    <w:multiLevelType w:val="singleLevel"/>
    <w:tmpl w:val="D1B7E79B"/>
    <w:lvl w:ilvl="0" w:tentative="0">
      <w:start w:val="1"/>
      <w:numFmt w:val="decimal"/>
      <w:suff w:val="nothing"/>
      <w:lvlText w:val="(%1)"/>
      <w:lvlJc w:val="left"/>
      <w:pPr>
        <w:ind w:left="0" w:firstLine="0"/>
      </w:pPr>
      <w:rPr>
        <w:rFonts w:hint="default"/>
      </w:rPr>
    </w:lvl>
  </w:abstractNum>
  <w:abstractNum w:abstractNumId="3">
    <w:nsid w:val="FA3D4FA0"/>
    <w:multiLevelType w:val="singleLevel"/>
    <w:tmpl w:val="FA3D4FA0"/>
    <w:lvl w:ilvl="0" w:tentative="0">
      <w:start w:val="1"/>
      <w:numFmt w:val="decimal"/>
      <w:suff w:val="nothing"/>
      <w:lvlText w:val="(%1)"/>
      <w:lvlJc w:val="left"/>
      <w:pPr>
        <w:ind w:left="0" w:firstLine="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F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2025-10-10T08:55:07Z</dcterms:created>
  <dc:creator>Lenovo</dc:creator>
  <cp:lastModifiedBy>Lenovo</cp:lastModifiedBy>
  <dcterms:modified xsi:type="dcterms:W3CDTF">2025-10-10T08:55:15Z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