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29A95">
      <w:pPr>
        <w:spacing w:line="360" w:lineRule="auto"/>
        <w:jc w:val="center"/>
        <w:outlineLvl w:val="0"/>
        <w:rPr>
          <w:rFonts w:hint="eastAsia" w:ascii="宋体" w:hAnsi="宋体" w:eastAsia="宋体" w:cs="@仿宋_GB2312"/>
          <w:b/>
          <w:color w:val="000000"/>
          <w:sz w:val="28"/>
          <w:szCs w:val="20"/>
          <w:highlight w:val="none"/>
          <w:lang w:eastAsia="zh-CN"/>
        </w:rPr>
      </w:pPr>
      <w:bookmarkStart w:id="0" w:name="_Toc10891"/>
      <w:r>
        <w:rPr>
          <w:rFonts w:hint="eastAsia" w:ascii="宋体" w:hAnsi="宋体" w:eastAsia="宋体" w:cs="@仿宋_GB2312"/>
          <w:b/>
          <w:color w:val="000000"/>
          <w:sz w:val="28"/>
          <w:szCs w:val="20"/>
          <w:highlight w:val="none"/>
        </w:rPr>
        <w:t>第三章  采购需求</w:t>
      </w:r>
      <w:bookmarkEnd w:id="0"/>
    </w:p>
    <w:p w14:paraId="0D9E3639">
      <w:pPr>
        <w:spacing w:line="360" w:lineRule="auto"/>
        <w:rPr>
          <w:rFonts w:ascii="宋体" w:hAnsi="宋体" w:eastAsia="宋体" w:cs="@仿宋_GB2312"/>
          <w:b/>
          <w:color w:val="000000"/>
          <w:sz w:val="24"/>
          <w:szCs w:val="20"/>
          <w:highlight w:val="none"/>
        </w:rPr>
      </w:pPr>
      <w:r>
        <w:rPr>
          <w:rFonts w:hint="eastAsia" w:ascii="宋体" w:hAnsi="宋体" w:eastAsia="宋体" w:cs="@仿宋_GB2312"/>
          <w:b/>
          <w:color w:val="000000"/>
          <w:sz w:val="24"/>
          <w:szCs w:val="20"/>
          <w:highlight w:val="none"/>
        </w:rPr>
        <w:t>前注：</w:t>
      </w:r>
    </w:p>
    <w:p w14:paraId="648A9894">
      <w:pPr>
        <w:spacing w:line="360" w:lineRule="auto"/>
        <w:ind w:firstLine="435"/>
        <w:rPr>
          <w:rFonts w:ascii="宋体" w:hAnsi="宋体" w:eastAsia="宋体" w:cs="@仿宋_GB2312"/>
          <w:color w:val="000000"/>
          <w:sz w:val="24"/>
          <w:szCs w:val="18"/>
          <w:highlight w:val="none"/>
        </w:rPr>
      </w:pPr>
      <w:r>
        <w:rPr>
          <w:rFonts w:hint="eastAsia" w:ascii="宋体" w:hAnsi="宋体" w:eastAsia="宋体" w:cs="@仿宋_GB2312"/>
          <w:color w:val="000000"/>
          <w:sz w:val="24"/>
          <w:szCs w:val="20"/>
          <w:highlight w:val="none"/>
        </w:rPr>
        <w:t>1.</w:t>
      </w:r>
      <w:r>
        <w:rPr>
          <w:rFonts w:ascii="宋体" w:hAnsi="宋体" w:eastAsia="宋体" w:cs="@仿宋_GB2312"/>
          <w:color w:val="000000"/>
          <w:sz w:val="24"/>
          <w:szCs w:val="18"/>
          <w:highlight w:val="none"/>
        </w:rPr>
        <w:t>根据《</w:t>
      </w:r>
      <w:r>
        <w:rPr>
          <w:rFonts w:hint="eastAsia" w:ascii="宋体" w:hAnsi="宋体" w:eastAsia="宋体" w:cs="@仿宋_GB2312"/>
          <w:color w:val="000000"/>
          <w:sz w:val="24"/>
          <w:szCs w:val="18"/>
          <w:highlight w:val="none"/>
        </w:rPr>
        <w:t>政府采购进口产品管理办法</w:t>
      </w:r>
      <w:r>
        <w:rPr>
          <w:rFonts w:ascii="宋体" w:hAnsi="宋体" w:eastAsia="宋体" w:cs="@仿宋_GB2312"/>
          <w:color w:val="000000"/>
          <w:sz w:val="24"/>
          <w:szCs w:val="18"/>
          <w:highlight w:val="none"/>
        </w:rPr>
        <w:t>》及政府采购管理部门的相关规定，下列采购需求中</w:t>
      </w:r>
      <w:r>
        <w:rPr>
          <w:rFonts w:hint="eastAsia" w:ascii="宋体" w:hAnsi="宋体" w:eastAsia="宋体" w:cs="@仿宋_GB2312"/>
          <w:color w:val="000000"/>
          <w:sz w:val="24"/>
          <w:szCs w:val="18"/>
          <w:highlight w:val="none"/>
        </w:rPr>
        <w:t>标注进口产品的货物均</w:t>
      </w:r>
      <w:r>
        <w:rPr>
          <w:rFonts w:ascii="宋体" w:hAnsi="宋体" w:eastAsia="宋体" w:cs="@仿宋_GB2312"/>
          <w:color w:val="000000"/>
          <w:sz w:val="24"/>
          <w:szCs w:val="18"/>
          <w:highlight w:val="none"/>
        </w:rPr>
        <w:t>已履行相关论证手续，经核准采购进口</w:t>
      </w:r>
      <w:r>
        <w:rPr>
          <w:rFonts w:hint="eastAsia" w:ascii="宋体" w:hAnsi="宋体" w:eastAsia="宋体" w:cs="@仿宋_GB2312"/>
          <w:color w:val="000000"/>
          <w:sz w:val="24"/>
          <w:szCs w:val="18"/>
          <w:highlight w:val="none"/>
        </w:rPr>
        <w:t>产品</w:t>
      </w:r>
      <w:r>
        <w:rPr>
          <w:rFonts w:ascii="宋体" w:hAnsi="宋体" w:eastAsia="宋体" w:cs="@仿宋_GB2312"/>
          <w:color w:val="000000"/>
          <w:sz w:val="24"/>
          <w:szCs w:val="18"/>
          <w:highlight w:val="none"/>
        </w:rPr>
        <w:t>，但不限制满足招标文件要求的国内产品参与竞争</w:t>
      </w:r>
      <w:r>
        <w:rPr>
          <w:rFonts w:hint="eastAsia" w:ascii="宋体" w:hAnsi="宋体" w:eastAsia="宋体" w:cs="@仿宋_GB2312"/>
          <w:color w:val="000000"/>
          <w:sz w:val="24"/>
          <w:szCs w:val="18"/>
          <w:highlight w:val="none"/>
        </w:rPr>
        <w:t>。未标注进口产品的货物均</w:t>
      </w:r>
      <w:r>
        <w:rPr>
          <w:rFonts w:ascii="宋体" w:hAnsi="宋体" w:eastAsia="宋体" w:cs="@仿宋_GB2312"/>
          <w:color w:val="000000"/>
          <w:sz w:val="24"/>
          <w:szCs w:val="18"/>
          <w:highlight w:val="none"/>
        </w:rPr>
        <w:t>为拒绝采购进口产品</w:t>
      </w:r>
      <w:r>
        <w:rPr>
          <w:rFonts w:hint="eastAsia" w:ascii="宋体" w:hAnsi="宋体" w:eastAsia="宋体" w:cs="@仿宋_GB2312"/>
          <w:color w:val="000000"/>
          <w:sz w:val="24"/>
          <w:szCs w:val="18"/>
          <w:highlight w:val="none"/>
        </w:rPr>
        <w:t>。</w:t>
      </w:r>
    </w:p>
    <w:p w14:paraId="3D19009F">
      <w:pPr>
        <w:spacing w:line="360" w:lineRule="auto"/>
        <w:ind w:firstLine="435"/>
        <w:rPr>
          <w:rFonts w:hint="eastAsia" w:ascii="宋体" w:hAnsi="宋体" w:eastAsia="宋体" w:cs="@仿宋_GB2312"/>
          <w:color w:val="000000"/>
          <w:sz w:val="24"/>
          <w:szCs w:val="18"/>
          <w:highlight w:val="none"/>
        </w:rPr>
      </w:pPr>
      <w:r>
        <w:rPr>
          <w:rFonts w:hint="eastAsia" w:ascii="宋体" w:hAnsi="宋体" w:eastAsia="宋体" w:cs="@仿宋_GB2312"/>
          <w:color w:val="000000"/>
          <w:sz w:val="24"/>
          <w:szCs w:val="18"/>
          <w:highlight w:val="none"/>
        </w:rPr>
        <w:t>2</w:t>
      </w:r>
      <w:r>
        <w:rPr>
          <w:rFonts w:hint="eastAsia" w:ascii="宋体" w:hAnsi="宋体" w:eastAsia="宋体" w:cs="@仿宋_GB2312"/>
          <w:color w:val="000000"/>
          <w:sz w:val="24"/>
          <w:szCs w:val="18"/>
          <w:highlight w:val="none"/>
          <w:lang w:eastAsia="zh-CN"/>
        </w:rPr>
        <w:t>.</w:t>
      </w:r>
      <w:r>
        <w:rPr>
          <w:rFonts w:ascii="宋体" w:hAnsi="宋体" w:eastAsia="宋体" w:cs="宋体"/>
          <w:color w:val="000000"/>
          <w:sz w:val="24"/>
          <w:szCs w:val="24"/>
          <w:highlight w:val="none"/>
        </w:rPr>
        <w:t>政府采购政策（包括但不限于下列具体政策要求</w:t>
      </w:r>
      <w:r>
        <w:rPr>
          <w:rFonts w:hint="eastAsia" w:ascii="宋体" w:hAnsi="宋体" w:eastAsia="宋体" w:cs="宋体"/>
          <w:color w:val="000000"/>
          <w:sz w:val="24"/>
          <w:szCs w:val="24"/>
          <w:highlight w:val="none"/>
          <w:lang w:eastAsia="zh-CN"/>
        </w:rPr>
        <w:t>）</w:t>
      </w:r>
      <w:r>
        <w:rPr>
          <w:rFonts w:hint="eastAsia" w:ascii="宋体" w:hAnsi="宋体" w:eastAsia="宋体" w:cs="@仿宋_GB2312"/>
          <w:color w:val="000000"/>
          <w:sz w:val="24"/>
          <w:szCs w:val="18"/>
          <w:highlight w:val="none"/>
        </w:rPr>
        <w:t>：</w:t>
      </w:r>
    </w:p>
    <w:p w14:paraId="471EC60B">
      <w:pPr>
        <w:spacing w:line="360" w:lineRule="auto"/>
        <w:ind w:firstLine="435"/>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99BB425">
      <w:pPr>
        <w:spacing w:line="360" w:lineRule="auto"/>
        <w:ind w:firstLine="43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1C7F3E8">
      <w:pPr>
        <w:spacing w:line="360" w:lineRule="auto"/>
        <w:ind w:firstLine="435"/>
        <w:rPr>
          <w:rFonts w:hint="eastAsia" w:ascii="宋体" w:hAnsi="宋体" w:eastAsia="宋体" w:cs="@仿宋_GB2312"/>
          <w:color w:val="000000"/>
          <w:sz w:val="24"/>
          <w:szCs w:val="18"/>
          <w:highlight w:val="none"/>
        </w:rPr>
      </w:pPr>
      <w:r>
        <w:rPr>
          <w:rFonts w:hint="eastAsia" w:ascii="宋体" w:hAnsi="宋体" w:eastAsia="宋体" w:cs="宋体"/>
          <w:color w:val="000000"/>
          <w:sz w:val="24"/>
          <w:szCs w:val="24"/>
          <w:highlight w:val="none"/>
          <w:lang w:val="en-US" w:eastAsia="zh-CN"/>
        </w:rPr>
        <w:t>3.</w:t>
      </w:r>
      <w:r>
        <w:rPr>
          <w:rFonts w:hint="eastAsia" w:ascii="宋体" w:hAnsi="宋体" w:eastAsia="宋体" w:cs="@仿宋_GB2312"/>
          <w:color w:val="000000"/>
          <w:sz w:val="24"/>
          <w:szCs w:val="18"/>
          <w:highlight w:val="none"/>
        </w:rPr>
        <w:t>如采购人允许采用分包方式履行合同的，应当明确可以分包履行的相关内容。</w:t>
      </w:r>
    </w:p>
    <w:p w14:paraId="0A603A90">
      <w:pPr>
        <w:spacing w:line="360" w:lineRule="auto"/>
        <w:ind w:firstLine="435"/>
        <w:rPr>
          <w:rFonts w:hint="default" w:ascii="宋体" w:hAnsi="宋体" w:eastAsia="宋体" w:cs="@仿宋_GB2312"/>
          <w:color w:val="000000"/>
          <w:sz w:val="24"/>
          <w:szCs w:val="18"/>
          <w:highlight w:val="none"/>
          <w:lang w:val="en-US" w:eastAsia="zh-CN"/>
        </w:rPr>
      </w:pPr>
      <w:r>
        <w:rPr>
          <w:rFonts w:hint="eastAsia" w:ascii="宋体" w:hAnsi="宋体" w:eastAsia="宋体" w:cs="@仿宋_GB2312"/>
          <w:color w:val="000000"/>
          <w:sz w:val="24"/>
          <w:szCs w:val="18"/>
          <w:highlight w:val="none"/>
          <w:lang w:val="en-US" w:eastAsia="zh-CN"/>
        </w:rPr>
        <w:t>4.下列采购需求中：标注▲的产品为核心产品（主要中标标的）。</w:t>
      </w:r>
    </w:p>
    <w:p w14:paraId="30B0ED33">
      <w:pPr>
        <w:spacing w:line="360" w:lineRule="auto"/>
        <w:ind w:firstLine="437"/>
        <w:outlineLvl w:val="1"/>
        <w:rPr>
          <w:rFonts w:ascii="宋体" w:hAnsi="宋体" w:eastAsia="宋体" w:cs="@仿宋_GB2312"/>
          <w:b/>
          <w:color w:val="000000"/>
          <w:sz w:val="24"/>
          <w:szCs w:val="18"/>
          <w:highlight w:val="none"/>
        </w:rPr>
      </w:pPr>
      <w:bookmarkStart w:id="1" w:name="_Toc32151"/>
      <w:bookmarkStart w:id="2" w:name="_Toc2554"/>
      <w:r>
        <w:rPr>
          <w:rFonts w:hint="eastAsia" w:ascii="宋体" w:hAnsi="宋体" w:eastAsia="宋体" w:cs="@仿宋_GB2312"/>
          <w:b/>
          <w:color w:val="000000"/>
          <w:sz w:val="24"/>
          <w:szCs w:val="18"/>
          <w:highlight w:val="none"/>
        </w:rPr>
        <w:t>一、采购需求前附表</w:t>
      </w:r>
      <w:bookmarkEnd w:id="1"/>
      <w:bookmarkEnd w:id="2"/>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3BA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F188398">
            <w:pPr>
              <w:keepNext w:val="0"/>
              <w:keepLines w:val="0"/>
              <w:pageBreakBefore w:val="0"/>
              <w:widowControl w:val="0"/>
              <w:pBdr>
                <w:bottom w:val="none" w:color="auto" w:sz="0" w:space="0"/>
              </w:pBdr>
              <w:kinsoku/>
              <w:wordWrap/>
              <w:overflowPunct/>
              <w:topLinePunct w:val="0"/>
              <w:autoSpaceDE/>
              <w:autoSpaceDN/>
              <w:bidi w:val="0"/>
              <w:adjustRightInd/>
              <w:snapToGrid/>
              <w:spacing w:line="360" w:lineRule="auto"/>
              <w:jc w:val="center"/>
              <w:textAlignment w:val="auto"/>
              <w:rPr>
                <w:rFonts w:ascii="宋体" w:hAnsi="宋体" w:eastAsia="宋体" w:cs="@仿宋_GB2312"/>
                <w:b/>
                <w:color w:val="000000"/>
                <w:kern w:val="2"/>
                <w:sz w:val="24"/>
                <w:szCs w:val="20"/>
                <w:highlight w:val="none"/>
                <w:lang w:val="en-US" w:eastAsia="zh-CN" w:bidi="ar-SA"/>
              </w:rPr>
            </w:pPr>
            <w:r>
              <w:rPr>
                <w:rFonts w:hint="eastAsia" w:ascii="宋体" w:hAnsi="宋体" w:eastAsia="宋体" w:cs="@仿宋_GB2312"/>
                <w:b/>
                <w:color w:val="000000"/>
                <w:kern w:val="2"/>
                <w:sz w:val="24"/>
                <w:szCs w:val="20"/>
                <w:highlight w:val="none"/>
                <w:lang w:val="en-US" w:eastAsia="zh-CN" w:bidi="ar-SA"/>
              </w:rPr>
              <w:t>序号</w:t>
            </w:r>
          </w:p>
        </w:tc>
        <w:tc>
          <w:tcPr>
            <w:tcW w:w="1192" w:type="pct"/>
            <w:vAlign w:val="center"/>
          </w:tcPr>
          <w:p w14:paraId="200C6B67">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hAnsi="宋体" w:eastAsia="宋体" w:cs="@仿宋_GB2312"/>
                <w:b/>
                <w:bCs w:val="0"/>
                <w:color w:val="000000"/>
                <w:kern w:val="0"/>
                <w:sz w:val="24"/>
                <w:szCs w:val="28"/>
                <w:highlight w:val="none"/>
                <w:lang w:val="en-US" w:eastAsia="zh-CN" w:bidi="ar-SA"/>
              </w:rPr>
            </w:pPr>
            <w:r>
              <w:rPr>
                <w:rFonts w:hint="eastAsia" w:ascii="宋体" w:hAnsi="宋体" w:eastAsia="宋体" w:cs="@仿宋_GB2312"/>
                <w:b/>
                <w:bCs w:val="0"/>
                <w:color w:val="000000"/>
                <w:kern w:val="0"/>
                <w:sz w:val="24"/>
                <w:szCs w:val="28"/>
                <w:highlight w:val="none"/>
                <w:lang w:val="en-US" w:eastAsia="zh-CN" w:bidi="ar-SA"/>
              </w:rPr>
              <w:t>条款名称</w:t>
            </w:r>
          </w:p>
        </w:tc>
        <w:tc>
          <w:tcPr>
            <w:tcW w:w="3217" w:type="pct"/>
            <w:vAlign w:val="center"/>
          </w:tcPr>
          <w:p w14:paraId="1E08E055">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hAnsi="宋体" w:eastAsia="宋体" w:cs="@仿宋_GB2312"/>
                <w:b/>
                <w:bCs w:val="0"/>
                <w:color w:val="000000"/>
                <w:kern w:val="0"/>
                <w:sz w:val="24"/>
                <w:szCs w:val="28"/>
                <w:highlight w:val="none"/>
                <w:lang w:val="en-US" w:eastAsia="zh-CN" w:bidi="ar-SA"/>
              </w:rPr>
            </w:pPr>
            <w:r>
              <w:rPr>
                <w:rFonts w:hint="eastAsia" w:ascii="宋体" w:hAnsi="宋体" w:eastAsia="宋体" w:cs="@仿宋_GB2312"/>
                <w:b/>
                <w:bCs w:val="0"/>
                <w:color w:val="000000"/>
                <w:kern w:val="0"/>
                <w:sz w:val="24"/>
                <w:szCs w:val="28"/>
                <w:highlight w:val="none"/>
                <w:lang w:val="en-US" w:eastAsia="zh-CN" w:bidi="ar-SA"/>
              </w:rPr>
              <w:t>内容、说明与要求</w:t>
            </w:r>
          </w:p>
        </w:tc>
      </w:tr>
      <w:tr w14:paraId="20C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4D6A7A7">
            <w:pPr>
              <w:keepNext w:val="0"/>
              <w:keepLines w:val="0"/>
              <w:pageBreakBefore w:val="0"/>
              <w:widowControl w:val="0"/>
              <w:pBdr>
                <w:bottom w:val="none" w:color="auto" w:sz="0" w:space="0"/>
              </w:pBdr>
              <w:kinsoku/>
              <w:wordWrap/>
              <w:overflowPunct/>
              <w:topLinePunct w:val="0"/>
              <w:autoSpaceDE/>
              <w:autoSpaceDN/>
              <w:bidi w:val="0"/>
              <w:adjustRightInd/>
              <w:snapToGrid/>
              <w:spacing w:line="360" w:lineRule="auto"/>
              <w:jc w:val="center"/>
              <w:textAlignment w:val="auto"/>
              <w:rPr>
                <w:rFonts w:ascii="宋体" w:hAnsi="宋体" w:eastAsia="宋体" w:cs="@仿宋_GB2312"/>
                <w:bCs/>
                <w:color w:val="000000"/>
                <w:kern w:val="2"/>
                <w:sz w:val="24"/>
                <w:szCs w:val="20"/>
                <w:highlight w:val="none"/>
                <w:lang w:val="en-US" w:eastAsia="zh-CN" w:bidi="ar-SA"/>
              </w:rPr>
            </w:pPr>
            <w:r>
              <w:rPr>
                <w:rFonts w:hint="eastAsia" w:ascii="宋体" w:hAnsi="宋体" w:eastAsia="宋体" w:cs="@仿宋_GB2312"/>
                <w:bCs/>
                <w:color w:val="000000"/>
                <w:kern w:val="2"/>
                <w:sz w:val="24"/>
                <w:szCs w:val="20"/>
                <w:highlight w:val="none"/>
                <w:lang w:val="en-US" w:eastAsia="zh-CN" w:bidi="ar-SA"/>
              </w:rPr>
              <w:t>1</w:t>
            </w:r>
          </w:p>
        </w:tc>
        <w:tc>
          <w:tcPr>
            <w:tcW w:w="1192" w:type="pct"/>
            <w:vAlign w:val="center"/>
          </w:tcPr>
          <w:p w14:paraId="7EA999D1">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hAnsi="宋体" w:eastAsia="宋体" w:cs="@仿宋_GB2312"/>
                <w:b w:val="0"/>
                <w:bCs/>
                <w:color w:val="000000"/>
                <w:kern w:val="0"/>
                <w:sz w:val="24"/>
                <w:szCs w:val="28"/>
                <w:highlight w:val="none"/>
                <w:lang w:val="en-US" w:eastAsia="zh-CN" w:bidi="ar-SA"/>
              </w:rPr>
            </w:pPr>
            <w:r>
              <w:rPr>
                <w:rFonts w:hint="eastAsia" w:ascii="宋体" w:hAnsi="宋体" w:eastAsia="宋体" w:cs="@仿宋_GB2312"/>
                <w:b w:val="0"/>
                <w:bCs/>
                <w:color w:val="000000"/>
                <w:kern w:val="0"/>
                <w:sz w:val="24"/>
                <w:szCs w:val="28"/>
                <w:highlight w:val="none"/>
                <w:lang w:val="en-US" w:eastAsia="zh-CN" w:bidi="ar-SA"/>
              </w:rPr>
              <w:t>付款方式</w:t>
            </w:r>
          </w:p>
        </w:tc>
        <w:tc>
          <w:tcPr>
            <w:tcW w:w="3217" w:type="pct"/>
            <w:vAlign w:val="center"/>
          </w:tcPr>
          <w:p w14:paraId="62B8C4E7">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cs="@仿宋_GB2312"/>
                <w:b w:val="0"/>
                <w:bCs/>
                <w:color w:val="000000"/>
                <w:kern w:val="0"/>
                <w:sz w:val="24"/>
                <w:szCs w:val="28"/>
                <w:highlight w:val="none"/>
                <w:u w:val="none"/>
                <w:lang w:val="en-US" w:eastAsia="zh-CN" w:bidi="ar-SA"/>
              </w:rPr>
            </w:pPr>
            <w:r>
              <w:rPr>
                <w:rFonts w:hint="eastAsia" w:ascii="宋体" w:hAnsi="宋体" w:eastAsia="宋体" w:cs="@仿宋_GB2312"/>
                <w:b w:val="0"/>
                <w:bCs/>
                <w:color w:val="000000"/>
                <w:kern w:val="0"/>
                <w:sz w:val="24"/>
                <w:szCs w:val="28"/>
                <w:highlight w:val="none"/>
                <w:u w:val="none"/>
                <w:lang w:val="en-US" w:eastAsia="zh-CN" w:bidi="ar-SA"/>
              </w:rPr>
              <w:t>验收合格后一次性支付合同价款。</w:t>
            </w:r>
          </w:p>
        </w:tc>
      </w:tr>
      <w:tr w14:paraId="54B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BFF4145">
            <w:pPr>
              <w:keepNext w:val="0"/>
              <w:keepLines w:val="0"/>
              <w:pageBreakBefore w:val="0"/>
              <w:widowControl w:val="0"/>
              <w:pBdr>
                <w:bottom w:val="none" w:color="auto" w:sz="0" w:space="0"/>
              </w:pBdr>
              <w:kinsoku/>
              <w:wordWrap/>
              <w:overflowPunct/>
              <w:topLinePunct w:val="0"/>
              <w:autoSpaceDE/>
              <w:autoSpaceDN/>
              <w:bidi w:val="0"/>
              <w:adjustRightInd/>
              <w:snapToGrid/>
              <w:spacing w:line="360" w:lineRule="auto"/>
              <w:jc w:val="center"/>
              <w:textAlignment w:val="auto"/>
              <w:rPr>
                <w:rFonts w:ascii="宋体" w:hAnsi="宋体" w:eastAsia="宋体" w:cs="@仿宋_GB2312"/>
                <w:bCs/>
                <w:color w:val="000000"/>
                <w:kern w:val="2"/>
                <w:sz w:val="24"/>
                <w:szCs w:val="20"/>
                <w:highlight w:val="none"/>
                <w:lang w:val="en-US" w:eastAsia="zh-CN" w:bidi="ar-SA"/>
              </w:rPr>
            </w:pPr>
            <w:r>
              <w:rPr>
                <w:rFonts w:hint="eastAsia" w:ascii="宋体" w:hAnsi="宋体" w:eastAsia="宋体" w:cs="@仿宋_GB2312"/>
                <w:bCs/>
                <w:color w:val="000000"/>
                <w:kern w:val="2"/>
                <w:sz w:val="24"/>
                <w:szCs w:val="20"/>
                <w:highlight w:val="none"/>
                <w:lang w:val="en-US" w:eastAsia="zh-CN" w:bidi="ar-SA"/>
              </w:rPr>
              <w:t>2</w:t>
            </w:r>
          </w:p>
        </w:tc>
        <w:tc>
          <w:tcPr>
            <w:tcW w:w="1192" w:type="pct"/>
            <w:vAlign w:val="center"/>
          </w:tcPr>
          <w:p w14:paraId="400801A7">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hAnsi="宋体" w:eastAsia="宋体" w:cs="@仿宋_GB2312"/>
                <w:b w:val="0"/>
                <w:bCs/>
                <w:color w:val="000000"/>
                <w:kern w:val="0"/>
                <w:sz w:val="24"/>
                <w:szCs w:val="28"/>
                <w:highlight w:val="none"/>
                <w:lang w:val="en-US" w:eastAsia="zh-CN" w:bidi="ar-SA"/>
              </w:rPr>
            </w:pPr>
            <w:r>
              <w:rPr>
                <w:rFonts w:hint="eastAsia" w:ascii="宋体" w:hAnsi="宋体" w:eastAsia="宋体" w:cs="@仿宋_GB2312"/>
                <w:b w:val="0"/>
                <w:bCs/>
                <w:color w:val="000000"/>
                <w:kern w:val="0"/>
                <w:sz w:val="24"/>
                <w:szCs w:val="28"/>
                <w:highlight w:val="none"/>
                <w:lang w:val="en-US" w:eastAsia="zh-CN" w:bidi="ar-SA"/>
              </w:rPr>
              <w:t>供货及安装地点</w:t>
            </w:r>
          </w:p>
        </w:tc>
        <w:tc>
          <w:tcPr>
            <w:tcW w:w="3217" w:type="pct"/>
            <w:vAlign w:val="center"/>
          </w:tcPr>
          <w:p w14:paraId="008E1630">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cs="@仿宋_GB2312"/>
                <w:b w:val="0"/>
                <w:bCs/>
                <w:color w:val="000000"/>
                <w:kern w:val="0"/>
                <w:sz w:val="24"/>
                <w:szCs w:val="28"/>
                <w:highlight w:val="none"/>
                <w:u w:val="none"/>
                <w:lang w:val="en-US" w:eastAsia="zh-CN" w:bidi="ar-SA"/>
              </w:rPr>
            </w:pPr>
            <w:r>
              <w:rPr>
                <w:rFonts w:hint="eastAsia" w:ascii="宋体" w:hAnsi="宋体" w:eastAsia="宋体" w:cs="@仿宋_GB2312"/>
                <w:b w:val="0"/>
                <w:bCs/>
                <w:color w:val="000000"/>
                <w:kern w:val="0"/>
                <w:sz w:val="24"/>
                <w:szCs w:val="28"/>
                <w:highlight w:val="none"/>
                <w:u w:val="none"/>
                <w:lang w:val="en-US" w:eastAsia="zh-CN" w:bidi="ar-SA"/>
              </w:rPr>
              <w:t>阜阳师范大学，采购人指定地点。</w:t>
            </w:r>
          </w:p>
        </w:tc>
      </w:tr>
      <w:tr w14:paraId="453D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9C64E8A">
            <w:pPr>
              <w:keepNext w:val="0"/>
              <w:keepLines w:val="0"/>
              <w:pageBreakBefore w:val="0"/>
              <w:widowControl w:val="0"/>
              <w:pBdr>
                <w:bottom w:val="none" w:color="auto" w:sz="0" w:space="0"/>
              </w:pBdr>
              <w:kinsoku/>
              <w:wordWrap/>
              <w:overflowPunct/>
              <w:topLinePunct w:val="0"/>
              <w:autoSpaceDE/>
              <w:autoSpaceDN/>
              <w:bidi w:val="0"/>
              <w:adjustRightInd/>
              <w:snapToGrid/>
              <w:spacing w:line="360" w:lineRule="auto"/>
              <w:jc w:val="center"/>
              <w:textAlignment w:val="auto"/>
              <w:rPr>
                <w:rFonts w:ascii="宋体" w:hAnsi="宋体" w:eastAsia="宋体" w:cs="@仿宋_GB2312"/>
                <w:bCs/>
                <w:color w:val="000000"/>
                <w:kern w:val="2"/>
                <w:sz w:val="24"/>
                <w:szCs w:val="20"/>
                <w:highlight w:val="none"/>
                <w:lang w:val="en-US" w:eastAsia="zh-CN" w:bidi="ar-SA"/>
              </w:rPr>
            </w:pPr>
            <w:r>
              <w:rPr>
                <w:rFonts w:hint="eastAsia" w:ascii="宋体" w:hAnsi="宋体" w:eastAsia="宋体" w:cs="@仿宋_GB2312"/>
                <w:bCs/>
                <w:color w:val="000000"/>
                <w:kern w:val="2"/>
                <w:sz w:val="24"/>
                <w:szCs w:val="20"/>
                <w:highlight w:val="none"/>
                <w:lang w:val="en-US" w:eastAsia="zh-CN" w:bidi="ar-SA"/>
              </w:rPr>
              <w:t>3</w:t>
            </w:r>
          </w:p>
        </w:tc>
        <w:tc>
          <w:tcPr>
            <w:tcW w:w="1192" w:type="pct"/>
            <w:vAlign w:val="center"/>
          </w:tcPr>
          <w:p w14:paraId="28D0729D">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hAnsi="宋体" w:eastAsia="宋体" w:cs="@仿宋_GB2312"/>
                <w:b w:val="0"/>
                <w:bCs/>
                <w:color w:val="000000"/>
                <w:kern w:val="0"/>
                <w:sz w:val="24"/>
                <w:szCs w:val="28"/>
                <w:highlight w:val="none"/>
                <w:lang w:val="en-US" w:eastAsia="zh-CN" w:bidi="ar-SA"/>
              </w:rPr>
            </w:pPr>
            <w:r>
              <w:rPr>
                <w:rFonts w:hint="eastAsia" w:ascii="宋体" w:hAnsi="宋体" w:eastAsia="宋体" w:cs="@仿宋_GB2312"/>
                <w:b w:val="0"/>
                <w:bCs/>
                <w:color w:val="000000"/>
                <w:kern w:val="0"/>
                <w:sz w:val="24"/>
                <w:szCs w:val="28"/>
                <w:highlight w:val="none"/>
                <w:lang w:val="en-US" w:eastAsia="zh-CN" w:bidi="ar-SA"/>
              </w:rPr>
              <w:t>供货及安装期限</w:t>
            </w:r>
          </w:p>
        </w:tc>
        <w:tc>
          <w:tcPr>
            <w:tcW w:w="3217" w:type="pct"/>
            <w:vAlign w:val="center"/>
          </w:tcPr>
          <w:p w14:paraId="64A45A16">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cs="@仿宋_GB2312"/>
                <w:b w:val="0"/>
                <w:bCs/>
                <w:color w:val="000000"/>
                <w:kern w:val="0"/>
                <w:sz w:val="24"/>
                <w:szCs w:val="28"/>
                <w:highlight w:val="none"/>
                <w:u w:val="none"/>
                <w:lang w:val="en-US" w:eastAsia="zh-CN" w:bidi="ar-SA"/>
              </w:rPr>
            </w:pPr>
            <w:r>
              <w:rPr>
                <w:rFonts w:hint="eastAsia" w:ascii="宋体" w:hAnsi="宋体" w:eastAsia="宋体" w:cs="@仿宋_GB2312"/>
                <w:b w:val="0"/>
                <w:bCs/>
                <w:color w:val="000000"/>
                <w:kern w:val="0"/>
                <w:sz w:val="24"/>
                <w:szCs w:val="28"/>
                <w:highlight w:val="none"/>
                <w:u w:val="none"/>
                <w:lang w:val="en-US" w:eastAsia="zh-CN" w:bidi="ar-SA"/>
              </w:rPr>
              <w:t>合同生效，接采购人通知后 45日历日内完成供货、安装、调试并交付使用。</w:t>
            </w:r>
          </w:p>
        </w:tc>
      </w:tr>
      <w:tr w14:paraId="16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A86A6BE">
            <w:pPr>
              <w:keepNext w:val="0"/>
              <w:keepLines w:val="0"/>
              <w:pageBreakBefore w:val="0"/>
              <w:widowControl w:val="0"/>
              <w:pBdr>
                <w:bottom w:val="none" w:color="auto" w:sz="0" w:space="0"/>
              </w:pBdr>
              <w:kinsoku/>
              <w:wordWrap/>
              <w:overflowPunct/>
              <w:topLinePunct w:val="0"/>
              <w:autoSpaceDE/>
              <w:autoSpaceDN/>
              <w:bidi w:val="0"/>
              <w:adjustRightInd/>
              <w:snapToGrid/>
              <w:spacing w:line="360" w:lineRule="auto"/>
              <w:jc w:val="center"/>
              <w:textAlignment w:val="auto"/>
              <w:rPr>
                <w:rFonts w:ascii="宋体" w:hAnsi="宋体" w:eastAsia="宋体" w:cs="@仿宋_GB2312"/>
                <w:bCs/>
                <w:color w:val="000000"/>
                <w:kern w:val="2"/>
                <w:sz w:val="24"/>
                <w:szCs w:val="20"/>
                <w:highlight w:val="none"/>
                <w:lang w:val="en-US" w:eastAsia="zh-CN" w:bidi="ar-SA"/>
              </w:rPr>
            </w:pPr>
            <w:r>
              <w:rPr>
                <w:rFonts w:hint="eastAsia" w:ascii="宋体" w:hAnsi="宋体" w:eastAsia="宋体" w:cs="@仿宋_GB2312"/>
                <w:bCs/>
                <w:color w:val="000000"/>
                <w:kern w:val="2"/>
                <w:sz w:val="24"/>
                <w:szCs w:val="20"/>
                <w:highlight w:val="none"/>
                <w:lang w:val="en-US" w:eastAsia="zh-CN" w:bidi="ar-SA"/>
              </w:rPr>
              <w:t>4</w:t>
            </w:r>
          </w:p>
        </w:tc>
        <w:tc>
          <w:tcPr>
            <w:tcW w:w="1192" w:type="pct"/>
            <w:vAlign w:val="center"/>
          </w:tcPr>
          <w:p w14:paraId="6BA5A37C">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hAnsi="宋体" w:eastAsia="宋体" w:cs="@仿宋_GB2312"/>
                <w:b w:val="0"/>
                <w:bCs/>
                <w:color w:val="000000"/>
                <w:kern w:val="0"/>
                <w:sz w:val="24"/>
                <w:szCs w:val="28"/>
                <w:highlight w:val="none"/>
                <w:lang w:val="en-US" w:eastAsia="zh-CN" w:bidi="ar-SA"/>
              </w:rPr>
            </w:pPr>
            <w:r>
              <w:rPr>
                <w:rFonts w:hint="eastAsia" w:ascii="宋体" w:hAnsi="宋体" w:eastAsia="宋体" w:cs="@仿宋_GB2312"/>
                <w:b w:val="0"/>
                <w:bCs/>
                <w:color w:val="000000"/>
                <w:kern w:val="0"/>
                <w:sz w:val="24"/>
                <w:szCs w:val="28"/>
                <w:highlight w:val="none"/>
                <w:lang w:val="en-US" w:eastAsia="zh-CN" w:bidi="ar-SA"/>
              </w:rPr>
              <w:t>免费质保期</w:t>
            </w:r>
          </w:p>
        </w:tc>
        <w:tc>
          <w:tcPr>
            <w:tcW w:w="3217" w:type="pct"/>
            <w:vAlign w:val="center"/>
          </w:tcPr>
          <w:p w14:paraId="0D94A51E">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cs="@仿宋_GB2312"/>
                <w:b w:val="0"/>
                <w:bCs/>
                <w:color w:val="000000"/>
                <w:kern w:val="0"/>
                <w:sz w:val="24"/>
                <w:szCs w:val="28"/>
                <w:highlight w:val="none"/>
                <w:u w:val="none"/>
                <w:lang w:val="en-US" w:eastAsia="zh-CN" w:bidi="ar-SA"/>
              </w:rPr>
            </w:pPr>
            <w:r>
              <w:rPr>
                <w:rFonts w:hint="eastAsia" w:ascii="宋体" w:hAnsi="宋体" w:eastAsia="宋体" w:cs="@仿宋_GB2312"/>
                <w:b w:val="0"/>
                <w:bCs/>
                <w:color w:val="000000"/>
                <w:kern w:val="0"/>
                <w:sz w:val="24"/>
                <w:szCs w:val="28"/>
                <w:highlight w:val="none"/>
                <w:u w:val="none"/>
                <w:lang w:val="en-US" w:eastAsia="zh-CN" w:bidi="ar-SA"/>
              </w:rPr>
              <w:t>验收合格之日起硬件部分不少于2年免费质保、软件部分不少于20年免费质保（含免费升级），采购需求中有特殊要求的，以货物需求表中为准。</w:t>
            </w:r>
          </w:p>
        </w:tc>
      </w:tr>
    </w:tbl>
    <w:p w14:paraId="608ADC2B">
      <w:pPr>
        <w:spacing w:line="360" w:lineRule="auto"/>
        <w:ind w:firstLine="437"/>
        <w:outlineLvl w:val="1"/>
        <w:rPr>
          <w:rFonts w:hint="eastAsia" w:ascii="宋体" w:hAnsi="宋体" w:eastAsia="宋体" w:cs="@仿宋_GB2312"/>
          <w:b/>
          <w:bCs/>
          <w:color w:val="000000"/>
          <w:sz w:val="24"/>
          <w:szCs w:val="18"/>
          <w:highlight w:val="none"/>
        </w:rPr>
      </w:pPr>
      <w:bookmarkStart w:id="3" w:name="_Toc7671"/>
      <w:bookmarkStart w:id="4" w:name="_Toc5944"/>
    </w:p>
    <w:p w14:paraId="3E806DB2">
      <w:pPr>
        <w:spacing w:line="360" w:lineRule="auto"/>
        <w:ind w:firstLine="437"/>
        <w:outlineLvl w:val="1"/>
        <w:rPr>
          <w:rFonts w:hint="eastAsia" w:ascii="宋体" w:hAnsi="宋体" w:eastAsia="宋体" w:cs="@仿宋_GB2312"/>
          <w:b/>
          <w:bCs/>
          <w:color w:val="000000"/>
          <w:sz w:val="24"/>
          <w:szCs w:val="18"/>
          <w:highlight w:val="none"/>
        </w:rPr>
      </w:pPr>
      <w:r>
        <w:rPr>
          <w:rFonts w:hint="eastAsia" w:ascii="宋体" w:hAnsi="宋体" w:eastAsia="宋体" w:cs="@仿宋_GB2312"/>
          <w:b/>
          <w:bCs/>
          <w:color w:val="000000"/>
          <w:sz w:val="24"/>
          <w:szCs w:val="18"/>
          <w:highlight w:val="none"/>
        </w:rPr>
        <w:t>二、</w:t>
      </w:r>
      <w:r>
        <w:rPr>
          <w:rFonts w:hint="eastAsia" w:ascii="宋体" w:hAnsi="宋体" w:eastAsia="宋体" w:cs="@仿宋_GB2312"/>
          <w:b/>
          <w:color w:val="000000"/>
          <w:sz w:val="24"/>
          <w:szCs w:val="18"/>
          <w:highlight w:val="none"/>
        </w:rPr>
        <w:t>货物</w:t>
      </w:r>
      <w:r>
        <w:rPr>
          <w:rFonts w:hint="eastAsia" w:ascii="宋体" w:hAnsi="宋体" w:eastAsia="宋体" w:cs="@仿宋_GB2312"/>
          <w:b/>
          <w:bCs/>
          <w:color w:val="000000"/>
          <w:sz w:val="24"/>
          <w:szCs w:val="18"/>
          <w:highlight w:val="none"/>
        </w:rPr>
        <w:t>需求</w:t>
      </w:r>
      <w:bookmarkEnd w:id="3"/>
      <w:bookmarkEnd w:id="4"/>
    </w:p>
    <w:p w14:paraId="6C3D332C">
      <w:pPr>
        <w:widowControl/>
        <w:wordWrap/>
        <w:ind w:firstLine="482" w:firstLineChars="200"/>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（一）</w:t>
      </w:r>
      <w:r>
        <w:rPr>
          <w:rFonts w:hint="eastAsia" w:ascii="宋体" w:hAnsi="宋体" w:eastAsia="宋体" w:cs="宋体"/>
          <w:b/>
          <w:bCs/>
          <w:color w:val="000000"/>
          <w:sz w:val="24"/>
          <w:szCs w:val="24"/>
          <w:highlight w:val="none"/>
        </w:rPr>
        <w:t>标识符号</w:t>
      </w:r>
    </w:p>
    <w:tbl>
      <w:tblPr>
        <w:tblStyle w:val="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3F09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9E44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标识类型</w:t>
            </w:r>
          </w:p>
        </w:tc>
        <w:tc>
          <w:tcPr>
            <w:tcW w:w="1365" w:type="dxa"/>
            <w:noWrap w:val="0"/>
            <w:vAlign w:val="center"/>
          </w:tcPr>
          <w:p w14:paraId="5A1C0A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标识符号</w:t>
            </w:r>
          </w:p>
        </w:tc>
        <w:tc>
          <w:tcPr>
            <w:tcW w:w="5363" w:type="dxa"/>
            <w:noWrap w:val="0"/>
            <w:vAlign w:val="center"/>
          </w:tcPr>
          <w:p w14:paraId="144C8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标识符号含义</w:t>
            </w:r>
          </w:p>
        </w:tc>
      </w:tr>
      <w:tr w14:paraId="66BF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609B0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核心产品</w:t>
            </w:r>
          </w:p>
        </w:tc>
        <w:tc>
          <w:tcPr>
            <w:tcW w:w="1365" w:type="dxa"/>
            <w:shd w:val="clear" w:color="auto" w:fill="auto"/>
            <w:noWrap w:val="0"/>
            <w:vAlign w:val="center"/>
          </w:tcPr>
          <w:p w14:paraId="1DD53EF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w:t>
            </w:r>
          </w:p>
        </w:tc>
        <w:tc>
          <w:tcPr>
            <w:tcW w:w="5363" w:type="dxa"/>
            <w:shd w:val="clear" w:color="auto" w:fill="auto"/>
            <w:noWrap w:val="0"/>
            <w:vAlign w:val="center"/>
          </w:tcPr>
          <w:p w14:paraId="2067946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000000"/>
                <w:sz w:val="24"/>
                <w:szCs w:val="24"/>
                <w:highlight w:val="none"/>
              </w:rPr>
            </w:pPr>
            <w:r>
              <w:rPr>
                <w:rFonts w:hint="eastAsia" w:ascii="宋体" w:hAnsi="宋体" w:eastAsia="宋体" w:cs="宋体"/>
                <w:color w:val="000000"/>
                <w:kern w:val="2"/>
                <w:sz w:val="24"/>
                <w:szCs w:val="24"/>
                <w:highlight w:val="none"/>
                <w:lang w:val="en-US" w:eastAsia="zh-CN" w:bidi="ar"/>
              </w:rPr>
              <w:t>详见评标办法和标准。</w:t>
            </w:r>
          </w:p>
        </w:tc>
      </w:tr>
      <w:tr w14:paraId="7E0E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34063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rPr>
              <w:t>重要指标项</w:t>
            </w:r>
          </w:p>
        </w:tc>
        <w:tc>
          <w:tcPr>
            <w:tcW w:w="1365" w:type="dxa"/>
            <w:shd w:val="clear" w:color="auto" w:fill="auto"/>
            <w:noWrap w:val="0"/>
            <w:vAlign w:val="center"/>
          </w:tcPr>
          <w:p w14:paraId="761D9B8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color w:val="000000"/>
                <w:sz w:val="24"/>
                <w:szCs w:val="24"/>
                <w:highlight w:val="none"/>
              </w:rPr>
              <w:t>★</w:t>
            </w:r>
          </w:p>
        </w:tc>
        <w:tc>
          <w:tcPr>
            <w:tcW w:w="5363" w:type="dxa"/>
            <w:shd w:val="clear" w:color="auto" w:fill="auto"/>
            <w:noWrap w:val="0"/>
            <w:vAlign w:val="center"/>
          </w:tcPr>
          <w:p w14:paraId="4EF10B6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left"/>
              <w:textAlignment w:val="auto"/>
              <w:rPr>
                <w:rFonts w:hint="default"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sz w:val="24"/>
                <w:szCs w:val="24"/>
                <w:highlight w:val="none"/>
              </w:rPr>
              <w:t>评分项，</w:t>
            </w:r>
            <w:r>
              <w:rPr>
                <w:rFonts w:hint="eastAsia" w:ascii="宋体" w:hAnsi="宋体" w:eastAsia="宋体" w:cs="宋体"/>
                <w:color w:val="000000"/>
                <w:kern w:val="2"/>
                <w:sz w:val="24"/>
                <w:szCs w:val="24"/>
                <w:highlight w:val="none"/>
                <w:lang w:val="en-US" w:eastAsia="zh-CN" w:bidi="ar"/>
              </w:rPr>
              <w:t>详见评标办法和标准。</w:t>
            </w:r>
          </w:p>
        </w:tc>
      </w:tr>
      <w:tr w14:paraId="72D3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6708F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一般指标项</w:t>
            </w:r>
          </w:p>
        </w:tc>
        <w:tc>
          <w:tcPr>
            <w:tcW w:w="1365" w:type="dxa"/>
            <w:shd w:val="clear" w:color="auto" w:fill="auto"/>
            <w:noWrap w:val="0"/>
            <w:vAlign w:val="center"/>
          </w:tcPr>
          <w:p w14:paraId="34ECDC0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color w:val="000000"/>
                <w:sz w:val="24"/>
                <w:szCs w:val="24"/>
                <w:highlight w:val="none"/>
              </w:rPr>
            </w:pPr>
          </w:p>
        </w:tc>
        <w:tc>
          <w:tcPr>
            <w:tcW w:w="5363" w:type="dxa"/>
            <w:shd w:val="clear" w:color="auto" w:fill="auto"/>
            <w:noWrap w:val="0"/>
            <w:vAlign w:val="center"/>
          </w:tcPr>
          <w:p w14:paraId="6ACA072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符合性审查项，</w:t>
            </w:r>
            <w:r>
              <w:rPr>
                <w:rFonts w:hint="eastAsia" w:ascii="宋体" w:hAnsi="宋体" w:eastAsia="宋体" w:cs="宋体"/>
                <w:b/>
                <w:bCs w:val="0"/>
                <w:color w:val="000000"/>
                <w:kern w:val="2"/>
                <w:sz w:val="24"/>
                <w:szCs w:val="24"/>
                <w:highlight w:val="none"/>
                <w:lang w:val="en-US" w:eastAsia="zh-CN" w:bidi="ar-SA"/>
              </w:rPr>
              <w:t>该指标项最大允许负偏离</w:t>
            </w:r>
            <w:r>
              <w:rPr>
                <w:rFonts w:hint="eastAsia" w:ascii="宋体" w:hAnsi="宋体" w:eastAsia="宋体" w:cs="宋体"/>
                <w:b/>
                <w:bCs w:val="0"/>
                <w:color w:val="000000"/>
                <w:kern w:val="2"/>
                <w:sz w:val="24"/>
                <w:szCs w:val="24"/>
                <w:highlight w:val="none"/>
                <w:u w:val="single"/>
                <w:lang w:val="en-US" w:eastAsia="zh-CN" w:bidi="ar-SA"/>
              </w:rPr>
              <w:t xml:space="preserve"> 5 </w:t>
            </w:r>
            <w:r>
              <w:rPr>
                <w:rFonts w:hint="eastAsia" w:ascii="宋体" w:hAnsi="宋体" w:eastAsia="宋体" w:cs="宋体"/>
                <w:b/>
                <w:bCs w:val="0"/>
                <w:color w:val="000000"/>
                <w:kern w:val="2"/>
                <w:sz w:val="24"/>
                <w:szCs w:val="24"/>
                <w:highlight w:val="none"/>
                <w:lang w:val="en-US" w:eastAsia="zh-CN" w:bidi="ar-SA"/>
              </w:rPr>
              <w:t>项</w:t>
            </w:r>
            <w:r>
              <w:rPr>
                <w:rFonts w:hint="eastAsia" w:ascii="宋体" w:hAnsi="宋体" w:eastAsia="宋体" w:cs="宋体"/>
                <w:bCs/>
                <w:color w:val="000000"/>
                <w:kern w:val="2"/>
                <w:sz w:val="24"/>
                <w:szCs w:val="24"/>
                <w:highlight w:val="none"/>
                <w:lang w:val="en-US" w:eastAsia="zh-CN" w:bidi="ar-SA"/>
              </w:rPr>
              <w:t>，超过最大允许负偏离项数的，</w:t>
            </w:r>
            <w:r>
              <w:rPr>
                <w:rFonts w:hint="eastAsia" w:ascii="宋体" w:hAnsi="宋体" w:eastAsia="宋体" w:cs="宋体"/>
                <w:b/>
                <w:bCs w:val="0"/>
                <w:color w:val="000000"/>
                <w:kern w:val="2"/>
                <w:sz w:val="24"/>
                <w:szCs w:val="24"/>
                <w:highlight w:val="none"/>
                <w:lang w:val="en-US" w:eastAsia="zh-CN" w:bidi="ar-SA"/>
              </w:rPr>
              <w:t>投标无效</w:t>
            </w:r>
            <w:r>
              <w:rPr>
                <w:rFonts w:hint="eastAsia" w:ascii="宋体" w:hAnsi="宋体" w:eastAsia="宋体" w:cs="宋体"/>
                <w:bCs/>
                <w:color w:val="000000"/>
                <w:kern w:val="2"/>
                <w:sz w:val="24"/>
                <w:szCs w:val="24"/>
                <w:highlight w:val="none"/>
                <w:lang w:val="en-US" w:eastAsia="zh-CN" w:bidi="ar-SA"/>
              </w:rPr>
              <w:t>。</w:t>
            </w:r>
            <w:r>
              <w:rPr>
                <w:rFonts w:hint="eastAsia" w:ascii="宋体" w:hAnsi="宋体" w:eastAsia="宋体" w:cs="宋体"/>
                <w:b/>
                <w:bCs w:val="0"/>
                <w:color w:val="000000"/>
                <w:kern w:val="2"/>
                <w:sz w:val="24"/>
                <w:szCs w:val="24"/>
                <w:highlight w:val="none"/>
                <w:lang w:val="en-US" w:eastAsia="zh-CN" w:bidi="ar-SA"/>
              </w:rPr>
              <w:t>【不包含</w:t>
            </w:r>
            <w:r>
              <w:rPr>
                <w:rFonts w:hint="eastAsia" w:ascii="宋体" w:hAnsi="宋体" w:eastAsia="宋体" w:cs="宋体"/>
                <w:b/>
                <w:bCs w:val="0"/>
                <w:color w:val="000000"/>
                <w:sz w:val="24"/>
                <w:szCs w:val="24"/>
                <w:highlight w:val="none"/>
              </w:rPr>
              <w:t>《节能产品政府采购品目清单》中政府强制采购的节能产品</w:t>
            </w:r>
            <w:r>
              <w:rPr>
                <w:rFonts w:hint="eastAsia" w:ascii="宋体" w:hAnsi="宋体" w:eastAsia="宋体" w:cs="宋体"/>
                <w:b/>
                <w:bCs w:val="0"/>
                <w:color w:val="000000"/>
                <w:sz w:val="24"/>
                <w:szCs w:val="24"/>
                <w:highlight w:val="none"/>
                <w:lang w:val="en-US" w:eastAsia="zh-CN"/>
              </w:rPr>
              <w:t>项</w:t>
            </w:r>
            <w:r>
              <w:rPr>
                <w:rFonts w:hint="eastAsia" w:ascii="宋体" w:hAnsi="宋体" w:eastAsia="宋体" w:cs="宋体"/>
                <w:b/>
                <w:bCs w:val="0"/>
                <w:color w:val="000000"/>
                <w:kern w:val="2"/>
                <w:sz w:val="24"/>
                <w:szCs w:val="24"/>
                <w:highlight w:val="none"/>
                <w:lang w:val="en-US" w:eastAsia="zh-CN" w:bidi="ar-SA"/>
              </w:rPr>
              <w:t>】</w:t>
            </w:r>
          </w:p>
        </w:tc>
      </w:tr>
      <w:tr w14:paraId="6912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7DC5753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1B3374F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如某项标识中包含多条技术参数或要求，则该项标识所含内容均需满足或优于</w:t>
            </w:r>
            <w:r>
              <w:rPr>
                <w:rFonts w:hint="eastAsia" w:ascii="宋体" w:hAnsi="宋体" w:eastAsia="宋体" w:cs="宋体"/>
                <w:color w:val="000000"/>
                <w:sz w:val="24"/>
                <w:szCs w:val="24"/>
                <w:highlight w:val="none"/>
                <w:lang w:val="en-US" w:eastAsia="zh-CN"/>
              </w:rPr>
              <w:t>采购</w:t>
            </w:r>
            <w:r>
              <w:rPr>
                <w:rFonts w:hint="eastAsia" w:ascii="宋体" w:hAnsi="宋体" w:eastAsia="宋体" w:cs="宋体"/>
                <w:color w:val="000000"/>
                <w:sz w:val="24"/>
                <w:szCs w:val="24"/>
                <w:highlight w:val="none"/>
              </w:rPr>
              <w:t>文件要求，否则不予认可。</w:t>
            </w:r>
          </w:p>
          <w:p w14:paraId="3250606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2）所属行业中标注“/”的品目，无须在《中小企业声明函》中列明。</w:t>
            </w:r>
          </w:p>
          <w:p w14:paraId="3E03E1C2">
            <w:pPr>
              <w:keepNext w:val="0"/>
              <w:keepLines w:val="0"/>
              <w:pageBreakBefore w:val="0"/>
              <w:widowControl w:val="0"/>
              <w:kinsoku/>
              <w:overflowPunct/>
              <w:topLinePunct w:val="0"/>
              <w:autoSpaceDE/>
              <w:autoSpaceDN/>
              <w:bidi w:val="0"/>
              <w:spacing w:line="360" w:lineRule="auto"/>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kern w:val="0"/>
                <w:sz w:val="24"/>
                <w:szCs w:val="24"/>
                <w:highlight w:val="none"/>
              </w:rPr>
              <w:t>下述技术参数所涉及的具体物理尺寸</w:t>
            </w:r>
            <w:r>
              <w:rPr>
                <w:rFonts w:hint="eastAsia" w:ascii="宋体" w:hAnsi="宋体" w:eastAsia="宋体" w:cs="宋体"/>
                <w:color w:val="000000"/>
                <w:kern w:val="0"/>
                <w:sz w:val="24"/>
                <w:szCs w:val="24"/>
                <w:highlight w:val="none"/>
                <w:lang w:eastAsia="zh-CN"/>
              </w:rPr>
              <w:t>：货物需求清单</w:t>
            </w:r>
            <w:r>
              <w:rPr>
                <w:rFonts w:hint="eastAsia" w:ascii="宋体" w:hAnsi="宋体" w:eastAsia="宋体" w:cs="宋体"/>
                <w:color w:val="000000"/>
                <w:kern w:val="0"/>
                <w:sz w:val="24"/>
                <w:szCs w:val="24"/>
                <w:highlight w:val="none"/>
                <w:lang w:val="en-US" w:eastAsia="zh-CN"/>
              </w:rPr>
              <w:t>中明确允许偏离范围的，按货物需求清单</w:t>
            </w:r>
            <w:r>
              <w:rPr>
                <w:rFonts w:hint="eastAsia" w:ascii="宋体" w:hAnsi="宋体" w:eastAsia="宋体" w:cs="宋体"/>
                <w:color w:val="000000"/>
                <w:sz w:val="24"/>
                <w:szCs w:val="24"/>
                <w:highlight w:val="none"/>
                <w:lang w:val="en-US" w:eastAsia="zh-CN"/>
              </w:rPr>
              <w:t>要求</w:t>
            </w:r>
            <w:r>
              <w:rPr>
                <w:rFonts w:hint="eastAsia" w:ascii="宋体" w:hAnsi="宋体" w:eastAsia="宋体" w:cs="宋体"/>
                <w:color w:val="000000"/>
                <w:kern w:val="0"/>
                <w:sz w:val="24"/>
                <w:szCs w:val="24"/>
                <w:highlight w:val="none"/>
                <w:lang w:val="en-US" w:eastAsia="zh-CN"/>
              </w:rPr>
              <w:t>执行；货物需求清单中未明确允许偏离范围的，</w:t>
            </w:r>
            <w:r>
              <w:rPr>
                <w:rFonts w:hint="eastAsia" w:ascii="宋体" w:hAnsi="宋体" w:eastAsia="宋体" w:cs="宋体"/>
                <w:color w:val="000000"/>
                <w:kern w:val="0"/>
                <w:sz w:val="24"/>
                <w:szCs w:val="24"/>
                <w:highlight w:val="none"/>
              </w:rPr>
              <w:t>允许±5%偏离</w:t>
            </w:r>
            <w:r>
              <w:rPr>
                <w:rFonts w:hint="eastAsia" w:ascii="宋体" w:hAnsi="宋体" w:eastAsia="宋体" w:cs="宋体"/>
                <w:color w:val="000000"/>
                <w:sz w:val="24"/>
                <w:szCs w:val="24"/>
                <w:highlight w:val="none"/>
              </w:rPr>
              <w:t>。</w:t>
            </w:r>
          </w:p>
          <w:p w14:paraId="55FFBC05">
            <w:pPr>
              <w:keepNext w:val="0"/>
              <w:keepLines w:val="0"/>
              <w:pageBreakBefore w:val="0"/>
              <w:widowControl w:val="0"/>
              <w:kinsoku/>
              <w:overflowPunct/>
              <w:topLinePunct w:val="0"/>
              <w:autoSpaceDE/>
              <w:autoSpaceDN/>
              <w:bidi w:val="0"/>
              <w:spacing w:line="360" w:lineRule="auto"/>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（4）针对货物需求清单中要求提供证明材料的技术参数及要求：货物需求清单已</w:t>
            </w:r>
            <w:r>
              <w:rPr>
                <w:rFonts w:hint="eastAsia" w:ascii="宋体" w:hAnsi="宋体" w:eastAsia="宋体" w:cs="宋体"/>
                <w:b/>
                <w:bCs/>
                <w:color w:val="000000"/>
                <w:sz w:val="24"/>
                <w:szCs w:val="24"/>
                <w:highlight w:val="none"/>
                <w:lang w:val="en-US" w:eastAsia="zh-CN"/>
              </w:rPr>
              <w:t>明确证明材料类型的，按货物需求清单执行</w:t>
            </w:r>
            <w:r>
              <w:rPr>
                <w:rFonts w:hint="eastAsia" w:ascii="宋体" w:hAnsi="宋体" w:eastAsia="宋体" w:cs="宋体"/>
                <w:color w:val="000000"/>
                <w:sz w:val="24"/>
                <w:szCs w:val="24"/>
                <w:highlight w:val="none"/>
                <w:lang w:val="en-US" w:eastAsia="zh-CN"/>
              </w:rPr>
              <w:t>；货物需求清单</w:t>
            </w:r>
            <w:r>
              <w:rPr>
                <w:rFonts w:hint="eastAsia" w:ascii="宋体" w:hAnsi="宋体" w:eastAsia="宋体" w:cs="宋体"/>
                <w:b/>
                <w:bCs/>
                <w:color w:val="000000"/>
                <w:sz w:val="24"/>
                <w:szCs w:val="24"/>
                <w:highlight w:val="none"/>
                <w:lang w:val="en-US" w:eastAsia="zh-CN"/>
              </w:rPr>
              <w:t>未明确证明材料类型的，证明材料包括但不限于产品技术白皮书、产品技术说明书、产品彩页、产品（软件）功能截图、实物图片、厂家（制造商）官网截图、第三方机构出具的检测报告等（提供其中之一即可）</w:t>
            </w:r>
            <w:r>
              <w:rPr>
                <w:rFonts w:hint="eastAsia" w:ascii="宋体" w:hAnsi="宋体" w:eastAsia="宋体" w:cs="宋体"/>
                <w:color w:val="000000"/>
                <w:sz w:val="24"/>
                <w:szCs w:val="24"/>
                <w:highlight w:val="none"/>
                <w:lang w:val="en-US" w:eastAsia="zh-CN"/>
              </w:rPr>
              <w:t>。未按以上要求提供证明材料的视为负偏离或未响应（为便于评审，建议投标人对证明材料中的关键参数进行标注）。</w:t>
            </w:r>
          </w:p>
          <w:p w14:paraId="1A375DF1">
            <w:pPr>
              <w:keepNext w:val="0"/>
              <w:keepLines w:val="0"/>
              <w:pageBreakBefore w:val="0"/>
              <w:widowControl w:val="0"/>
              <w:kinsoku/>
              <w:overflowPunct/>
              <w:topLinePunct w:val="0"/>
              <w:autoSpaceDE/>
              <w:autoSpaceDN/>
              <w:bidi w:val="0"/>
              <w:spacing w:line="360" w:lineRule="auto"/>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5）货物需求清单所有指定的具体技术参数或参数范围、系统技术要求与技术指标，均应理解为是采购人可接受的最低要求。即，当对应技术参数或参数范围、技术要求和技术指标是越小越好时，则指定的具体技术参数或参数范围应理解为是上限值或最大允许范围；当对应技术参数或参数范围是越大越好时，则指定的具体技术参数或参数范围应理解为是下限值或最小允许范围。</w:t>
            </w:r>
          </w:p>
          <w:p w14:paraId="04F290BE">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60" w:lineRule="auto"/>
              <w:ind w:left="0" w:leftChars="0" w:right="0" w:rightChars="0" w:firstLine="0" w:firstLineChars="0"/>
              <w:jc w:val="left"/>
              <w:textAlignment w:val="auto"/>
              <w:rPr>
                <w:rFonts w:hint="default" w:ascii="宋体" w:hAnsi="宋体" w:eastAsia="宋体" w:cs="宋体"/>
                <w:color w:val="000000"/>
                <w:sz w:val="24"/>
                <w:szCs w:val="24"/>
                <w:highlight w:val="none"/>
                <w:lang w:val="en-US" w:eastAsia="zh-CN"/>
              </w:rPr>
            </w:pPr>
          </w:p>
        </w:tc>
      </w:tr>
    </w:tbl>
    <w:p w14:paraId="4DA11626">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宋体"/>
          <w:b/>
          <w:bCs/>
          <w:color w:val="000000"/>
          <w:sz w:val="24"/>
          <w:szCs w:val="24"/>
          <w:highlight w:val="none"/>
        </w:rPr>
      </w:pPr>
    </w:p>
    <w:p w14:paraId="7E9B8411">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仿宋_GB2312"/>
          <w:b/>
          <w:bCs/>
          <w:color w:val="000000"/>
          <w:sz w:val="24"/>
          <w:szCs w:val="18"/>
          <w:highlight w:val="none"/>
        </w:rPr>
      </w:pPr>
      <w:r>
        <w:rPr>
          <w:rFonts w:hint="eastAsia" w:ascii="宋体" w:hAnsi="宋体" w:eastAsia="宋体" w:cs="宋体"/>
          <w:b/>
          <w:bCs/>
          <w:color w:val="000000"/>
          <w:sz w:val="24"/>
          <w:szCs w:val="24"/>
          <w:highlight w:val="none"/>
          <w:lang w:eastAsia="zh-CN"/>
        </w:rPr>
        <w:t>（二）</w:t>
      </w:r>
      <w:r>
        <w:rPr>
          <w:rFonts w:hint="eastAsia" w:ascii="宋体" w:hAnsi="宋体" w:eastAsia="宋体" w:cs="宋体"/>
          <w:b/>
          <w:bCs/>
          <w:color w:val="000000"/>
          <w:sz w:val="24"/>
          <w:szCs w:val="24"/>
          <w:highlight w:val="none"/>
          <w:lang w:val="en-US" w:eastAsia="zh-CN"/>
        </w:rPr>
        <w:t>货物需求</w:t>
      </w:r>
      <w:r>
        <w:rPr>
          <w:rFonts w:hint="eastAsia" w:ascii="宋体" w:hAnsi="宋体" w:eastAsia="宋体" w:cs="宋体"/>
          <w:b/>
          <w:bCs/>
          <w:color w:val="000000"/>
          <w:sz w:val="24"/>
          <w:szCs w:val="24"/>
          <w:highlight w:val="none"/>
        </w:rPr>
        <w:t>清单</w:t>
      </w:r>
    </w:p>
    <w:tbl>
      <w:tblPr>
        <w:tblStyle w:val="2"/>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251"/>
        <w:gridCol w:w="4633"/>
        <w:gridCol w:w="1083"/>
        <w:gridCol w:w="814"/>
      </w:tblGrid>
      <w:tr w14:paraId="53A3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pct"/>
            <w:vAlign w:val="center"/>
          </w:tcPr>
          <w:p w14:paraId="467B4F7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序号</w:t>
            </w:r>
          </w:p>
        </w:tc>
        <w:tc>
          <w:tcPr>
            <w:tcW w:w="731" w:type="pct"/>
            <w:vAlign w:val="center"/>
          </w:tcPr>
          <w:p w14:paraId="5F31DA5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货物名称</w:t>
            </w:r>
          </w:p>
        </w:tc>
        <w:tc>
          <w:tcPr>
            <w:tcW w:w="2707" w:type="pct"/>
            <w:vAlign w:val="center"/>
          </w:tcPr>
          <w:p w14:paraId="6102B78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技术参数及要求</w:t>
            </w:r>
          </w:p>
        </w:tc>
        <w:tc>
          <w:tcPr>
            <w:tcW w:w="633" w:type="pct"/>
            <w:vAlign w:val="center"/>
          </w:tcPr>
          <w:p w14:paraId="5FAB4FE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数量</w:t>
            </w:r>
          </w:p>
          <w:p w14:paraId="4469B55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（单位）</w:t>
            </w:r>
          </w:p>
        </w:tc>
        <w:tc>
          <w:tcPr>
            <w:tcW w:w="475" w:type="pct"/>
            <w:vAlign w:val="center"/>
          </w:tcPr>
          <w:p w14:paraId="738F3E2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所属</w:t>
            </w:r>
          </w:p>
          <w:p w14:paraId="732EB27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行业</w:t>
            </w:r>
          </w:p>
        </w:tc>
      </w:tr>
      <w:tr w14:paraId="107A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51" w:type="pct"/>
            <w:vAlign w:val="center"/>
          </w:tcPr>
          <w:p w14:paraId="3946058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p>
        </w:tc>
        <w:tc>
          <w:tcPr>
            <w:tcW w:w="731" w:type="pct"/>
            <w:vAlign w:val="center"/>
          </w:tcPr>
          <w:p w14:paraId="62E3082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解剖组织仿真标本</w:t>
            </w:r>
          </w:p>
        </w:tc>
        <w:tc>
          <w:tcPr>
            <w:tcW w:w="2707" w:type="pct"/>
            <w:vAlign w:val="center"/>
          </w:tcPr>
          <w:p w14:paraId="5904660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九大系统解剖</w:t>
            </w:r>
            <w:r>
              <w:rPr>
                <w:rFonts w:hint="eastAsia" w:ascii="宋体" w:hAnsi="宋体" w:eastAsia="宋体" w:cs="宋体"/>
                <w:color w:val="000000"/>
                <w:sz w:val="24"/>
                <w:szCs w:val="24"/>
                <w:highlight w:val="none"/>
              </w:rPr>
              <w:t>模型</w:t>
            </w:r>
          </w:p>
          <w:p w14:paraId="5CED522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1.1参照典型人体标本及国内外经典权威教材及图谱制作，如人卫出版社崔慧先主编的《系统解剖学》</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山东科学技术出版社丁自海主译的《格式解剖学》等</w:t>
            </w:r>
            <w:r>
              <w:rPr>
                <w:rFonts w:hint="eastAsia" w:ascii="宋体" w:hAnsi="宋体" w:eastAsia="宋体" w:cs="宋体"/>
                <w:color w:val="000000"/>
                <w:sz w:val="24"/>
                <w:szCs w:val="24"/>
                <w:highlight w:val="none"/>
                <w:lang w:val="en-US" w:eastAsia="zh-CN"/>
              </w:rPr>
              <w:t>专业书籍</w:t>
            </w:r>
            <w:r>
              <w:rPr>
                <w:rFonts w:hint="eastAsia" w:ascii="宋体" w:hAnsi="宋体" w:eastAsia="宋体" w:cs="宋体"/>
                <w:color w:val="000000"/>
                <w:sz w:val="24"/>
                <w:szCs w:val="24"/>
                <w:highlight w:val="none"/>
              </w:rPr>
              <w:t>，造型自然准确、颜色自然，满足教学需要。</w:t>
            </w:r>
          </w:p>
          <w:p w14:paraId="28C0F66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1.2材料：</w:t>
            </w:r>
            <w:r>
              <w:rPr>
                <w:rFonts w:hint="eastAsia" w:ascii="宋体" w:hAnsi="宋体" w:eastAsia="宋体" w:cs="宋体"/>
                <w:color w:val="000000"/>
                <w:sz w:val="24"/>
                <w:szCs w:val="24"/>
                <w:highlight w:val="none"/>
                <w:lang w:val="en-US" w:eastAsia="zh-CN"/>
              </w:rPr>
              <w:t>均需使用环保材料，如</w:t>
            </w:r>
            <w:r>
              <w:rPr>
                <w:rFonts w:hint="eastAsia" w:ascii="宋体" w:hAnsi="宋体" w:eastAsia="宋体" w:cs="宋体"/>
                <w:color w:val="000000"/>
                <w:sz w:val="24"/>
                <w:szCs w:val="24"/>
                <w:highlight w:val="none"/>
              </w:rPr>
              <w:t>环保 PVC 材料、环保硅胶材料、环保油墨等。</w:t>
            </w:r>
          </w:p>
          <w:p w14:paraId="626158C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1.3.</w:t>
            </w:r>
            <w:r>
              <w:rPr>
                <w:rFonts w:hint="eastAsia" w:ascii="宋体" w:hAnsi="宋体" w:eastAsia="宋体" w:cs="宋体"/>
                <w:i w:val="0"/>
                <w:iCs w:val="0"/>
                <w:color w:val="000000"/>
                <w:kern w:val="0"/>
                <w:sz w:val="24"/>
                <w:szCs w:val="24"/>
                <w:highlight w:val="none"/>
                <w:u w:val="none"/>
                <w:lang w:val="en-US" w:eastAsia="zh-CN" w:bidi="ar"/>
              </w:rPr>
              <w:t>芯片或二维码识别溯源功能：模型内置芯片或在表面激光打印永久性二维码。识别芯片或扫描二维码，可即刻调取该实物模型数据同源的虚拟3D模型及1000W像素以上带结构标注的实物照片。</w:t>
            </w:r>
          </w:p>
          <w:p w14:paraId="47E60E7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2.病理仿真标本</w:t>
            </w:r>
          </w:p>
          <w:p w14:paraId="5A33C8C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2.1病变典型</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显示结构清晰均匀可见</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完全复制标本；</w:t>
            </w:r>
          </w:p>
          <w:p w14:paraId="2DD4AFF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2.2材质材料：环保硅胶，环保颜料。</w:t>
            </w:r>
          </w:p>
          <w:p w14:paraId="3A058DF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2.3</w:t>
            </w:r>
            <w:r>
              <w:rPr>
                <w:rFonts w:hint="eastAsia" w:ascii="宋体" w:hAnsi="宋体" w:eastAsia="宋体" w:cs="宋体"/>
                <w:i w:val="0"/>
                <w:iCs w:val="0"/>
                <w:color w:val="000000"/>
                <w:kern w:val="0"/>
                <w:sz w:val="24"/>
                <w:szCs w:val="24"/>
                <w:highlight w:val="none"/>
                <w:u w:val="none"/>
                <w:lang w:val="en-US" w:eastAsia="zh-CN" w:bidi="ar"/>
              </w:rPr>
              <w:t>配备二维码，一品一码，扫码可以获取3D模型及该仿真标本的高清图文介绍，配高清镜下图及文字说明。</w:t>
            </w:r>
          </w:p>
          <w:p w14:paraId="50E935A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高透亚克力标本盒封装无毒无味透光率≥9</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w:t>
            </w:r>
          </w:p>
          <w:p w14:paraId="0FDD005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Cs/>
                <w:color w:val="000000"/>
                <w:sz w:val="24"/>
                <w:szCs w:val="24"/>
                <w:highlight w:val="none"/>
              </w:rPr>
            </w:pPr>
            <w:r>
              <w:rPr>
                <w:rFonts w:hint="eastAsia" w:ascii="宋体" w:hAnsi="宋体" w:eastAsia="宋体" w:cs="宋体"/>
                <w:b/>
                <w:bCs/>
                <w:color w:val="000000"/>
                <w:sz w:val="24"/>
                <w:szCs w:val="24"/>
                <w:highlight w:val="none"/>
                <w:lang w:val="en-US" w:eastAsia="zh-CN"/>
              </w:rPr>
              <w:t>3</w:t>
            </w:r>
            <w:r>
              <w:rPr>
                <w:rFonts w:hint="eastAsia" w:ascii="宋体" w:hAnsi="宋体" w:eastAsia="宋体" w:cs="宋体"/>
                <w:b/>
                <w:bCs/>
                <w:color w:val="000000"/>
                <w:sz w:val="24"/>
                <w:szCs w:val="24"/>
                <w:highlight w:val="none"/>
              </w:rPr>
              <w:t>.明细见解剖组织仿真标本附件。</w:t>
            </w:r>
          </w:p>
        </w:tc>
        <w:tc>
          <w:tcPr>
            <w:tcW w:w="633" w:type="pct"/>
            <w:vAlign w:val="center"/>
          </w:tcPr>
          <w:p w14:paraId="007D547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1（套）</w:t>
            </w:r>
          </w:p>
        </w:tc>
        <w:tc>
          <w:tcPr>
            <w:tcW w:w="475" w:type="pct"/>
            <w:vAlign w:val="center"/>
          </w:tcPr>
          <w:p w14:paraId="6B59679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工业</w:t>
            </w:r>
          </w:p>
        </w:tc>
      </w:tr>
      <w:tr w14:paraId="3944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pct"/>
            <w:vAlign w:val="center"/>
          </w:tcPr>
          <w:p w14:paraId="4BE84AF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p>
        </w:tc>
        <w:tc>
          <w:tcPr>
            <w:tcW w:w="731" w:type="pct"/>
            <w:vAlign w:val="center"/>
          </w:tcPr>
          <w:p w14:paraId="0590B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sz w:val="24"/>
                <w:szCs w:val="24"/>
                <w:highlight w:val="none"/>
              </w:rPr>
            </w:pPr>
            <w:r>
              <w:rPr>
                <w:rFonts w:hint="eastAsia" w:ascii="宋体" w:hAnsi="宋体" w:eastAsia="宋体" w:cs="宋体"/>
                <w:color w:val="000000"/>
                <w:kern w:val="0"/>
                <w:sz w:val="24"/>
                <w:szCs w:val="24"/>
                <w:highlight w:val="none"/>
                <w:lang w:val="en-US" w:eastAsia="zh-CN" w:bidi="ar"/>
              </w:rPr>
              <w:t>数字解剖实</w:t>
            </w:r>
            <w:commentRangeStart w:id="0"/>
            <w:commentRangeStart w:id="1"/>
            <w:r>
              <w:rPr>
                <w:rFonts w:hint="eastAsia" w:ascii="宋体" w:hAnsi="宋体" w:eastAsia="宋体" w:cs="宋体"/>
                <w:color w:val="000000"/>
                <w:kern w:val="0"/>
                <w:sz w:val="24"/>
                <w:szCs w:val="24"/>
                <w:highlight w:val="none"/>
                <w:lang w:val="en-US" w:eastAsia="zh-CN" w:bidi="ar"/>
              </w:rPr>
              <w:t>验室教师端</w:t>
            </w:r>
            <w:commentRangeEnd w:id="0"/>
            <w:r>
              <w:rPr>
                <w:rFonts w:ascii="@仿宋_GB2312" w:hAnsi="@仿宋_GB2312" w:eastAsia="@仿宋_GB2312" w:cs="@仿宋_GB2312"/>
                <w:color w:val="000000"/>
                <w:szCs w:val="20"/>
              </w:rPr>
              <w:commentReference w:id="0"/>
            </w:r>
            <w:commentRangeEnd w:id="1"/>
            <w:r>
              <w:rPr>
                <w:rFonts w:ascii="@仿宋_GB2312" w:hAnsi="@仿宋_GB2312" w:eastAsia="@仿宋_GB2312" w:cs="@仿宋_GB2312"/>
                <w:color w:val="000000"/>
                <w:szCs w:val="20"/>
              </w:rPr>
              <w:commentReference w:id="1"/>
            </w:r>
          </w:p>
        </w:tc>
        <w:tc>
          <w:tcPr>
            <w:tcW w:w="2707" w:type="pct"/>
            <w:vAlign w:val="center"/>
          </w:tcPr>
          <w:p w14:paraId="6B0AA8F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由数字解剖教学系统、智能交互讲台、高保真无感扩声系统、光能黑板四大部分集成。</w:t>
            </w:r>
          </w:p>
          <w:p w14:paraId="7E1905E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一、数字解剖教学系统</w:t>
            </w:r>
          </w:p>
          <w:p w14:paraId="239CD77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1、采用无器质性病变和无缺失的中国人体连续断层真实数据重建三维人体，必须为无节段性数据缺失的断层数据。确保原始数据人阑尾正常、牙齿正常、睾丸正常。</w:t>
            </w:r>
          </w:p>
          <w:p w14:paraId="6C21E6E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2、数字人体横断面间距要求：头部和颈部为≤0.5mm，其中颅底部必须≤0.1mm，其他部位为≤1.0mm，断层总数＞2</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00 层。具有横断面、冠状面、矢状面真实人体断层图像，能够任意放大与缩小，分辨率≤0.18mm×0.18mm/像素。</w:t>
            </w:r>
          </w:p>
          <w:p w14:paraId="2F497F3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3、须结合真实医学数据精确的重建人体，包含至少6000个以上不可再分的解剖结构。每个解剖结构都必须加注文字说明及关键结构标注，并带有英文名称及英文发音。</w:t>
            </w:r>
          </w:p>
          <w:p w14:paraId="2AB4B5A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4、该产品必须具有系统解剖学、局部解剖学、断层解剖学、临床案例、3D人体标本、微课视频、自主学习等相同功能模块，可按照教学需求快速选择所需的教学模块。</w:t>
            </w:r>
          </w:p>
          <w:p w14:paraId="4638768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5、软件基础功能要求：</w:t>
            </w:r>
          </w:p>
          <w:p w14:paraId="103FD8A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5.1、背景切换: 根据教学使用场景光线情况，可以切换背景模式。</w:t>
            </w:r>
          </w:p>
          <w:p w14:paraId="360B77A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5.2、自动分离：可以对显示的所有三维结构进行分离显示，三维结构可实现放大缩小、任意角度旋转等操作。</w:t>
            </w:r>
          </w:p>
          <w:p w14:paraId="7F03D96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5.3、手动分离：对选中的三维结构进行手动分离，突出显示。三维结构可实现放大缩小、任意角度旋转等操作。</w:t>
            </w:r>
          </w:p>
          <w:p w14:paraId="340F472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5.4、染色：可以对显示的所有三维结构进行不同颜色染色。</w:t>
            </w:r>
          </w:p>
          <w:p w14:paraId="1DFD132F">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5.5、框选：对选定区域结构进行框选显示。</w:t>
            </w:r>
          </w:p>
          <w:p w14:paraId="7420E2E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5.6、随手画：可以进行随手书写，圈画形成电子板书模式。</w:t>
            </w:r>
          </w:p>
          <w:p w14:paraId="0B83900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5.7、透明：可透明表层凸显出深层与表层的层次关系。透明的程度可自由调节。可方便快捷地实现神经、血管等结构的体表投影。</w:t>
            </w:r>
          </w:p>
          <w:p w14:paraId="6CA7134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5.8、查找：可进行模糊检索如名称首字母和关键字，检索出相应的三维结构点击检索结果结构名称，显示该结构。</w:t>
            </w:r>
          </w:p>
          <w:p w14:paraId="3F0B3BE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5.9、单独显示：对选中三维结构单独显示。</w:t>
            </w:r>
          </w:p>
          <w:p w14:paraId="1FC6600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5.10、清除：清除所有结构。</w:t>
            </w:r>
          </w:p>
          <w:p w14:paraId="4B72BDB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5.11、隐藏：选中结构进行隐藏。</w:t>
            </w:r>
          </w:p>
          <w:p w14:paraId="1B95B52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5.12、恢复：恢复上一步操作。</w:t>
            </w:r>
          </w:p>
          <w:p w14:paraId="6C2ABF9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5.13、该系统可窗口化、最大化显示。</w:t>
            </w:r>
          </w:p>
          <w:p w14:paraId="366BCA6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6、系统内根据教学大纲，将人体的器官组织以全真三维模型的形式展示，能够放大、缩小并以任何角度旋转观察。包括俯视效果和仰视效果。 </w:t>
            </w:r>
          </w:p>
          <w:p w14:paraId="482DE69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7、系统内横、矢、冠三个断面各断层内解剖结构做好圈画标注，方便查看各解剖结构在断层中的位置和范围，横、矢、冠三个断面与三维解剖结构可在同一界面显示，并且横、矢、冠三个断面与三维解剖结构相互关联，点击三维或断层任意结构位置，其他各区域均有同步响应。</w:t>
            </w:r>
            <w:r>
              <w:rPr>
                <w:rFonts w:hint="eastAsia" w:ascii="宋体" w:hAnsi="宋体" w:eastAsia="宋体" w:cs="宋体"/>
                <w:b/>
                <w:bCs/>
                <w:color w:val="000000"/>
                <w:sz w:val="24"/>
                <w:szCs w:val="24"/>
                <w:highlight w:val="none"/>
              </w:rPr>
              <w:t>（投标文件中提供官网截图或功能截图）</w:t>
            </w:r>
          </w:p>
          <w:p w14:paraId="48B030D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8、系统内设预置位功能，方便老师根据教学内容建立磁贴图标或快捷入口卡片，在讲课过程中快速调用设置好的三维人体结构，各预置位磁贴图标或快捷入口卡片内包含对应解剖结构的组织学切片图片。</w:t>
            </w:r>
          </w:p>
          <w:p w14:paraId="0C2F785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9、系统具备单独显示、剥离、恢复、染色、透明、查找、发音、随手画等功能。</w:t>
            </w:r>
          </w:p>
          <w:p w14:paraId="3BB03F2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10、老师可根据教学需求在三维人体结构上自行添加三维标注，并可对标注内容进行注释。</w:t>
            </w:r>
          </w:p>
          <w:p w14:paraId="2607157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★11、该系统内微课视频模块需</w:t>
            </w:r>
            <w:r>
              <w:rPr>
                <w:rFonts w:hint="eastAsia" w:ascii="宋体" w:hAnsi="宋体" w:eastAsia="宋体" w:cs="宋体"/>
                <w:color w:val="000000"/>
                <w:sz w:val="24"/>
                <w:szCs w:val="24"/>
                <w:highlight w:val="none"/>
                <w:lang w:val="en-US" w:eastAsia="zh-CN"/>
              </w:rPr>
              <w:t>至少</w:t>
            </w:r>
            <w:r>
              <w:rPr>
                <w:rFonts w:hint="eastAsia" w:ascii="宋体" w:hAnsi="宋体" w:eastAsia="宋体" w:cs="宋体"/>
                <w:color w:val="000000"/>
                <w:sz w:val="24"/>
                <w:szCs w:val="24"/>
                <w:highlight w:val="none"/>
              </w:rPr>
              <w:t>包含系统解剖学微课、局部解剖学微课、断层解剖学微课。系统解剖学微课内容包含神经传导、运动演示、血液循环途径等内容。局部解剖学微课需为真实局部解剖操作演示视频，包括头、颈、胸、腹、盆（男、女）、上肢、下肢、脊柱，视频内容详实展示操作手法步骤以及各部位层次和解剖结构毗邻关系。断层解剖学微课需将断层与 CT/MR 影像对照讲解以方便学生学习。</w:t>
            </w:r>
            <w:r>
              <w:rPr>
                <w:rFonts w:hint="eastAsia" w:ascii="宋体" w:hAnsi="宋体" w:eastAsia="宋体" w:cs="宋体"/>
                <w:b/>
                <w:bCs/>
                <w:color w:val="000000"/>
                <w:sz w:val="24"/>
                <w:szCs w:val="24"/>
                <w:highlight w:val="none"/>
              </w:rPr>
              <w:t>（投标文件中提供官网截图或功能截图）</w:t>
            </w:r>
          </w:p>
          <w:p w14:paraId="60375FD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12、该系统自主学习模块中，课件内容需</w:t>
            </w:r>
            <w:r>
              <w:rPr>
                <w:rFonts w:hint="eastAsia" w:ascii="宋体" w:hAnsi="宋体" w:eastAsia="宋体" w:cs="宋体"/>
                <w:color w:val="000000"/>
                <w:sz w:val="24"/>
                <w:szCs w:val="24"/>
                <w:highlight w:val="none"/>
                <w:lang w:val="en-US" w:eastAsia="zh-CN"/>
              </w:rPr>
              <w:t>至少</w:t>
            </w:r>
            <w:r>
              <w:rPr>
                <w:rFonts w:hint="eastAsia" w:ascii="宋体" w:hAnsi="宋体" w:eastAsia="宋体" w:cs="宋体"/>
                <w:color w:val="000000"/>
                <w:sz w:val="24"/>
                <w:szCs w:val="24"/>
                <w:highlight w:val="none"/>
              </w:rPr>
              <w:t>由文字、图片、微视频、三维解剖结构四种模式组成，三维解剖结构必须能够360度任意旋转。</w:t>
            </w:r>
          </w:p>
          <w:p w14:paraId="1A2024F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13、课件内还需按照教学章节配有相应练习题，练习题包含理论练习和标本练习。练习题数量不少于1800道。</w:t>
            </w:r>
          </w:p>
          <w:p w14:paraId="7BB8F0F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14、系统内3D人体标本模块需采用真实人体标本进行数字化展示，内容包含系统解剖标本、局部解剖标本，数量不少于1800件。</w:t>
            </w:r>
          </w:p>
          <w:p w14:paraId="07B7B4F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15、每个结构可以通过自身所在的人体系统进行查找，也可以通过输入名称进行查找，而且人体解剖结构的位置、形态与原始数据保持一致。 </w:t>
            </w:r>
          </w:p>
          <w:p w14:paraId="5EAC76D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16、局部解剖学模块</w:t>
            </w:r>
          </w:p>
          <w:p w14:paraId="343E025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16.1、按照局部解剖学教学大纲要求须包括头部、颈部、胸部、腹部、盆部会阴、脊柱区、上肢、下肢八大局部解剖部位，每个部位下的目录按照局部解剖要求进行编排，以满足教学需求。</w:t>
            </w:r>
          </w:p>
          <w:p w14:paraId="7FE5193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16.2、按照八大局部解剖学部位设定预置位磁贴图标或快捷入口卡片以满足老师在讲课过程中快速调用设置好的教学内容。按照局部解剖学教学大纲要求预置位磁贴图标或快捷入口卡片不少于200个。</w:t>
            </w:r>
          </w:p>
          <w:p w14:paraId="3863368F">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★16.3、逐层剥离功能：按照局部解剖学大纲要求，可按层次逐层剥离，保持浅筋膜、深筋膜完整</w:t>
            </w:r>
            <w:r>
              <w:rPr>
                <w:rFonts w:hint="eastAsia" w:ascii="宋体" w:hAnsi="宋体" w:eastAsia="宋体" w:cs="宋体"/>
                <w:b/>
                <w:bCs/>
                <w:color w:val="000000"/>
                <w:sz w:val="24"/>
                <w:szCs w:val="24"/>
                <w:highlight w:val="none"/>
              </w:rPr>
              <w:t>（投标文件中提供官网截图或功能截图）</w:t>
            </w:r>
            <w:r>
              <w:rPr>
                <w:rFonts w:hint="eastAsia" w:ascii="宋体" w:hAnsi="宋体" w:eastAsia="宋体" w:cs="宋体"/>
                <w:color w:val="000000"/>
                <w:sz w:val="24"/>
                <w:szCs w:val="24"/>
                <w:highlight w:val="none"/>
              </w:rPr>
              <w:t>。</w:t>
            </w:r>
          </w:p>
          <w:p w14:paraId="37C7F26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★16.4、解剖切口功能：按照局部解剖学大纲要求，在数字人体上绘制出解剖线。</w:t>
            </w:r>
            <w:r>
              <w:rPr>
                <w:rFonts w:hint="eastAsia" w:ascii="宋体" w:hAnsi="宋体" w:eastAsia="宋体" w:cs="宋体"/>
                <w:b/>
                <w:bCs/>
                <w:color w:val="000000"/>
                <w:sz w:val="24"/>
                <w:szCs w:val="24"/>
                <w:highlight w:val="none"/>
              </w:rPr>
              <w:t>（投标文件中提供官网截图或功能截图）</w:t>
            </w:r>
          </w:p>
          <w:p w14:paraId="356F45B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16.5、实景微课视频功能：按照局部解剖学大纲要求，每个局部三维解剖部位需有对应的实景解剖视频讲解，三维解剖部位与实景解剖视频相对应，在三维解剖场景下可快速调取解剖部位对应的实景解剖视频。 </w:t>
            </w:r>
          </w:p>
          <w:p w14:paraId="2F52019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17、断层解剖学模块 </w:t>
            </w:r>
          </w:p>
          <w:p w14:paraId="1ABCDB4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17.1、为便于教学，预置断层解剖学磁贴图标或快捷入口卡片不少于70个。</w:t>
            </w:r>
          </w:p>
          <w:p w14:paraId="17EE87B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★17.2、断层解剖模块需包含真实人体断层、CT/MR 影像以及三维结构三个部分，在同一界面显示，并做好结构标注，任意三维结构在这三个部分能够相互对应。</w:t>
            </w:r>
            <w:r>
              <w:rPr>
                <w:rFonts w:hint="eastAsia" w:ascii="宋体" w:hAnsi="宋体" w:eastAsia="宋体" w:cs="宋体"/>
                <w:b/>
                <w:bCs/>
                <w:color w:val="000000"/>
                <w:sz w:val="24"/>
                <w:szCs w:val="24"/>
                <w:highlight w:val="none"/>
              </w:rPr>
              <w:t>（投标文件中提供官网截图或功能截图）</w:t>
            </w:r>
          </w:p>
          <w:p w14:paraId="5AC82B2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17.3、断层解剖模块 CT/MR 影像数量不少于1700张。</w:t>
            </w:r>
          </w:p>
          <w:p w14:paraId="5A368FA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★17.4、具有虚拟人体快速定位横断层位置。</w:t>
            </w:r>
            <w:r>
              <w:rPr>
                <w:rFonts w:hint="eastAsia" w:ascii="宋体" w:hAnsi="宋体" w:eastAsia="宋体" w:cs="宋体"/>
                <w:b/>
                <w:bCs/>
                <w:color w:val="000000"/>
                <w:sz w:val="24"/>
                <w:szCs w:val="24"/>
                <w:highlight w:val="none"/>
              </w:rPr>
              <w:t>（投标文件中提供官网截图或功能截图）</w:t>
            </w:r>
          </w:p>
          <w:p w14:paraId="7C0C779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18、临床案例模块</w:t>
            </w:r>
          </w:p>
          <w:p w14:paraId="015FA3D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★18.1系统内临床案例模块需提供临床数据，临床案例数据包含临床病例影像的重建模型、正常人体的模型数据、CT 影像、病例描述等。</w:t>
            </w:r>
            <w:r>
              <w:rPr>
                <w:rFonts w:hint="eastAsia" w:ascii="宋体" w:hAnsi="宋体" w:eastAsia="宋体" w:cs="宋体"/>
                <w:b/>
                <w:bCs/>
                <w:color w:val="000000"/>
                <w:sz w:val="24"/>
                <w:szCs w:val="24"/>
                <w:highlight w:val="none"/>
              </w:rPr>
              <w:t>（投标文件中提供官网截图或功能截图）</w:t>
            </w:r>
          </w:p>
          <w:p w14:paraId="04D88BB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★18.2、临床案例影像重建模型可与正常人体结构进行联动并对比观察。</w:t>
            </w:r>
            <w:r>
              <w:rPr>
                <w:rFonts w:hint="eastAsia" w:ascii="宋体" w:hAnsi="宋体" w:eastAsia="宋体" w:cs="宋体"/>
                <w:b/>
                <w:bCs/>
                <w:color w:val="000000"/>
                <w:sz w:val="24"/>
                <w:szCs w:val="24"/>
                <w:highlight w:val="none"/>
              </w:rPr>
              <w:t>（投标文件中提供官网截图或功能截图）</w:t>
            </w:r>
          </w:p>
          <w:p w14:paraId="774A853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★18.3、各临床案例均配备根据真实临床影像重建的三维结构，并标注病灶位置。</w:t>
            </w:r>
            <w:r>
              <w:rPr>
                <w:rFonts w:hint="eastAsia" w:ascii="宋体" w:hAnsi="宋体" w:eastAsia="宋体" w:cs="宋体"/>
                <w:b/>
                <w:bCs/>
                <w:color w:val="000000"/>
                <w:sz w:val="24"/>
                <w:szCs w:val="24"/>
                <w:highlight w:val="none"/>
              </w:rPr>
              <w:t>（投标文件中提供官网截图或功能截图）</w:t>
            </w:r>
          </w:p>
          <w:p w14:paraId="1320B1C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18.4、临床案例模块案例数量不少于80个。</w:t>
            </w:r>
          </w:p>
          <w:p w14:paraId="6E9BD75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19、配套显示终端要求：屏幕尺寸不小于86寸，屏幕分辨率：不小于4K，多点触摸系统。核心数≥10，基本频率≥1.5GHz，睿频≥4GHz，缓存≥12MB，内存：≥16G，硬盘：≥1T，需具有Type C、USB3.0、USB2.0、HDMI、网口等接口。</w:t>
            </w:r>
          </w:p>
          <w:p w14:paraId="788AC5A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20、数字解剖教学系统需有计算机软件著作权登记证书。</w:t>
            </w:r>
          </w:p>
          <w:p w14:paraId="66DDE79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二、智能交互讲台</w:t>
            </w:r>
          </w:p>
          <w:p w14:paraId="43B10CF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1.讲台</w:t>
            </w:r>
          </w:p>
          <w:p w14:paraId="40C1B2B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1.1钢木结合设计，采用冷轧钢板桌体，桌体木板厚度≥15mm，钢版厚度≥1.0mm。老师接触位置为木质桌面。</w:t>
            </w:r>
          </w:p>
          <w:p w14:paraId="6B030B1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1.2.讲台尺寸设计为长×宽×高</w:t>
            </w:r>
            <w:r>
              <w:rPr>
                <w:rFonts w:hint="eastAsia" w:ascii="宋体" w:hAnsi="宋体" w:eastAsia="宋体" w:cs="宋体"/>
                <w:color w:val="000000"/>
                <w:sz w:val="24"/>
                <w:szCs w:val="24"/>
                <w:highlight w:val="none"/>
                <w:lang w:val="en-US" w:eastAsia="zh-CN"/>
              </w:rPr>
              <w:t>为</w:t>
            </w:r>
            <w:r>
              <w:rPr>
                <w:rFonts w:hint="eastAsia" w:ascii="宋体" w:hAnsi="宋体" w:eastAsia="宋体" w:cs="宋体"/>
                <w:color w:val="000000"/>
                <w:sz w:val="24"/>
                <w:szCs w:val="24"/>
                <w:highlight w:val="none"/>
              </w:rPr>
              <w:t>1600mm×700mm×900mm</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±50mm</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，讲台桌面支持升降功能，桌面距地高度</w:t>
            </w:r>
            <w:r>
              <w:rPr>
                <w:rFonts w:hint="eastAsia" w:ascii="宋体" w:hAnsi="宋体" w:eastAsia="宋体" w:cs="宋体"/>
                <w:color w:val="000000"/>
                <w:sz w:val="24"/>
                <w:szCs w:val="24"/>
                <w:highlight w:val="none"/>
                <w:lang w:val="en-US" w:eastAsia="zh-CN"/>
              </w:rPr>
              <w:t>为</w:t>
            </w:r>
            <w:r>
              <w:rPr>
                <w:rFonts w:hint="eastAsia" w:ascii="宋体" w:hAnsi="宋体" w:eastAsia="宋体" w:cs="宋体"/>
                <w:color w:val="000000"/>
                <w:sz w:val="24"/>
                <w:szCs w:val="24"/>
                <w:highlight w:val="none"/>
              </w:rPr>
              <w:t>7</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0mm</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±50mm</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w:t>
            </w:r>
          </w:p>
          <w:p w14:paraId="4F31854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1.3.讲台桌面平整，全封闭设计，无菱角处理，保护师生安全。</w:t>
            </w:r>
          </w:p>
          <w:p w14:paraId="7B5B3E4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1.4.讲台桌最大承重≥100kg，结构稳固，可满足垂直平面水平位置≥100N，推力位移仍不超过5mm的移动。</w:t>
            </w:r>
          </w:p>
          <w:p w14:paraId="50A01BE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1.5.讲台升降控制器设计为LED数显、上下升降、支持一键调节坐姿和站姿操作。 </w:t>
            </w:r>
          </w:p>
          <w:p w14:paraId="70CB1B9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1.6.讲台桌可搭配可锁独立收纳柜，收纳空间内含</w:t>
            </w:r>
            <w:r>
              <w:rPr>
                <w:rFonts w:hint="eastAsia" w:ascii="宋体" w:hAnsi="宋体" w:eastAsia="宋体" w:cs="宋体"/>
                <w:color w:val="000000"/>
                <w:sz w:val="24"/>
                <w:szCs w:val="24"/>
                <w:highlight w:val="none"/>
                <w:lang w:val="en-US" w:eastAsia="zh-CN"/>
              </w:rPr>
              <w:t>至少</w:t>
            </w:r>
            <w:r>
              <w:rPr>
                <w:rFonts w:hint="eastAsia" w:ascii="宋体" w:hAnsi="宋体" w:eastAsia="宋体" w:cs="宋体"/>
                <w:color w:val="000000"/>
                <w:sz w:val="24"/>
                <w:szCs w:val="24"/>
                <w:highlight w:val="none"/>
              </w:rPr>
              <w:t>1个≥12U标准机柜，用于教室内多媒体主机类设备的安装，收纳柜支持延展桌面功能。</w:t>
            </w:r>
          </w:p>
          <w:p w14:paraId="3E801EF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7</w:t>
            </w:r>
            <w:r>
              <w:rPr>
                <w:rFonts w:hint="eastAsia" w:ascii="宋体" w:hAnsi="宋体" w:eastAsia="宋体" w:cs="宋体"/>
                <w:color w:val="000000"/>
                <w:sz w:val="24"/>
                <w:szCs w:val="24"/>
                <w:highlight w:val="none"/>
              </w:rPr>
              <w:t>.讲台桌标配大容量收纳空间，支持键盘、鼠标、书写笔、麦克风等常用教学工具的存储和充电需求。</w:t>
            </w:r>
          </w:p>
          <w:p w14:paraId="760FC55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.讲台桌可以搭配专属智能屏体通过软件控制升降，并显示高度数据。</w:t>
            </w:r>
          </w:p>
          <w:p w14:paraId="6EB79AE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2.讲台屏</w:t>
            </w:r>
          </w:p>
          <w:p w14:paraId="13C29C1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2.1.讲台屏设计为单屏幕，由一整块玻璃覆盖，钢化玻璃厚度≥2mm；屏幕融合在讲台中，无突出边角。讲台屏玻璃采用防眩光工艺。</w:t>
            </w:r>
          </w:p>
          <w:p w14:paraId="50134AD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2.2.讲台屏采用≥20英寸电容触摸屏幕，支持至少10点同时触摸。</w:t>
            </w:r>
          </w:p>
          <w:p w14:paraId="692E7E3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2.3.讲台屏支持手动角度调节，可实现与桌面形成20°至80°角度调节。</w:t>
            </w:r>
          </w:p>
          <w:p w14:paraId="3BE0AFE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2.4.讲台屏支持对交互智能平板画面的同屏显示和控制。</w:t>
            </w:r>
          </w:p>
          <w:p w14:paraId="3D229C4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2.5.讲台屏内置NFC模块，讲台屏至少支持NFC刷卡、二维码等方式实现设备使用前的用户身份认证。</w:t>
            </w:r>
          </w:p>
          <w:p w14:paraId="048BA15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2.6.讲台屏设置物理实体快捷按键，</w:t>
            </w:r>
            <w:r>
              <w:rPr>
                <w:rFonts w:hint="eastAsia" w:ascii="宋体" w:hAnsi="宋体" w:eastAsia="宋体" w:cs="宋体"/>
                <w:color w:val="000000"/>
                <w:sz w:val="24"/>
                <w:szCs w:val="24"/>
                <w:highlight w:val="none"/>
                <w:lang w:val="en-US" w:eastAsia="zh-CN"/>
              </w:rPr>
              <w:t>常用功能</w:t>
            </w:r>
            <w:r>
              <w:rPr>
                <w:rFonts w:hint="eastAsia" w:ascii="宋体" w:hAnsi="宋体" w:eastAsia="宋体" w:cs="宋体"/>
                <w:color w:val="000000"/>
                <w:sz w:val="24"/>
                <w:szCs w:val="24"/>
                <w:highlight w:val="none"/>
              </w:rPr>
              <w:t>按键数量≥5个。用户可通过快捷按键对一体机进行进行一键熄屏、音量加控制、音量减控制等操作。</w:t>
            </w:r>
          </w:p>
          <w:p w14:paraId="1B765F5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2.7.讲台屏侧边有≥2个USB充电口、≥1个type-C接口、≥1个HDMI IN口、≥1路RS232命令信号输出、≥1个220V国标五插电源接口。</w:t>
            </w:r>
          </w:p>
          <w:p w14:paraId="2B6083A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2.8.讲台屏自带定制化独立操作系统，可在任意通道下唤出多功能中控菜单并实现相关操作。</w:t>
            </w:r>
          </w:p>
          <w:p w14:paraId="746ECE3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2.9.讲台屏可设置中控菜单，支持一键上课及下课两种场景控制，也可以对连接的设备单独控制开关机。讲台屏可设置中控菜单，支持通过讲台通道控制功能使讲台主屏在四个输入源中切换，包括智能平板、电脑、HDMI、Type-C。</w:t>
            </w:r>
          </w:p>
          <w:p w14:paraId="695475C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3.机柜</w:t>
            </w:r>
          </w:p>
          <w:p w14:paraId="4FFD0A7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3.1.采用钢木结合设计，冷轧钢板柜体，柜体桌面木板厚度≥15mm，钢板厚度≥1mm防水、防磨、耐污、耐刮划、抗氧化、老师接触位置为木质桌面，桌面防静电。</w:t>
            </w:r>
          </w:p>
          <w:p w14:paraId="3580A1D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3.2.机柜尺寸设计为长×宽×高≥700mm×600mm×700mm，机柜容量≥10U,可适装标准19英寸系列网络、通讯类产品。</w:t>
            </w:r>
          </w:p>
          <w:p w14:paraId="5E90AF4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3.3.机柜桌面平整，全封闭设计，无菱角处理。</w:t>
            </w:r>
          </w:p>
          <w:p w14:paraId="17CAF8E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3.4.机柜前后柜门采用平开打开方式，带机械锁，方便日常维护。</w:t>
            </w:r>
          </w:p>
          <w:p w14:paraId="47861C2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3.5.机柜支脚采用4个万向高承重脚轮，方便移动，同时带有自锁功能。</w:t>
            </w:r>
          </w:p>
          <w:p w14:paraId="0285DC3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3.6.</w:t>
            </w:r>
            <w:r>
              <w:rPr>
                <w:rFonts w:hint="eastAsia" w:ascii="宋体" w:hAnsi="宋体" w:eastAsia="宋体" w:cs="宋体"/>
                <w:color w:val="000000"/>
                <w:sz w:val="24"/>
                <w:szCs w:val="24"/>
                <w:highlight w:val="none"/>
                <w:lang w:val="en-US" w:eastAsia="zh-CN"/>
              </w:rPr>
              <w:t>有</w:t>
            </w:r>
            <w:r>
              <w:rPr>
                <w:rFonts w:hint="eastAsia" w:ascii="宋体" w:hAnsi="宋体" w:eastAsia="宋体" w:cs="宋体"/>
                <w:color w:val="000000"/>
                <w:sz w:val="24"/>
                <w:szCs w:val="24"/>
                <w:highlight w:val="none"/>
              </w:rPr>
              <w:t>散热孔</w:t>
            </w:r>
            <w:r>
              <w:rPr>
                <w:rFonts w:hint="eastAsia" w:ascii="宋体" w:hAnsi="宋体" w:eastAsia="宋体" w:cs="宋体"/>
                <w:color w:val="000000"/>
                <w:sz w:val="24"/>
                <w:szCs w:val="24"/>
                <w:highlight w:val="none"/>
                <w:lang w:eastAsia="zh-CN"/>
              </w:rPr>
              <w:t>。</w:t>
            </w:r>
          </w:p>
          <w:p w14:paraId="15B439C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三、高保真无感扩声系统</w:t>
            </w:r>
          </w:p>
          <w:p w14:paraId="4B8981F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1.音频处理器</w:t>
            </w:r>
          </w:p>
          <w:p w14:paraId="60FAA22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1.1主机CPU核心数量≥4个。</w:t>
            </w:r>
          </w:p>
          <w:p w14:paraId="651EB6A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1.2主机采用高度集成一体化设计，集成音频信号处理模块、数字功放模块、交流转直流开关电源模块。</w:t>
            </w:r>
          </w:p>
          <w:p w14:paraId="48D1434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1.3音量调节旋钮采用内陷式防误触设计</w:t>
            </w:r>
            <w:r>
              <w:rPr>
                <w:rFonts w:hint="eastAsia" w:ascii="宋体" w:hAnsi="宋体" w:eastAsia="宋体" w:cs="宋体"/>
                <w:color w:val="000000"/>
                <w:sz w:val="24"/>
                <w:szCs w:val="24"/>
                <w:highlight w:val="none"/>
                <w:lang w:eastAsia="zh-CN"/>
              </w:rPr>
              <w:t>。</w:t>
            </w:r>
          </w:p>
          <w:p w14:paraId="726A269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1.4支持≥2路RJ45网口音频输入。</w:t>
            </w:r>
          </w:p>
          <w:p w14:paraId="6715FFDF">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1.5支持通过RS485接口实现串口通信，支持通过RJ45网口实现网络通信。</w:t>
            </w:r>
          </w:p>
          <w:p w14:paraId="7BE4628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1.6功率放大器的输出功率≥2*150W。</w:t>
            </w:r>
          </w:p>
          <w:p w14:paraId="2F33446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1.7采样率≥48KHz；频率响应范围为100Hz~20KHz。</w:t>
            </w:r>
          </w:p>
          <w:p w14:paraId="7C7D795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1.8支持自动反馈抑制算法，可抑制声反馈啸叫，声反馈增益≥18dB，支持反馈抑制强度调节。</w:t>
            </w:r>
          </w:p>
          <w:p w14:paraId="1C3C5EC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1.9支持低时延AI降噪技术，既可对教室内的空调、电风扇等稳态噪声进行抑制，也可对板书声、走路声、桌椅声等瞬态噪声进行抑制，不进行扩声输出，降噪幅度≥30dB。</w:t>
            </w:r>
          </w:p>
          <w:p w14:paraId="60460C9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1.10支持全频带全双工自适应回声消除算法，回声消除幅度≥90dB，回声消除长度≥1s。</w:t>
            </w:r>
          </w:p>
          <w:p w14:paraId="15A14BD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1.11支持动态波束成形算法，可对讲台区域发声源进行精准跟踪，以保证讲台区域老师的拾扩清晰度与均匀度。</w:t>
            </w:r>
          </w:p>
          <w:p w14:paraId="1366517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1.12支持虚拟音幕功能，在麦克风前方180°的讲台区域可以正常扩声，在麦克风后方180°的学生区域无法扩声。</w:t>
            </w:r>
          </w:p>
          <w:p w14:paraId="07C506C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1.13支持一键声场检测功能，可对教室混响时间、环境噪声、频率响应、谐波失真等声学参数进行检测。</w:t>
            </w:r>
          </w:p>
          <w:p w14:paraId="50E623D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1.14支持鹅颈麦、无线麦与吊麦自动切换。当鹅颈麦、无线麦开启并有输入后，吊麦不扩声或降低音量，保证鹅颈麦、无线麦声音清晰；鹅颈麦、无线麦关闭或静音后，自动切换到吊麦扩声，保证扩声功能正常。</w:t>
            </w:r>
          </w:p>
          <w:p w14:paraId="2B55399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1.15支持拾扩一体功能，可通过一只吊装麦克风实现本地扩声和远程互动，本地扩音和远程互动能同时进行，并且相互不影响效果；本地扩音要求声音清晰响亮、无啸叫；远程互动要求声音清晰、无噪声和回声。</w:t>
            </w:r>
          </w:p>
          <w:p w14:paraId="7A1118F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1.16支持通过音频线与录播主机进行握手通信，可实现录播主机音频矩阵的自动化配置。</w:t>
            </w:r>
          </w:p>
          <w:p w14:paraId="6AD61F2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2.扩声音响</w:t>
            </w:r>
          </w:p>
          <w:p w14:paraId="0F6C91AF">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2.1音箱采用≥2个喇叭单元，其中1个≥6"中低音喇叭单元，1个≥1"高音喇叭单元。</w:t>
            </w:r>
          </w:p>
          <w:p w14:paraId="222FEEF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2.2音箱外壳采用高强度材料。</w:t>
            </w:r>
          </w:p>
          <w:p w14:paraId="2C6B489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2.3标配原厂壁挂支架，支持水平方向±90°、垂直方向±90°范围调节。</w:t>
            </w:r>
          </w:p>
          <w:p w14:paraId="6C844E4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最大声压级≥105dBSPL。</w:t>
            </w:r>
          </w:p>
          <w:p w14:paraId="27EFC2C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灵敏度为86dB（±3dB）。</w:t>
            </w:r>
          </w:p>
          <w:p w14:paraId="25DD0DC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频率响应范围为70Hz~20KHz。</w:t>
            </w:r>
          </w:p>
          <w:p w14:paraId="63C1495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3.拾音麦克风</w:t>
            </w:r>
          </w:p>
          <w:p w14:paraId="1EB3B76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3.1麦克风内置≥6个传感器单元。</w:t>
            </w:r>
          </w:p>
          <w:p w14:paraId="62F2E15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3.2麦克风无需额外适配器供电，能够通过网线实现麦克风供电、音频信号传输。</w:t>
            </w:r>
          </w:p>
          <w:p w14:paraId="28F4FF2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3.3麦克风采用≥2个网口进行模拟音频信号传输。</w:t>
            </w:r>
          </w:p>
          <w:p w14:paraId="1B73721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麦克风拾音距离≥6米。</w:t>
            </w:r>
          </w:p>
          <w:p w14:paraId="0E0B2CE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麦克风频率响应范围为100Hz~20KHz。</w:t>
            </w:r>
          </w:p>
          <w:p w14:paraId="0F4AA7B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麦克风灵敏度为-37dB±3dB。</w:t>
            </w:r>
          </w:p>
          <w:p w14:paraId="76275AB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en-US" w:eastAsia="zh-CN"/>
              </w:rPr>
              <w:t>7</w:t>
            </w:r>
            <w:r>
              <w:rPr>
                <w:rFonts w:hint="eastAsia" w:ascii="宋体" w:hAnsi="宋体" w:eastAsia="宋体" w:cs="宋体"/>
                <w:color w:val="000000"/>
                <w:sz w:val="24"/>
                <w:szCs w:val="24"/>
                <w:highlight w:val="none"/>
              </w:rPr>
              <w:t>麦克风信噪比≥70dB。</w:t>
            </w:r>
          </w:p>
          <w:p w14:paraId="4DF1426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麦克风输出阻抗为100Ω±20%。</w:t>
            </w:r>
          </w:p>
          <w:p w14:paraId="379A5E1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en-US" w:eastAsia="zh-CN"/>
              </w:rPr>
              <w:t>9</w:t>
            </w:r>
            <w:r>
              <w:rPr>
                <w:rFonts w:hint="eastAsia" w:ascii="宋体" w:hAnsi="宋体" w:eastAsia="宋体" w:cs="宋体"/>
                <w:color w:val="000000"/>
                <w:sz w:val="24"/>
                <w:szCs w:val="24"/>
                <w:highlight w:val="none"/>
              </w:rPr>
              <w:t>麦克风最大声压级≥110dBSPL。</w:t>
            </w:r>
          </w:p>
          <w:p w14:paraId="2D578B5F">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4.无线麦克风和接收器</w:t>
            </w:r>
          </w:p>
          <w:p w14:paraId="4F25B9E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4.1麦克风支持≥1个Pogo pin接口，支持通过Pogo pin接口进行充电。整机Pogo pin接口≥2个。</w:t>
            </w:r>
          </w:p>
          <w:p w14:paraId="5349DA4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 麦克风支持≥1个按键，可控制麦克风的开关机、静音和配对。</w:t>
            </w:r>
          </w:p>
          <w:p w14:paraId="39AC078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4.3麦克风支持≥2个音量控制按钮，可通过音量“+”“-”按钮控制麦克风输出音量。</w:t>
            </w:r>
          </w:p>
          <w:p w14:paraId="2D3CC0F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4.4麦克风标配充电仓，可用于充电及收纳。</w:t>
            </w:r>
          </w:p>
          <w:p w14:paraId="68DC63B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4.5麦克风充电仓支持电量指示，通过灯珠亮灭数量充电仓剩余电量及充电状态。</w:t>
            </w:r>
          </w:p>
          <w:p w14:paraId="3BA9E74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4.6整机标配两个无线麦克风，且两个麦克风支持同时工作。</w:t>
            </w:r>
          </w:p>
          <w:p w14:paraId="5799735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4.7麦克风支持≥2种断开连接方式，可通过麦克风放入充电仓自动断开连接、关机自动断开连接。</w:t>
            </w:r>
          </w:p>
          <w:p w14:paraId="0607E7F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4.8麦克风支持通过音量调节按钮调节输出音量；音量调节过程中通过麦克风一体化屏幕动态提示当前音量等级。</w:t>
            </w:r>
          </w:p>
          <w:p w14:paraId="2EAB1D2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4.9麦克风支持音量记忆功能，重启后麦克风恢复关机前的音量等级。</w:t>
            </w:r>
          </w:p>
          <w:p w14:paraId="265C5BC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4.10支持红外和无线同时配对。</w:t>
            </w:r>
          </w:p>
          <w:p w14:paraId="08E9DB2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4.11麦克风屏幕支持显示麦克风电池电量、麦克风配对状态、麦克风所连接的设备、显示当前麦克风接收声音强度、无线连接信号强度。</w:t>
            </w:r>
          </w:p>
          <w:p w14:paraId="69BD6CD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4.12支持通过录播系统查看麦克风状态信息，包括版本信息、电量信息、信号强度信息。</w:t>
            </w:r>
          </w:p>
          <w:p w14:paraId="540F652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4.13支持抗干扰能力，支持自动跳频技术，避免同频干扰问题，同一空间内有多个无线麦克风不会产生相互干扰。</w:t>
            </w:r>
          </w:p>
          <w:p w14:paraId="128698C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4.14麦克风音频采样率≥48kHz。</w:t>
            </w:r>
          </w:p>
          <w:p w14:paraId="150C10A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4.15通信保持状态下，支持在空旷环境下，有效传输距离≥100m；支持在室内使用场景下，穿墙后有效传输距离≥20m。</w:t>
            </w:r>
          </w:p>
          <w:p w14:paraId="773FDDB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4.16支持≥1个USB Type-C接口。</w:t>
            </w:r>
          </w:p>
          <w:p w14:paraId="4626FC4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4.17支持≥1个3.5mm Line out音频输出接口。</w:t>
            </w:r>
          </w:p>
          <w:p w14:paraId="5AB8090F">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4.18支持内置状态显示灯，可显示当前接收器工作状态。</w:t>
            </w:r>
          </w:p>
          <w:p w14:paraId="3C4C80E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4.19支持壁挂支架安装，实现0°或180°安装。</w:t>
            </w:r>
          </w:p>
          <w:p w14:paraId="4AAFFD5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4.20供电电压DC≤5V。</w:t>
            </w:r>
          </w:p>
          <w:p w14:paraId="53AD3435">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4.21支持通过录播系统，实现OTA自动升级。</w:t>
            </w:r>
          </w:p>
          <w:p w14:paraId="7B7899C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4.22支持通过Type-C接口实现手动升级。</w:t>
            </w:r>
          </w:p>
          <w:p w14:paraId="2E28AA9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4.23支持同时连接两个麦克风并工作。</w:t>
            </w:r>
          </w:p>
          <w:p w14:paraId="2C4BE29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四、光能黑板</w:t>
            </w:r>
          </w:p>
          <w:p w14:paraId="551AB72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要求具备局部擦除、一键擦除、板书记忆等功能，支持在显示终端上同步展示左右两副屏书写的内容。</w:t>
            </w:r>
          </w:p>
        </w:tc>
        <w:tc>
          <w:tcPr>
            <w:tcW w:w="633" w:type="pct"/>
            <w:vAlign w:val="center"/>
          </w:tcPr>
          <w:p w14:paraId="6BE6289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2（套）</w:t>
            </w:r>
          </w:p>
        </w:tc>
        <w:tc>
          <w:tcPr>
            <w:tcW w:w="475" w:type="pct"/>
            <w:vAlign w:val="center"/>
          </w:tcPr>
          <w:p w14:paraId="316769A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eastAsia="zh-CN"/>
              </w:rPr>
            </w:pPr>
            <w:r>
              <w:rPr>
                <w:rFonts w:hint="eastAsia" w:ascii="宋体" w:hAnsi="宋体" w:eastAsia="宋体" w:cs="宋体"/>
                <w:color w:val="000000"/>
                <w:sz w:val="24"/>
                <w:szCs w:val="24"/>
                <w:highlight w:val="none"/>
              </w:rPr>
              <w:t>数字解剖教学系统</w:t>
            </w:r>
            <w:r>
              <w:rPr>
                <w:rFonts w:hint="eastAsia" w:ascii="宋体" w:hAnsi="宋体" w:eastAsia="宋体" w:cs="宋体"/>
                <w:color w:val="000000"/>
                <w:sz w:val="24"/>
                <w:szCs w:val="24"/>
                <w:highlight w:val="none"/>
                <w:lang w:eastAsia="zh-CN"/>
              </w:rPr>
              <w:t>：</w:t>
            </w:r>
            <w:r>
              <w:rPr>
                <w:rFonts w:hint="eastAsia" w:ascii="宋体" w:hAnsi="宋体" w:eastAsia="宋体" w:cs="宋体"/>
                <w:bCs/>
                <w:color w:val="000000"/>
                <w:sz w:val="24"/>
                <w:szCs w:val="24"/>
                <w:highlight w:val="none"/>
              </w:rPr>
              <w:t>软件和信息技术服务业</w:t>
            </w:r>
            <w:r>
              <w:rPr>
                <w:rFonts w:hint="eastAsia" w:ascii="宋体" w:hAnsi="宋体" w:eastAsia="宋体" w:cs="宋体"/>
                <w:bCs/>
                <w:color w:val="000000"/>
                <w:sz w:val="24"/>
                <w:szCs w:val="24"/>
                <w:highlight w:val="none"/>
                <w:lang w:eastAsia="zh-CN"/>
              </w:rPr>
              <w:t>。</w:t>
            </w:r>
          </w:p>
          <w:p w14:paraId="346B841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eastAsia="zh-CN"/>
              </w:rPr>
            </w:pPr>
          </w:p>
          <w:p w14:paraId="4DFD3CD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eastAsia="zh-CN"/>
              </w:rPr>
            </w:pPr>
          </w:p>
          <w:p w14:paraId="2C97DEC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eastAsia="zh-CN"/>
              </w:rPr>
            </w:pPr>
          </w:p>
          <w:p w14:paraId="159C1C81">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eastAsia="宋体" w:cs="宋体"/>
                <w:color w:val="000000"/>
                <w:sz w:val="24"/>
                <w:szCs w:val="24"/>
                <w:highlight w:val="none"/>
              </w:rPr>
              <w:t>智能交互讲台、高保真无感扩声系统、光能黑板</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工业</w:t>
            </w:r>
          </w:p>
        </w:tc>
      </w:tr>
      <w:tr w14:paraId="4018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51" w:type="pct"/>
            <w:vAlign w:val="center"/>
          </w:tcPr>
          <w:p w14:paraId="114C975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p>
        </w:tc>
        <w:tc>
          <w:tcPr>
            <w:tcW w:w="731" w:type="pct"/>
            <w:vAlign w:val="center"/>
          </w:tcPr>
          <w:p w14:paraId="25C64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sz w:val="24"/>
                <w:szCs w:val="24"/>
                <w:highlight w:val="none"/>
              </w:rPr>
            </w:pPr>
            <w:r>
              <w:rPr>
                <w:rFonts w:hint="eastAsia" w:ascii="宋体" w:hAnsi="宋体" w:eastAsia="宋体" w:cs="宋体"/>
                <w:color w:val="000000"/>
                <w:kern w:val="0"/>
                <w:sz w:val="24"/>
                <w:szCs w:val="24"/>
                <w:highlight w:val="none"/>
                <w:lang w:val="en-US" w:eastAsia="zh-CN" w:bidi="ar"/>
              </w:rPr>
              <w:t>▲</w:t>
            </w:r>
            <w:r>
              <w:rPr>
                <w:rFonts w:hint="eastAsia" w:ascii="宋体" w:hAnsi="宋体" w:eastAsia="宋体" w:cs="宋体"/>
                <w:b/>
                <w:bCs/>
                <w:color w:val="000000"/>
                <w:kern w:val="0"/>
                <w:sz w:val="24"/>
                <w:szCs w:val="24"/>
                <w:highlight w:val="none"/>
                <w:lang w:val="en-US" w:eastAsia="zh-CN" w:bidi="ar"/>
              </w:rPr>
              <w:t>数字解剖系统学生端</w:t>
            </w:r>
          </w:p>
        </w:tc>
        <w:tc>
          <w:tcPr>
            <w:tcW w:w="2707" w:type="pct"/>
            <w:vAlign w:val="center"/>
          </w:tcPr>
          <w:p w14:paraId="6D9AE59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1、须采用无器质性病变和无缺失的中国人体连续断层真实数据重建三维人体，必须为无节段性数据缺失的断层数据。确保原始数据人阑尾正常、牙齿正常、睾丸正常。</w:t>
            </w:r>
          </w:p>
          <w:p w14:paraId="01F2105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2、数字人体横断面间距要求：头部和颈部为≤0.5mm，其中颅底部必须≤0.1mm，其他部位为≤1.0mm，断层总数据必须＞2100 层。具有横断面、冠状面、矢状面真实人体断层图像，能够任意放大与缩小，分辨率≤0.18mm×0.18mm/像素。</w:t>
            </w:r>
          </w:p>
          <w:p w14:paraId="3EDB7A4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3、必须结合真实医学数据精确的重建人体，包含至少6000个以上不可再分的解剖结构。每个解剖结构都必须加注文字说明及关键结构标注，并带有英文名称及英文发音。</w:t>
            </w:r>
          </w:p>
          <w:p w14:paraId="5F09E59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★4、该产品必须具有系统解剖学、局部解剖学、断层解剖学、临床案例、3D人体标本、微课视频、自主学习等相同功能模块。</w:t>
            </w:r>
            <w:r>
              <w:rPr>
                <w:rFonts w:hint="eastAsia" w:ascii="宋体" w:hAnsi="宋体" w:eastAsia="宋体" w:cs="宋体"/>
                <w:b/>
                <w:bCs/>
                <w:color w:val="000000"/>
                <w:kern w:val="0"/>
                <w:sz w:val="24"/>
                <w:szCs w:val="24"/>
                <w:highlight w:val="none"/>
                <w:lang w:val="en-US" w:eastAsia="zh-CN" w:bidi="ar"/>
              </w:rPr>
              <w:t>（投标文件中提供官网截图或功能截图）</w:t>
            </w:r>
          </w:p>
          <w:p w14:paraId="265A190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5、软件基础功能要求：</w:t>
            </w:r>
          </w:p>
          <w:p w14:paraId="1D6CBA0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5.1、背景切换: 根据教学使用场景光线情况，可以切换背景模式。</w:t>
            </w:r>
          </w:p>
          <w:p w14:paraId="4D73E2B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5.2、自动分离：可以对显示的所有三维结构进行分离显示，三维结构可实现放大缩小、任意角度旋转等操作。</w:t>
            </w:r>
          </w:p>
          <w:p w14:paraId="61313FA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5.3、手动分离：对选中的三维结构进行手动分离，突出显示。三维结构可实现放大缩小、任意角度旋转等操作。</w:t>
            </w:r>
          </w:p>
          <w:p w14:paraId="189D334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5.4、染色：对显示的所有三维结构进行不同颜色染色。</w:t>
            </w:r>
          </w:p>
          <w:p w14:paraId="0F49644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5.5、框选：对选定区域结构进行框选显示。</w:t>
            </w:r>
          </w:p>
          <w:p w14:paraId="438F1C0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5.6、随手画：可以进行随手书写，圈画形成电子板书模式。</w:t>
            </w:r>
          </w:p>
          <w:p w14:paraId="427DDDA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5.7、透明：可透明表层凸显出深层与表层的层次关系。透明的程度可自由调节。可方便快捷地实现神经、血管等结构的体表投影。</w:t>
            </w:r>
          </w:p>
          <w:p w14:paraId="6B281F2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5.8、查找：可进行模糊检索如名称首字母和关键字，检索出相应的三维结构点击检索结果结构名称，显示该结构。</w:t>
            </w:r>
          </w:p>
          <w:p w14:paraId="0348FB0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5.9、单独显示：对选中三维结构单独显示。</w:t>
            </w:r>
          </w:p>
          <w:p w14:paraId="68364F2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5.10、清除：清除所有结构。</w:t>
            </w:r>
          </w:p>
          <w:p w14:paraId="148AF2F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5.11、隐藏：选中结构进行隐藏。</w:t>
            </w:r>
          </w:p>
          <w:p w14:paraId="01CF627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5.12、恢复：恢复上一步操作。</w:t>
            </w:r>
          </w:p>
          <w:p w14:paraId="5E4C4E6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6、系统内根据教学大纲，将人体的器官组织以全真三维模型的形式展示，能够放大、缩小并以任何角度旋转观察。包括俯视效果和仰视效果。</w:t>
            </w:r>
          </w:p>
          <w:p w14:paraId="48D15B0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7、系统解剖学</w:t>
            </w:r>
          </w:p>
          <w:p w14:paraId="11BDE6E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7.1、目录按照规划教材教学大纲中的要求须分为运动系统、消化系统、呼吸系统、泌尿系统、生殖系统、腹膜、脉管系统、感觉器、神经系统、内分泌系统和皮肤。</w:t>
            </w:r>
          </w:p>
          <w:p w14:paraId="46B00F0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7.2、系统内横、矢、冠三个断面各断层内解剖结构做好圈画标注，方便查看各解剖结构在断层中的位置和范围，横、矢、冠三个断面与三维解剖结构可在同一界面显示，并且横、矢、冠三个断面与三维解剖结构相互关联，点击三维或断层任意结构位置，其他各区域均有同步响应。</w:t>
            </w:r>
          </w:p>
          <w:p w14:paraId="5252EEA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7.3、系统须具有预置位功能，按照规划教材教学大纲，将常用教学内容提前编排好并以磁贴图标或快捷入口卡片的方式展示，老师可根据教学内容自主添加磁贴图标或快捷入口卡片，以满足老师在讲课过程中快速调用设置好的三维人体结构，各预置位磁贴图标或快捷入口卡片内包含对应解剖结构的组织学切片图片。</w:t>
            </w:r>
            <w:r>
              <w:rPr>
                <w:rFonts w:hint="eastAsia" w:ascii="宋体" w:hAnsi="宋体" w:eastAsia="宋体" w:cs="宋体"/>
                <w:b/>
                <w:bCs/>
                <w:color w:val="000000"/>
                <w:kern w:val="0"/>
                <w:sz w:val="24"/>
                <w:szCs w:val="24"/>
                <w:highlight w:val="none"/>
                <w:lang w:val="en-US" w:eastAsia="zh-CN" w:bidi="ar"/>
              </w:rPr>
              <w:t>（投标文件中提供官网截图或功能截图）</w:t>
            </w:r>
          </w:p>
          <w:p w14:paraId="3E12CE8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7.4、按照教学大纲要求系统解剖学预置位磁贴图标或快捷入口卡片不少于200个。</w:t>
            </w:r>
          </w:p>
          <w:p w14:paraId="34F0211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8、系统具备单独显示、剥离、恢复、染色、透明、查找、发音、随手画等功能。</w:t>
            </w:r>
          </w:p>
          <w:p w14:paraId="50E1B33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9、老师可根据教学需求在三维人体结构上自行添加三维标注，并可对标注内容进行注释，以方便教学。</w:t>
            </w:r>
          </w:p>
          <w:p w14:paraId="4AD3A3B6">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★10、微课视频模块须包含系统解剖学微课、局部解剖学微课、断层解剖学内容。护理解剖学微课按照教学护理实训内容进行编排，微课内容包含灌肠术、股动脉采血、静脉输液等护理实训微课内容。</w:t>
            </w:r>
            <w:r>
              <w:rPr>
                <w:rFonts w:hint="eastAsia" w:ascii="宋体" w:hAnsi="宋体" w:eastAsia="宋体" w:cs="宋体"/>
                <w:b/>
                <w:bCs/>
                <w:color w:val="000000"/>
                <w:sz w:val="24"/>
                <w:szCs w:val="24"/>
                <w:highlight w:val="none"/>
              </w:rPr>
              <w:t>（投标文件中提供官网截图或功能截图）</w:t>
            </w:r>
          </w:p>
          <w:p w14:paraId="68C1BCA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★11、该系统自主学习模块中，课件内容须至少由文字、图片、微视频、三维解剖结构组成。</w:t>
            </w:r>
            <w:r>
              <w:rPr>
                <w:rFonts w:hint="eastAsia" w:ascii="宋体" w:hAnsi="宋体" w:eastAsia="宋体" w:cs="宋体"/>
                <w:b/>
                <w:bCs/>
                <w:color w:val="000000"/>
                <w:kern w:val="0"/>
                <w:sz w:val="24"/>
                <w:szCs w:val="24"/>
                <w:highlight w:val="none"/>
                <w:lang w:val="en-US" w:eastAsia="zh-CN" w:bidi="ar"/>
              </w:rPr>
              <w:t>（投标文件中提供官网截图或功能截图）</w:t>
            </w:r>
          </w:p>
          <w:p w14:paraId="3E8EDD18">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12、课件内还需按照教学章节配有相应练习题，练习题包含理论练习和标本练习。练习题数量不少于1800道。</w:t>
            </w:r>
          </w:p>
          <w:p w14:paraId="06F6034C">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13、系统内3D人体标本模块需采用真实人体标本进行数字化展示，内容包含系统解剖标本、局部解剖标本，数量不少于1800件。 </w:t>
            </w:r>
          </w:p>
          <w:p w14:paraId="03EFA6F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14、局部解剖学模块</w:t>
            </w:r>
          </w:p>
          <w:p w14:paraId="11C67AC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14.1、按照局部解剖学教学大纲要求须包括头部、颈部、胸部、腹部、盆部会阴、脊柱区、上肢、下肢八大局部解剖部位，每个部位下的目录按照局部解剖要求进行编排，以满足教学需求。</w:t>
            </w:r>
          </w:p>
          <w:p w14:paraId="5F4CB62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14.2、按照八大局部解剖学部位设定预置位磁贴图标或快捷入口卡片以满足老师在讲课过程中快速调用设置好的教学内容。按照局部解剖学教学大纲要求预置位磁贴图标或快捷入口卡片不少于 200 个。</w:t>
            </w:r>
          </w:p>
          <w:p w14:paraId="5DE8FF0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14.3、逐层剥离功能：按照局部解剖学大纲要求，可按层次逐层剥离，保持浅筋膜、深筋膜完整，方便学生了解各部位层次和毗邻关系。</w:t>
            </w:r>
          </w:p>
          <w:p w14:paraId="06416800">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14.4、解剖切口功能：按照局部解剖学大纲要求，在数字人体上绘制出解剖线。</w:t>
            </w:r>
          </w:p>
          <w:p w14:paraId="537A977E">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14.5、实景微课视频功能：按照局部解剖学大纲要求，每个局部三维解剖部位需有对应的实景解剖视频讲解，三维解剖部位与实景解剖视频相对应，在三维解剖场景下可快速调取解剖部位对应的实景解剖视频。</w:t>
            </w:r>
          </w:p>
          <w:p w14:paraId="587C0DC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15、断层解剖学模块 </w:t>
            </w:r>
          </w:p>
          <w:p w14:paraId="28D91C7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15.1、为便于教学，预置断层解剖学磁贴图标或快捷入口卡片不少于70个。</w:t>
            </w:r>
          </w:p>
          <w:p w14:paraId="390C291D">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★15.2、断层解剖模块需包含真实人体断层、CT/MR 影像以及三维结构三个部分，在同一界面显示，并做好结构标注，任意三维结构在这三个部分能够相互对应，方便学生由三维解剖结构过渡到断层解剖，再由断层解剖过渡到 CT/MR 影像。</w:t>
            </w:r>
            <w:r>
              <w:rPr>
                <w:rFonts w:hint="eastAsia" w:ascii="宋体" w:hAnsi="宋体" w:eastAsia="宋体" w:cs="宋体"/>
                <w:b/>
                <w:bCs/>
                <w:color w:val="000000"/>
                <w:kern w:val="0"/>
                <w:sz w:val="24"/>
                <w:szCs w:val="24"/>
                <w:highlight w:val="none"/>
                <w:lang w:val="en-US" w:eastAsia="zh-CN" w:bidi="ar"/>
              </w:rPr>
              <w:t>（投标文件中提供官网截图或功能截图）</w:t>
            </w:r>
          </w:p>
          <w:p w14:paraId="2C811D17">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15.3、断层解剖模块 CT/MR 影像数量不少于1700张。</w:t>
            </w:r>
          </w:p>
          <w:p w14:paraId="2BAD6443">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15.4、具有虚拟人体快速定位横断层位置。</w:t>
            </w:r>
          </w:p>
          <w:p w14:paraId="66AC69A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16、临床案例模块</w:t>
            </w:r>
          </w:p>
          <w:p w14:paraId="4360DF11">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16.1、系统内临床案例模块需提供临床数据，临床案例数据包含临床病例影像的重建模型、正常人体的模型数据、CT 影像、病例描述等。</w:t>
            </w:r>
          </w:p>
          <w:p w14:paraId="6C0051A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16.2、临床案例影像重建模型可与正常人体结构进行联动并对比观察。</w:t>
            </w:r>
          </w:p>
          <w:p w14:paraId="2112EDA9">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16.3、各临床案例均配备根据真实临床影像重建的三维结构，并标注病灶位置。</w:t>
            </w:r>
          </w:p>
          <w:p w14:paraId="12E7FE1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16.4、临床案例模块案例数量不少于 80 个。</w:t>
            </w:r>
          </w:p>
          <w:p w14:paraId="7F390F3A">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Cs/>
                <w:color w:val="000000"/>
                <w:sz w:val="24"/>
                <w:szCs w:val="24"/>
                <w:highlight w:val="none"/>
              </w:rPr>
            </w:pPr>
            <w:r>
              <w:rPr>
                <w:rFonts w:hint="eastAsia" w:ascii="宋体" w:hAnsi="宋体" w:eastAsia="宋体" w:cs="宋体"/>
                <w:color w:val="000000"/>
                <w:kern w:val="0"/>
                <w:sz w:val="24"/>
                <w:szCs w:val="24"/>
                <w:highlight w:val="none"/>
                <w:lang w:val="en-US" w:eastAsia="zh-CN" w:bidi="ar"/>
              </w:rPr>
              <w:t>17、配套显示终端要求：屏幕尺寸不小于55寸，屏幕分辨率：不小于4K，多点触摸系统。核心数≥10，基本频率≥1.5GHz，睿频≥4GHz，缓存≥12MB，内存：≥16G，硬盘：≥1T，需具有Type C、USB3.0、USB2.0、HDMI、网口等接口，具有落地机箱。</w:t>
            </w:r>
          </w:p>
        </w:tc>
        <w:tc>
          <w:tcPr>
            <w:tcW w:w="633" w:type="pct"/>
            <w:vAlign w:val="center"/>
          </w:tcPr>
          <w:p w14:paraId="3801408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4（套）</w:t>
            </w:r>
          </w:p>
        </w:tc>
        <w:tc>
          <w:tcPr>
            <w:tcW w:w="475" w:type="pct"/>
            <w:vAlign w:val="center"/>
          </w:tcPr>
          <w:p w14:paraId="66A3B59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软件和信息技术服务业</w:t>
            </w:r>
          </w:p>
        </w:tc>
      </w:tr>
      <w:tr w14:paraId="4251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pct"/>
            <w:vAlign w:val="center"/>
          </w:tcPr>
          <w:p w14:paraId="3956801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p>
        </w:tc>
        <w:tc>
          <w:tcPr>
            <w:tcW w:w="731" w:type="pct"/>
            <w:vAlign w:val="center"/>
          </w:tcPr>
          <w:p w14:paraId="74F7AF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中央实验台</w:t>
            </w:r>
          </w:p>
        </w:tc>
        <w:tc>
          <w:tcPr>
            <w:tcW w:w="2707" w:type="pct"/>
            <w:vAlign w:val="center"/>
          </w:tcPr>
          <w:p w14:paraId="747910B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1.规格：长4200mm*宽1500mm*高800mm（±30mm）。</w:t>
            </w:r>
          </w:p>
          <w:p w14:paraId="0C45408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2.钢木或钢架结构。</w:t>
            </w:r>
          </w:p>
          <w:p w14:paraId="0B2A37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3.台面：不低于12mm厚实芯双面理化板台面，台面边缘用同质材料板双层加厚至不低于25mm。性能如下：</w:t>
            </w:r>
          </w:p>
          <w:p w14:paraId="59AA056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3.1通过硫酸（98%）、磷酸（85%）、氢氟酸（48%）、乙基苯、异丁醇等不少于100项酸、碱及其它化学试剂的检验结果为不低于5级：无明显变化。</w:t>
            </w:r>
          </w:p>
          <w:p w14:paraId="446064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 4种重金属含量 mg/kg（可溶性铅≤0.3、镉：未检出、铬≤0.7、汞：未检出）。</w:t>
            </w:r>
          </w:p>
          <w:p w14:paraId="74D19A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3.3甲醛释放量满足E0级技术要求。</w:t>
            </w:r>
          </w:p>
          <w:p w14:paraId="28A50E2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3.4.台面板静曲强度≥120Mpa；弹性模量≥10000Mpa；含水率：≤3%；24h吸水率≤1%；密度≥1.4g/cm</w:t>
            </w:r>
            <w:r>
              <w:rPr>
                <w:rFonts w:hint="eastAsia" w:ascii="宋体" w:hAnsi="宋体" w:eastAsia="宋体" w:cs="宋体"/>
                <w:i w:val="0"/>
                <w:iCs w:val="0"/>
                <w:color w:val="000000"/>
                <w:kern w:val="0"/>
                <w:sz w:val="24"/>
                <w:szCs w:val="24"/>
                <w:highlight w:val="none"/>
                <w:u w:val="none"/>
                <w:vertAlign w:val="superscript"/>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耐臭氧（72h）：外观无明显变化；尺寸稳定性：纵向与横向≤0.1%；漆膜附着力：不低于4级：切割边缘完全平滑，网格内无脱落；漆膜硬度＞6H；表面耐划痕性能：4.5N作用下，试件表面无大于90%的连续划痕；表面耐龟裂性能：不低于5级：表面无裂纹；耐高温性能：表面无裂纹；表面耐干热性能：不低于5级：无明显变化；表面耐湿热性能：不低于5级：无明显变化；耐沸水性能：质量增加百分率≤0.5%、厚度增加百分率≤0.06%，表面质量等级：不低于5级：无变化，边缘质量等级：不低于5级：无明显变化；表面耐冷热循环：表面无裂纹及鼓泡；抗冲击性能（冲击高度1m）：不低于4mm；表面耐磨性能≥600r，未出现磨损；弯曲强度≥120Mpa；弯曲弹性模量≥7000Mpa。</w:t>
            </w:r>
          </w:p>
          <w:p w14:paraId="3F96885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3.5.台面经过不少于15种的菌种检测结果抗菌率&gt;99.99%，霉菌生长情况0级。放射性核素符合国标。</w:t>
            </w:r>
          </w:p>
          <w:p w14:paraId="6F36390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4.柜体板：不低于18mm厚的优质E1级中密度纤维板。</w:t>
            </w:r>
          </w:p>
          <w:p w14:paraId="4B5A6C4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5.主体框架：≥60*40*1.5mm方钢制作，环氧喷涂，化学防锈处理，耐酸碱腐蚀，表面喷塑。</w:t>
            </w:r>
          </w:p>
          <w:p w14:paraId="4E1BDAF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6.滑轨：三节式导轨，耐腐蚀，在≤90mm范围内可轻触抽屉自动回流。</w:t>
            </w:r>
          </w:p>
          <w:p w14:paraId="72E04D9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7.铰链：带阻尼铰链，与柜体水平面角度＜15°时，柜门即可自行关闭。使用过程中无噪音、耐腐蚀。</w:t>
            </w:r>
          </w:p>
          <w:p w14:paraId="255F920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8.可调脚：专用注塑可调脚，防潮、防滑、耐腐蚀，可根据室内地坪适当调整柜体高度。</w:t>
            </w:r>
          </w:p>
          <w:p w14:paraId="1C96268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9.每组实验台含不少于12个岛式插座。</w:t>
            </w:r>
          </w:p>
          <w:p w14:paraId="2D4B79E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w:t>
            </w:r>
            <w:r>
              <w:rPr>
                <w:rFonts w:hint="eastAsia" w:ascii="宋体" w:hAnsi="宋体" w:eastAsia="宋体" w:cs="宋体"/>
                <w:color w:val="000000"/>
                <w:sz w:val="24"/>
                <w:szCs w:val="24"/>
                <w:highlight w:val="none"/>
                <w:lang w:val="en-US" w:eastAsia="zh-CN"/>
              </w:rPr>
              <w:t>8组</w:t>
            </w:r>
            <w:r>
              <w:rPr>
                <w:rFonts w:hint="eastAsia" w:ascii="宋体" w:hAnsi="宋体" w:eastAsia="宋体" w:cs="宋体"/>
                <w:i w:val="0"/>
                <w:iCs w:val="0"/>
                <w:color w:val="000000"/>
                <w:kern w:val="0"/>
                <w:sz w:val="24"/>
                <w:szCs w:val="24"/>
                <w:highlight w:val="none"/>
                <w:u w:val="none"/>
                <w:lang w:val="en-US" w:eastAsia="zh-CN" w:bidi="ar"/>
              </w:rPr>
              <w:t>共含2张教师椅和120个学生凳。</w:t>
            </w:r>
          </w:p>
          <w:p w14:paraId="6402CFD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11.</w:t>
            </w:r>
            <w:r>
              <w:rPr>
                <w:rFonts w:hint="eastAsia" w:ascii="宋体" w:hAnsi="宋体" w:eastAsia="宋体" w:cs="宋体"/>
                <w:color w:val="000000"/>
                <w:sz w:val="24"/>
                <w:szCs w:val="24"/>
                <w:highlight w:val="none"/>
                <w:lang w:val="en-US" w:eastAsia="zh-CN"/>
              </w:rPr>
              <w:t>8组</w:t>
            </w:r>
            <w:r>
              <w:rPr>
                <w:rFonts w:hint="eastAsia" w:ascii="宋体" w:hAnsi="宋体" w:eastAsia="宋体" w:cs="宋体"/>
                <w:i w:val="0"/>
                <w:iCs w:val="0"/>
                <w:color w:val="000000"/>
                <w:kern w:val="0"/>
                <w:sz w:val="24"/>
                <w:szCs w:val="24"/>
                <w:highlight w:val="none"/>
                <w:u w:val="none"/>
                <w:lang w:val="en-US" w:eastAsia="zh-CN" w:bidi="ar"/>
              </w:rPr>
              <w:t>共含2组不锈钢水池（4人位）和2个不锈钢拖把池。不锈钢水池（4人位）规格：L2400mm*W600mm*H800mm（±30mm），材质：国标304不锈钢板材，厚度不低于1.2mm，</w:t>
            </w:r>
            <w:r>
              <w:rPr>
                <w:rFonts w:hint="eastAsia" w:ascii="宋体" w:hAnsi="宋体" w:eastAsia="宋体" w:cs="宋体"/>
                <w:b/>
                <w:bCs/>
                <w:i w:val="0"/>
                <w:iCs w:val="0"/>
                <w:color w:val="000000"/>
                <w:kern w:val="0"/>
                <w:sz w:val="24"/>
                <w:szCs w:val="24"/>
                <w:highlight w:val="none"/>
                <w:u w:val="none"/>
                <w:lang w:val="en-US" w:eastAsia="zh-CN" w:bidi="ar"/>
              </w:rPr>
              <w:t>配4个水龙头</w:t>
            </w:r>
            <w:r>
              <w:rPr>
                <w:rFonts w:hint="eastAsia" w:ascii="宋体" w:hAnsi="宋体" w:eastAsia="宋体" w:cs="宋体"/>
                <w:i w:val="0"/>
                <w:iCs w:val="0"/>
                <w:color w:val="000000"/>
                <w:kern w:val="0"/>
                <w:sz w:val="24"/>
                <w:szCs w:val="24"/>
                <w:highlight w:val="none"/>
                <w:u w:val="none"/>
                <w:lang w:val="en-US" w:eastAsia="zh-CN" w:bidi="ar"/>
              </w:rPr>
              <w:t>。不锈钢拖把池规格：L600mm*W600mm*H500mm（±30mm），材质：国标304不锈钢，厚度不低于1.2mm，含水龙头。</w:t>
            </w:r>
            <w:r>
              <w:rPr>
                <w:rFonts w:hint="eastAsia" w:ascii="宋体" w:hAnsi="宋体" w:eastAsia="宋体" w:cs="宋体"/>
                <w:b/>
                <w:bCs/>
                <w:i w:val="0"/>
                <w:iCs w:val="0"/>
                <w:color w:val="000000"/>
                <w:kern w:val="0"/>
                <w:sz w:val="24"/>
                <w:szCs w:val="24"/>
                <w:highlight w:val="none"/>
                <w:u w:val="none"/>
                <w:lang w:val="en-US" w:eastAsia="zh-CN" w:bidi="ar"/>
              </w:rPr>
              <w:t>【水龙头（水嘴）属于《节能产品政府采购品目清单》中政府强制采购的节能产品，投标人所投产品须具有市场监管总局公布的《参与实施政府采购节能产品认证机构目录》中的认证机构出具的、处于有效期内的节能产品认证证书。投标文件中提供有效的节能产品认证证书，否则投标无效。】</w:t>
            </w:r>
          </w:p>
        </w:tc>
        <w:tc>
          <w:tcPr>
            <w:tcW w:w="633" w:type="pct"/>
            <w:vAlign w:val="center"/>
          </w:tcPr>
          <w:p w14:paraId="0DC3668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8（组）</w:t>
            </w:r>
          </w:p>
        </w:tc>
        <w:tc>
          <w:tcPr>
            <w:tcW w:w="475" w:type="pct"/>
            <w:vAlign w:val="center"/>
          </w:tcPr>
          <w:p w14:paraId="56E343B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工业</w:t>
            </w:r>
          </w:p>
        </w:tc>
      </w:tr>
      <w:tr w14:paraId="5A18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pct"/>
            <w:vAlign w:val="center"/>
          </w:tcPr>
          <w:p w14:paraId="2CF661D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p>
        </w:tc>
        <w:tc>
          <w:tcPr>
            <w:tcW w:w="731" w:type="pct"/>
            <w:vAlign w:val="center"/>
          </w:tcPr>
          <w:p w14:paraId="68F656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理化板边台</w:t>
            </w:r>
          </w:p>
        </w:tc>
        <w:tc>
          <w:tcPr>
            <w:tcW w:w="2707" w:type="pct"/>
            <w:vAlign w:val="center"/>
          </w:tcPr>
          <w:p w14:paraId="43BCCE8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1.规格：宽750mm*高800mm（±30mm）。</w:t>
            </w:r>
          </w:p>
          <w:p w14:paraId="109E56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2.钢木或钢架结构。</w:t>
            </w:r>
          </w:p>
          <w:p w14:paraId="65DA4CF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3.台面：不低于12mm厚实芯双面理化板台面，台面边缘用同质材料板双层加厚至不低于25mm。性能如下：</w:t>
            </w:r>
          </w:p>
          <w:p w14:paraId="6E29EF2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3.1通过硫酸（98%）、磷酸（85%）、氢氟酸（48%）、乙基苯、异丁醇等不少于100项酸、碱及其它化学试剂的检验结果为不低于5级：无明显变化。</w:t>
            </w:r>
          </w:p>
          <w:p w14:paraId="3688A1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 4种重金属含量 mg/kg（可溶性铅≤0.3、镉：未检出、铬≤0.7、汞：未检出）。</w:t>
            </w:r>
          </w:p>
          <w:p w14:paraId="09E2983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3.3甲醛释放量满足E0级技术要求。</w:t>
            </w:r>
          </w:p>
          <w:p w14:paraId="05067ED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3.4.台面板静曲强度≥120Mpa；弹性模量≥10000Mpa；含水率：≤3%；24h吸水率≤1%；密度≥1.4g/cm</w:t>
            </w:r>
            <w:r>
              <w:rPr>
                <w:rFonts w:hint="eastAsia" w:ascii="宋体" w:hAnsi="宋体" w:eastAsia="宋体" w:cs="宋体"/>
                <w:i w:val="0"/>
                <w:iCs w:val="0"/>
                <w:color w:val="000000"/>
                <w:kern w:val="0"/>
                <w:sz w:val="24"/>
                <w:szCs w:val="24"/>
                <w:highlight w:val="none"/>
                <w:u w:val="none"/>
                <w:vertAlign w:val="superscript"/>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耐臭氧（72h）：外观无明显变化；尺寸稳定性：纵向与横向≤0.1%；漆膜附着力：不低于4级：切割边缘完全平滑，网格内无脱落；漆膜硬度＞6H；表面耐划痕性能：4.5N作用下，试件表面无大于90%的连续划痕；表面耐龟裂性能：不低于5级：表面无裂纹；耐高温性能：表面无裂纹；表面耐干热性能：不低于5级：无明显变化；表面耐湿热性能：不低于5级：无明显变化；耐沸水性能：质量增加百分率≤0.5%、厚度增加百分率≤0.06%，表面质量等级：不低于5级：无变化，边缘质量等级：不低于5级：无明显变化；表面耐冷热循环：表面无裂纹及鼓泡；抗冲击性能（冲击高度1m）：不低于4mm；表面耐磨性能≥600r，未出现磨损；弯曲强度≥120Mpa；弯曲弹性模量≥7000Mpa。</w:t>
            </w:r>
          </w:p>
          <w:p w14:paraId="3709E2F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3.5台面经过不少于15种的菌种检测结果抗菌率&gt;99.99%，霉菌生长情况0级。依据《建筑材料放射性核素限量》，放射性核素限量≤0.1。</w:t>
            </w:r>
          </w:p>
          <w:p w14:paraId="3F660A8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4.主体框架：</w:t>
            </w:r>
            <w:r>
              <w:rPr>
                <w:rFonts w:hint="eastAsia" w:ascii="宋体" w:hAnsi="宋体" w:eastAsia="宋体" w:cs="宋体"/>
                <w:color w:val="000000"/>
                <w:sz w:val="24"/>
                <w:szCs w:val="24"/>
                <w:highlight w:val="none"/>
                <w:lang w:val="en-US" w:eastAsia="zh-CN"/>
              </w:rPr>
              <w:t>≥</w:t>
            </w:r>
            <w:r>
              <w:rPr>
                <w:rFonts w:hint="eastAsia" w:ascii="宋体" w:hAnsi="宋体" w:eastAsia="宋体" w:cs="宋体"/>
                <w:i w:val="0"/>
                <w:iCs w:val="0"/>
                <w:color w:val="000000"/>
                <w:kern w:val="0"/>
                <w:sz w:val="24"/>
                <w:szCs w:val="24"/>
                <w:highlight w:val="none"/>
                <w:u w:val="none"/>
                <w:lang w:val="en-US" w:eastAsia="zh-CN" w:bidi="ar"/>
              </w:rPr>
              <w:t>60*40*1.5mm（±10%）方钢制作，环氧喷涂，化学防锈处理，耐酸碱腐蚀，表面喷塑。</w:t>
            </w:r>
          </w:p>
          <w:p w14:paraId="55ADA98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5.滑轨：三节式导轨，耐腐蚀，在</w:t>
            </w:r>
            <w:r>
              <w:rPr>
                <w:rFonts w:hint="eastAsia" w:ascii="宋体" w:hAnsi="宋体" w:eastAsia="宋体" w:cs="宋体"/>
                <w:color w:val="000000"/>
                <w:sz w:val="24"/>
                <w:szCs w:val="24"/>
                <w:highlight w:val="none"/>
                <w:lang w:val="en-US" w:eastAsia="zh-CN"/>
              </w:rPr>
              <w:t>≤</w:t>
            </w:r>
            <w:r>
              <w:rPr>
                <w:rFonts w:hint="eastAsia" w:ascii="宋体" w:hAnsi="宋体" w:eastAsia="宋体" w:cs="宋体"/>
                <w:i w:val="0"/>
                <w:iCs w:val="0"/>
                <w:color w:val="000000"/>
                <w:kern w:val="0"/>
                <w:sz w:val="24"/>
                <w:szCs w:val="24"/>
                <w:highlight w:val="none"/>
                <w:u w:val="none"/>
                <w:lang w:val="en-US" w:eastAsia="zh-CN" w:bidi="ar"/>
              </w:rPr>
              <w:t>90mm范围内可轻触抽屉自动回流。</w:t>
            </w:r>
          </w:p>
          <w:p w14:paraId="4719073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6.铰链：带阻尼铰链，与柜体水平面角度＜15°时，柜门即可自行关闭。使用过程中无噪音、耐腐蚀。</w:t>
            </w:r>
          </w:p>
          <w:p w14:paraId="211B3F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7.可调脚：专用注塑可调脚，防潮、防滑、耐腐蚀，可根据室内地坪适当调整柜体高度。</w:t>
            </w:r>
          </w:p>
          <w:p w14:paraId="38E8AEE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bCs/>
                <w:color w:val="00000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8.含不少于16个岛式插座。</w:t>
            </w:r>
          </w:p>
        </w:tc>
        <w:tc>
          <w:tcPr>
            <w:tcW w:w="633" w:type="pct"/>
            <w:vAlign w:val="center"/>
          </w:tcPr>
          <w:p w14:paraId="173D3B5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15（米）</w:t>
            </w:r>
          </w:p>
        </w:tc>
        <w:tc>
          <w:tcPr>
            <w:tcW w:w="475" w:type="pct"/>
            <w:vAlign w:val="center"/>
          </w:tcPr>
          <w:p w14:paraId="3BD0271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工业</w:t>
            </w:r>
          </w:p>
        </w:tc>
      </w:tr>
    </w:tbl>
    <w:p w14:paraId="1925AD10">
      <w:pPr>
        <w:keepNext w:val="0"/>
        <w:keepLines w:val="0"/>
        <w:widowControl/>
        <w:suppressLineNumbers w:val="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bookmarkStart w:id="5" w:name="_Toc7421"/>
      <w:bookmarkStart w:id="6" w:name="_Toc4843"/>
    </w:p>
    <w:p w14:paraId="0F99B3EF">
      <w:pPr>
        <w:keepNext w:val="0"/>
        <w:keepLines w:val="0"/>
        <w:widowControl/>
        <w:suppressLineNumbers w:val="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解剖组织仿真标本附件：</w:t>
      </w:r>
    </w:p>
    <w:tbl>
      <w:tblPr>
        <w:tblStyle w:val="2"/>
        <w:tblW w:w="500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5"/>
        <w:gridCol w:w="1139"/>
        <w:gridCol w:w="4959"/>
        <w:gridCol w:w="770"/>
        <w:gridCol w:w="796"/>
      </w:tblGrid>
      <w:tr w14:paraId="6D3C6F02">
        <w:tblPrEx>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C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7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名称</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B9B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color w:val="000000"/>
                <w:sz w:val="24"/>
                <w:szCs w:val="24"/>
                <w:highlight w:val="none"/>
                <w:lang w:eastAsia="zh-CN"/>
              </w:rPr>
              <w:t>主要技术参数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66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E0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单位</w:t>
            </w:r>
          </w:p>
        </w:tc>
      </w:tr>
      <w:tr w14:paraId="3A8FD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BA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1.九大系统解剖模型</w:t>
            </w:r>
          </w:p>
        </w:tc>
      </w:tr>
      <w:tr w14:paraId="7016C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739A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015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E828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基本形态：头颈肌、局部胸肌、三角肌、背肌。</w:t>
            </w:r>
            <w:bookmarkStart w:id="20" w:name="_GoBack"/>
            <w:bookmarkEnd w:id="20"/>
            <w:r>
              <w:rPr>
                <w:rFonts w:hint="eastAsia" w:ascii="宋体" w:hAnsi="宋体" w:eastAsia="宋体" w:cs="宋体"/>
                <w:i w:val="0"/>
                <w:iCs w:val="0"/>
                <w:color w:val="000000"/>
                <w:kern w:val="0"/>
                <w:sz w:val="24"/>
                <w:szCs w:val="24"/>
                <w:highlight w:val="none"/>
                <w:u w:val="none"/>
                <w:lang w:val="en-US" w:eastAsia="zh-CN" w:bidi="ar"/>
              </w:rPr>
              <w:t>右侧显示浅层肌，左侧显示深层肌。左侧胸锁乳突肌、咬肌和颧弓、颞肌和下颌支局部可拆分。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外观：肌、筋膜等仿自然色。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显示结构：（≥65个结构，双侧结构以一侧计数）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①头肌：面肌和咀嚼肌。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面肌：颅顶肌、外耳肌、眼周围肌、口周围肌等。（≥21个结构）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咀嚼肌：颞肌、咬肌、翼内肌、翼外肌。（≥4个结构）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头肌相关结构：颅顶局部区域显示层次、颞下颌关节矢状切面拆分关节，显示关节组成、关节盘及其与翼外肌的关系。（≥8个结构）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②颈肌：颈浅肌群、颈前肌群和颈深肌群等。（≥15个结构）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③项部肌：头后小直肌、头后大直肌等。（≥8个结构）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④颈、背、胸、肩部相关结构：肺尖和胸膜顶、喉、甲状腺等。（≥9个结构）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7E2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9E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605A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8CFA">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C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颅(颅底)</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56B0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基本形态：成人颅底，正中矢状切面左、右拆分。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外观：以不同颜色表示各脑颅骨和面颅骨。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显示结构：（≥120个结构，双侧结构以一侧计数）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①颅底内面：颅前窝：额嵴、筛板、脑膜中动脉沟、三叉神经压迹、岩大神经沟、岩小神经沟等。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②颅底外面：骨腭（上颌骨腭突和腭骨水平板）、腭大孔、腭小孔、翼管、乳突、茎乳孔、舌下神经管等。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③颅底前面观：眉弓、眶、牙槽轭、尖牙窝等。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④颅底侧面观：翼点（区）、颞线、关节结节、关节后突、道上棘、乳突窝、茎突鞘等。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⑤正中矢状切面（右）： 上、中、下鼻道、筛泡、半月裂孔、筛漏斗、钩突、上颌窦裂孔、鼻泪管开口、蝶腭孔等。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⑥正中矢状切面（左）：上、中、下鼻甲等。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3、材质材料：环保复合材料，环保颜料。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C70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7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9CE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F34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26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蝶骨</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0C3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基本形态：还原蝶骨准确的形态结构；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显示结构：（≥80个结构）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蝶骨体：上面：垂体窝、鞍背、后床突、蝶鞍、鞍结节、交叉前沟、视神经管、蝶平面、蝶棱、筛骨棘等。下面：蝶嘴，鞘突、颅底咽管等。前面：蝶嵴、蝶窦口等。后面：蝶枕结合面。外侧面：颈动脉沟、蝶小舌、翼管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2)蝶骨大翼：大脑面：圆孔、卵圆孔、棘孔等。颞面：颞下嵴、颞下面、角棘等。眶面：参与构成蝶额缝、蝶颧缝。后缘：参与构成蝶岩裂、破裂孔。鳞缘：顶角等。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3)蝶骨小翼：参与构成眶上裂、前床突。</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4)翼突：翼切迹、翼突窝、舟状窝、翼管开口、翼腭沟等；翼突外侧板、翼突内侧板、翼管、翼钩、翼突结节。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5)蝶窦：蝶窦中隔、蝶甲等。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0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BE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08DB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5AA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5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颞骨和中耳</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55D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基本形态：还原颞骨准确的形态结构。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显示结构：（≥50个结构）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1)鳞部：颧突、下颌窝、关节结节、关节后突、颞线、乳突上嵴、道上棘、乳突窝、脑膜中动脉分支沟。</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2)乳突部：鼓乳裂、乳突孔、乳突、乳突切迹、枕动脉沟、乙状窦沟。</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岩部：岩部尖、三叉神经压迹、岩大神经管裂孔、岩大神经沟、岩小神经管裂孔、岩小神经沟；内耳门、内耳道、前庭水管外口、弓状下窝、颈动脉管外口、颈动脉管、颈动脉管内口、颈静脉窝、蜗水管外口、岩小窝、乳突小管沟、茎突、茎乳孔；岩上沟。</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4)鼓部：外耳门、岩鼓裂、茎突鞘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中耳：鼓室：迷路壁、岬、前庭窗、蜗窗、盖壁、乳壁、乳突窦入口、面神经管凸、锥隆起、颈动脉壁、肌咽鼓管开口、颈静脉壁。肌咽鼓管、鼓管张肌半管、咽鼓管半管。乳突窦、乳窦小房。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AE9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C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A7B1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6DE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8F2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翼腭窝</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D961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lang w:val="en-US" w:eastAsia="zh-CN" w:bidi="ar"/>
              </w:rPr>
              <w:t>1、</w:t>
            </w:r>
            <w:r>
              <w:rPr>
                <w:rFonts w:hint="eastAsia" w:ascii="宋体" w:hAnsi="宋体" w:eastAsia="宋体" w:cs="宋体"/>
                <w:i w:val="0"/>
                <w:iCs w:val="0"/>
                <w:color w:val="000000"/>
                <w:kern w:val="0"/>
                <w:sz w:val="24"/>
                <w:szCs w:val="24"/>
                <w:highlight w:val="none"/>
                <w:u w:val="none"/>
                <w:lang w:val="en-US" w:eastAsia="zh-CN" w:bidi="ar"/>
              </w:rPr>
              <w:t>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基本形态：还原翼腭窝准确的形态结构。以蝶骨与上颌骨、腭骨拆分，打开显示翼腭窝的围成；以铸型方式显示翼腭窝形态及交通。</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显示结构：（≥80个解剖结构）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翼腭窝：以蝶骨与上颌骨、腭骨拆分，打开显示翼腭窝；以铸型方式显示翼腭窝形态及交通。翼腭窝为上宽下窄的锥形小窝。前壁-上颌骨颞下面；后壁-蝶骨翼突根部及大翼前面的下部；内侧壁-腭骨的垂直部、眶突及蝶突；上壁-蝶骨体下面。翼腭窝向前-经眶下裂与眶相通；向后内侧-经翼管至破裂孔下面；向后外侧-经圆孔通颅中窝；向内侧-经蝶腭孔通鼻腔；向外侧-经翼上颌裂通颞下窝；向下-自翼窝管经腭大、小孔通口腔。（4壁6交通）</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蝶骨：蝶骨体：垂体窝、鞍背、后床突、蝶鞍、鞍结节、交叉前沟、视神经管、蝶平面、蝶棱、筛骨棘等；蝶嘴，鞘突、颅底咽管等；蝶嵴、蝶窦、蝶窦口等；蝶枕结合面；颈动脉沟、蝶小舌、翼管等；蝶骨大翼、圆孔、卵圆孔、棘孔；颞下嵴、颞下面、角棘；蝶骨小翼；翼突、翼切迹、翼突窝、舟状窝、翼管开口、翼腭沟、翼突外侧板、翼突内侧板、翼管、翼钩、翼突结节；蝶窦：蝶窦中隔、蝶甲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3)腭骨：水平板、鼻后棘、垂直板、筛嵴、鼻甲嵴、腭大孔、腭小孔、锥突、眶突、蝶突、蝶腭孔。</w:t>
            </w:r>
          </w:p>
          <w:p w14:paraId="6F05A5A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4)上颌骨：上颌体、上颌窦、牙槽枙、尖牙窝、眶下孔、眶下管、眶下沟、鼻切迹、牙槽孔、上颌结节、泪沟、泪切迹、泪前嵴、鼻泪管、上颌裂孔、鼻甲嵴、翼腭沟、额突、颧突、腭突、牙槽突、切牙管。</w:t>
            </w:r>
          </w:p>
          <w:p w14:paraId="564E864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5)其它：颧骨、颧面、眶面、颞面、额蝶突、颞突、上颌突；右上颌8颗牙等。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3、材质材料：环保复合材料，环保颜料。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9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2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9FD9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149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D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肘关节(冠状切面)</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73EA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基本形态：显示肘关节整体形态的同时，以拆件方式显示冠切面结构。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外观：骨质、韧带、关节以自然色呈现。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①整体显示结构：（关节囊前壁局部切除）肱骨下端、桡骨和尺骨上端、关节囊（纤维膜和滑膜）、桡侧副韧带、尺侧副韧带、桡骨环状韧带、方形韧带等。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②切面显示结构：关节囊（纤维膜和滑膜）、关节面（肱骨滑车、肱骨小头、滑车切迹、桡骨头、桡骨颈、桡骨头凹、环状关节面、桡切迹）、肱尺关节、肱桡关节、桡尺近侧关节、各关节面关节软骨、关节腔。</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3、材质材料：环保复合材料，环保颜料。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2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16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48D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FA5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2B5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膝关节-半月板</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F7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基本形态：成人膝关节，去关节囊，切断副韧带和交叉韧带，移除股骨，保留内、外侧半月板于胫骨内、外侧髁原位。</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外观：骨质、韧带、软骨仿自然色及解剖图谱通用色。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显示结构：（≥20个结构）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①半月板：内侧半月板（呈“C”形）、外侧半月板（呈“O”形），位于胫骨内、外侧髁原位，显示其形态特点以及与周围骨及韧带的关系。（≥2个结构）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②韧带：胫侧副韧带、腓侧副韧带、髌韧带、膝横韧带、前交叉韧带、后交叉韧带、腓侧半月板韧带。 （≥7个结构）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③骨和关节：胫骨上端：内侧髁、外侧髁、髁间隆起、胫骨粗隆；腓骨上端：腓骨头、腓骨颈；胫、腓骨横断面骨密质、骨髓腔、骨髓；胫腓关节、腓骨头韧带。（≥11个结构）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3、材质材料：环保树脂材料，环保颜料。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32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820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F035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124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68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女性骨盆(单侧韧带)</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4D6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基本形态：模型还原典型女性髋骨、骶骨、尾骨以及相关的骨连结。正中矢状切面左、右拆分，左侧显示相应骨连结。</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外观：骨质、韧带、软骨以自然色呈现。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显示结构：（≥75个结构，双侧结构以一侧计数）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①髋骨：准确显示髂骨形态分部，除主要骨性结构外，可显示臀前线、臀后线、臀下线等。（≥30个结构）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②.骶骨：显示主要骨性结构。（≥15个结构）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③尾骨：尾骨角、尾骨横突。（≥3个结构）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④第5腰椎：显示主要骨性结构。（≥10个结构）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⑤骨连结：准确显示骶髂关节、耻骨联合（耻骨上韧带、耻骨前韧带、耻骨弓状韧带、耻骨联合间盘）；除主要韧带外，显示骶尾前韧带、骶尾后浅韧带、骶尾后深韧带、骶尾侧韧带等。（≥20个结构）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3、材质材料：环保树脂材料，环保颜料。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C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03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E149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4BE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9C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上肢带肌和臂肌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0C03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基本形态：还原典型上肢带肌和臂肌位置、形态及相互关系；三头肌、肱二头肌可拆分，可显示深层肌的位置和形态以及肌间结构。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外观：肌、骨、筋膜等仿自然色。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1）上肢带肌：三角肌、冈上肌、冈下肌、小圆肌、大圆肌、肩胛下肌。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2）臂肌：前群：肱二头肌（肱二头肌长头、短头、肱二头肌腱、肱二头肌腱膜）、喙肱肌和肱肌。后群：肱三头肌（肱三头肌外侧头、内侧头和长头）。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3）其它肌：胸大肌腱局部（止点）、胸小肌局部（止点）、背阔肌局部（止点）、斜方肌局部（锁骨与肩胛骨上的止点）等。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4）肌间结构：三边孔、四边孔、腋下裂隙的位置和围成等。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82E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AE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C1D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97E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AF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髋肌和大腿肌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1D9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基本形态：还原典型髋肌和大腿肌位置、形态及相互关系；缝匠肌、股直肌、耻骨肌、长收肌、臀大肌、臀中肌、半腱肌、股二头肌长头可拆分，可显示深层肌的位置和形态以及浅、深肌之间的关系。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外观：肌、骨、筋膜等仿自然色。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①髋肌：前群、后群肌。（≥10个结构）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②大腿肌：前群、内侧群、后群肌。（≥15个结构）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③其它肌：小腿肌等。（≥5个结构）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3D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6A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B789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498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E7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人体全身骨骼模型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F8F8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2、形态和结构：示成人骨骼，由全身散骨串制而成一整体骨架，成直立姿势，四肢大的关节部分均可活动，显示全身骨骼的组成和椎间盘等结构形态外观、整体固定在支架上，带底座，可灵活移动。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F6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4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BC87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54E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DC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人体骨骼散骨模型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1A79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2、形态和结构：示运动系统骨骼的组成和外形结构特点等，包括颅骨、躯干骨和四肢骨三部分，各部分由分散的游离骨组成，模型形态逼真，可作为直观教学工具供学员学习人体各部分骨骼的构造、特点。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E4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B1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ABA1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461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C4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颅骨骨性分离着色模型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D98C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不少于20部件，示分解的各块颅骨形态结构，并用颜色区分；包括：左、右顶骨，枕骨，额骨，左、右颞骨，蝶骨，筛骨，犁骨，左、右颧骨，左、右带齿的上颌骨，左、右腭骨，左、右鼻甲，左、右泪骨，左、右鼻骨，带齿的下颌骨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1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7A8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4DE1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2DF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0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全身肌肉解剖模型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CDE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2、形态和结构：示头颈部、躯干部、上下肢的肌肉、肌腱、韧带等结构。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F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BA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F12B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440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CB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全身肌肉解剖模型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DFB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1、规格尺寸：成人标本0.5:1缩放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角肌1件、肱二头肌1件、肱桡肌1件、掌长肌可拆1件，左腿的缝匠肌1件、髂腰肌1件、股四头肌1件、趾长伸肌1件、臀大肌1件、股二头肌1件、半膜肌1件、腓肠肌可拆2件，胸腹壁可拆1件、内脏的左、右肺的额状切面2件、心脏2件、肝1件、胃1件、肠1件及模型本体1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示人体全身肌肉及胸腹腔脏器；沿腋前线切下胸腹壁，示肋骨、肋间肌等，胸腹腔内示肺、气管、食管、心腔、肝、胰、肠等，盆腔示膀胱等。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FA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CA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9B09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6D1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F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上肢肌肉解剖模型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252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上肢带肌、臂肌、前臂肌前群、后群和手肌等结构。前面观可见肩部有肩胛下肌，臂部有肱二头肌和肱肌，前臂有肱桡肌、旋前圆肌、桡侧腕屈肌、掌长肌及尺侧腕屈肌，手部有鱼际肌、小鱼际肌、指浅深屈肌腱等；后面观可见肩部有三角肌，臂部有肱三头肌，前臂有桡侧腕长伸肌、桡侧腕短伸肌、指伸肌、小指伸肌、尺侧腕伸肌、拇长展肌、拇短伸肌、拇长伸肌等，手部有拇长展肌腱、拇短伸肌腱，拇长伸肌腱、指伸肌腱及小指伸肌腱。</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46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DC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05CB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930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5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手解剖放大模型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8ED1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手掌显示拇短屈肌、拇短展肌、拇长屈肌腱鞘、小指短屈肌、小指展肌、指屈肌腱鞘、屈肌支持带、掌浅弓、正中神经、尺神经等；手背显示骨间背侧肌、指伸肌腱、伸肌支持带、小指展肌、手指筋膜鞘、掌背动脉等结构；在掌骨位作横切示断面结构；在掌心取下一块指浅屈肌腱，显示掌弓深支、尺神经深支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5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DA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B96F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D3A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93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口腔-咽峡</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777D1">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基本形态：颌面局部，张大口，显示口腔的分部、围成、咽峡的组成。</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外观：皮肤、黏膜、牙仿自然色。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显示结构：（≥30个结构，至少包含以下结构，双侧结构以一侧计数）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口腔的围成：唇、颊、腭、口腔底、咽峡。</w:t>
            </w:r>
          </w:p>
          <w:p w14:paraId="79FAD5A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颊：腮腺管乳头（去除右侧上颌第二磨牙）。</w:t>
            </w:r>
          </w:p>
          <w:p w14:paraId="25F290B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腭：硬腭、软腭等。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牙：右下颌恒牙、左下颌切牙。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舌（背面黏膜）：舌的分部、舌黏膜结构等。</w:t>
            </w:r>
          </w:p>
          <w:p w14:paraId="4ED6E92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唇：人中、鼻唇沟、唇红。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365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5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08C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E66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8B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口腔-舌下面</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7FEB0">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基本形态：颌面局部，张大口，显示口腔的分部、围成，舌尖抬起显示舌下面黏膜结构。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外观：皮肤、黏膜、牙仿自然色。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显示结构：（≥45个结构，至少包含以下结构，双侧结构以一侧计数）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口腔的围成：唇、颊、口腔底。</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牙：恒牙。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舌（下面黏膜）：舌下阜、舌下襞等。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舌（下面切除局部黏膜）：舌动脉、舌静脉等。</w:t>
            </w:r>
          </w:p>
          <w:p w14:paraId="440C196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唇：人中、鼻唇沟、唇红。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A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C3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47DD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BF5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0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口腔-大唾液腺</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6D91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头部去颅盖和脑，正中矢状面拆分成2部件，右侧半重点显示大唾液腺外侧面；左侧半切除舌，显示大唾液腺内侧面。除唾液腺外，显示相关结构：面肌、鼻腔、鼻旁窦、咽、喉腔、颅底内面、椎管、颈部舌骨上肌群。</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外观：皮肤、肌、黏膜、腺体、牙等仿自然色。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显示结构：（≥200个结构，至少包含以下结构，双侧结构以一侧计数）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①右侧半：</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外侧面：腮腺、腮腺管、下颌下腺、舌下腺、下颌下腺管、舌下神经、下颌下神经节。其它结构：面肌、颈肌等。（≥25个结构）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内侧面：鼻腔结构、口腔结构、咽、颈部结构。（≥40个结构）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上面：颅底内面观（颅前、中、后窝相关骨性结构）。（≥20个结构）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②左侧半：</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外侧面：腮腺、腮腺管、下颌下腺。其它结构：头颈肌等。（≥30个结构）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内侧面：切除舌，显示下颌下腺、舌下腺、舌下阜、舌下襞、下颌下腺管、舌神经、下颌下神经节、鼻腔结构、口腔结构（腭、腭垂、腭舌弓、左侧上下颌牙、颏骨舌肌、下颌舌骨肌等）、咽、颈部结构等。（≥65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上面：颅底内面观（颅前、中、后窝相关骨性结构）。（≥20个结构）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A6F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D2C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7CBC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241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0A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口腔-舌和舌外肌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49D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基本形态：游离舌，保留一侧下颌骨、舌骨，重点显示另一侧舌外肌。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外观：骨、骨骼肌、黏膜仿自然色。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显示结构：（≥28个结构，至少包含以下结构，双侧结构以一侧计数）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舌：舌尖、舌体、舌根及黏膜结构。（≥5个结构）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舌外肌：颏舌肌等。（≥4个结构）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其它肌：二腹肌、下颌舌骨肌等。（≥4个结构）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相关结构：会厌、下颌骨等。（≥15个结构）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DA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6C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011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449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E27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胃</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96BE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基本形态：胃冠状面拆分。显示胃的形态、分部、胃壁的构造、胃的动脉。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外观：黏膜、肌层、浆膜、动脉仿自然色。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显示结构：（≥25个结构）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①胃的形态：贲门、幽门等。（≥5个结构）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②胃的分部：贲门部、胃底、胃体等。（≥5个结构）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③胃壁的构造：胃壁的4层结构等。（≥10个结构）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④胃的动脉：显示胃5个来源的动脉。（≥5个结构）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FE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61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610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D06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F48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盲肠与阑尾</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DA1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1、规格尺寸：成人标本（1 - 1.5）:1放大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基本形态：升结肠、盲肠和回肠末端冠状面拆分。显示盲肠、回肠末端、阑尾形态、阑尾系膜、回结肠动脉及分支。</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外观：黏膜、肌层、浆膜、动脉仿自然色。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①肠管外形：升结肠、结肠袋、结肠带（3条）、肠脂垂、阑尾、回肠末端以及它们的关系。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②内腔：回盲口、回肠瓣、阑尾口。</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③阑尾系膜</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④动脉：回结肠动脉、结肠支、盲肠后动脉、阑尾动脉等。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E1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7B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857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D0DD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98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直肠与肛管</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B49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1、规格尺寸：成人标本（1 - 1.5）：1放大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基本形态：模型还原典型人体直肠和肛管。切除直肠和肛管前壁，显示其内外面结构以及肛管周围结构。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外观：黏膜、皮肤、平滑肌和骨骼肌仿自然色。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显示结构：（≥20个结构）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①整体：显示直肠骶曲、会阴曲。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②直肠：上直肠横襞、中直肠横襞、下直肠横襞、直肠壁层次（黏膜、黏膜下层、环形平滑肌、纵形平滑肌。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肛管：肛柱、肛瓣、肛窦、齿状线、肛梳、Hilton线、肛门；肛门内括约肌（显示与上部平滑肌的关系）、肛提肌、肛门外括约肌皮下部、浅部、深部（切面和三维关系）、肛门肌间中隔、痔内静脉丛、痔外静脉丛。</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B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A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C85C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357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8F2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肝的形态和分叶分段</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77A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1、规格尺寸：成人标本（0.8-1）：1缩放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基本形态：游离肝的形态、分部、肝的分叶与分段。</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外观：以自然色表现肝门结构、胆囊和下腔静脉，以不同颜色区分肝段。</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显示结构：（≥50个结构）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肝的形态：肝膈面、镰状韧带、冠状韧带、左、右三角韧带。肝脏面、胆囊窝、胆囊、胆囊管、腔静脉沟、肝圆韧带裂、肝圆韧带、静脉韧带裂、肝门结构及分叶。右叶、肝左叶、尾状叶、方叶、裸区等。（≥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②肝静脉：肝左静脉、肝中静脉和肝右静脉注入下腔静脉的开口。（≥3个结构）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67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700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816D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423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17F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消化系统模型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5A9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2、形态和结构：由头颈部矢状切面、食管、胃冠状剖面、肝胆和横结肠及剩余消化管等组成；显示口腔、咽喉、食管、胃、肠、肝、胰、十二指肠、大肠、小肠和肛门等消化管和消化腺的组成、形态和结构。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D1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8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EA2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A62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263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咽喉壁肌模型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781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咽上、咽中、咽下缩肌、食管、咽侧壁和神经血管的毗邻关系及咽各部的结构；上方示颅中窝诸神经孔，中部示下鼻甲、腭垂肌、额扁桃体、会厌谷、舌根、会厌、喉口、杓间切迹、杓斜肌、杓横肌、环杓后肌、腭咽肌、咽上缩肌、咽中缩肌、咽下缩肌等；左侧切除血管、神经，示茎突咽肌、茎突舌骨肌、二腹肌；右侧显示颈内静脉、迷走神经、颈内动脉、甲状腺、甲状旁腺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B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8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0AB5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9F63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92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回盲部模型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27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2、形态和结构：示结肠袋、结肠半月襞、回盲口、回盲瓣、回盲瓣系带、回肠、回盲下隐窝、阑尾、阑尾口、阑尾系膜动静脉和淋巴的形态结构与位置。</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2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75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2865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FCDA">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7A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两性人体头颈躯干模型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057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①部件姿势：不少于32部件，躯干本体1部件、男性胸盖1部件、女性胸盖1部件、腹壁1部件、半脑1部件、眼球1部件、胸锁乳突肌1部件、脊柱剖面1件、胸椎1部件、左右肺额状切开2部件、气管支气管1部件、心2部件、胃2部件、胰结肠空回肠4部件、肝胆1部件、髂动静脉1件、右肾冠状切面1部件、肠系膜1部件、女性内生殖器4部件、男性内外生殖器4部件。②功能说明：显示成人正常躯干形态结构，左侧躯干带皮肤显示外观，右侧显示解剖结构，可以打开头部、胸腹腔，内脏可取出，男女生殖器可以互换,打开的背面显示脊髓的剖面结构、浅层肌肉和可以取出完整的脊椎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BC6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1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D9B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4FB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1F3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腹膜与内脏模型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B77F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2、形态和结构：示腹膜的部分；腹膜的各种形成物如韧带、系膜、网膜等及其相互关系：示腹膜与脏器的关系如内位、间位、外位等；显示腹膜腔、网膜囊、网膜孔、网膜囊前庭的围成情况等。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3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54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B4A0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F01E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4B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鼻腔与鼻旁窦</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357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基本形态：外侧切除上颌窦外侧壁和眶外侧壁。显示鼻腔外侧壁结构和各鼻旁窦的位置及其开口等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外观：黏膜、皮肤、平滑肌和骨骼肌仿自然色。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显示结构：（≥25个结构）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①鼻腔外侧壁：准确显示鼻腔分部，鼻甲、鼻道、蝶筛隐窝等。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②鼻旁窦：各鼻旁窦位置和开口。</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③中鼻道：可拆分中鼻甲、筛泡、筛漏斗、半月裂孔等。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④鼻咽部：咽鼓管圆枕、咽鼓管咽口和咽隐窝。</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⑤下鼻道：鼻泪管开口。</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⑥外侧面：上颌窦及其开口、眶上壁、下壁、内侧壁、泪囊窝、外鼻等。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8C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294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F07F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81C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9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喉的结构与功能</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455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1、规格尺寸：成人标本3:1放大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基本形态：模型还原典型喉结构（喉软骨、喉连结、喉肌）。环甲关节可沿冠状轴运动、环杓关节可沿垂直轴旋转和内外侧滑动。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外观：喉软骨、喉连结、喉肌仿自然色及解剖图谱通用色。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显示结构：（≥40个结构，双侧结构以一侧计数）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①喉软骨：准确显示各喉软骨形态的结构。（≥20个结构）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②相关骨和软骨：舌骨、舌骨体、大角、小角；上4个气管软骨环等。（≥5个结构）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③喉的连结：甲状舌骨正中韧带、甲状舌骨外侧韧带、麦粒软骨；环甲关节（可运动）、环杓关节（可运动）、弹性圆锥、环甲正中韧带等。（≥10个结构）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④喉肌：环甲肌、直部、斜部、环杓后肌等。（≥5个结构）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环甲关节可沿冠状轴运动，显示声韧带的长短（紧张和松弛）变化；环杓关节可沿垂直轴旋转和内外侧滑动，显示声门的大小变化。</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喉肌用具有沿展性硅胶材料，精准还原主要喉肌的形态、位置、起止点和肌纤维方向，在环甲关节和环杓关节运动时，有利于理解各肌的功能。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3、材质材料：环保复合材料，环保颜料。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DB0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9B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3783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5B99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C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喉与甲状腺（喉腔）</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870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2、形态和结构：基本形态：模型还原典型喉结构（喉软骨、喉连结、喉肌）、喉腔分部。相关血管和神经。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外观：喉软骨、喉连结、喉肌、喉腔黏膜、血管神经及甲状腺仿自然色。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显示结构：（≥43个结构，双侧结构以一侧计数）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①喉外形：喉软骨、喉连结、喉肌等。（≥25个结构）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②喉腔：喉口、喉前庭、喉中间腔、声门下腔、气管。（≥10个结构）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③甲状腺：甲状腺左叶、右叶、甲状腺峡。（≥3个结构）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④血管神经：喉与甲状腺和血管神经。（≥5个结构）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3、材质材料：环保复合材料，环保颜料。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8A2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F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7483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ADDA">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4F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喉心肺解剖模型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F50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2、形态和结构：由喉正中矢状切面，心冠状切面和肺等组成，并显示喉、气管、胸腔内心脏、左右肺以及膈上的食道裂孔、主动脉等结构。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CF8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32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5A9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EE6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E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鼻口咽喉腔模型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F72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2、形态和结构：显示从正中矢状切面切开后的鼻腔、口腔、喉腔的组成，以及相关器官的位置关系和特征。</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41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67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515B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F6C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E7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肺段模型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9DA1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2、形态和结构：显示左、右肺各有十个肺段,共显示不少于20个部位。</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868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80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DB23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19E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BA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成人纵膈模型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C932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成人纵膈模型从左面看显示心包、主动脉弓、胸主动脉、胸导管等；右面观显示心包、食道、上下腔静脉、奇静脉等；纵膈两侧均有胸腺、支气管、肺动静脉、膈神经、迷走神经、胸廓内动静脉等，胸廓后壁示肋间动静脉、肋间神经、交感神经干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C7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8BC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7CBC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8E8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B02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男性膀胱和周围生殖器官</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F2E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基本形态：模型还原典型男性膀胱、前列腺、精囊、输精管、尿道结构。旁正中矢状剖面左右拆分，前列腺、右侧精囊和输精管壶腹拆分。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外观：平滑肌纤维和黏膜皱襞高仿真，结构自然；仿自然色及解剖图谱通用色。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显示结构：（≥23个结构，双侧结构以一侧计数）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①膀胱：准确显示典型膀胱形态、分部、内、外表面形态结构等。（≥10个结构）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②输尿管：输尿管盆部末端与膀胱连接部位。（≥1个结构）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③前列腺：显示前列腺形态、分部；旁正中矢状切面显示射精管、尿道前列腺部，尿道嵴、精阜、前列腺小囊、射精管口；显示射精管的组成与行走。（≥10个结构）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④精囊与输精管壶腹：显示精囊和输精管壶腹形态、位置。（≥2个结构）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95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2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654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F20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5C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女性内生殖器（游离）</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60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基本形态：显示女性内生殖器各器官的形态、位置相互关系、剖面形态结构子宫的韧带及动脉等。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外观：浆膜、黏膜、肌层、韧带、动脉等仿自然色及解剖图谱通用色。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显示结构：（≥58个结构，双侧结构以一侧计数）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①卵巢：输卵管端、子宫端、独立缘、系膜缘、卵巢门、卵巢悬韧带、卵巢动静脉、卵巢固有韧带、卵巢冠状切面、泡状卵泡、黄体、白体。（≥13个结构）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 输卵管：输卵管子宫口、分部、输卵管伞、卵巢伞、输卵管腹腔口、输卵管黏膜。（≥10个结构）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③子宫：子宫外形（前后略扁的倒置梨形）、子宫的分部、子宫颈阴道上部、子宫颈阴道部、子宫腔、子宫颈管、子宫峡、子宫口、子宫壁黏膜、肌层、浆膜。（≥13个结构）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④阴道：阴道壁、阴道前穹、侧穹、后穹（显示与腹膜的关系）、黏膜、肌层。（≥7个结构）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⑤子宫的韧带：子宫阔韧带、输卵管系膜、卵巢系膜、子宫系膜、子宫圆韧带、子宫主韧带、骶子宫韧带。（≥7个结构）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⑥ 子宫姿势：前倾、前屈。（≥2个结构）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⑦其它结构：子宫动脉、子宫动脉与卵巢动脉的吻合、输尿管与子宫动脉的关系。（≥6个结构）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75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534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BFB3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1FA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78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男性盆腔正中矢状切面</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3A5F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基本形态：男性盆腔正中矢状切，重点显示腹股沟区、盆腔脏器及血管、会阴、阴囊层次等。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外观：肌、血管、神经、筋膜、脏器等仿自然色。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显示结构：（≥70个结构）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①前面观：腹股沟管外口，腹股沟韧带，腹外斜肌腱膜，腹内斜肌及腱膜，腹横肌及腱膜、弓状下缘，腹股沟镰（联合腱），腹横筋膜，精索腹股沟管段（提睾肌包裹），精索阴囊段（蔓状静脉丛、睾丸动脉），阴囊层次；大隐静脉及其属支；股动脉，腹壁浅动脉，旋髂浅动脉，阴部外动脉，阴茎。（≥29个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②上面观：壁腹膜（打开），腹股沟管内口（睾丸动脉穿出），输精管及盆内行程，腹壁下动脉、静脉；输尿管，膀胱；竖脊肌、腰大肌、腰方肌；腹前下壁层次等。（≥25个结构）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③内侧面观：男性盆腔正中矢状切面，直肠，直肠膀胱陷凹，膀胱，前列腺，尿生殖膈，男性尿道，肛门内括约肌，肛门外括约肌，肛提肌；髂内动脉，直肠下动脉。（≥15个结构）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④外侧面观：股外侧皮神经（≥1个结构）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F7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B1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D078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E8D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D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女性会阴</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1B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基本形态：在女性骨盆的基础上塑造典型女性会阴的位置、组成、各肌的位置和形态、女外阴的位置形态。</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外观：骨、韧带、骨骼肌、黏膜仿自然色。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显示结构：（≥115个结构，双侧结构以一侧计数）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女性骨盆：左、右髋骨、骶骨、尾骨及其它们的连结。（≥80个结构）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会阴肌：肛门区肌、尿生殖区肌及部分筋膜等。（≥13个结构）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邻近肌及脏器：梨状肌、闭孔内肌等。（≥5个结构）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通过会阴结构：尿道、阴道、肛管。（≥3个结构）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女外阴：小阴唇、阴蒂、阴蒂系带、阴蒂包皮、前庭球等。（≥14个结构）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9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7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7C6C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C0AA">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35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腹后壁模型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2D3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2、形态和结构：3部件，示泌尿系统的组成，包括肾脏、输尿管、膀胱与尿道，以及供输的动、静脉。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EF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9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77B2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93B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EC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肾解剖放大模型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0C4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1、规格尺寸：成人标本3:1放大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2、形态和结构：3部件，示肾剖面的肾皮质、肾髓质、乳头管、肾小盏、肾大盏、肾盂、输尿管以及小叶间动脉、静脉、肾动脉、肾上腺等结构。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AC4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B49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63C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072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B6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肾、肾单位、肾小球放大模型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9F69">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1、规格尺寸：成人等比缩放，最长边不小于60cm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由肾剖面、肾单位和肾小球3个放大模型组成，显示肾剖面结构(肾皮质、肾髓质、乳头管、肾小盏、肾大盏、肾盂、输尿管）；肾单位结构、肾小体和肾小管；肾小球结构(由血管球和肾小囊组成，还显示球旁细胞，致密斑和足细胞）以及血管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875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7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D960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4B9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AB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女性盆腔器官模型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8A9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2、形态和结构：3部件，女性盆腔正中矢状切，腹部于髂嵴的高度作水平切，显示膀胱、尿道、直肠、子宫、子宫附件、卵巢、阴道等器官在盆腔内位置及由毗邻关系、髂内动脉的主要分支。</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71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C9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BD8D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B513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C2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男性会阴模型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4E4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2、形态和结构：示肛提肌、肛门外括约肌、肛尾韧带、坐骨肛门窝、坐骨结节、肛门、会阴中心腱、球海绵体肌、坐骨海绵体肌、会阴深横肌、会阴浅横肌及会阴部的动脉神经、肛动脉神经等。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C4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34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67AD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042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CA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头颈部静脉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BBB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基本形态：还原典型头颈部的静脉、头肌、颈肌及相关结构位置和形态。右侧显示浅层，左侧显示深层。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外观：静脉、骨、韧带、骨骼肌、腺体等仿自然色。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显示结构：（≥80个结构，双侧结构以一侧计数）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①静脉：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面静脉、颏下静脉、内眦静脉、面深静脉、面总静脉、眶上静脉、滑车上静脉、上睑静脉、下睑静脉、上唇静脉、下唇静脉。下颌后静脉、、颞浅静脉、颞中静脉、上颌静脉、翼静脉丛、颈横静脉、颈前静脉、颈静脉弓、甲状腺下静脉、舌静脉、甲有状腺上静脉、甲状腺中静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②头颈肌：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1）面肌：颅顶肌、外耳肌、眼周围肌、皱眉肌、降眉肌、鼻肌、口周围肌等。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2）咀嚼肌：颞肌（部分）、咬肌（部分）、翼内肌、翼外肌。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3）分颈浅肌群、颈前肌群和颈深肌群等。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③头、颈、背、胸、肩部相关结构：耳廓、腮腺、腮腺管、胸大肌、三角肌、胸大肌三角肌间沟、冈上肌、冈下肌、菱形肌；舌骨、甲状软骨、环状软骨、甲状腺、气管等。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共显示静脉结构≥30个，其它结构≥50个。</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F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7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7D94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02A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4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头颈部动脉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FA7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基本形态：还原典型颈总动脉、颈内动脉和颈外动脉及其分支、头肌、颈肌及相关结构位置和形态。右侧显示浅层，左侧显示深层。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外观：动脉、骨、韧带、骨骼肌、腺体等仿自然色及解剖图谱通用色。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显示结构：（≥120个结构，双侧结构以一侧计数）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①颈总动脉、颈内动脉（左侧）：主干的位置和行程、颈动脉窦。（≥3个结构）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②颈外动脉：主干、分支。（≥25个结构）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③颅顶的动脉（双侧）：滑车上动脉、眶上动脉等。（≥10个结构）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④颈内动脉面部分支：眶上动脉、滑车上动脉等。（≥8个结构）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⑤颈根部的动脉（左侧）：锁骨下动脉及其分支。（≥7个结构）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⑥脏器：腮腺、下颌下腺、喉、气管、甲状腺（峡、侧叶）、胸膜顶。（≥7个结构）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⑦头颈肌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头肌：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面肌（多数为双侧）：颅顶肌、外耳肌、眼周围肌、鼻肌、口周围肌等。（≥30个结构）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咀嚼肌：颞肌、咬肌、翼内肌、翼外肌。（≥4个结构）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颈肌：分颈浅肌群、颈前肌群和颈深肌群。（≥12个结构）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项部肌：斜方肌、肩胛提肌等。（≥5个结构）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  颈、背、胸、肩部相关结构：胸大肌、三角肌等。（≥9个结构）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24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66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3CD8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D63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8C2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大腿的动脉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8D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基本形态：还原典型髋肌和大腿肌位置、形态及相互关系；缝匠肌、股直肌、耻骨肌、长收肌、臀大肌、臀中肌、股二头肌长头大部分切除。在此基础上再建臀部和大腿部动脉主干及其分支。</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外观：动脉、肌、骨、筋膜等仿自然色。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显示结构：（≥65个结构）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①动脉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髂总动脉、髂内动脉、脐动脉、膀胱上动脉（起点）、骶外侧动脉、闭孔动脉耻骨支、髂外动脉、腹壁下动脉（起点）、耻骨支、旋髂深动脉；股动脉、腹壁浅动脉（起点）、穿动脉、膝降动脉、膝关节网、腘动脉、膝上外侧动脉、膝下外侧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②髋肌：髂肌和腰大肌、阔筋膜张肌、胫束。后群：臀大肌、臀中肌、臀小肌、梨状肌、闭孔内肌、上孖肌、下孖肌、股方肌、闭孔外肌。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③大腿肌：股四头肌、长收肌、股薄肌、短收肌、大收肌、大收肌腱、收肌腱裂孔、收肌管、半腱肌、半膜肌等。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④其它肌：胫肌前肌、拇长伸肌、趾长伸肌、腓骨长肌、腓骨短肌、腓肠肌等。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0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A89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CF20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A4E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0C1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人体全身血液循环系统模型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E84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1、规格尺寸：成人标本0.5:1缩放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2、形态和结构：血液循环模型显示颞浅动静脉、颈内静脉、头臂静脉、主动脉弓、上腔静脉、头静脉、锁骨下动静脉、肺动脉干、下腔静脉、腹主动脉、髂总动静脉、掌深弓、足背静脉弓、足背动脉等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A1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44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782F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4BE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A9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心脏解剖放大模型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547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1、规格尺寸：成人标本1.5：1放大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2、形态和结构：显示心脏左、右心耳、心房、心室、动静脉和瓣膜等结构。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2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FB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9A17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9122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70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心传导系统模型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7456">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2、形态和结构：显示心脏传导系统的组成和形态结构，包括窦房结、结间束、房室交界区、房室束、左、右束支和Purkinje纤维网等。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93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2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518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416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88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腹腔动脉的配布模型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C9F2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2、形态和结构：显示肝、胃切开、脾、胰、十二指肠、腹腔干、胃左动脉、胰大动脉、肝固有动脉等。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7F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F4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A370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586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DD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淋巴系统模型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DF79">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1、规格尺寸：成人等比缩放，最长边不小于70cm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2、形态和结构：示枕淋巴结、腮腺浅淋巴结、下颌淋巴结、乳突淋巴结、颈外侧浅淋巴结、颈外侧深淋巴结、右淋巴导管、腋淋巴结、肘淋巴结、腰淋巴结、腹股沟浅淋巴结、髂外淋巴结、浅淋巴管等结构。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13B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CB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9056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EF0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5A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头颈及腋胸部淋巴</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6C2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2、形态和结构：显示头颈部的淋巴管和淋巴结、颈总动脉、颈内静脉；乳腺周围淋巴管及腋下淋巴结、腋静脉、腋淋巴结及等；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1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7A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59E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837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B6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全身浅层淋巴和浅静脉模型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63C9">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1、规格尺寸：成人等比缩放，最长边不小于80cm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2、形态和结构：示浅表肌肉、浅淋巴管、淋巴结及浅静脉分布。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82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417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1AEE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343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750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眼球放大模型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9354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1、规格尺寸：成人标本6:1放大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2、形态和结构：包括角膜、虹膜、玻璃体、晶状体，上、下眼球壁、外直肌、下斜肌、睫前动脉、视网膜中央动静脉等，可以灵活组合。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517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B7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B7F8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E39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B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眼球与眼眶放大模型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5D6A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1、规格尺寸：成人标本3:1放大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眼球与眼眶放大模型在上颌骨上方将眼球水平切，由眼眶、眼球壁巩膜、上、下半侧、晶状体、玻璃体以及眼球外肌和视神经等不少于10个部件组成，并显示眼球壁（巩膜、角膜、虹膜、睫状体、脉络膜和视网膜）、眼球内容物、眼球外肌、眼副器以及血管和神经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3、材质材料：环保PVC材料，环保颜料。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C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5B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130F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3ED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C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耳解剖放大模型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904A">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1、规格尺寸：不小于成人标本3:1放大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2、形态和结构：模型的颞骨岩部可移除，显示耳廓、外耳道、中耳鼓室、鼓膜和听小骨、咽鼓管以及颞骨岩部和内耳迷路等结构。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7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59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2CA7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AEE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E7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螺旋器横断面模型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728E8">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2、形态和结构：示耳蜗和螺旋器的三维切面，详细的展现了毛细胞、盖膜和基底膜等结构。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1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377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516C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71F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D7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下肢的神经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6272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基本形态：还原腰丛部分分支和骶丛的组成、位置和分支；典型髋肌和大腿肌位置、形态；神经分支与这些肌的关系。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显示结构：（≥60个结构）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1）腰丛：位于腰大肌深面，此处仅显示至下肢的股神经及其至大腿前群肌和耻骨肌的分支，隐神经、闭孔神经及至大腿内侧群肌的分支。（≥3个结构）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骶丛：位于骶骨和梨状肌前面，由腰骶干、第1到第5骶神经前支组成。分支：至盆壁肌的分支、臀上神经、臀下神经、阴部神经、股后皮神经、坐骨神经、至大股后群肌的分支、胫神经、至小腿后群肌的分支、腓肠内侧皮神经、腓总神经、腓肠外侧皮神经。（≥17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其它相关结构：髋肌：前群：髂肌和腰大肌、阔筋膜张肌、髂胫束。后群：臀大肌和臀中肌分部切除，显示臀小肌、梨状肌、闭孔内肌、上孖肌、下孖肌、股方肌。大腿肌：前群：缝匠肌和股直肌大部分切除。显示股内侧肌、股外侧肌、股中间肌；内侧群：长收肌大部分切除，显示耻骨肌、股薄肌、短收肌、大收肌、大收肌腱、大收肌腱板、收肌腱裂孔、收肌管。后群：半腱肌、半膜肌、股二头肌。小腿肌：显示部分胫肌前肌、拇长伸肌、趾长伸肌、腓骨长肌、腓骨短肌、腓肠肌等。腰骶部交感干及其分支。（≥40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0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A0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910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75F5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E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脑及脑动脉模型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895F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基本形态：模型还原典型人脑及其动脉。全脑正中矢状面左右拆分；右侧半再将端脑、间脑和脑干、小脑拆分；右侧端脑以外侧沟末端水平切面上下拆分。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外观：脑皮质、髓质、脑神经和脑动脉仿自然色及解剖图谱通用色。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显示结构：（≥150个结构，双侧结构以一侧计数）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①脑干与间脑：准确显示外形和正中矢状切面结构。显示面神经丘、第3-12脑神经根等结构。（≥54个结构）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②小脑：准确显示外形和正中矢状切面结构。显示绒球小结叶、小脑扁桃体、小脑蚓的各部等。（≥16个结构）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③端脑：准确显示分叶、沟回、正中矢状切面和侧脑室形态结构。显示海马、海马趾、齿状回、海马伞（颞叶部件）、后角球、禽距等结构。（≥45个结构）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④脑动脉：准确显示脑动脉的主要分支。显示完整的Willis环等。（≥35个结构）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F9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CB6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3BB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4AB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4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背侧丘脑</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435F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1、规格尺寸：成人标本4:1放大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基本形态：显示背侧丘脑的外形，部件可拆分显示其核团。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外观：解剖图谱通用色，颜色协调、视觉度佳；核团形态比例准确、拆分交互性优。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①非特异核团：板内核。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②联络性性团：内侧核、外侧核群（前外侧核、后外侧核）、前核群。</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③特异性中继核团：腹前核、腹外侧核、腹后核（腹后外侧核、腹后内侧核）。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④枕核（丘脑枕）</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⑤后丘脑：内侧膝状体、外侧膝状体。</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⑥上丘脑：丘脑髓纹、缰三角。</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⑦白质：内髓板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0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4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35E4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9A8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1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间脑</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DC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1、规格尺寸：成人标本3:1放大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基本形态：还原间脑准确的形态结构。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显示结构：（≥55个结构）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1)背侧丘脑：内髓板、板内核、中央核、前核、内侧核群、丘脑间粘合、外侧核群、背外侧核、后外侧核、腹前核、腹外侧核、腹后核、腹后外侧核、腹后内侧核、丘脑枕。</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2)上丘脑：丘脑髓纹、缰三角、松果体、后连合。</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3)后丘脑：外侧膝状体、内侧膝状体。</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4)下丘脑：下丘脑沟、视神经、视交叉、视束、灰结节、漏斗、乳头体、终板、前连合、穹窿、视前核、视上核、室旁核、前核、背内侧核、腹内侧核、后核、下丘脑外侧区、脑垂体。</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5)底丘脑：底丘脑核。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相关结构：尾状体、豆状核、壳、苍白球、内囊、内囊前肢、内囊膝、内囊后肢、外囊、最外囊、屏状核、岛叶、岛回、大脑脚、脚间窝、上丘、下丘、上丘臂、下丘臂、脑桥基底、三叉神经根、小脑中脚、小脑上脚、前髓帆、第四脑室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6E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219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0589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1F2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3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全身神经系统模型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8C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1、规格尺寸：成人标本0.5：1缩放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2、形态和结构：示中枢神经脑和脊髓、周围神经脊神经等结构，包括从中枢发出到身体各部的脊神经（臂从桡神经、尺神经、正中神经、腰丛股神经骶丛坐骨神经等）等结构。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8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A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10A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ACF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7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脑干及下丘脑核团模型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1DAE9">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规格尺寸：成人等比缩放，最长边不小于15cm</w:t>
            </w:r>
          </w:p>
          <w:p w14:paraId="2FE84D6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2、形态和结构：放大显示尾状核头、豆状核、皮质、脑干、外侧膝状体、中央中核、丘脑枕等。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7C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6A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EE8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681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FA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第四脑室脉络组织和脉络丛模型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F210A">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1、规格尺寸：成人等比缩放，最长边不小于15cm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2、形态和结构：示脑干、小脑的外形及位置关系，示第四脑室、小脑、沿髓、背侧丘脑、动脉及脑神经等结构。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3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C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9858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743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35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侧脑室上面观模型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DC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2、形态和结构：示侧脑室海马、侧脑室下角、外侧纵纹、背侧丘脑、终纹、岛叶等结构。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6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89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C42C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ECA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24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海马、穹隆模型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092AC">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1、规格尺寸：成人等比缩放，最长边不小于15cm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2、形态和结构：示海马、海马旁回、海马伞、齿状回、穹隆连合、连合前穹隆、前连合、乳头体、胼胝体压部、侧脑室后角、穹隆、下纵束、弓状纤维、侧脑室下角等解剖结构。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3、材质材料：环保硅胶，环保涂料。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7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3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775A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BAA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EA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脑干脑神经核传导束模型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288CC">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1、规格尺寸：一套6件，均为成人等比缩放，最长边不小于45cm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2、形态和结构：一套6件，包括：锥体系传导束模型、锥体外系模型、浅部感觉传导束模型、深部感觉传导束模型、视觉传导束模型、脑干脑神经核及脑神经模型。</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显示传导束的起止行程和位置，以不同颜色区分皮质脊髓束、皮质沿髓束、脊髓丘脑前束、脊髓丘脑侧束、三叉丘系、深感觉、浅感觉、脑神经核等。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3、材质材料：由金属材料、导线等组成。</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51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7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811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670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8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脊髓和脊神经模型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A370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2、形态和结构：由椎骨和脊神经组成，示脊髓的被膜、灰质、白质、交感神经干、脊神经交通支等。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4C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7A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E17E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B37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4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脊髓与椎骨关系放大模型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9F44">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2、形态和结构：示椎骨与脊髓、脊神经关系，并显示马尾、终丝、被膜等。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9C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7F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144A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BB3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0E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脊髓节段和脊神经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079F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1、规格尺寸：成人标本15:1放大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基本形态：选取颈膨大和中胸髓各一个节段及所连一脊神经，还原脊髓内部准确的形态结构；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外观：左、右分别显示不同的重点，白质的左侧显示固有束，右侧显示上、下行纤维，灰质的左侧以不同颜色显示各种核，右侧显示细胞构筑分层。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显示结构：（≥79个结构）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颈髓：白质：左侧以阶梯结构显示固有束、前索、外侧索、后索；右侧显示薄束、楔束、脊髓丘脑侧束、脊髓丘脑前束、脊髓小脑后束、脊髓小脑前束、皮质脊髓侧束、皮质脊髓前束、顶盖脊髓束、前庭脊髓束、内侧纵束等。灰质：左侧显示后角边缘核、胶状质、后角固有核、中间内侧核、前内侧核、后内侧核、前外侧核、后外侧核、中央核等；右侧显示脊髓灰质的分层（共10层）。灰质前连合、灰质后连合、中央管。（≥37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胸髓：白质：左侧以不同颜色显示固有束、前索、外侧索、后索；右侧显示薄束、脊髓丘脑侧束、脊髓丘脑前束、脊髓小脑后束、脊髓小脑前束、皮质脊髓侧束、皮质脊髓前束、顶盖脊髓束、前庭脊髓束、内侧纵束等。灰质：左侧显示后角边缘核、胶状质、后角固有核、胸核、中间内侧核、中间外侧核（侧角）、前核等；右侧显示脊髓灰质的分层（共10层）。显示右侧脊神经前根、后根、脊神经节、前支、后支、脊膜返支、交通支、交感干等。灰质前连合、灰质后连合、中央管。（≥42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5D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0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ECB0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EE5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2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三叉神经与舌咽神经模型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AB4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2、形态和结构：显示三叉神经及其分支以及颈部深层舌咽神经等结构。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9D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E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A4FF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D26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B0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内分泌器官模型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8A1F">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1、规格尺寸：成人等比缩放，最长边不小于50cm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2、形态和结构：示各内分泌器官有垂体、甲状腺、肾上腺、睾丸、胰、甲状旁腺、卵巢组成。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B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4E7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1AAA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D50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F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颜面浅层肌肉神经血管模型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CE26">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2、形态和结构：显示表情肌及颈部浅层肌肉，头、面、颈部浅层神经及血管。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76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5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4B0E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FC4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1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头正中矢状切模型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7B6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2、形态和结构：头部、颈部局解模型头部作正中矢状切，显示额窦、蝶窦、最上鼻甲、上鼻甲、中鼻甲、下鼻甲、上中下鼻道、咽、喉、脑、脊髓等结构。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1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0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B77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35D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A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头颈部浅层解剖模型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76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2、形态和结构：显示枕额肌额腹、眼轮匝肌、提上唇肌、口轮匝肌、咬肌 降口角肌、斜方肌、胸锁乳突肌、颈突舌骨肌、颧大肌、枕动脉、颞浅动脉、耳颞神经、眶上动脉、面神经、颈外动脉等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A21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CA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9906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87A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1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头颈部中层解剖模型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3E8D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2、形态和结构：显示枕额肌额腹、眼轮匝肌、提上唇肌、口轮匝肌、降口角、胸锁乳突肌、颈突舌骨肌、颧大肌、翼内肌、颊肌、颈外动脉、上颌动脉、舌神经、面动脉等。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E8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0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450B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B45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A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头颈部深层解剖模型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8379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2、形态和结构：显示下颌下三角、颏三角、颈动脉三角、肌三角、枕三角、锁骨上三角深层解剖结构。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CC8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2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1440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937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2E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头面颈部深层解剖模型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7E07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2、形态和结构：显示面颅面颈部深层的解剖结构，端脑外形、三叉神经节及其三大分支和颈总动脉的走行，以及颈部部分神经及骨骼肌。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603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4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774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0F4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8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下颌下三角解剖模型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FAEC0">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规格尺寸：成人等比缩放，最长边不小于15cm</w:t>
            </w:r>
          </w:p>
          <w:p w14:paraId="1FF5F682">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2、形态和结构：示成人右侧颏舌骨肌、頦舌肌、舌下腺、舌下神经、下颌下腺、舌动脉、舌咽神经、舌神经等。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46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35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9D0C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897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05B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口、鼻、咽、喉内侧面血管神经模型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C1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2、形态和结构：示头面部内侧面，口、鼻、咽、喉内部结构，显示三叉神经、嗅神经、腭大神经、舌神经等结构。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39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6CC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A3B6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7B3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E8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头颈部浅层神经血管模型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9FB7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2、形态和结构：显示枕额肌额腹、眼轮匝肌、提上唇肌、口轮匝肌、咬肌、降口角肌、斜方肌、颧大肌、枕动脉、颞浅动脉、耳颞神经、眶上动脉、面神经等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5C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07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9F51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AA4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EE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咽（咽后面观）</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DF5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基本形态：切除颅顶、脑、枕骨大部分、颈椎、面部皮肤、颈部前面浅层结构等，咽后壁打开，显示咽腔结构。左侧半咽腔去除黏膜，显示咽肌。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外观：皮肤、肌、黏膜、腺体、牙等仿自然色。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显示结构：（≥88个结构）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咽：咽前、侧壁：鼻后孔、鼻中隔、中鼻甲、下鼻甲、软腭、腭垂、腭舌弓、腭咽弓、咽鼓管咽口、提肌圆枕、咽鼓管圆枕、咽隐窝、腭扁桃体、舌根、界沟、轮廓乳头、会厌、喉口、杓会厌襞、楔状结节、小角结节、梨状隐窝、食管。咽肌及周围肌：咽上缩肌、咽中缩肌、咽下缩肌、咽鼓管咽肌、茎突咽肌、腭帆提肌、腭咽肌、腭垂肌、环杓后肌、杓横肌、杓斜肌、茎突舌骨肌、二腹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头颈部前面结构：右侧面部：外耳肌（耳上肌、耳前肌、耳后肌）；眼周围肌[眼轮匝肌（眶部、睑部、泪囊部）、皱眉肌、降眉肌]；鼻肌；口周围肌（口轮匝肌、提上唇肌、颧肌、笑肌、降口角肌、提口角肌、降下唇肌、颏肌、颊肌）；咬肌；腮腺；耳廓。左侧面部：（切除左侧下颌支，显示对就右侧的部分表情肌外，还显示）翼内肌、翼外肌。颈部：二腹肌、下颌舌骨肌、茎突舌骨肌、舌骨舌肌、茎突舌肌、舌骨、甲状软骨、环状软骨弓、甲状舌骨膜、环甲正中韧带、环甲肌、甲状腺、气管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3）颅底结构：显示颅前窝和颅中窝的主要结构。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7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36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53F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EC8A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1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头面及颈部血管神经分布模型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A02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2、形态和结构：一套三件，显示头面及颈部神经、动脉、静脉等。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FC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D3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6B75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203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3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颈前肌局解模型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517F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2、形态和结构：示甲状舌骨肌、颈内静脉、锁骨下静脉、左头臂静脉、甲状腺下静脉、环甲肌、颈横动脉、颈丛、主动脉弓等结构。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561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E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609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E112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B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颈部浅层解剖模型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8275">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1、规格尺寸：成人等比缩放，最长边不小于40cm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2、形态和结构：示、枕大神经、枕小神经、副神经、颈外静脉、面静脉、面神经颈支、耳大神经、颈外静脉、耳后静脉、颈横动脉等。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2E3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9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6A0D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D5F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EC8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颈部中层解剖模型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4527">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1、规格尺寸：成人等比缩放，最长边不小于40cm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2、形态和结构：显示颈内静脉、颈外静脉、颈外动脉、喉上动脉、面动脉、迷走神经、肩胛舌骨肌、胸骨甲状肌、胸锁乳突肌等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9D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A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60B8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B4A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2D8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颈部深层解剖模型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88B11">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1、规格尺寸：成人等比缩放，最长边不小于40cm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主要显示颅骨下颌骨及头颈部神经解剖结构（1）显示一层颅骨及解剖后颅骨外侧到颈部深层的神经模型，（2）神经与一侧颅骨、颞肌、口轮匝肌、下颌下腺、甲状腺、前斜角肌、斜角肌、喉、颈椎、部分胸椎位置关系。神经立体模型显示交感干和颈中神经节，刻下神经、臂丛（切断），第4颈神经、迷走神经、交感干和颈上神经节分支、第1、第2颈神经前支。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2E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C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4D73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BCF6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F7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头颈部肌肉、血管附脑模型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4C9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结构与功能：由颅骨、头颈部肌肉、脑正中矢状切面、一侧脑冠状切面、大脑镰、小脑、脑干、脑神经以及眼和颈静脉等组成，显示颅底、大脑半球、间脑、小脑和脑干各个部分，以及脑神经和脑血管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3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AA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5231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60D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7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D27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基本形态：1部件，右侧为浅层结构及神经；左侧颈部显示深层肌和神经等。左侧半颅腔和椎管打开，显示脑、12对脑神经与脑的关系、神经进出颅的位置、上段脊髓及神经根；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显示结构：（≥180个结构，双侧结构以单侧计数）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脑神经：嗅神经：原位嗅球和嗅束；视神经：显示眶内和颅内的视神经、视交叉、视束；动眼神经：从脑干发出，经眶上裂到眶，显示上支、下支、下斜肌支、睫状神经节、睫状短神经等；滑车神经：显示其自脑干发出至上斜肌的全程；三叉神经：显示连脑桥的三叉神经根、原位的三叉神经节，眼神经经眶上裂入眶，眶上神经、额神经、滑车上神经、鼻睫神经、泪腺神经，上颌神经经圆孔出颅到翼腭窝，显示翼腭神经节、翼腭神经、眶下神经、上牙槽后支、中支、前支等，下颌神经经卵圆孔出颅，显示舌神经、下颌下神经节、下牙槽神经、下颌舌骨肌支、颊神经、咀嚼肌神经、耳颞神经等；展神经：显示从脑干至外直肌全程；面神经：自脑干经内耳门、面神经管、茎乳孔出颅，显示膝神经节、鼓索、岩大神经、颞支、颧支、颊支、下颌缘支、颈支等；前庭蜗神经：显示从内耳门至脑桥；舌咽神经：从延髓经颈静脉孔出颅，显示舌支；迷走神经：从延髓经颈静脉孔出颅，显示上、下神经节、主干颈部行程、喉上神经、内支外支、颈上心支等；副神经：从延髓发出的延髓根和颈髓发出的脊髓根，经颈静脉孔出颅，颈部副神经主干；舌下神经：延髓发出经舌下神经管出颅，显示颅外行程、舌下神经、颈袢上根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2)脊神经：颈神经及分支：颈丛、耳大神经、枕小神经、颈横神经、锁骨上神经、膈神经、颈袢下根、颈袢、枕大神经、臂丛等；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3)交感神经：颈交感干、颈上神经节、颈中神经节、颈胸神经节、颈上心神经、颈中心神经。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颅内、椎管内结构：大脑镰、小脑幕、上矢状窦、下矢状窦、直窦、窦汇、胼胝体、扣带回、岛叶、内囊、尾状核；背侧丘脑、上丘脑（髓纹、缰三角、松果体）、后丘脑（内侧膝状体、外侧膝状体）、下丘脑、乳头体、脑垂体；小脑（正中矢状切面）；中脑、上丘、下丘、大脑脚、脚间窝、脑桥、基底部、小脑上脚、中脚、下脚、延髓、第四脑室、薄束结节、楔束结节；上段脊髓、第1、2、2、4脊神经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5)眶内结构：眼球、角膜、虹膜、瞳孔、巩膜上直肌、下直肌、内直肌、外直肌、上斜肌、下斜肌、上睑提肌、泪腺等。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头部肌：颅顶肌（枕额肌：枕肌、额肌、帽状腱膜）；外耳肌（耳上肌、耳前肌、耳后肌）；眼周围肌[眼轮匝肌（眶部、睑部、泪囊部）、皱眉肌、降眉肌]；鼻肌；口周围肌（口轮匝肌、提上唇肌、颧肌、笑肌、降口角肌、提口角肌、降下唇肌、颏肌、颊肌）；咀嚼肌：颞肌、咬肌、翼内肌、翼外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颈部肌：颈阔肌、胸锁乳突肌、二腹肌、下颌舌骨肌、胸肌舌骨肌、肩胛舌骨肌、胸骨甲状肌、甲状舌骨肌、舌骨舌肌、前斜角肌、中斜角肌、后斜角肌、斜角肌间隙、肩胛提肌、夹肌、咽上缩肌、咽中缩肌、斜方肌、茎突咽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8)其它结构：上颌牙齿、牙龈、上颌窦、腮腺、下颌下腺、甲状腺、肺尖、颈外静脉、颈前静脉、胸大肌、三角肌、冈上肌、冈下肌、菱形肌；肋间神经前皮支、脊神经后支皮支等。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4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8F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38B7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B06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6B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颅顶层次</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77F2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示软组织和颅骨的构成。颅顶软组织示：皮肤、浅筋膜（皮下组织）、帽状腱膜及颅顶肌、额枕肌、腱膜下疏松结缔组织，颅骨外膜。并示神经血管行走于浅筋膜内。软组织的深层示颅骨、硬脑膜、蛛网膜颗粒、蛛网膜及软脑膜。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97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0E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C472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2541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9F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喉附舌与牙模型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19E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2、形态和结构：显示喉软骨、喉的连结、喉肌和喉腔以及上纵肌、舌垂直肌、下纵肌、舌下腺、颏舌肌、切牙、尖牙、磨牙等结构。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1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5F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F222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1445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64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BE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2、形态和结构：右侧半显示外观，左侧半做解剖，显示颅脑以及口、鼻腔的重要结构。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B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BB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113E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0B4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87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头部附脑和动脉模型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7F0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2、形态和结构：示头大脑前动脉、大脑中动脉、大脑后动脉、垂体、嗅球、三叉神经、丘脑间粘合、中央旁小叶、脑桥、大脑脚、第四脑室脉络丛、颅内海绵窦、乙状窦、岩上窦、基底静脉丛、横窦等结构。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AA6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258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4C80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C3E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829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脑连续额状切面模型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2A5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2、形态和结构：不少于5片，详细显示脑外形及额状的切面结构。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563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7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95D8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8DA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00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脑水平切模型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305E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2、形态和结构：不少于5片，显示脑外形及水平切面的结构。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6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FD7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915E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D7D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D31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第四脑室脉络组织和脉络丛模型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23481">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1、规格尺寸：成人等比缩放，最长边不小于15cm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2、形态和结构：示脑干、小脑的外形及位置关系，示第四脑室、小脑、沿髓、背侧丘脑、动脉及脑神经等结构。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F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CCD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082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F13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7B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内囊与基底神经核模型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802B">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1、规格尺寸：成人等比缩放，最长边不小于10cm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2、形态和结构：左半侧显示丘脑、尾状核、杏仁体、豆状核的形态位置及相互的关系，右半侧显示内囊。</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3C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DE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654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375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A9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脑室与基底神经核模型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53274">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1、规格尺寸：成人等比缩放，最长边不小于10cm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2、形态和结构：示脑室的前角、后角、下角、第三脑室、中央水管等结构，基底核示豆状核，尾状核体、尾状核头、尾状核尾及脊侧丘脑等结构。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C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A3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DEA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BC5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0C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女性乳房解剖模型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28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 双侧乳房2部件组成，一边从乳房中间切开显示乳腺小叶、乳房悬韧带、输乳管、胸大肌。一边显示乳房脂肪体、乳腺小叶、乳头等结构。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6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C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4FD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580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5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静止期女性乳房解剖模型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F35D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2、形态和结构：显示静止期女性乳房乳腺小叶、输乳管、输乳管窦、输乳孔剖面结构。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96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190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A33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369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541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哺乳期女性乳房解剖模型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B68A">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1、规格尺寸：成人等比缩放，最长边不小于15cm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2、形态和结构：显示哺乳期女性乳房乳腺小叶、输乳管、输乳管窦、乳头剖面结构。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4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A1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C093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E16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B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心的外形和内腔</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3828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1、规格尺寸：成人标本1.5:1放大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基本形态：还原典型心的外形、心的内腔形态结构和心的血管，心腔造型及心壁厚度科学标准。7部件，左、右心房和左、右心室腔壁局部拆分以显示心腔结构；肺动脉和主动脉弓拆分以显示心底结构。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外观：仿活体自然色及解剖图谱通用色；主动脉、肺动脉、上腔静脉、下腔静脉、肺静脉等大血管中空设计；主动脉瓣、肺动脉瓣、三尖瓣和二尖瓣及其联合以及相应的腱索和乳头肌高度仿真。</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显示结构：（≥128个结构）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心的外形：心底（左、右心房、左、心耳、上、下腔静脉、左、右上、下肺静脉、肺动脉干、左、右肺动脉、升主动脉、主动脉弓、头臂干、左颈总动脉、左锁骨下动脉、动脉韧带）；心尖、心尖切迹；胸肋面、肺面；右缘、左缘、下缘；冠状沟、前室间沟、后室间沟、房间沟、界沟、房室交点。（≥33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（2）心的内腔：</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右心房：腔静脉窦、固有心房、界嵴、梳状肌、上腔静脉口、下腔静脉口、下腔静脉瓣、冠状窦口、冠状窦瓣、房间隔。（≥10个结构）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右心室：右房室口、三尖瓣（前尖、后尖和隔侧尖、前内侧连合、内侧连合、外侧连合）、腱索、乳头肌（前乳头肌、后乳头肌、隔侧乳头肌）、室上嵴、隔缘肉柱；肺动脉圆锥、肺动脉口、肺动脉瓣、半月瓣小结、肺动脉窦。（≥24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左心房：左、右上、下肺动脉口。（≥4个结构）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左心室：左房室口、二尖瓣（前尖、后尖、前外侧连合、后内侧连合）、腱索、乳头肌（前乳头肌、后乳头肌）、主动脉前庭、主动脉口、动脉动脉瓣（左半月瓣、右半月瓣、后半月瓣、半月瓣小结）、主动脉窦（左前窦、右前窦、后窦）、左、右冠状动脉开口；室间隔。（≥23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心的动脉：左冠状动脉、前室间支（左室前支、右室前支）、旋支（左室前支、左缘支、左室后支、左房支、对角支）；右冠状动脉、右室支（动脉圆锥支、右室前支、右缘支、右室后支）、右房支、后室间支（右室后支、左室后支）。（≥20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（4）心的静脉：心前静脉、冠状窦、心大静脉（左室前静脉、右室前静脉、左房前静脉）、心中静脉、心小静脉、左室后静脉、左缘静脉、右室前静脉、右室后静脉、右缘静脉。（≥14个结构）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3、材质材料：食品级硅胶材料，环保颜料。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D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7A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51FE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0851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FB1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动脉与静脉解剖放大模型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AA8E0">
            <w:pPr>
              <w:keepNext w:val="0"/>
              <w:keepLines w:val="0"/>
              <w:pageBreakBefore w:val="0"/>
              <w:widowControl w:val="0"/>
              <w:kinsoku/>
              <w:wordWrap/>
              <w:overflowPunct/>
              <w:topLinePunct w:val="0"/>
              <w:autoSpaceDE/>
              <w:autoSpaceDN/>
              <w:bidi w:val="0"/>
              <w:adjustRightInd/>
              <w:snapToGrid/>
              <w:spacing w:line="360" w:lineRule="auto"/>
              <w:jc w:val="left"/>
              <w:rPr>
                <w:rFonts w:hint="default" w:ascii="Arial" w:hAnsi="Arial" w:eastAsia="黑体" w:cs="Arial"/>
                <w:color w:val="000000"/>
                <w:kern w:val="2"/>
                <w:sz w:val="21"/>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1、规格尺寸：成人等比缩放，最长边不小于25cm</w:t>
            </w:r>
          </w:p>
          <w:p w14:paraId="68A06C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2、形态和结构：示放大的人体动脉与静脉的微细结构解剖放大后的形态，结构和动静脉的的毗邻关系；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299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5C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EB41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337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8E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胸腔解剖模型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61ED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2、形态和结构：由骨和软骨、肌肉和肌腱、内脏、喉、支气管树、肺和肺段、心脏、血管神经和腺体等组成，并显示喉、支气管树、肺和肺段、心脏、血管神经等结构。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B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1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164D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A74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11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胸腔横断模型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FC2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2、形态和结构：显示胸骨、左右心房、左右心室、纤维心包、壁层、脏层、左右腓、脏胸膜、壁胸膜、腹主动脉、食管、第八胸椎、奇静脉等结构。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32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B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77FA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F2CA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480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门静脉系模型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691C">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1、规格尺寸：成人等比缩放，最长边不小于50cm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2、形态和结构：胸腹壁可拆下，显示头臂静脉、腋静脉、颈内静脉、上腔静脉、肝静脉、肠系膜静脉、肝门静脉、胃左右静脉、脾静脉、髂内外静脉、直肠静脉丛等结构。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3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E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788C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7FD7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F0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椎管内部脊髓神经模型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B4BB7">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 xml:space="preserve">1、规格尺寸：成人等比缩放，最长边不小于70cm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2、形态和结构：显示脑、脊髓、脊神经与椎管的形态、结构、位置关系。椎管由游离椎骨的椎孔和游离骶骨的骶管连成，上接枕骨大孔与颅腔相通，下达骶管裂孔而终。其内容有脊髓、脊髓被膜、 脊神经根、血管及少量结缔组织等。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38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20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AED4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525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90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交感神经模型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7B91">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1、规格尺寸：成人等比缩放，最长边不小于60cm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人体全身交感神经分布。示颈上、颈中、颈下神经节胸交感干神经节、交感干神经节、内脏神经、腹腔神经节、肠系膜上、下神经节、腹下丛等自主神经系统结构全貌，自主神经系统由交感神经和副交感神经组成，模型中交感神经呈黄色，副交感神经颜色与之区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51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EF6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EA64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2FE9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AA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植物性神经立体模型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68BDA">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1、规格尺寸：成人等比缩放，最长边不小于100cm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2、形态和结构：显示放大、立体的内脏（植物）神经系统的基本组成和位置关系。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3、材质材料：由透明亚克力材料、导线等组成。</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CA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F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A0F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488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4B7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第五颈椎附脊髓和脊神经模型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1E1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1、规格尺寸：成人标本7:1放大；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2、形态和结构：脊髓横断，显示第五颈椎、椎动脉、椎静脉与脊髓的横切面以及脊神经组成、硬脊膜、蛛网膜下隙等结构；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B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CF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C6F9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AB8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1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条件反射机理模型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276A">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1、规格尺寸：成人等比缩放，最长边不小于50cm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2、形态和结构：显示反射弧模式，包括中枢神经，传入/传出神经，感受器，将效应器，完慗的展现了反射弧的各个部分。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C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7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4388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204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3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腹膜矢状切模型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E3EC9">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1、规格尺寸：成人等比缩放，最长边不小于70cm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2、形态和结构：3部件，男女互换；示肝、冠状韧带、网膜囊上隐窝、胃、脏腹膜、壁腹膜、横结肠、空肠、大网膜、小网膜、腹主动脉、膀胱、前列腺、射精管、直肠等结构。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49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BFA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BAA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C5A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94F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腹腔横断模型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20DA">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1、规格尺寸：成人等比缩放，最长边不小于25cm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按正常解剖姿势在平网膜孔的位置作横切，显示网膜囊前庭、胃、脾、肾、肾上腺、肝、胃脾韧带、背阔肌、腰方肌、腹主动脉、下腔静脉、底十二结胸椎、脏腹膜、壁腹膜、胆总管、肝门静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3、材质材料：环保硅胶材质，环保颜料。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A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14A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765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FF5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0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肾外形与内部结构</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3583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基本形态：还原典型肾的形态结构和内部结构，经肾大盏和肾盂作肾冠切面，保留一个肾锥体三维形态。</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显示结构：（≥30个结构，双侧结构以一侧计数）</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①.肾外形：内、外侧缘、前、后面、下、下端、肾门、肾盂、肾动脉、肾静脉。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内部结构：肾皮质、肾柱、肾髓质、肾锥体、肾乳头、乳头孔；肾小盏、肾大盏、肾盂；肾动脉、前支、后支、5个肾段动脉（上段动脉、上前段动脉、下前段动脉、下段动脉、后段动脉）、叶间动脉；肾静脉、叶间静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6C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D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FC6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426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CA9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肾的被膜模型(水平切)</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1CE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2、形态和结构：示胰、肾筋膜、脾、纤维囊、脂肪囊、腹主动脉等结构。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10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1D3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94A2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C1AA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EF0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女性体腔后壁模型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58F9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2、形态和结构：显示原位的女性泌尿系统及体腔后壁的静脉、淋巴及自主神经丛。</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62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81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059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308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5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男性体腔后壁模型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3FC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2、形态和结构：显示原位的男性泌尿系统及体腔后壁的静脉、淋巴及自主神经丛。</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6B4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9C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0E0A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576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9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腹股沟层次解剖模型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6EB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2、形态和结构：显示腹股沟管的位置及各壁组成。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56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71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E6D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73A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7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髋关节带肌肉模型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AD270">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1、规格尺寸：成人等比缩放，最长边不小于30cm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2、形态和结构：显示髋关节肌肉和骨骼间的关系。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18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79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945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84E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25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女性盆部经膀胱冠状切模型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59FB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2、形态和结构：显示女性会阴范围、尿生殖三角（尿生殖区）、肛门三角（肛区）以及会阴的解剖结构（包括生殖器官、会阴肌、神经和血管等）。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5F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69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2931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415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2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女性骨盆附盆底肌与盆腔器官模型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94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2、形态和结构：模型由骨盆矢状切面和盆腔器官矢状切面等组成。</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5D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B9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8EEE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9C9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A69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女性会阴模型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FE0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阴蒂、尿道外口、前庭球、阴道口、会阴中心腱、坐骨结节、肛门、肛门外括约肌、坐骨肛门窝、会阴前庭大腺、球海绵体肌、坐骨海绵体肌、会阴深浅横肌、肛提肌、会阴动脉、阴部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3E2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029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BD3C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42A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7A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女性会阴部血管神经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8DA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阴蒂、尿道外口、前庭球、阴道口、会阴中心腱、坐骨结节、肛门、肛门外括约肌、坐骨肛门窝、会阴前庭大腺、球海绵体肌、坐骨海绵体肌、会阴深浅横肌、肛提肌、会阴动脉、阴部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B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8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99A8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B4C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CF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肩关节带肌肉模型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E1ED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2、形态和结构：显示肩关节肌肉和骨骼间的关系。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1BB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76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C375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6B19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B96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肩肌模型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F3A24">
            <w:pPr>
              <w:keepNext w:val="0"/>
              <w:keepLines w:val="0"/>
              <w:pageBreakBefore w:val="0"/>
              <w:widowControl w:val="0"/>
              <w:kinsoku/>
              <w:wordWrap/>
              <w:overflowPunct/>
              <w:topLinePunct w:val="0"/>
              <w:autoSpaceDE/>
              <w:autoSpaceDN/>
              <w:bidi w:val="0"/>
              <w:adjustRightInd/>
              <w:snapToGrid/>
              <w:spacing w:line="360" w:lineRule="auto"/>
              <w:jc w:val="left"/>
              <w:rPr>
                <w:rFonts w:ascii="Arial" w:hAnsi="Arial" w:eastAsia="黑体" w:cs="Arial"/>
                <w:color w:val="000000"/>
                <w:kern w:val="2"/>
                <w:sz w:val="21"/>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1、规格尺寸：成人等比缩放，最长边不小于20cm</w:t>
            </w:r>
          </w:p>
          <w:p w14:paraId="28F95CC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2、形态和结构：示三角肌、冈上肌、冈下肌、小圆肌、大圆肌和肩胛下肌的起点、止点，并显示胸大肌、胸小肌、背阔肌的止点，以及喙肱肌、肱二头肌和肱三点长头的起点。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50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96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EB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AE1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D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手臂屈伸肌模型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44A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2、形态和结构：显示手臂屈肌时和伸肌时的形态特征。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B1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8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00C8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817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08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上肢带肌、臂肌和胸肌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F501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基本形态：还原成人右侧典型上肢带肌和臂肌位置、形态及相互关系；三角肌、肱二头肌可拆分，可显示深层肌的位置和形态以及肌间结构。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外观：肌、骨、筋膜等仿自然色。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显示结构：（≥30个结构）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1）上肢带肌：三角肌、冈上肌、冈下肌、小圆肌、大圆肌、肩胛下肌。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2）臂肌：前群：肱二头肌（肱二头肌长头、短头、肱二头肌腱、肱二头肌腱膜）、喙肱肌和肱肌。后群：肱三头肌（肱三头肌外侧头、内侧头和长头）。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3）其它肌：胸大肌腱局部（止点）、胸小肌局部（止点）、背阔肌局部（止点）、斜方肌局部（锁骨与肩胛骨上的止点）等。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4）肌间结构：三边孔、四边孔、腋下裂隙的位置和围成等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C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C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3E1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BA3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6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上肢动脉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155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基本形态：还原成人右侧典型上肢带肌、臂肌、部分颈肌和胸肌的位置、形态及相互关系，在肌的基础上重塑动脉主干及分支的位置和走行；三角肌、肱二头肌可拆分，可显示深部的结构或复杂的空间关系。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外观：肌、骨、筋膜等仿自然色。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显示结构：（≥90个结构）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1）肌及相关结构：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上肢带肌：三角肌、冈上肌、冈下肌、小圆肌、大圆肌、肩胛下肌。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臂肌：肱二头肌（肱二头肌长头、短头、肱二头肌腱、肱二头肌腱膜）、喙肱肌和肱肌；肱三头肌（肱三头肌外侧头、内侧头和长头）。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颈肌：前斜角肌、中斜角肌、后斜角肌。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2）胸肌及相关肌：胸大肌腱局部（止点）、胸小肌、前锯肌、背阔肌局部（止点）、斜方肌局部（锁骨与肩胛骨上的止点）、菱形肌、锁骨下肌、肋间外肌、肋间内、肋间最内肌、胸横肌等。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3）前臂肌：前臂肌局部：肱桡肌、旋前圆肌、桡侧腕屈肌、掌长肌尺侧腕屈肌；桡侧腕长伸肌、桡侧腕短伸肌、指伸肌、尺侧腕伸肌等。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肌间结构：三边孔、四边孔、腋下裂隙、斜角肌间隙的位置和围成等。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骨性及相关结构：锁骨、胸锁关节、肩锁关节、肩胛冈、肩峰、肱骨头、大结节、小结节、结节间沟、第7颈椎右侧半、第1—10右侧肋、胸肋关节、肋弓、右侧半胸骨、胸骨角、第1—10胸椎右侧半、椎管、硬脊膜、脊髓（正中矢状切面）、16个椎间盘、前纵韧带、黄韧带、棘间韧带、棘上韧带、项韧带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5）动脉及分支:</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6）头臂干、右颈总动脉（局部）、右锁骨下动脉及腋动脉主干。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7）右锁骨下动脉：起止点、经过和分支（椎动脉、甲状颈干、甲状腺下动脉、颈横动脉、肩胛上动脉）、胸廓内动脉（行程和分支：肋间前动脉、肌膈动脉、腹壁上动脉）、肋颈干、肋间最上动脉、颈深动脉。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8）腋动脉：胸上动脉、胸肩峰动脉、胸外侧动脉、肩胛下动脉、旋肩胛动脉、胸背动脉、旋肱前动脉、旋肱后动脉。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9）肱动脉：肱深动脉、尺侧上副动脉、尺侧下副动脉。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10）桡动脉和尺动脉：桡侧返动脉、尺侧返动脉。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胸壁的其它动脉：肋间后动脉9条。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24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7A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B978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01B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2F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上肢的神经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806B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基本形态：还原成人右侧典型上肢带肌、臂肌、部分颈肌和胸肌的位置、形态及相互关系；三角肌和肱二头肌拆分。塑造臂丛及其分支以及上部颈神经根及部分肋间神经。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显示结构：（≥140个结构）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1）骨骼肌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除了显示主要上肢带肌、臂肌、颈肌、胸肌外，还应显示锁骨下肌、肋间最内肌、腋下裂隙、斜角肌间隙等相关肌及肋间结构；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3）骨性及相关结构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显示胸锁关节、肩锁关节、结节间沟、椎管、硬脊膜、前纵韧带、黄韧带、棘间韧带、棘上韧带、项韧带等。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3）神经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①臂丛：第4~8颈神经前支、第1胸神经前支一部分组成，经斜角肌间隙至腋窝。</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②分支：锁骨上分支：胸长神经、肩胛背神经、肩胛上神经等。锁骨下分支：肩胛下神经、胸内侧神经、胸外侧神经、胸背神经、腋神经、肌皮神经、前臂外侧皮神经、正中神经、尺神经、桡神经等。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③其它神经：第2、3、4颈神经根、膈神经、部分肋间神经等。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6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6C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A6E3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66C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C6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手的肌肉、血管和神经模型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7466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2、形态和结构：显示手部浅层的肌肉、血管和神经模型。</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55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37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920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3394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E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手局解模型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C96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2、结构与功能显示指短展肌、拇短屈肌、掌腱膜、小指短屈肌、指浅屈肌腱、蚓状肌、拇收肌、小指对掌肌等结构。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C72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4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EBB3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AE44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6C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手局部解剖模型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804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2、结构与功能：显示拇短屈肌、掌腱膜以及浅层血管神经等结构。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3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4F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CE81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E50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2D8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90E5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基本形态：还原典型右侧手肌分群、各肌的位置和形态结构、前臂20多条肌腱的位置及其与手肌的关系；8部件拆分，显示浅、深肌关系。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外观：肌、骨、筋膜等仿自然色。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显示结构：（≥80个结构）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1）手肌：外侧群：拇短屈肌、拇短展肌、拇对掌肌、拇收肌横头、斜头；内侧群：小指展肌、小指短屈肌、小指对掌肌；中间群：蚓状肌（4块）、骨间背侧肌（4块）、骨间掌侧肌（3块）。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前臂肌（肌腱）：掌侧：肱桡肌、桡侧腕屈肌、掌长肌、尺侧腕屈肌、指浅屈肌（4条）、指深屈肌（4条）、拇长屈肌、旋前方肌；背侧：桡侧腕长伸肌、桡侧腕长伸肌、桡侧腕短伸肌、指伸肌（4条）、小指伸肌、尺侧腕伸肌、拇长展肌、拇短伸肌、拇长伸肌、示指伸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腱鞘：屈肌总腱鞘、小指屈肌腱鞘、拇长屈肌腱鞘、指屈肌腱鞘（3个）；桡侧腕长伸肌腱鞘、桡侧腕长伸肌腱鞘、桡侧腕短伸肌腱鞘、指伸肌腱鞘、小指伸肌腱鞘、尺侧腕伸肌腱鞘、拇长展肌腱鞘、拇短伸肌腱鞘、拇长伸肌腱鞘；第3、5指腱纤维鞘掌侧切除、第3指腱纤维鞘和滑膜鞘切开；第2指腱纤维鞘完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4）韧带：桡腕掌侧韧带、桡腕背侧韧带、腕辐状韧带、侧副韧带；腕横韧带、掌腱膜（局部）；指背腱膜（中间束、侧束）、腱间结合（3束）。</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86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0D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0DAC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AC1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6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手解剖放大模型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B686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1、规格尺寸：成人标本2:1放大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手掌显示拇短屈肌、拇短展肌、拇长屈肌腱鞘、小指短屈肌、小指展肌、指屈肌腱鞘、屈肌支持带、掌浅弓、正中神经、尺神经等；手背显示骨间背侧肌、指伸肌腱、伸肌支持带、小指展肌、手指筋膜鞘、掌背动脉等结构；在掌骨位作横切示断面结构；在掌心取下一块指浅屈肌腱，显示掌弓深支、尺神经深支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4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36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BB2B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2ED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DF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髋关节带肌肉模型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3A69">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1、规格尺寸：成人等比缩放，最长边不小于30cm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2、形态和结构：显示髋关节肌肉和骨骼间的关系。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AA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9A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B02F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BF96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C3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膝关节带肌肉模型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31EC3">
            <w:pPr>
              <w:keepNext w:val="0"/>
              <w:keepLines w:val="0"/>
              <w:pageBreakBefore w:val="0"/>
              <w:widowControl w:val="0"/>
              <w:kinsoku/>
              <w:wordWrap/>
              <w:overflowPunct/>
              <w:topLinePunct w:val="0"/>
              <w:autoSpaceDE/>
              <w:autoSpaceDN/>
              <w:bidi w:val="0"/>
              <w:adjustRightInd/>
              <w:snapToGrid/>
              <w:spacing w:line="360" w:lineRule="auto"/>
              <w:jc w:val="left"/>
              <w:rPr>
                <w:rFonts w:hint="default" w:ascii="Arial" w:hAnsi="Arial" w:eastAsia="黑体" w:cs="Arial"/>
                <w:color w:val="000000"/>
                <w:kern w:val="2"/>
                <w:sz w:val="21"/>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1、规格尺寸：成人等比缩放，最长边不小于30cm</w:t>
            </w:r>
          </w:p>
          <w:p w14:paraId="2DD8304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2、形态和结构：显示膝关节肌肉和骨骼间的关系。</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3、材质材料：环保PVC，环保颜料。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0E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E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BC21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3AF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67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小腿肌和足肌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EA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基本形态：还原典型小腿肌和足肌位置、形态及相互关系；胫骨前肌、小腿三头肌、趾短屈肌、足底方肌和𧿹长屈肌、𧿹展肌、小趾展肌可拆分，显示其深部的结构。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显示结构：（≥60个结构）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1）小腿肌：胫骨前肌、𧿹长伸肌、趾长伸肌、第三腓骨肌；腓骨长肌、腓骨短肌；小腿三头肌（腓肠肌、比目鱼肌）、腘肌、跖肌、趾长屈肌、胫骨后肌、𧿹长屈肌。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2）足肌：足背肌：𧿹短伸肌、趾短伸肌；足底肌：趾短屈肌、足底方肌、蚓状肌、骨间足底肌、骨间背侧肌；𧿹展肌、𧿹短屈肌、𧿹收肌、小趾展肌、小趾短屈肌。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3）小腿相关肌腱：𧿹长伸肌腱、趾长伸肌腱、胫骨前肌腱、跟腱、胫骨后肌腱、𧿹长屈肌腱、趾长屈肌腱、腓骨长肌腱、腓肌短肌腱；上述肌腱的腱滑膜鞘。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4）相关结构：伸肌上支持带、伸肌下支持带、腓骨肌上支持带、腓骨肌下支持带、屈肌支持带、胫后动脉（穿踝管部）；踝关节内侧韧带、踝关节外侧韧带等。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5）大腿下部结构：股四头肌、髌韧带、膝关节囊、缝匠肌、髂胫束、半腱肌、半膜肌、股二头肌。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6）肌间结构：腘窝、踝管、大腿下中1/3横断面结构。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5C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8C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7239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F72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C8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下肢的动脉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213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基本形态：还原典型小腿肌和足肌位置、形态及相互关系；动脉主干的位置、行程及分支分布。6部件，胫骨前肌、小腿三头肌、趾长屈肌腱和跖肌可以拆分，显示深层动脉；趾短屈肌大部切除。</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外观：静脉、骨、韧带、骨骼肌、腺体等仿自然色。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显示结构：（≥62个结构）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1）肌（≥32个结构）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小腿前群：胫骨前肌、𧿹长伸肌、趾长伸肌。小腿外侧群：腓骨长肌、腓骨短肌。小腿后群：小腿三头肌（腓肠肌和比目鱼肌）、腘肌、跖肌、趾长屈肌、胫骨后肌、𧿹长屈肌。足背肌：𧿹短伸肌、趾短伸肌。足底肌：𧿹展肌、𧿹短屈肌、趾短屈肌腱、趾长屈肌腱、足底方肌、小趾展肌、小趾短屈肌、蚓状肌、骨间肌。大腿肌（下部）：缝匠肌、股四头肌、股薄肌、大收肌腱、收肌腱裂孔、半腱肌、半膜肌、股二头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2）动脉（≥28个结构）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腘动脉：主干、分支（肌支、膝中动脉、膝上内侧动脉、膝上外侧动脉、膝下内侧动脉、膝下外侧动脉）；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胫后动脉：主干、分支（旋腓骨支、腓动脉、外踝支、内踝支、跟支、足底内侧动脉、足底外侧动脉、足底深弓、足心动脉、趾足底总动脉、趾足固有动脉等）；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胫前动脉：主干、分支（胫前返动脉、肌支）；</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足背动脉：主干、分支（跗内侧动脉、跗外侧动脉、弓状动脉、第一跖背动脉、足底深动脉等。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3）膝关节网。</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4）大腿下1/3断面结构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B8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64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55F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AD4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9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足肌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6FA4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基本形态：还原典型足肌位置、形态及相互关系，趾短屈肌、足底方肌和𧿹长屈肌、𧿹展肌、小趾展肌可拆分。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显示结构：（≥31个结构）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1）足背肌：𧿹短伸肌、趾短伸肌。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2）足底肌：趾短屈肌、足底方肌、蚓状肌、骨间足底肌、骨间背侧肌；𧿹展肌、𧿹短屈肌、𧿹收肌、小趾展肌、小趾短屈肌</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3）小腿相关肌腱：𧿹长伸肌腱、趾长伸肌腱、胫骨前肌腱、跟腱、胫骨后肌腱、𧿹长屈肌腱、趾长屈肌腱、腓骨长肌腱、腓肌短肌腱；上述肌腱的腱滑膜鞘。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4）相关结构：伸肌上支持带、伸肌下支持带、腓骨肌上支持带、腓骨肌下支持带、屈肌支持带、踝管、胫后动脉（穿踝管部）；踝关节内侧韧带、踝关节外侧韧带等。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4、实体模型数字增效学习包，通过多维学习引擎，驱动解剖结构学习和测评的全流程学习闭环。包含以下模块：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4.1解剖结构自主学习与评测功能：提供模型图谱静态展示，并设有空白输入框供学生自主填写结构名称。提交后系统自动批改，对错误答案以红色高亮显示并标注正确名称，同时生成本次答题的正确率报告，便于学生自查自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4.2 AI结构学习和评测功能：根据学校所要求掌握的解剖结构，拍照模型，标记结构上传，AI引擎基于标准解剖结构数据库进行实时图像识别与判断，即刻反馈所标记结构的正确与否，实现智能化的即时辅导与考核。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E6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4A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2ED4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245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2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足底层次解剖模型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80E8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2、形态和结构：示右侧足底浅层、深层肌及足背部的主要血管神经等。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73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E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5550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928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F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头颈部肌、血管和神经01</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D98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2、形态和结构：示头颈部主要肌、血管和神经，包括耳大神经、耳颞神经、枕大神经、枕小神经、颞浅动脉、颞浅静脉、内眦动脉等。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F2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C6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9D65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393D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8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头颈部肌、血管和神经02</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D5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2、形态和结构：成人右侧头颈部，示头颈部主要肌、血管和神经。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0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DE5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1C58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9C5C">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8E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头颈部肌、血管和神经03</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D9B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2、形态和结构：成人左侧头颈部，示头颈部主要肌、血管和神经，包括颈总动脉、颈动脉窦、耳大神经、下颌缘支、舌下神经、颈袢等。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764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B9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11DD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296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A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大唾液腺01</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6364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2、形态和结构：成人左侧头面部，外侧面示头颈肌、腮腺、腮腺管、下颌下腺等；内侧面示显示下颌下腺、舌下腺、鼻腔结构、口腔结构、咽、颈部结构等。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D3B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00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4C9A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9E2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0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大唾液腺02</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097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2、形态和结构：成人右侧头面部，外侧面示面肌、颈肌、腮腺、腮腺管、下颌下腺、舌下腺、下颌下腺管、舌下神经、下颌下神经节等；内侧面示鼻腔结构、口腔结构、咽、颈部结构等。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8C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0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3F7E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AFA3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47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咀嚼肌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6FA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2、形态和结构：示颞肌、咬肌胸锁乳头肌、帽状腱膜、枕腹、颊肌等。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AA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51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489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152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FC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喉腔</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159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2、形态和结构：喉正中矢状切开，示舌骨、甲状软骨、气管软骨、会厌软骨、杓状软骨、膜壁及喉腔结构。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C1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82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F8E2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030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1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心外形和心腔</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60B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2、形态和结构：示心外形及心腔结构以及出入心脏的大血管。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B8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763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37D4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1049A">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D56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下肢浅静脉和皮神经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A6AD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女性右侧下肢，示盆腔正中矢状切面椎骨、子宫、阴道等以及大隐静脉、股外侧浅静脉、腹壁浅静脉、小隐静脉、股神经前皮支、股神经内侧皮支、隐神经、腓浅神经、臀上皮神经、股外侧皮神经、腓肠神经等结构。</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DF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B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8BC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1C2C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3F6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头面部及颈部局解</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820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一侧示浅层结构，包括：颈阔肌、眼轮匝肌、口轮匝肌、枕额肌、胸锁乳突肌、二腹肌、下颌舌骨肌、胸骨舌骨肌、肩胛舌骨肌；腮腺、腮腺导管；面动脉、颞浅动脉、颈前静脉、颈外静脉；面神腮腺丛等。一侧示深层结构，包括：前斜角肌、中斜角肌、后斜角肌、臂丛神经；颈总动脉、颈内动脉、颈外动脉、甲状腺上动脉、舌动脉、面动脉、颞浅动脉、上颌动脉、椎动脉、甲状颈干、颈内静脉；舌神经、舌下神经、迷走神经、副神经、下颌神经、膈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A09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9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2756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914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D11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纵膈</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4916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心包、主动脉弓、食管、胸交感干；右肺根、右头臂静脉、上腔静脉、奇静脉、右膈神经、右迷走神经；左肺根、左头臂静脉、胸导管、半奇静脉、副半奇静脉、左膈神经、左迷走神经、左喉返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856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9B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B8BD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AE6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AA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一侧头面部及颈部动脉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86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2、主要显示结构：颈总动脉、颈内动脉、颈外动脉、甲状腺上动脉、舌动脉、面动脉、颞浅动脉、上颌动脉、椎动脉、甲状颈干、甲状腺下动脉等等。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C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0D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E28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660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0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一侧头面部及颈部神经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579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2、主要显示结构：迷走神经、颈交感干、膈神经、颈丛、颈襻、喉上神经、舌下神经、舌神经、副神经、下牙槽神经、三叉神经节、眼神经、上颌神经、下颌神经等。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D37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81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3D36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788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EA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腹膜后隙神经血管</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7D70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肾、肾上腺、输尿管；胰、十二指肠；腹主动脉、腹腔干、肠系膜上动脉、肾动脉、睾丸动脉/卵巢动脉、肠系膜下动脉、腰动脉、骶正中动脉、左右髂总动脉、下腔静脉、肾静脉、睾丸静脉/卵巢静脉、；腰交感干、肋下神经、髂腹下神经、髂腹股沟神经、股外侧皮神经、股神经、闭孔神经、生殖股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9C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9C7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8CFB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BAE3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0C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肠系膜上动脉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82E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2、主要显示结构：肠系膜上动脉主干、空肠动脉、回肠动脉、回结肠动脉、右结肠动脉、中结肠动脉、阑尾动脉；空肠、回肠、升结肠、横结肠等。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E71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A8E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2305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78B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3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肠系膜下动脉</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E04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2、主要显示结构：腹主动脉、左结肠动脉、乙状结肠动脉、直肠上动脉、横结肠、降结肠、乙状结肠、直肠等。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E2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CD1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C96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06C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A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腹腔干</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DC88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肝、胆囊、胃、十二指肠、脾、胰；腹主动脉、腹腔干、脾动脉、胃左动脉、肝总动脉、胃右动脉、胃十二指肠动脉、肝固有动脉、肝左支和右支、胆囊动脉、胃网膜左动脉、胃网膜右动脉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7C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2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A8FA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7BC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B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胆总管</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96B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2、主要显示结构：肝、胆囊、胰、肾、十二指肠；肝左管、肝右管、肝总管、胆囊管、胆总管、胰管、十二指肠大乳头等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19A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A6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FC62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1DA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0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上肢浅筋膜及筋膜内结构</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D37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2、主要显示结构：头静脉、贵要静脉、肘正中静脉、臂外侧上皮神经、臂外侧下皮神经、臂内侧皮神经、前臂外侧皮神经、前臂内侧皮神经、前臂后皮神经、桡神经浅支等。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61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2B1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7348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32A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00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上肢浅层肌及血管神经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1F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胸大肌、斜方肌、背阔肌、前锯肌；三角肌、肱二头肌、肱三头肌；肱桡肌、旋前圆肌、桡侧腕屈肌、掌长肌、尺侧腕屈肌；桡侧腕长伸肌、桡侧腕短伸肌、指伸肌，小指伸肌、尺侧腕伸肌；锁骨下动脉、腋动脉、肱动脉、尺动脉、桡动脉、正中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6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FC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AF3C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nil"/>
              <w:right w:val="single" w:color="000000" w:sz="4" w:space="0"/>
            </w:tcBorders>
            <w:shd w:val="clear" w:color="auto" w:fill="auto"/>
            <w:noWrap/>
            <w:vAlign w:val="center"/>
          </w:tcPr>
          <w:p w14:paraId="17DA1AC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nil"/>
              <w:right w:val="single" w:color="000000" w:sz="4" w:space="0"/>
            </w:tcBorders>
            <w:shd w:val="clear" w:color="auto" w:fill="auto"/>
            <w:vAlign w:val="center"/>
          </w:tcPr>
          <w:p w14:paraId="48821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上肢深层肌及血管神经</w:t>
            </w:r>
          </w:p>
        </w:tc>
        <w:tc>
          <w:tcPr>
            <w:tcW w:w="2907" w:type="pct"/>
            <w:tcBorders>
              <w:top w:val="single" w:color="000000" w:sz="4" w:space="0"/>
              <w:left w:val="single" w:color="000000" w:sz="4" w:space="0"/>
              <w:bottom w:val="nil"/>
              <w:right w:val="single" w:color="000000" w:sz="4" w:space="0"/>
            </w:tcBorders>
            <w:shd w:val="clear" w:color="auto" w:fill="auto"/>
            <w:vAlign w:val="center"/>
          </w:tcPr>
          <w:p w14:paraId="4F85E93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肱二头肌、肱三头肌；锁骨下动脉、腋动脉、肱动脉、胸外侧动脉、肩胛下动脉、胸背动脉、旋肩胛动脉、旋肱前动脉、旋肱后动脉、肱深动脉、尺侧上副动脉、桡动脉、尺动脉、骨间总动脉、骨间前动脉；胸长神经、肩胛背神经、肩胛上神经、肩胛下神经、胸内侧神经、胸外侧神经、胸背神经、腋神经、肌皮神经、正中神经、尺神经、桡神经、桡神经浅支、桡神经深支、前臂内侧皮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nil"/>
              <w:right w:val="single" w:color="000000" w:sz="4" w:space="0"/>
            </w:tcBorders>
            <w:shd w:val="clear" w:color="auto" w:fill="auto"/>
            <w:vAlign w:val="center"/>
          </w:tcPr>
          <w:p w14:paraId="7607F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nil"/>
              <w:right w:val="single" w:color="000000" w:sz="4" w:space="0"/>
            </w:tcBorders>
            <w:shd w:val="clear" w:color="auto" w:fill="auto"/>
            <w:vAlign w:val="center"/>
          </w:tcPr>
          <w:p w14:paraId="0F5BD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87F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1C5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5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下肢浅筋膜及筋膜内结构</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3E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2、主要显示结构：大隐静脉、腹壁浅静脉、旋髂浅静脉、阴部外静脉、股内侧浅静脉、股外侧浅静脉、小隐静脉；股外侧皮神经、股神经前皮支、隐神经、股后皮神经、腹股沟淋巴结等。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56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8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B510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F96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4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下肢浅层肌及血管神经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EE4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缝匠肌、股直肌、股外侧肌、股内侧肌、阔筋膜张肌、耻骨肌、长收肌、大收肌、股薄肌、胫骨前肌、𧿹长伸肌、趾长伸肌、腓骨长肌、腓骨短肌；臀大肌、半腱肌、半膜肌、股二头肌、腓肠肌；股动脉、股静脉、股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A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C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489B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72DB">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8C7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下肢深层肌及血管神经</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1F4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耻骨肌、长收肌、短收肌、大收肌、股薄肌、臀大肌、臀中肌、臀小肌、梨状肌；、髂外动脉、股动脉、旋髂浅动脉、股深动脉、旋股内侧动脉、旋股外侧动脉、胫骨前动脉、臀上动脉、臀下动脉、腘动脉、胫后动脉、腓动脉、股静脉；股神经、胫骨前神经、坐骨神经、胫神经、臀上神经、臀下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3、材质材料：环保硅胶，环保颜料。                          </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0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2F7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19C9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64A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60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臂丛</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5D6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第5至8颈神经前支、第一胸神经前支、胸长神经、肩胛背神经、肩胛上神经、肩胛下神经、胸内侧神经、胸外侧神经、胸背神经、腋神经、肌皮神经、正中神经、尺神经、桡神经前臂内侧皮神经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6BE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8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758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796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sz w:val="24"/>
                <w:szCs w:val="24"/>
                <w:highlight w:val="none"/>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A4E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心腔结构</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B8F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2、主要显示结构：右心耳、卵圆窝、冠状窦口、上腔静脉口、下腔静脉口、三尖瓣、乳头肌、肺动脉口、左心耳、左右上下肺静脉口、主动脉、二腱瓣等。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3、材质材料：环保硅胶，环保颜料。</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6F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ACD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DCB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9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color w:val="000000"/>
                <w:sz w:val="24"/>
                <w:szCs w:val="24"/>
                <w:highlight w:val="none"/>
                <w:lang w:val="en-US" w:eastAsia="zh-CN"/>
              </w:rPr>
              <w:t>2.</w:t>
            </w:r>
            <w:r>
              <w:rPr>
                <w:rFonts w:hint="eastAsia" w:ascii="宋体" w:hAnsi="宋体" w:eastAsia="宋体" w:cs="宋体"/>
                <w:b/>
                <w:bCs/>
                <w:color w:val="000000"/>
                <w:sz w:val="24"/>
                <w:szCs w:val="24"/>
                <w:highlight w:val="none"/>
              </w:rPr>
              <w:t>病理仿真标本</w:t>
            </w:r>
          </w:p>
        </w:tc>
      </w:tr>
      <w:tr w14:paraId="3E328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326C">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C3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肾结石伴肾萎缩</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2B02E">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2、形态和结构：至少包含：肾皮质萎缩，肾盂扩张。</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B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04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C5AB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9D1B">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F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慢性肺淤血</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3CC0">
            <w:pPr>
              <w:keepNext w:val="0"/>
              <w:keepLines w:val="0"/>
              <w:pageBreakBefore w:val="0"/>
              <w:widowControl w:val="0"/>
              <w:kinsoku/>
              <w:wordWrap/>
              <w:overflowPunct/>
              <w:topLinePunct w:val="0"/>
              <w:autoSpaceDE/>
              <w:autoSpaceDN/>
              <w:bidi w:val="0"/>
              <w:adjustRightInd/>
              <w:snapToGrid/>
              <w:spacing w:line="360" w:lineRule="auto"/>
              <w:jc w:val="left"/>
              <w:rPr>
                <w:rFonts w:ascii="Arial" w:hAnsi="Arial" w:eastAsia="黑体" w:cs="Arial"/>
                <w:color w:val="000000"/>
                <w:kern w:val="2"/>
                <w:sz w:val="21"/>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1、规格尺寸：成人标本1:1</w:t>
            </w:r>
          </w:p>
          <w:p w14:paraId="3C208B5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2、形态和结构：至少包含：体积增大，重量增加。暗红色，质地较实，切面可见暗红色或淡红色泡沫状液体流出。</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3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D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4502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37E2">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53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肝脓肿</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3B1DB">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2、形态和结构：至少包含：脓肿腔、脓肿壁、正常肝组织。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0E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00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052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F743">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B1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家族遗传性结肠腺瘤性息肉病</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9509">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2、形态和结构：至少包含：结肠多处息肉样突起。</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F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EE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086A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917D">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76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皮肤黑色素瘤</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AF329">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2、形态和结构：至少包含：皮肤隆起形肿物，高出皮面，皮肤局部见黑色色素沉着。</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8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E7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634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07BAE">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F9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急性风湿性心内膜炎</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88875">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2、形态和结构：至少包含：二尖瓣闭锁缘上见多处白色赘生物（白色血栓），使二尖瓣变厚、变硬。</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6A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318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F067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503D">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8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亚急性细菌性心内膜炎</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B49FE">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2、形态和结构：至少包含：二尖瓣上可见不规则赘生物，呈息肉状、质松脆，易破碎、脱落，受累瓣膜变形。</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62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60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6BBD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BF1A">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5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小叶性肺炎</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3ECCD">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2、形态和结构：至少包含：左肺表面分布灰黄、质实病灶，以下叶多见。病灶大小不一，直径多在0.5-1cm，形态不规则，病灶中央可见细支气管的横断面。</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B1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5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CE77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E197">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BA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坏死后性肝硬化</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0AE08">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2、形态和结构：至少包含：肝质地变硬，表面、切面弥漫分布大量结节，大小较一致，直径0.1cm至0.5cm；结节周围为增生的纤维组织包绕。</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A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9F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E38B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409C">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EF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食管癌（溃疡型）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AC266">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2、形态和结构：至少包含：食管溃疡型癌，边界不清，表面可见肿瘤性坏死。</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3E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3F9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EE1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E170">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4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胃癌（溃疡性）</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60F1E">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2、形态和结构：至少包含：边界不清，表面可见肿瘤性坏死呈溃疡状。</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F4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9D9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9596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E17A">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4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结肠癌（隆起型）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E8EF8">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2、形态和结构：至少包含：肿瘤呈结节状、息肉状突向肠腔，表面有出血、坏死；肿瘤浸润肠壁全层并环绕肠壁一周。</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12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44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E811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A5A92">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C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肝癌（结节型）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59DF6">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2、形态和结构：至少包含：切面见大量大小不等的癌结节。</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79A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A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760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264A">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D3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肝癌（结节型）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016B0">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2、形态和结构：至少包含：肝切面见大小不等结节。</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DF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10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86D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CA3B">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A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慢性肾盂肾炎伴囊性扩张</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51501">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2、形态和结构：至少包含：病灶呈不规则分布，肾盂变形伴囊性扩张。</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8FD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446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6D25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C811">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31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肾细胞癌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09486">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2、形态和结构：至少包含：肾上极见巨大肿物，实性，切面多彩状。</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A10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2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97F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1298">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A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肾细胞癌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6782">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2、形态和结构：至少包含：肾上极见巨大肿物，实性，切面多彩状。</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67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0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D921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D3A5">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D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膀胱尿路上皮癌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C42C2">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2、形态和结构：至少包含：膀胱腔内突出肿物，其余粘膜呈出血、坏死状。</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C6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3B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5DC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3252">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4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宫颈癌（外生菜花型）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F7CBB">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2、形态和结构：至少包含：外生菜花型浸润性癌，宫颈口肿瘤明显，表面可见坏死、溃疡形成。</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3E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2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8DB0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6"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6511">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C6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子宫内膜癌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27E2">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2、形态和结构：至少包含：子宫腔内可见灰白、灰红色肿瘤，充满宫腔。</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0B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F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C2C9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315DE">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3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子宫平滑肌瘤(粘膜下）</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D77F5">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2、形态和结构：至少包含：子宫多发性平滑肌瘤，位于子宫壁间。</w:t>
            </w:r>
            <w:r>
              <w:rPr>
                <w:rFonts w:hint="eastAsia" w:ascii="宋体" w:hAnsi="宋体" w:eastAsia="宋体" w:cs="宋体"/>
                <w:i w:val="0"/>
                <w:iCs w:val="0"/>
                <w:color w:val="000000"/>
                <w:kern w:val="0"/>
                <w:sz w:val="24"/>
                <w:szCs w:val="24"/>
                <w:highlight w:val="none"/>
                <w:u w:val="none"/>
                <w:lang w:val="en-US" w:eastAsia="zh-CN" w:bidi="ar"/>
              </w:rPr>
              <w:br w:type="textWrapping"/>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C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B3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379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F144">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4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乳腺纤维腺瘤</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D53D">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2、形态和结构：至少包含：部分乳腺组织及边界清楚、实质性肿物。</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8B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8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43AB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F464">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98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乳腺癌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13BC">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2、形态和结构：至少包含：肿瘤，灰白、灰红色，境界不清。</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F5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2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9797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38ED8">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24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阴茎癌（鳞状细胞癌）</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C2FB2">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2、形态和结构：至少包含：阴茎龟头肿瘤呈乳头状。</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9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0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2560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1C6A">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94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霍奇金淋巴瘤</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AAA3">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2、形态和结构：至少包含：淋巴结肿大、融合呈结节状，灰白色；质地细腻。</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B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B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6FC9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392A">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1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原发性肺结核（原发综合症）</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2ABD4">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2、形态和结构：至少包含：原发灶、结核性淋巴管炎、肺门淋巴结结核。</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34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5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5E7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38DE3">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8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局灶型肺结核</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5085E">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2、形态和结构：至少包含：病灶境界清楚，有纤维包裹。病变以增生为主，中央为干酪样坏死。</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39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4E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093B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90EE">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0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肾结核</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CA9FE">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2、形态和结构：至少包含：肾结核晚期，形成干酪样坏死（流出），空洞形成。最初为局灶性结核病变，继而发生干酪样坏死。</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A2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C5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4DB3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2CA48">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4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肠阿米巴病</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5476">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2、形态和结构：至少包含：肠粘膜增厚变硬，表面见小溃疡及小息肉形成。</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76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1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3F6E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FD35C">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auto"/>
              <w:ind w:left="425" w:lef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F7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血吸虫肠病（晚期）</w:t>
            </w:r>
          </w:p>
        </w:tc>
        <w:tc>
          <w:tcPr>
            <w:tcW w:w="2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CF05">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1、规格尺寸：成人标本1:1</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2、形态和结构：至少包含：肠壁增厚、变硬，肠腔狭窄，粘膜粗糙不平，有息肉和溃疡形成、出血。</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E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72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bl>
    <w:p w14:paraId="627ACF92">
      <w:pPr>
        <w:keepNext w:val="0"/>
        <w:keepLines w:val="0"/>
        <w:widowControl/>
        <w:suppressLineNumbers w:val="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p>
    <w:p w14:paraId="7211EA8A">
      <w:pPr>
        <w:spacing w:line="360" w:lineRule="auto"/>
        <w:ind w:firstLine="437"/>
        <w:outlineLvl w:val="1"/>
        <w:rPr>
          <w:rFonts w:ascii="宋体" w:hAnsi="宋体" w:eastAsia="宋体" w:cs="@仿宋_GB2312"/>
          <w:b/>
          <w:bCs/>
          <w:color w:val="000000"/>
          <w:sz w:val="24"/>
          <w:szCs w:val="18"/>
          <w:highlight w:val="none"/>
        </w:rPr>
      </w:pPr>
      <w:r>
        <w:rPr>
          <w:rFonts w:hint="eastAsia" w:ascii="宋体" w:hAnsi="宋体" w:eastAsia="宋体" w:cs="@仿宋_GB2312"/>
          <w:b/>
          <w:bCs/>
          <w:color w:val="000000"/>
          <w:sz w:val="24"/>
          <w:szCs w:val="18"/>
          <w:highlight w:val="none"/>
        </w:rPr>
        <w:t>三、报价要求</w:t>
      </w:r>
      <w:bookmarkEnd w:id="5"/>
      <w:bookmarkEnd w:id="6"/>
    </w:p>
    <w:p w14:paraId="6015AA15">
      <w:pPr>
        <w:spacing w:line="360" w:lineRule="auto"/>
        <w:ind w:firstLine="437"/>
        <w:rPr>
          <w:rFonts w:ascii="宋体" w:hAnsi="宋体" w:eastAsia="宋体" w:cs="@仿宋_GB2312"/>
          <w:bCs/>
          <w:color w:val="000000"/>
          <w:sz w:val="24"/>
          <w:szCs w:val="18"/>
          <w:highlight w:val="none"/>
        </w:rPr>
      </w:pPr>
      <w:r>
        <w:rPr>
          <w:rFonts w:hint="eastAsia" w:ascii="宋体" w:hAnsi="宋体" w:eastAsia="宋体" w:cs="@仿宋_GB2312"/>
          <w:bCs/>
          <w:color w:val="000000"/>
          <w:sz w:val="24"/>
          <w:szCs w:val="18"/>
          <w:highlight w:val="none"/>
        </w:rPr>
        <w:t>本项目报总价，投标报价</w:t>
      </w:r>
      <w:r>
        <w:rPr>
          <w:rFonts w:ascii="宋体" w:hAnsi="宋体" w:eastAsia="宋体" w:cs="@仿宋_GB2312"/>
          <w:bCs/>
          <w:color w:val="000000"/>
          <w:sz w:val="24"/>
          <w:szCs w:val="18"/>
          <w:highlight w:val="none"/>
        </w:rPr>
        <w:t>包括</w:t>
      </w:r>
      <w:r>
        <w:rPr>
          <w:rFonts w:hint="eastAsia" w:ascii="宋体" w:hAnsi="宋体" w:eastAsia="宋体" w:cs="@仿宋_GB2312"/>
          <w:bCs/>
          <w:color w:val="000000"/>
          <w:sz w:val="24"/>
          <w:szCs w:val="18"/>
          <w:highlight w:val="none"/>
        </w:rPr>
        <w:t>本项目需求的全部货物及所需附件购置费、包装费、运输费、人工费、安装调试费、各种税费、资料费、售后服务费及完成项目应有的全部费用。</w:t>
      </w:r>
    </w:p>
    <w:p w14:paraId="75A82534">
      <w:pPr>
        <w:spacing w:line="360" w:lineRule="auto"/>
        <w:ind w:firstLine="437"/>
        <w:outlineLvl w:val="1"/>
        <w:rPr>
          <w:rFonts w:hint="eastAsia" w:ascii="宋体" w:hAnsi="宋体" w:eastAsia="宋体" w:cs="@仿宋_GB2312"/>
          <w:b/>
          <w:bCs/>
          <w:color w:val="000000"/>
          <w:sz w:val="24"/>
          <w:szCs w:val="18"/>
          <w:highlight w:val="none"/>
        </w:rPr>
      </w:pPr>
      <w:r>
        <w:rPr>
          <w:rFonts w:hint="eastAsia" w:ascii="宋体" w:hAnsi="宋体" w:eastAsia="宋体" w:cs="@仿宋_GB2312"/>
          <w:b/>
          <w:bCs/>
          <w:color w:val="000000"/>
          <w:sz w:val="24"/>
          <w:szCs w:val="18"/>
          <w:highlight w:val="none"/>
        </w:rPr>
        <w:t>四、备品备件及专用工具</w:t>
      </w:r>
    </w:p>
    <w:p w14:paraId="0A607135">
      <w:pPr>
        <w:spacing w:line="360" w:lineRule="auto"/>
        <w:ind w:firstLine="437"/>
        <w:outlineLvl w:val="1"/>
        <w:rPr>
          <w:rFonts w:ascii="宋体" w:hAnsi="宋体" w:eastAsia="宋体" w:cs="@仿宋_GB2312"/>
          <w:bCs/>
          <w:color w:val="000000"/>
          <w:sz w:val="24"/>
          <w:szCs w:val="18"/>
          <w:highlight w:val="none"/>
        </w:rPr>
      </w:pPr>
      <w:bookmarkStart w:id="7" w:name="_Toc455587093"/>
      <w:bookmarkStart w:id="8" w:name="_Toc445554752"/>
      <w:bookmarkStart w:id="9" w:name="_Toc455587277"/>
      <w:r>
        <w:rPr>
          <w:rFonts w:ascii="宋体" w:hAnsi="宋体" w:eastAsia="宋体" w:cs="@仿宋_GB2312"/>
          <w:bCs/>
          <w:color w:val="000000"/>
          <w:sz w:val="24"/>
          <w:szCs w:val="18"/>
          <w:highlight w:val="none"/>
        </w:rPr>
        <w:t>1、备品备件：中标人提供能够满足质量保证期内的设备维修要求的备品备件，备品备件应是新品。</w:t>
      </w:r>
    </w:p>
    <w:p w14:paraId="4DD3331B">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2、专用工具：中标人提供设备安装、调试、维修、保养所必要的专用工具、仪器、仪表等工具。</w:t>
      </w:r>
    </w:p>
    <w:bookmarkEnd w:id="7"/>
    <w:bookmarkEnd w:id="8"/>
    <w:bookmarkEnd w:id="9"/>
    <w:p w14:paraId="29D6A966">
      <w:pPr>
        <w:spacing w:line="360" w:lineRule="auto"/>
        <w:ind w:firstLine="437"/>
        <w:outlineLvl w:val="1"/>
        <w:rPr>
          <w:rFonts w:hint="eastAsia" w:ascii="宋体" w:hAnsi="宋体" w:eastAsia="宋体" w:cs="@仿宋_GB2312"/>
          <w:b/>
          <w:bCs/>
          <w:color w:val="000000"/>
          <w:sz w:val="24"/>
          <w:szCs w:val="18"/>
          <w:highlight w:val="none"/>
        </w:rPr>
      </w:pPr>
      <w:bookmarkStart w:id="10" w:name="_Toc532199625"/>
      <w:bookmarkStart w:id="11" w:name="_Toc455587094"/>
      <w:bookmarkStart w:id="12" w:name="_Toc455587278"/>
      <w:bookmarkStart w:id="13" w:name="_Toc445554753"/>
      <w:r>
        <w:rPr>
          <w:rFonts w:hint="eastAsia" w:ascii="宋体" w:hAnsi="宋体" w:eastAsia="宋体" w:cs="@仿宋_GB2312"/>
          <w:b/>
          <w:bCs/>
          <w:color w:val="000000"/>
          <w:sz w:val="24"/>
          <w:szCs w:val="18"/>
          <w:highlight w:val="none"/>
          <w:lang w:eastAsia="zh-CN"/>
        </w:rPr>
        <w:t>五</w:t>
      </w:r>
      <w:r>
        <w:rPr>
          <w:rFonts w:hint="eastAsia" w:ascii="宋体" w:hAnsi="宋体" w:eastAsia="宋体" w:cs="@仿宋_GB2312"/>
          <w:b/>
          <w:bCs/>
          <w:color w:val="000000"/>
          <w:sz w:val="24"/>
          <w:szCs w:val="18"/>
          <w:highlight w:val="none"/>
        </w:rPr>
        <w:t>、安装调试、验收试验及质量保证</w:t>
      </w:r>
      <w:bookmarkEnd w:id="10"/>
    </w:p>
    <w:p w14:paraId="49EDBB38">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1、中标人在设备安装地点负责安装、调试。</w:t>
      </w:r>
    </w:p>
    <w:p w14:paraId="7C8BDAD9">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2、具体设备验收标准和程序按采购人要求执行，下列验收程序可参照执行：</w:t>
      </w:r>
    </w:p>
    <w:p w14:paraId="11840BE4">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p>
    <w:p w14:paraId="44EDDDC2">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585538B4">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2.3 中标人应根据采购人使用单位的技术要求提供相应的产品。由中标人所提供的设备部件间的连线和插接件均应视为设备内部器件，包含在相应的设备之中。</w:t>
      </w:r>
    </w:p>
    <w:p w14:paraId="3AFACE87">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p>
    <w:p w14:paraId="0BED61DB">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2.5 中标人应向采购人提供安装调试过程中的各种文档资料,以便采购人今后能掌握操作和维护方法。</w:t>
      </w:r>
    </w:p>
    <w:p w14:paraId="5B2E9AB4">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3、如设备在验收时有一个或多个指标未能达到要求而属于中标人责任时，则中标人自费采取有效措施，在</w:t>
      </w:r>
      <w:r>
        <w:rPr>
          <w:rFonts w:hint="eastAsia" w:ascii="宋体" w:hAnsi="宋体" w:eastAsia="宋体" w:cs="@仿宋_GB2312"/>
          <w:bCs/>
          <w:color w:val="000000"/>
          <w:sz w:val="24"/>
          <w:szCs w:val="18"/>
          <w:highlight w:val="none"/>
          <w:lang w:val="en-US" w:eastAsia="zh-CN"/>
        </w:rPr>
        <w:t>采购人</w:t>
      </w:r>
      <w:r>
        <w:rPr>
          <w:rFonts w:ascii="宋体" w:hAnsi="宋体" w:eastAsia="宋体" w:cs="@仿宋_GB2312"/>
          <w:bCs/>
          <w:color w:val="000000"/>
          <w:sz w:val="24"/>
          <w:szCs w:val="18"/>
          <w:highlight w:val="none"/>
        </w:rPr>
        <w:t>规定时间内使之达到保证指标。如在</w:t>
      </w:r>
      <w:r>
        <w:rPr>
          <w:rFonts w:hint="eastAsia" w:ascii="宋体" w:hAnsi="宋体" w:eastAsia="宋体" w:cs="@仿宋_GB2312"/>
          <w:bCs/>
          <w:color w:val="000000"/>
          <w:sz w:val="24"/>
          <w:szCs w:val="18"/>
          <w:highlight w:val="none"/>
          <w:lang w:val="en-US" w:eastAsia="zh-CN"/>
        </w:rPr>
        <w:t>采购人</w:t>
      </w:r>
      <w:r>
        <w:rPr>
          <w:rFonts w:ascii="宋体" w:hAnsi="宋体" w:eastAsia="宋体" w:cs="@仿宋_GB2312"/>
          <w:bCs/>
          <w:color w:val="000000"/>
          <w:sz w:val="24"/>
          <w:szCs w:val="18"/>
          <w:highlight w:val="none"/>
        </w:rPr>
        <w:t>规定的时间内仍达不到合格标准时，则中标人应向采购人赔偿。</w:t>
      </w:r>
    </w:p>
    <w:p w14:paraId="2714D47C">
      <w:pPr>
        <w:spacing w:line="360" w:lineRule="auto"/>
        <w:ind w:firstLine="437"/>
        <w:outlineLvl w:val="1"/>
        <w:rPr>
          <w:rFonts w:hint="eastAsia" w:ascii="宋体" w:hAnsi="宋体" w:eastAsia="宋体" w:cs="@仿宋_GB2312"/>
          <w:b/>
          <w:bCs/>
          <w:color w:val="000000"/>
          <w:sz w:val="24"/>
          <w:szCs w:val="18"/>
          <w:highlight w:val="none"/>
        </w:rPr>
      </w:pPr>
      <w:bookmarkStart w:id="14" w:name="_Toc532199626"/>
      <w:r>
        <w:rPr>
          <w:rFonts w:hint="eastAsia" w:ascii="宋体" w:hAnsi="宋体" w:eastAsia="宋体" w:cs="@仿宋_GB2312"/>
          <w:b/>
          <w:bCs/>
          <w:color w:val="000000"/>
          <w:sz w:val="24"/>
          <w:szCs w:val="18"/>
          <w:highlight w:val="none"/>
        </w:rPr>
        <w:t>六、包装运输</w:t>
      </w:r>
      <w:bookmarkEnd w:id="11"/>
      <w:bookmarkEnd w:id="12"/>
      <w:bookmarkEnd w:id="13"/>
      <w:bookmarkEnd w:id="14"/>
    </w:p>
    <w:p w14:paraId="4786D7C9">
      <w:pPr>
        <w:spacing w:line="360" w:lineRule="auto"/>
        <w:ind w:firstLine="437"/>
        <w:outlineLvl w:val="1"/>
        <w:rPr>
          <w:rFonts w:ascii="宋体" w:hAnsi="宋体" w:eastAsia="宋体" w:cs="@仿宋_GB2312"/>
          <w:bCs/>
          <w:color w:val="000000"/>
          <w:sz w:val="24"/>
          <w:szCs w:val="18"/>
          <w:highlight w:val="none"/>
        </w:rPr>
      </w:pPr>
      <w:bookmarkStart w:id="15" w:name="_Toc445554754"/>
      <w:bookmarkStart w:id="16" w:name="_Toc455587095"/>
      <w:bookmarkStart w:id="17" w:name="_Toc455587279"/>
      <w:r>
        <w:rPr>
          <w:rFonts w:ascii="宋体" w:hAnsi="宋体" w:eastAsia="宋体" w:cs="@仿宋_GB2312"/>
          <w:bCs/>
          <w:color w:val="000000"/>
          <w:sz w:val="24"/>
          <w:szCs w:val="18"/>
          <w:highlight w:val="none"/>
        </w:rPr>
        <w:t>1、中标人负责设备包装、办理运输和保险，将设备安全运抵交货地点。</w:t>
      </w:r>
    </w:p>
    <w:p w14:paraId="69524BB1">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2、设备制造完成并通过试验后应及时包装，否则应得到切实的保护，确保其不受污损。</w:t>
      </w:r>
    </w:p>
    <w:p w14:paraId="2419B0B9">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3、在包装箱外应标明采购人的订货号、发货号。</w:t>
      </w:r>
    </w:p>
    <w:p w14:paraId="20860EAF">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4、各种包装应能确保各零部件在运输过程中不致遭到损坏、丢失、变形、受潮和腐蚀。</w:t>
      </w:r>
    </w:p>
    <w:p w14:paraId="7AD9D441">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5、包装箱上应有明显的包装储运图示标志。</w:t>
      </w:r>
    </w:p>
    <w:p w14:paraId="3C3B6058">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6、整体产品或分别运输的部件都要适应运输和装载的要求。</w:t>
      </w:r>
    </w:p>
    <w:p w14:paraId="2B200FB3">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7、随产品提供的技术资料应完整无缺。</w:t>
      </w:r>
    </w:p>
    <w:p w14:paraId="3C0B4846">
      <w:pPr>
        <w:spacing w:line="360" w:lineRule="auto"/>
        <w:ind w:firstLine="437"/>
        <w:outlineLvl w:val="1"/>
        <w:rPr>
          <w:rFonts w:hint="eastAsia" w:ascii="宋体" w:hAnsi="宋体" w:eastAsia="宋体" w:cs="@仿宋_GB2312"/>
          <w:b/>
          <w:bCs/>
          <w:color w:val="000000"/>
          <w:sz w:val="24"/>
          <w:szCs w:val="18"/>
          <w:highlight w:val="none"/>
        </w:rPr>
      </w:pPr>
      <w:bookmarkStart w:id="18" w:name="_Toc532199627"/>
      <w:r>
        <w:rPr>
          <w:rFonts w:hint="eastAsia" w:ascii="宋体" w:hAnsi="宋体" w:eastAsia="宋体" w:cs="@仿宋_GB2312"/>
          <w:b/>
          <w:bCs/>
          <w:color w:val="000000"/>
          <w:sz w:val="24"/>
          <w:szCs w:val="18"/>
          <w:highlight w:val="none"/>
          <w:lang w:eastAsia="zh-CN"/>
        </w:rPr>
        <w:t>七</w:t>
      </w:r>
      <w:r>
        <w:rPr>
          <w:rFonts w:hint="eastAsia" w:ascii="宋体" w:hAnsi="宋体" w:eastAsia="宋体" w:cs="@仿宋_GB2312"/>
          <w:b/>
          <w:bCs/>
          <w:color w:val="000000"/>
          <w:sz w:val="24"/>
          <w:szCs w:val="18"/>
          <w:highlight w:val="none"/>
        </w:rPr>
        <w:t>、技术培训</w:t>
      </w:r>
      <w:bookmarkEnd w:id="15"/>
      <w:bookmarkEnd w:id="16"/>
      <w:bookmarkEnd w:id="17"/>
      <w:bookmarkEnd w:id="18"/>
    </w:p>
    <w:p w14:paraId="7C40B88B">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1、为使合同设备能正常安装和运行，由中标人提供相应的技术培训</w:t>
      </w:r>
      <w:r>
        <w:rPr>
          <w:rFonts w:hint="eastAsia" w:ascii="宋体" w:hAnsi="宋体" w:eastAsia="宋体" w:cs="@仿宋_GB2312"/>
          <w:bCs/>
          <w:color w:val="000000"/>
          <w:sz w:val="24"/>
          <w:szCs w:val="18"/>
          <w:highlight w:val="none"/>
          <w:lang w:eastAsia="zh-CN"/>
        </w:rPr>
        <w:t>，</w:t>
      </w:r>
      <w:r>
        <w:rPr>
          <w:rFonts w:ascii="宋体" w:hAnsi="宋体" w:eastAsia="宋体" w:cs="@仿宋_GB2312"/>
          <w:bCs/>
          <w:color w:val="000000"/>
          <w:sz w:val="24"/>
          <w:szCs w:val="18"/>
          <w:highlight w:val="none"/>
        </w:rPr>
        <w:t>培训费用</w:t>
      </w:r>
      <w:r>
        <w:rPr>
          <w:rFonts w:hint="eastAsia" w:ascii="宋体" w:hAnsi="宋体" w:eastAsia="宋体" w:cs="@仿宋_GB2312"/>
          <w:bCs/>
          <w:color w:val="000000"/>
          <w:sz w:val="24"/>
          <w:szCs w:val="18"/>
          <w:highlight w:val="none"/>
          <w:lang w:val="en-US" w:eastAsia="zh-CN"/>
        </w:rPr>
        <w:t>包含在投标报价内</w:t>
      </w:r>
      <w:r>
        <w:rPr>
          <w:rFonts w:ascii="宋体" w:hAnsi="宋体" w:eastAsia="宋体" w:cs="@仿宋_GB2312"/>
          <w:bCs/>
          <w:color w:val="000000"/>
          <w:sz w:val="24"/>
          <w:szCs w:val="18"/>
          <w:highlight w:val="none"/>
        </w:rPr>
        <w:t>。</w:t>
      </w:r>
    </w:p>
    <w:p w14:paraId="7183CAF6">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2、培训的时间、人数、地点等具体内容由买卖双方商定，内容至少包括：设备原理、使用、维护、运行操作、常见故障处理等。</w:t>
      </w:r>
    </w:p>
    <w:p w14:paraId="016D8747">
      <w:pPr>
        <w:spacing w:line="360" w:lineRule="auto"/>
        <w:ind w:firstLine="437"/>
        <w:outlineLvl w:val="1"/>
        <w:rPr>
          <w:rFonts w:hint="eastAsia" w:ascii="宋体" w:hAnsi="宋体" w:eastAsia="宋体" w:cs="@仿宋_GB2312"/>
          <w:b/>
          <w:bCs/>
          <w:color w:val="000000"/>
          <w:sz w:val="24"/>
          <w:szCs w:val="18"/>
          <w:highlight w:val="none"/>
        </w:rPr>
      </w:pPr>
      <w:bookmarkStart w:id="19" w:name="_Toc532199628"/>
      <w:r>
        <w:rPr>
          <w:rFonts w:hint="eastAsia" w:ascii="宋体" w:hAnsi="宋体" w:eastAsia="宋体" w:cs="@仿宋_GB2312"/>
          <w:b/>
          <w:bCs/>
          <w:color w:val="000000"/>
          <w:sz w:val="24"/>
          <w:szCs w:val="18"/>
          <w:highlight w:val="none"/>
          <w:lang w:eastAsia="zh-CN"/>
        </w:rPr>
        <w:t>八</w:t>
      </w:r>
      <w:r>
        <w:rPr>
          <w:rFonts w:hint="eastAsia" w:ascii="宋体" w:hAnsi="宋体" w:eastAsia="宋体" w:cs="@仿宋_GB2312"/>
          <w:b/>
          <w:bCs/>
          <w:color w:val="000000"/>
          <w:sz w:val="24"/>
          <w:szCs w:val="18"/>
          <w:highlight w:val="none"/>
        </w:rPr>
        <w:t>、质保及售后服务</w:t>
      </w:r>
    </w:p>
    <w:p w14:paraId="5827F99F">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1、自双方签订《验收报告》起进入质保期。</w:t>
      </w:r>
    </w:p>
    <w:p w14:paraId="04DF5FFF">
      <w:pPr>
        <w:spacing w:line="360" w:lineRule="auto"/>
        <w:ind w:firstLine="437"/>
        <w:outlineLvl w:val="1"/>
        <w:rPr>
          <w:rFonts w:ascii="宋体" w:hAnsi="宋体" w:eastAsia="宋体" w:cs="@仿宋_GB2312"/>
          <w:bCs/>
          <w:color w:val="000000"/>
          <w:sz w:val="24"/>
          <w:szCs w:val="18"/>
          <w:highlight w:val="none"/>
        </w:rPr>
      </w:pPr>
      <w:r>
        <w:rPr>
          <w:rFonts w:ascii="宋体" w:hAnsi="宋体" w:eastAsia="宋体" w:cs="@仿宋_GB2312"/>
          <w:bCs/>
          <w:color w:val="000000"/>
          <w:sz w:val="24"/>
          <w:szCs w:val="18"/>
          <w:highlight w:val="none"/>
        </w:rPr>
        <w:t>2、在质保期间内，非采购人过失和故意并且在正常使用的情况下发现商品有缺陷，中标人</w:t>
      </w:r>
      <w:r>
        <w:rPr>
          <w:rFonts w:hint="eastAsia" w:ascii="宋体" w:hAnsi="宋体" w:eastAsia="宋体" w:cs="@仿宋_GB2312"/>
          <w:bCs/>
          <w:color w:val="000000"/>
          <w:sz w:val="24"/>
          <w:szCs w:val="18"/>
          <w:highlight w:val="none"/>
          <w:lang w:val="en-US" w:eastAsia="zh-CN"/>
        </w:rPr>
        <w:t>应</w:t>
      </w:r>
      <w:r>
        <w:rPr>
          <w:rFonts w:ascii="宋体" w:hAnsi="宋体" w:eastAsia="宋体" w:cs="@仿宋_GB2312"/>
          <w:bCs/>
          <w:color w:val="000000"/>
          <w:sz w:val="24"/>
          <w:szCs w:val="18"/>
          <w:highlight w:val="none"/>
        </w:rPr>
        <w:t>修理或替换该设备；在质保期间内，非采购人过失和故意并且在正常使用的情况下设备发生故障，中标人应及时提供服务。</w:t>
      </w:r>
      <w:bookmarkEnd w:id="19"/>
    </w:p>
    <w:p w14:paraId="6326F20A"/>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二审-许美玥" w:date="2026-07-31T17:44:27Z" w:initials="">
    <w:p w14:paraId="1BC117F5">
      <w:pPr>
        <w:widowControl w:val="0"/>
        <w:jc w:val="left"/>
        <w:rPr>
          <w:rFonts w:hint="eastAsia" w:ascii="Arial" w:hAnsi="Arial" w:eastAsia="黑体" w:cs="Arial"/>
          <w:kern w:val="2"/>
          <w:sz w:val="21"/>
          <w:lang w:val="en-US" w:eastAsia="zh-CN" w:bidi="ar-SA"/>
        </w:rPr>
      </w:pPr>
      <w:r>
        <w:rPr>
          <w:rFonts w:hint="eastAsia" w:ascii="Arial" w:hAnsi="Arial" w:eastAsia="黑体" w:cs="Arial"/>
          <w:kern w:val="2"/>
          <w:sz w:val="21"/>
          <w:lang w:val="en-US" w:eastAsia="zh-CN" w:bidi="ar-SA"/>
        </w:rPr>
        <w:t>属于集成式产品，除数字解剖教学系统外，其他智能交互讲台、高保真无感扩声系统、光能黑板都是硬件货物。</w:t>
      </w:r>
    </w:p>
    <w:p w14:paraId="77D5CBE1">
      <w:pPr>
        <w:widowControl w:val="0"/>
        <w:jc w:val="left"/>
        <w:rPr>
          <w:rFonts w:hint="eastAsia" w:ascii="Arial" w:hAnsi="Arial" w:eastAsia="黑体" w:cs="Arial"/>
          <w:kern w:val="2"/>
          <w:sz w:val="21"/>
          <w:lang w:val="en-US" w:eastAsia="zh-CN" w:bidi="ar-SA"/>
        </w:rPr>
      </w:pPr>
      <w:r>
        <w:rPr>
          <w:rFonts w:hint="eastAsia" w:ascii="Arial" w:hAnsi="Arial" w:eastAsia="黑体" w:cs="Arial"/>
          <w:kern w:val="2"/>
          <w:sz w:val="21"/>
          <w:lang w:val="en-US" w:eastAsia="zh-CN" w:bidi="ar-SA"/>
        </w:rPr>
        <w:t>集成产品有以下注意：</w:t>
      </w:r>
    </w:p>
    <w:p w14:paraId="20D1FA4A">
      <w:pPr>
        <w:widowControl w:val="0"/>
        <w:jc w:val="left"/>
        <w:rPr>
          <w:rFonts w:hint="eastAsia" w:ascii="Arial" w:hAnsi="Arial" w:eastAsia="黑体" w:cs="Arial"/>
          <w:kern w:val="2"/>
          <w:sz w:val="21"/>
          <w:lang w:val="en-US" w:eastAsia="zh-CN" w:bidi="ar-SA"/>
        </w:rPr>
      </w:pPr>
      <w:r>
        <w:rPr>
          <w:rFonts w:hint="eastAsia" w:ascii="Arial" w:hAnsi="Arial" w:eastAsia="黑体" w:cs="Arial"/>
          <w:kern w:val="2"/>
          <w:sz w:val="21"/>
          <w:lang w:val="en-US" w:eastAsia="zh-CN" w:bidi="ar-SA"/>
        </w:rPr>
        <w:t>1.集成产品的品牌如何认定？以集成商厂家品牌为准？还是四个内部产品各有独立品牌？</w:t>
      </w:r>
    </w:p>
    <w:p w14:paraId="66AA3447">
      <w:pPr>
        <w:widowControl w:val="0"/>
        <w:jc w:val="left"/>
        <w:rPr>
          <w:rFonts w:hint="default" w:ascii="Arial" w:hAnsi="Arial" w:eastAsia="黑体" w:cs="Arial"/>
          <w:kern w:val="2"/>
          <w:sz w:val="21"/>
          <w:lang w:val="en-US" w:eastAsia="zh-CN" w:bidi="ar-SA"/>
        </w:rPr>
      </w:pPr>
      <w:r>
        <w:rPr>
          <w:rFonts w:hint="eastAsia" w:ascii="Arial" w:hAnsi="Arial" w:eastAsia="黑体" w:cs="Arial"/>
          <w:kern w:val="2"/>
          <w:sz w:val="21"/>
          <w:lang w:val="en-US" w:eastAsia="zh-CN" w:bidi="ar-SA"/>
        </w:rPr>
        <w:t>2.建议在投标文件格式分项报价表中明确要求供应商对集成产品的四个内部产品进行分项报价，明确品牌型号单价，否则影响后续采购人验收入库。</w:t>
      </w:r>
    </w:p>
    <w:p w14:paraId="5C8EEDE6">
      <w:pPr>
        <w:widowControl w:val="0"/>
        <w:jc w:val="left"/>
        <w:rPr>
          <w:rFonts w:hint="default" w:ascii="Arial" w:hAnsi="Arial" w:eastAsia="黑体" w:cs="Arial"/>
          <w:kern w:val="2"/>
          <w:sz w:val="21"/>
          <w:lang w:val="en-US" w:eastAsia="zh-CN" w:bidi="ar-SA"/>
        </w:rPr>
      </w:pPr>
      <w:r>
        <w:rPr>
          <w:rFonts w:hint="eastAsia" w:ascii="Arial" w:hAnsi="Arial" w:eastAsia="黑体" w:cs="Arial"/>
          <w:kern w:val="2"/>
          <w:sz w:val="21"/>
          <w:lang w:val="en-US" w:eastAsia="zh-CN" w:bidi="ar-SA"/>
        </w:rPr>
        <w:t>3.软件部分和硬件部分所属行业不同，建议分开明确，否则供应商《中小企业声明函》中制造商及行业认定存在争议。</w:t>
      </w:r>
    </w:p>
  </w:comment>
  <w:comment w:id="1" w:author="Sun" w:date="2026-08-06T15:15:49Z" w:initials="">
    <w:p w14:paraId="7B07B96B">
      <w:pPr>
        <w:widowControl w:val="0"/>
        <w:jc w:val="left"/>
        <w:rPr>
          <w:rFonts w:hint="eastAsia" w:ascii="Arial" w:hAnsi="Arial" w:eastAsia="黑体" w:cs="Arial"/>
          <w:kern w:val="2"/>
          <w:sz w:val="21"/>
          <w:lang w:val="en-US" w:eastAsia="zh-CN" w:bidi="ar-SA"/>
        </w:rPr>
      </w:pPr>
      <w:r>
        <w:rPr>
          <w:rFonts w:hint="eastAsia" w:ascii="Arial" w:hAnsi="Arial" w:eastAsia="黑体" w:cs="Arial"/>
          <w:kern w:val="2"/>
          <w:sz w:val="21"/>
          <w:lang w:val="en-US" w:eastAsia="zh-CN" w:bidi="ar-SA"/>
        </w:rPr>
        <w:t>1.四个产品可有不同品牌。</w:t>
      </w:r>
    </w:p>
    <w:p w14:paraId="50D9B796">
      <w:pPr>
        <w:widowControl w:val="0"/>
        <w:jc w:val="left"/>
        <w:rPr>
          <w:rFonts w:hint="eastAsia" w:ascii="Arial" w:hAnsi="Arial" w:eastAsia="黑体" w:cs="Arial"/>
          <w:kern w:val="2"/>
          <w:sz w:val="21"/>
          <w:lang w:val="en-US" w:eastAsia="zh-CN" w:bidi="ar-SA"/>
        </w:rPr>
      </w:pPr>
      <w:r>
        <w:rPr>
          <w:rFonts w:hint="eastAsia" w:ascii="Arial" w:hAnsi="Arial" w:eastAsia="黑体" w:cs="Arial"/>
          <w:kern w:val="2"/>
          <w:sz w:val="21"/>
          <w:lang w:val="en-US" w:eastAsia="zh-CN" w:bidi="ar-SA"/>
        </w:rPr>
        <w:t>2.同意在投标文件格式分项报价表中明确要求供应商对集成产品的四个内部产品进行分项报价，明确品牌型号单价。</w:t>
      </w:r>
    </w:p>
    <w:p w14:paraId="624CA0E8">
      <w:pPr>
        <w:widowControl w:val="0"/>
        <w:jc w:val="left"/>
        <w:rPr>
          <w:rFonts w:hint="default" w:ascii="Arial" w:hAnsi="Arial" w:eastAsia="黑体" w:cs="Arial"/>
          <w:kern w:val="2"/>
          <w:sz w:val="21"/>
          <w:lang w:val="en-US" w:eastAsia="zh-CN" w:bidi="ar-SA"/>
        </w:rPr>
      </w:pPr>
      <w:r>
        <w:rPr>
          <w:rFonts w:hint="eastAsia" w:ascii="Arial" w:hAnsi="Arial" w:eastAsia="黑体" w:cs="Arial"/>
          <w:kern w:val="2"/>
          <w:sz w:val="21"/>
          <w:lang w:val="en-US" w:eastAsia="zh-CN" w:bidi="ar-SA"/>
        </w:rPr>
        <w:t>3.同意分开明确，请代理公司给出合理修改方案即可。</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C8EEDE6" w15:done="0"/>
  <w15:commentEx w15:paraId="624CA0E8" w15:done="0" w15:paraIdParent="5C8EEDE6"/>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imSun-ExtB">
    <w:panose1 w:val="02010609060101010101"/>
    <w:charset w:val="86"/>
    <w:family w:val="auto"/>
    <w:pitch w:val="default"/>
    <w:sig w:usb0="00000001" w:usb1="02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793C81"/>
    <w:multiLevelType w:val="singleLevel"/>
    <w:tmpl w:val="94793C81"/>
    <w:lvl w:ilvl="0" w:tentative="0">
      <w:start w:val="1"/>
      <w:numFmt w:val="decimal"/>
      <w:suff w:val="nothing"/>
      <w:lvlText w:val="%1"/>
      <w:lvlJc w:val="left"/>
      <w:pPr>
        <w:ind w:left="425" w:leftChars="0" w:hanging="425" w:firstLineChars="0"/>
      </w:pPr>
      <w:rPr>
        <w:rFonts w:hint="default"/>
      </w:rPr>
    </w:lvl>
  </w:abstractNum>
  <w:abstractNum w:abstractNumId="1">
    <w:nsid w:val="9AEB716F"/>
    <w:multiLevelType w:val="singleLevel"/>
    <w:tmpl w:val="9AEB716F"/>
    <w:lvl w:ilvl="0" w:tentative="0">
      <w:start w:val="1"/>
      <w:numFmt w:val="decimal"/>
      <w:suff w:val="nothing"/>
      <w:lvlText w:val="%1、"/>
      <w:lvlJc w:val="left"/>
    </w:lvl>
  </w:abstractNum>
  <w:abstractNum w:abstractNumId="2">
    <w:nsid w:val="9EDE9EA8"/>
    <w:multiLevelType w:val="singleLevel"/>
    <w:tmpl w:val="9EDE9EA8"/>
    <w:lvl w:ilvl="0" w:tentative="0">
      <w:start w:val="1"/>
      <w:numFmt w:val="decimal"/>
      <w:suff w:val="nothing"/>
      <w:lvlText w:val="%1、"/>
      <w:lvlJc w:val="left"/>
    </w:lvl>
  </w:abstractNum>
  <w:abstractNum w:abstractNumId="3">
    <w:nsid w:val="A717913B"/>
    <w:multiLevelType w:val="singleLevel"/>
    <w:tmpl w:val="A717913B"/>
    <w:lvl w:ilvl="0" w:tentative="0">
      <w:start w:val="1"/>
      <w:numFmt w:val="decimal"/>
      <w:suff w:val="nothing"/>
      <w:lvlText w:val="%1"/>
      <w:lvlJc w:val="left"/>
      <w:pPr>
        <w:ind w:left="425" w:leftChars="0" w:hanging="425" w:firstLineChars="0"/>
      </w:pPr>
      <w:rPr>
        <w:rFonts w:hint="default"/>
      </w:rPr>
    </w:lvl>
  </w:abstractNum>
  <w:abstractNum w:abstractNumId="4">
    <w:nsid w:val="E806179A"/>
    <w:multiLevelType w:val="singleLevel"/>
    <w:tmpl w:val="E806179A"/>
    <w:lvl w:ilvl="0" w:tentative="0">
      <w:start w:val="1"/>
      <w:numFmt w:val="decimal"/>
      <w:suff w:val="nothing"/>
      <w:lvlText w:val="%1、"/>
      <w:lvlJc w:val="left"/>
    </w:lvl>
  </w:abstractNum>
  <w:abstractNum w:abstractNumId="5">
    <w:nsid w:val="64319266"/>
    <w:multiLevelType w:val="singleLevel"/>
    <w:tmpl w:val="64319266"/>
    <w:lvl w:ilvl="0" w:tentative="0">
      <w:start w:val="1"/>
      <w:numFmt w:val="decimal"/>
      <w:suff w:val="nothing"/>
      <w:lvlText w:val="%1、"/>
      <w:lvlJc w:val="left"/>
    </w:lvl>
  </w:abstractNum>
  <w:num w:numId="1">
    <w:abstractNumId w:val="3"/>
  </w:num>
  <w:num w:numId="2">
    <w:abstractNumId w:val="5"/>
  </w:num>
  <w:num w:numId="3">
    <w:abstractNumId w:val="2"/>
  </w:num>
  <w:num w:numId="4">
    <w:abstractNumId w:val="1"/>
  </w:num>
  <w:num w:numId="5">
    <w:abstractNumId w:val="4"/>
  </w:num>
  <w:num w:numId="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二审-许美玥">
    <w15:presenceInfo w15:providerId="None" w15:userId="二审-许美玥"/>
  </w15:person>
  <w15:person w15:author="Sun">
    <w15:presenceInfo w15:providerId="WPS Office" w15:userId="11516415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F6157C"/>
    <w:rsid w:val="34F615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107</Pages>
  <Words>0</Words>
  <Characters>0</Characters>
  <Lines>0</Lines>
  <Paragraphs>0</Paragraphs>
  <TotalTime>1</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2026-08-20T03:44:00Z</dcterms:created>
  <dc:creator>，，，</dc:creator>
  <cp:lastModifiedBy>，，，</cp:lastModifiedBy>
  <dcterms:modified xsi:type="dcterms:W3CDTF">2026-08-20T03:46:33Z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2349626C63694FB4A4513F00F47C5ACE_11</vt:lpwstr>
  </property>
  <property fmtid="{D5CDD505-2E9C-101B-9397-08002B2CF9AE}" pid="4" name="KSOTemplateDocerSaveRecord">
    <vt:lpwstr>eyJoZGlkIjoiYTVlMGE0OTU4MTkzM2U5YjlhN2YzNjY2ODI3M2VkYmUiLCJ1c2VySWQiOiI1ODM4OTc1ODUifQ==</vt:lpwstr>
  </property>
</Properties>
</file>