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99B83">
      <w:pPr>
        <w:widowControl/>
        <w:tabs>
          <w:tab w:val="center" w:pos="4153"/>
        </w:tabs>
        <w:spacing w:line="440" w:lineRule="exact"/>
        <w:jc w:val="center"/>
        <w:rPr>
          <w:rFonts w:hint="eastAsia" w:ascii="宋体" w:hAnsi="宋体" w:eastAsia="仿宋"/>
          <w:color w:val="auto"/>
          <w:sz w:val="36"/>
          <w:szCs w:val="36"/>
          <w:highlight w:val="none"/>
        </w:rPr>
      </w:pPr>
      <w:bookmarkStart w:id="854" w:name="_GoBack"/>
      <w:bookmarkEnd w:id="854"/>
    </w:p>
    <w:p w14:paraId="605B2379">
      <w:pPr>
        <w:widowControl/>
        <w:tabs>
          <w:tab w:val="center" w:pos="4153"/>
        </w:tabs>
        <w:spacing w:line="440" w:lineRule="exact"/>
        <w:jc w:val="center"/>
        <w:rPr>
          <w:rFonts w:hint="eastAsia" w:ascii="宋体" w:hAnsi="宋体" w:eastAsia="仿宋"/>
          <w:color w:val="auto"/>
          <w:sz w:val="36"/>
          <w:szCs w:val="36"/>
          <w:highlight w:val="none"/>
        </w:rPr>
      </w:pPr>
    </w:p>
    <w:p w14:paraId="3DB852FB">
      <w:pPr>
        <w:widowControl/>
        <w:tabs>
          <w:tab w:val="center" w:pos="4153"/>
        </w:tabs>
        <w:spacing w:line="440" w:lineRule="exact"/>
        <w:jc w:val="center"/>
        <w:rPr>
          <w:rFonts w:hint="eastAsia" w:ascii="宋体" w:hAnsi="宋体" w:eastAsia="仿宋"/>
          <w:color w:val="auto"/>
          <w:sz w:val="36"/>
          <w:szCs w:val="36"/>
          <w:highlight w:val="none"/>
        </w:rPr>
      </w:pPr>
    </w:p>
    <w:p w14:paraId="74223014">
      <w:pPr>
        <w:widowControl/>
        <w:tabs>
          <w:tab w:val="center" w:pos="4153"/>
        </w:tabs>
        <w:spacing w:line="440" w:lineRule="exact"/>
        <w:jc w:val="center"/>
        <w:rPr>
          <w:rFonts w:hint="eastAsia" w:ascii="宋体" w:hAnsi="宋体" w:eastAsia="仿宋"/>
          <w:color w:val="auto"/>
          <w:sz w:val="36"/>
          <w:szCs w:val="36"/>
          <w:highlight w:val="none"/>
        </w:rPr>
      </w:pPr>
    </w:p>
    <w:p w14:paraId="665B4960">
      <w:pPr>
        <w:widowControl/>
        <w:spacing w:line="360" w:lineRule="auto"/>
        <w:jc w:val="center"/>
        <w:rPr>
          <w:rFonts w:hint="eastAsia" w:eastAsia="仿宋"/>
          <w:b/>
          <w:color w:val="auto"/>
          <w:sz w:val="44"/>
          <w:szCs w:val="44"/>
          <w:highlight w:val="none"/>
          <w:lang w:eastAsia="zh-CN"/>
        </w:rPr>
      </w:pPr>
      <w:r>
        <w:rPr>
          <w:rFonts w:hint="eastAsia" w:eastAsia="仿宋"/>
          <w:b/>
          <w:color w:val="auto"/>
          <w:sz w:val="44"/>
          <w:szCs w:val="44"/>
          <w:highlight w:val="none"/>
          <w:lang w:eastAsia="zh-CN"/>
        </w:rPr>
        <w:t>安徽医科大学第一附属医院长江路门诊部中央空调合同能源管理</w:t>
      </w:r>
    </w:p>
    <w:p w14:paraId="3E9891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仿宋"/>
          <w:b/>
          <w:color w:val="auto"/>
          <w:sz w:val="72"/>
          <w:highlight w:val="none"/>
        </w:rPr>
      </w:pPr>
      <w:r>
        <w:rPr>
          <w:rFonts w:hint="eastAsia" w:ascii="宋体" w:hAnsi="宋体" w:eastAsia="仿宋"/>
          <w:b/>
          <w:color w:val="auto"/>
          <w:sz w:val="72"/>
          <w:highlight w:val="none"/>
        </w:rPr>
        <w:t>招标文件</w:t>
      </w:r>
    </w:p>
    <w:p w14:paraId="6CAC6B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仿宋"/>
          <w:b/>
          <w:color w:val="auto"/>
          <w:sz w:val="72"/>
          <w:highlight w:val="none"/>
          <w:lang w:val="en-US" w:eastAsia="zh-CN"/>
        </w:rPr>
      </w:pPr>
      <w:r>
        <w:rPr>
          <w:rFonts w:hint="eastAsia" w:ascii="宋体" w:hAnsi="宋体" w:eastAsia="仿宋"/>
          <w:b/>
          <w:color w:val="auto"/>
          <w:sz w:val="72"/>
          <w:highlight w:val="none"/>
          <w:lang w:val="en-US" w:eastAsia="zh-CN"/>
        </w:rPr>
        <w:t>服务类</w:t>
      </w:r>
    </w:p>
    <w:p w14:paraId="6D7E22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仿宋"/>
          <w:b/>
          <w:color w:val="auto"/>
          <w:sz w:val="72"/>
          <w:highlight w:val="none"/>
          <w:lang w:val="en-US" w:eastAsia="zh-CN"/>
        </w:rPr>
      </w:pPr>
    </w:p>
    <w:p w14:paraId="76B7B257">
      <w:pPr>
        <w:widowControl/>
        <w:spacing w:line="360" w:lineRule="auto"/>
        <w:jc w:val="center"/>
        <w:rPr>
          <w:rFonts w:hint="eastAsia" w:ascii="宋体" w:hAnsi="宋体" w:eastAsia="仿宋"/>
          <w:b/>
          <w:color w:val="auto"/>
          <w:sz w:val="28"/>
          <w:szCs w:val="28"/>
          <w:highlight w:val="none"/>
          <w:lang w:eastAsia="zh-CN"/>
        </w:rPr>
      </w:pPr>
      <w:r>
        <w:rPr>
          <w:rFonts w:hint="eastAsia" w:ascii="宋体" w:hAnsi="宋体" w:eastAsia="仿宋"/>
          <w:b/>
          <w:color w:val="auto"/>
          <w:sz w:val="28"/>
          <w:szCs w:val="28"/>
          <w:highlight w:val="none"/>
          <w:lang w:val="en-US" w:eastAsia="zh-CN"/>
        </w:rPr>
        <w:t>项目</w:t>
      </w:r>
      <w:r>
        <w:rPr>
          <w:rFonts w:hint="eastAsia" w:ascii="宋体" w:hAnsi="宋体" w:eastAsia="仿宋"/>
          <w:b/>
          <w:color w:val="auto"/>
          <w:sz w:val="28"/>
          <w:szCs w:val="28"/>
          <w:highlight w:val="none"/>
        </w:rPr>
        <w:t>编号：</w:t>
      </w:r>
      <w:r>
        <w:rPr>
          <w:rFonts w:hint="eastAsia" w:ascii="宋体" w:hAnsi="宋体" w:eastAsia="仿宋"/>
          <w:b/>
          <w:color w:val="auto"/>
          <w:sz w:val="32"/>
          <w:szCs w:val="28"/>
          <w:highlight w:val="none"/>
          <w:lang w:val="en-US" w:eastAsia="zh-CN"/>
        </w:rPr>
        <w:t>ZF</w:t>
      </w:r>
      <w:r>
        <w:rPr>
          <w:rFonts w:hint="eastAsia" w:ascii="宋体" w:hAnsi="宋体" w:eastAsia="仿宋"/>
          <w:b/>
          <w:color w:val="auto"/>
          <w:sz w:val="32"/>
          <w:szCs w:val="28"/>
          <w:highlight w:val="none"/>
        </w:rPr>
        <w:t>202</w:t>
      </w:r>
      <w:r>
        <w:rPr>
          <w:rFonts w:hint="eastAsia" w:ascii="宋体" w:hAnsi="宋体" w:eastAsia="仿宋"/>
          <w:b/>
          <w:color w:val="auto"/>
          <w:sz w:val="32"/>
          <w:szCs w:val="28"/>
          <w:highlight w:val="none"/>
          <w:lang w:val="en-US" w:eastAsia="zh-CN"/>
        </w:rPr>
        <w:t>5</w:t>
      </w:r>
      <w:r>
        <w:rPr>
          <w:rFonts w:hint="eastAsia" w:ascii="宋体" w:hAnsi="宋体" w:eastAsia="仿宋"/>
          <w:b/>
          <w:color w:val="auto"/>
          <w:sz w:val="32"/>
          <w:szCs w:val="28"/>
          <w:highlight w:val="none"/>
        </w:rPr>
        <w:t>-36-</w:t>
      </w:r>
      <w:r>
        <w:rPr>
          <w:rFonts w:hint="eastAsia" w:ascii="宋体" w:hAnsi="宋体" w:eastAsia="仿宋"/>
          <w:b/>
          <w:color w:val="auto"/>
          <w:sz w:val="32"/>
          <w:szCs w:val="28"/>
          <w:highlight w:val="none"/>
          <w:lang w:val="en-US" w:eastAsia="zh-CN"/>
        </w:rPr>
        <w:t>1913</w:t>
      </w:r>
    </w:p>
    <w:p w14:paraId="017D0058">
      <w:pPr>
        <w:widowControl/>
        <w:tabs>
          <w:tab w:val="center" w:pos="4153"/>
        </w:tabs>
        <w:spacing w:line="480" w:lineRule="auto"/>
        <w:jc w:val="center"/>
        <w:rPr>
          <w:rFonts w:hint="eastAsia" w:ascii="宋体" w:hAnsi="宋体" w:eastAsia="仿宋"/>
          <w:color w:val="auto"/>
          <w:sz w:val="36"/>
          <w:szCs w:val="36"/>
          <w:highlight w:val="none"/>
        </w:rPr>
      </w:pPr>
    </w:p>
    <w:p w14:paraId="1B4564C3">
      <w:pPr>
        <w:widowControl/>
        <w:tabs>
          <w:tab w:val="center" w:pos="4153"/>
        </w:tabs>
        <w:spacing w:line="480" w:lineRule="auto"/>
        <w:jc w:val="both"/>
        <w:rPr>
          <w:rFonts w:hint="eastAsia" w:ascii="宋体" w:hAnsi="宋体" w:eastAsia="仿宋"/>
          <w:color w:val="auto"/>
          <w:sz w:val="36"/>
          <w:szCs w:val="36"/>
          <w:highlight w:val="none"/>
        </w:rPr>
      </w:pPr>
    </w:p>
    <w:p w14:paraId="326D550F">
      <w:pPr>
        <w:widowControl/>
        <w:tabs>
          <w:tab w:val="center" w:pos="4153"/>
        </w:tabs>
        <w:spacing w:line="480" w:lineRule="auto"/>
        <w:jc w:val="center"/>
        <w:rPr>
          <w:rFonts w:hint="eastAsia" w:ascii="宋体" w:hAnsi="宋体" w:eastAsia="仿宋"/>
          <w:color w:val="auto"/>
          <w:sz w:val="36"/>
          <w:szCs w:val="36"/>
          <w:highlight w:val="none"/>
        </w:rPr>
      </w:pPr>
    </w:p>
    <w:p w14:paraId="2F991D93">
      <w:pPr>
        <w:widowControl/>
        <w:tabs>
          <w:tab w:val="center" w:pos="4153"/>
        </w:tabs>
        <w:spacing w:line="480" w:lineRule="auto"/>
        <w:jc w:val="center"/>
        <w:rPr>
          <w:rFonts w:hint="eastAsia" w:ascii="宋体" w:hAnsi="宋体" w:eastAsia="仿宋"/>
          <w:color w:val="auto"/>
          <w:sz w:val="36"/>
          <w:szCs w:val="36"/>
          <w:highlight w:val="none"/>
        </w:rPr>
      </w:pPr>
    </w:p>
    <w:p w14:paraId="0557EEF9">
      <w:pPr>
        <w:widowControl/>
        <w:tabs>
          <w:tab w:val="center" w:pos="4153"/>
        </w:tabs>
        <w:spacing w:line="480" w:lineRule="auto"/>
        <w:jc w:val="center"/>
        <w:rPr>
          <w:rFonts w:hint="eastAsia" w:ascii="宋体" w:hAnsi="宋体" w:eastAsia="仿宋"/>
          <w:color w:val="auto"/>
          <w:sz w:val="36"/>
          <w:szCs w:val="36"/>
          <w:highlight w:val="none"/>
        </w:rPr>
      </w:pPr>
    </w:p>
    <w:p w14:paraId="6641E0B0">
      <w:pPr>
        <w:widowControl/>
        <w:tabs>
          <w:tab w:val="center" w:pos="4153"/>
        </w:tabs>
        <w:spacing w:line="480" w:lineRule="auto"/>
        <w:ind w:firstLine="1699" w:firstLineChars="531"/>
        <w:rPr>
          <w:rFonts w:hint="eastAsia" w:ascii="宋体" w:hAnsi="宋体" w:eastAsia="仿宋"/>
          <w:color w:val="auto"/>
          <w:sz w:val="32"/>
          <w:szCs w:val="36"/>
          <w:highlight w:val="none"/>
          <w:lang w:eastAsia="zh-CN"/>
        </w:rPr>
      </w:pPr>
      <w:r>
        <w:rPr>
          <w:rFonts w:hint="eastAsia" w:ascii="宋体" w:hAnsi="宋体" w:eastAsia="仿宋"/>
          <w:color w:val="auto"/>
          <w:sz w:val="32"/>
          <w:szCs w:val="36"/>
          <w:highlight w:val="none"/>
        </w:rPr>
        <w:t>采   购   人：安徽医科大学第一附属医院</w:t>
      </w:r>
    </w:p>
    <w:p w14:paraId="3D783475">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采购代理机构：安徽省招标集团股份有限公司</w:t>
      </w:r>
    </w:p>
    <w:p w14:paraId="57176043">
      <w:pPr>
        <w:widowControl/>
        <w:tabs>
          <w:tab w:val="center" w:pos="4153"/>
        </w:tabs>
        <w:spacing w:line="480" w:lineRule="auto"/>
        <w:ind w:firstLine="849" w:firstLineChars="236"/>
        <w:jc w:val="center"/>
        <w:rPr>
          <w:rFonts w:hint="default" w:ascii="宋体" w:hAnsi="宋体" w:eastAsia="仿宋"/>
          <w:color w:val="auto"/>
          <w:sz w:val="36"/>
          <w:szCs w:val="36"/>
          <w:highlight w:val="none"/>
          <w:lang w:val="en-US" w:eastAsia="zh-CN"/>
        </w:rPr>
        <w:sectPr>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pPr>
      <w:r>
        <w:rPr>
          <w:rFonts w:hint="eastAsia" w:ascii="宋体" w:hAnsi="宋体" w:eastAsia="仿宋"/>
          <w:color w:val="auto"/>
          <w:sz w:val="36"/>
          <w:szCs w:val="36"/>
          <w:highlight w:val="none"/>
          <w:lang w:val="en-US" w:eastAsia="zh-CN"/>
        </w:rPr>
        <w:t>2025年11月</w:t>
      </w:r>
    </w:p>
    <w:p w14:paraId="1C997962">
      <w:pPr>
        <w:widowControl/>
        <w:tabs>
          <w:tab w:val="center" w:pos="4153"/>
        </w:tabs>
        <w:spacing w:line="480" w:lineRule="auto"/>
        <w:jc w:val="center"/>
        <w:outlineLvl w:val="0"/>
        <w:rPr>
          <w:rFonts w:hint="eastAsia" w:ascii="宋体" w:hAnsi="宋体" w:eastAsia="仿宋"/>
          <w:color w:val="auto"/>
          <w:sz w:val="44"/>
          <w:szCs w:val="52"/>
          <w:highlight w:val="none"/>
        </w:rPr>
      </w:pPr>
      <w:r>
        <w:rPr>
          <w:rFonts w:hint="eastAsia" w:ascii="宋体" w:hAnsi="宋体" w:eastAsia="仿宋"/>
          <w:color w:val="auto"/>
          <w:sz w:val="44"/>
          <w:szCs w:val="52"/>
          <w:highlight w:val="none"/>
        </w:rPr>
        <w:t>目  录</w:t>
      </w:r>
    </w:p>
    <w:p w14:paraId="1C523939">
      <w:pPr>
        <w:pStyle w:val="31"/>
        <w:tabs>
          <w:tab w:val="right" w:leader="dot" w:pos="9638"/>
        </w:tabs>
        <w:rPr>
          <w:rFonts w:hint="eastAsia" w:ascii="仿宋" w:hAnsi="仿宋" w:eastAsia="仿宋" w:cs="仿宋"/>
          <w:color w:val="auto"/>
          <w:sz w:val="28"/>
          <w:szCs w:val="28"/>
          <w:highlight w:val="none"/>
        </w:rPr>
      </w:pPr>
      <w:r>
        <w:rPr>
          <w:rFonts w:ascii="Times New Roman" w:hAnsi="Times New Roman" w:eastAsia="仿宋"/>
          <w:color w:val="auto"/>
          <w:sz w:val="28"/>
          <w:szCs w:val="28"/>
          <w:highlight w:val="none"/>
        </w:rPr>
        <w:fldChar w:fldCharType="begin"/>
      </w:r>
      <w:r>
        <w:rPr>
          <w:rFonts w:ascii="Times New Roman" w:hAnsi="Times New Roman" w:eastAsia="仿宋"/>
          <w:color w:val="auto"/>
          <w:sz w:val="28"/>
          <w:szCs w:val="28"/>
          <w:highlight w:val="none"/>
        </w:rPr>
        <w:instrText xml:space="preserve"> TOC \o "1-1" \h \z \u </w:instrText>
      </w:r>
      <w:r>
        <w:rPr>
          <w:rFonts w:ascii="Times New Roman" w:hAnsi="Times New Roman" w:eastAsia="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_Toc1434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_Toc1434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94735A2">
      <w:pPr>
        <w:pStyle w:val="31"/>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_Toc26870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_Toc26870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13CDFC5">
      <w:pPr>
        <w:pStyle w:val="31"/>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CB02594">
      <w:pPr>
        <w:pStyle w:val="31"/>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_Toc9357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  资格审查和评标办法（综合评分法）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_Toc9357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CB60101">
      <w:pPr>
        <w:pStyle w:val="31"/>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2DC0CBC">
      <w:pPr>
        <w:pStyle w:val="31"/>
        <w:tabs>
          <w:tab w:val="right" w:leader="dot" w:pos="9638"/>
        </w:tabs>
        <w:rPr>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_Toc13236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_Toc13236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B20344E">
      <w:pPr>
        <w:widowControl/>
        <w:spacing w:line="360" w:lineRule="auto"/>
        <w:rPr>
          <w:rFonts w:hint="eastAsia" w:ascii="宋体" w:hAnsi="宋体" w:eastAsia="仿宋"/>
          <w:color w:val="auto"/>
          <w:sz w:val="52"/>
          <w:szCs w:val="52"/>
          <w:highlight w:val="none"/>
        </w:rPr>
      </w:pPr>
      <w:r>
        <w:rPr>
          <w:rFonts w:eastAsia="仿宋"/>
          <w:color w:val="auto"/>
          <w:szCs w:val="28"/>
          <w:highlight w:val="none"/>
        </w:rPr>
        <w:fldChar w:fldCharType="end"/>
      </w:r>
    </w:p>
    <w:p w14:paraId="2375291E">
      <w:pPr>
        <w:widowControl/>
        <w:tabs>
          <w:tab w:val="center" w:pos="4153"/>
        </w:tabs>
        <w:spacing w:line="480" w:lineRule="auto"/>
        <w:jc w:val="center"/>
        <w:rPr>
          <w:rFonts w:ascii="宋体" w:hAnsi="宋体" w:eastAsia="仿宋"/>
          <w:color w:val="auto"/>
          <w:sz w:val="52"/>
          <w:szCs w:val="52"/>
          <w:highlight w:val="none"/>
        </w:rPr>
        <w:sectPr>
          <w:headerReference r:id="rId5" w:type="first"/>
          <w:footerReference r:id="rId7" w:type="firs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25A5DF4E">
      <w:pPr>
        <w:pStyle w:val="2"/>
        <w:widowControl/>
        <w:spacing w:before="0" w:after="0" w:line="240" w:lineRule="auto"/>
        <w:jc w:val="center"/>
        <w:rPr>
          <w:rFonts w:hint="eastAsia" w:ascii="宋体" w:hAnsi="宋体" w:eastAsia="仿宋"/>
          <w:color w:val="auto"/>
          <w:highlight w:val="none"/>
        </w:rPr>
      </w:pPr>
      <w:bookmarkStart w:id="0" w:name="_Toc466024489"/>
      <w:bookmarkStart w:id="1" w:name="_Toc1434"/>
      <w:r>
        <w:rPr>
          <w:rFonts w:hint="eastAsia" w:ascii="宋体" w:hAnsi="宋体" w:eastAsia="仿宋"/>
          <w:color w:val="auto"/>
          <w:highlight w:val="none"/>
        </w:rPr>
        <w:t>第一章  招标公告</w:t>
      </w:r>
      <w:bookmarkEnd w:id="0"/>
      <w:bookmarkEnd w:id="1"/>
    </w:p>
    <w:p w14:paraId="6EB88443">
      <w:pPr>
        <w:rPr>
          <w:rFonts w:hint="eastAsia" w:eastAsia="仿宋"/>
          <w:color w:val="auto"/>
          <w:highlight w:val="none"/>
        </w:rPr>
      </w:pPr>
    </w:p>
    <w:p w14:paraId="1F7D0CA1">
      <w:pPr>
        <w:widowControl/>
        <w:spacing w:before="120" w:beforeLines="50" w:after="120" w:afterLines="50" w:line="400" w:lineRule="exact"/>
        <w:jc w:val="center"/>
        <w:rPr>
          <w:rFonts w:ascii="宋体" w:hAnsi="宋体" w:eastAsia="仿宋"/>
          <w:color w:val="auto"/>
          <w:sz w:val="28"/>
          <w:szCs w:val="28"/>
          <w:highlight w:val="none"/>
        </w:rPr>
      </w:pPr>
      <w:r>
        <w:rPr>
          <w:rFonts w:hint="eastAsia" w:ascii="宋体" w:hAnsi="宋体" w:eastAsia="仿宋"/>
          <w:color w:val="auto"/>
          <w:sz w:val="28"/>
          <w:szCs w:val="28"/>
          <w:highlight w:val="none"/>
        </w:rPr>
        <w:t>安徽医科大学第一附属医院</w:t>
      </w:r>
      <w:r>
        <w:rPr>
          <w:rFonts w:hint="eastAsia" w:ascii="宋体" w:hAnsi="宋体" w:eastAsia="仿宋"/>
          <w:color w:val="auto"/>
          <w:sz w:val="28"/>
          <w:szCs w:val="28"/>
          <w:highlight w:val="none"/>
          <w:lang w:eastAsia="zh-CN"/>
        </w:rPr>
        <w:t>长江路门诊部中央空调合同能源管理</w:t>
      </w:r>
      <w:r>
        <w:rPr>
          <w:rFonts w:ascii="宋体" w:hAnsi="宋体" w:eastAsia="仿宋"/>
          <w:color w:val="auto"/>
          <w:sz w:val="28"/>
          <w:szCs w:val="28"/>
          <w:highlight w:val="none"/>
        </w:rPr>
        <w:t>招标公告</w:t>
      </w:r>
    </w:p>
    <w:p w14:paraId="5AF6731F">
      <w:pPr>
        <w:rPr>
          <w:rFonts w:eastAsia="仿宋"/>
          <w:color w:val="auto"/>
          <w:sz w:val="28"/>
          <w:szCs w:val="28"/>
          <w:highlight w:val="none"/>
        </w:rPr>
      </w:pPr>
    </w:p>
    <w:p w14:paraId="3EEAAE13">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项目概况</w:t>
      </w:r>
    </w:p>
    <w:p w14:paraId="3994B4B2">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u w:val="none"/>
        </w:rPr>
        <w:t>安徽医科大学第一附属医院</w:t>
      </w:r>
      <w:r>
        <w:rPr>
          <w:rFonts w:hint="eastAsia" w:ascii="宋体" w:hAnsi="宋体" w:eastAsia="仿宋"/>
          <w:color w:val="auto"/>
          <w:sz w:val="28"/>
          <w:szCs w:val="28"/>
          <w:highlight w:val="none"/>
          <w:u w:val="none"/>
          <w:lang w:eastAsia="zh-CN"/>
        </w:rPr>
        <w:t>长江路门诊部中央空调合同能源管理</w:t>
      </w:r>
      <w:r>
        <w:rPr>
          <w:rFonts w:hint="eastAsia" w:ascii="宋体" w:hAnsi="宋体" w:eastAsia="仿宋"/>
          <w:color w:val="auto"/>
          <w:sz w:val="28"/>
          <w:szCs w:val="28"/>
          <w:highlight w:val="none"/>
          <w:u w:val="none"/>
        </w:rPr>
        <w:t>招标项目的潜</w:t>
      </w:r>
      <w:r>
        <w:rPr>
          <w:rFonts w:hint="eastAsia" w:ascii="仿宋" w:hAnsi="仿宋" w:eastAsia="仿宋" w:cs="仿宋"/>
          <w:color w:val="auto"/>
          <w:sz w:val="28"/>
          <w:szCs w:val="28"/>
          <w:highlight w:val="none"/>
          <w:u w:val="none"/>
        </w:rPr>
        <w:t>在投标人应在“优质采招标采购平台（www.yzczb.com）”或“优质采云采购平台（www.youzhicai.com）”</w:t>
      </w:r>
      <w:r>
        <w:rPr>
          <w:rFonts w:hint="eastAsia" w:ascii="宋体" w:hAnsi="宋体" w:eastAsia="仿宋"/>
          <w:color w:val="auto"/>
          <w:sz w:val="28"/>
          <w:szCs w:val="28"/>
          <w:highlight w:val="none"/>
          <w:u w:val="none"/>
        </w:rPr>
        <w:t>获取招标文件，</w:t>
      </w:r>
      <w:r>
        <w:rPr>
          <w:rFonts w:hint="eastAsia" w:ascii="仿宋" w:hAnsi="仿宋" w:eastAsia="仿宋" w:cs="仿宋"/>
          <w:color w:val="auto"/>
          <w:sz w:val="28"/>
          <w:szCs w:val="28"/>
          <w:highlight w:val="none"/>
          <w:u w:val="none"/>
        </w:rPr>
        <w:t>并于</w:t>
      </w:r>
      <w:r>
        <w:rPr>
          <w:rFonts w:hint="eastAsia" w:ascii="仿宋" w:hAnsi="仿宋" w:eastAsia="仿宋" w:cs="仿宋"/>
          <w:color w:val="auto"/>
          <w:sz w:val="28"/>
          <w:szCs w:val="28"/>
          <w:highlight w:val="none"/>
          <w:u w:val="none"/>
          <w:lang w:val="en-US" w:eastAsia="zh-CN"/>
        </w:rPr>
        <w:t>2025</w:t>
      </w:r>
      <w:r>
        <w:rPr>
          <w:rFonts w:hint="eastAsia" w:ascii="仿宋" w:hAnsi="仿宋" w:eastAsia="仿宋" w:cs="仿宋"/>
          <w:bCs/>
          <w:color w:val="auto"/>
          <w:sz w:val="28"/>
          <w:szCs w:val="28"/>
          <w:highlight w:val="none"/>
          <w:u w:val="none"/>
        </w:rPr>
        <w:t>年</w:t>
      </w:r>
      <w:r>
        <w:rPr>
          <w:rFonts w:hint="eastAsia" w:ascii="仿宋" w:hAnsi="仿宋" w:eastAsia="仿宋" w:cs="仿宋"/>
          <w:bCs/>
          <w:color w:val="auto"/>
          <w:sz w:val="28"/>
          <w:szCs w:val="28"/>
          <w:highlight w:val="none"/>
          <w:u w:val="none"/>
          <w:lang w:val="en-US" w:eastAsia="zh-CN"/>
        </w:rPr>
        <w:t>12</w:t>
      </w:r>
      <w:r>
        <w:rPr>
          <w:rFonts w:hint="eastAsia" w:ascii="宋体" w:hAnsi="宋体" w:eastAsia="仿宋"/>
          <w:bCs/>
          <w:color w:val="auto"/>
          <w:sz w:val="28"/>
          <w:szCs w:val="28"/>
          <w:highlight w:val="none"/>
          <w:u w:val="none"/>
        </w:rPr>
        <w:t>月</w:t>
      </w:r>
      <w:r>
        <w:rPr>
          <w:rFonts w:hint="eastAsia" w:ascii="宋体" w:hAnsi="宋体" w:eastAsia="仿宋"/>
          <w:bCs/>
          <w:color w:val="auto"/>
          <w:sz w:val="28"/>
          <w:szCs w:val="28"/>
          <w:highlight w:val="none"/>
          <w:u w:val="none"/>
          <w:lang w:val="en-US" w:eastAsia="zh-CN"/>
        </w:rPr>
        <w:t>09</w:t>
      </w:r>
      <w:r>
        <w:rPr>
          <w:rFonts w:hint="eastAsia" w:ascii="宋体" w:hAnsi="宋体" w:eastAsia="仿宋"/>
          <w:bCs/>
          <w:color w:val="auto"/>
          <w:sz w:val="28"/>
          <w:szCs w:val="28"/>
          <w:highlight w:val="none"/>
          <w:u w:val="none"/>
        </w:rPr>
        <w:t>日</w:t>
      </w:r>
      <w:r>
        <w:rPr>
          <w:rFonts w:hint="eastAsia" w:ascii="宋体" w:hAnsi="宋体" w:eastAsia="仿宋"/>
          <w:bCs/>
          <w:color w:val="auto"/>
          <w:sz w:val="28"/>
          <w:szCs w:val="28"/>
          <w:highlight w:val="none"/>
          <w:u w:val="none"/>
          <w:lang w:val="en-US" w:eastAsia="zh-CN"/>
        </w:rPr>
        <w:t>09</w:t>
      </w:r>
      <w:r>
        <w:rPr>
          <w:rFonts w:hint="eastAsia" w:ascii="宋体" w:hAnsi="宋体" w:eastAsia="仿宋"/>
          <w:bCs/>
          <w:color w:val="auto"/>
          <w:sz w:val="28"/>
          <w:szCs w:val="28"/>
          <w:highlight w:val="none"/>
          <w:u w:val="none"/>
        </w:rPr>
        <w:t>点</w:t>
      </w:r>
      <w:r>
        <w:rPr>
          <w:rFonts w:hint="eastAsia" w:ascii="宋体" w:hAnsi="宋体" w:eastAsia="仿宋"/>
          <w:bCs/>
          <w:color w:val="auto"/>
          <w:sz w:val="28"/>
          <w:szCs w:val="28"/>
          <w:highlight w:val="none"/>
          <w:u w:val="none"/>
          <w:lang w:val="en-US" w:eastAsia="zh-CN"/>
        </w:rPr>
        <w:t>30</w:t>
      </w:r>
      <w:r>
        <w:rPr>
          <w:rFonts w:hint="eastAsia" w:ascii="宋体" w:hAnsi="宋体" w:eastAsia="仿宋"/>
          <w:bCs/>
          <w:color w:val="auto"/>
          <w:sz w:val="28"/>
          <w:szCs w:val="28"/>
          <w:highlight w:val="none"/>
          <w:u w:val="none"/>
        </w:rPr>
        <w:t>分（北京时间</w:t>
      </w:r>
      <w:r>
        <w:rPr>
          <w:rFonts w:hint="eastAsia" w:ascii="宋体" w:hAnsi="宋体" w:eastAsia="仿宋"/>
          <w:bCs/>
          <w:color w:val="auto"/>
          <w:sz w:val="28"/>
          <w:szCs w:val="28"/>
          <w:highlight w:val="none"/>
        </w:rPr>
        <w:t>）前递交投标</w:t>
      </w:r>
      <w:r>
        <w:rPr>
          <w:rFonts w:ascii="宋体" w:hAnsi="宋体" w:eastAsia="仿宋"/>
          <w:bCs/>
          <w:color w:val="auto"/>
          <w:sz w:val="28"/>
          <w:szCs w:val="28"/>
          <w:highlight w:val="none"/>
        </w:rPr>
        <w:t>文件</w:t>
      </w:r>
      <w:r>
        <w:rPr>
          <w:rFonts w:hint="eastAsia" w:ascii="宋体" w:hAnsi="宋体" w:eastAsia="仿宋"/>
          <w:color w:val="auto"/>
          <w:sz w:val="28"/>
          <w:szCs w:val="28"/>
          <w:highlight w:val="none"/>
        </w:rPr>
        <w:t>。</w:t>
      </w:r>
    </w:p>
    <w:p w14:paraId="364D3E48">
      <w:pPr>
        <w:rPr>
          <w:rFonts w:ascii="宋体" w:hAnsi="宋体" w:eastAsia="仿宋"/>
          <w:color w:val="auto"/>
          <w:sz w:val="28"/>
          <w:szCs w:val="28"/>
          <w:highlight w:val="none"/>
        </w:rPr>
      </w:pPr>
    </w:p>
    <w:p w14:paraId="6EC8DBAA">
      <w:pPr>
        <w:pStyle w:val="3"/>
        <w:widowControl/>
        <w:adjustRightInd w:val="0"/>
        <w:snapToGrid w:val="0"/>
        <w:spacing w:before="48" w:beforeLines="20" w:after="48" w:afterLines="20" w:line="360" w:lineRule="auto"/>
        <w:ind w:firstLine="504" w:firstLineChars="180"/>
        <w:rPr>
          <w:rStyle w:val="101"/>
          <w:rFonts w:hAnsi="宋体"/>
          <w:b w:val="0"/>
          <w:bCs w:val="0"/>
          <w:color w:val="auto"/>
          <w:sz w:val="28"/>
          <w:szCs w:val="28"/>
          <w:highlight w:val="none"/>
        </w:rPr>
      </w:pPr>
      <w:bookmarkStart w:id="2" w:name="_Toc35393621"/>
      <w:bookmarkStart w:id="3" w:name="_Toc28359002"/>
      <w:bookmarkStart w:id="4" w:name="_Toc28359079"/>
      <w:bookmarkStart w:id="5" w:name="_Toc35393790"/>
      <w:bookmarkStart w:id="6" w:name="_Hlk24379207"/>
      <w:r>
        <w:rPr>
          <w:rStyle w:val="101"/>
          <w:rFonts w:hint="eastAsia" w:hAnsi="宋体"/>
          <w:b w:val="0"/>
          <w:bCs w:val="0"/>
          <w:color w:val="auto"/>
          <w:sz w:val="28"/>
          <w:szCs w:val="28"/>
          <w:highlight w:val="none"/>
        </w:rPr>
        <w:t>一、项目基本情况</w:t>
      </w:r>
      <w:bookmarkEnd w:id="2"/>
      <w:bookmarkEnd w:id="3"/>
      <w:bookmarkEnd w:id="4"/>
      <w:bookmarkEnd w:id="5"/>
    </w:p>
    <w:p w14:paraId="3817156F">
      <w:pPr>
        <w:adjustRightInd w:val="0"/>
        <w:snapToGrid w:val="0"/>
        <w:spacing w:line="360" w:lineRule="auto"/>
        <w:ind w:firstLine="560" w:firstLineChars="200"/>
        <w:rPr>
          <w:rFonts w:hint="eastAsia" w:ascii="宋体" w:hAnsi="宋体" w:eastAsia="仿宋"/>
          <w:color w:val="auto"/>
          <w:sz w:val="28"/>
          <w:szCs w:val="28"/>
          <w:highlight w:val="none"/>
          <w:lang w:eastAsia="zh-CN"/>
        </w:rPr>
      </w:pPr>
      <w:r>
        <w:rPr>
          <w:rFonts w:hint="eastAsia" w:ascii="宋体" w:hAnsi="宋体" w:eastAsia="仿宋"/>
          <w:color w:val="auto"/>
          <w:sz w:val="28"/>
          <w:szCs w:val="28"/>
          <w:highlight w:val="none"/>
          <w:lang w:val="en-US" w:eastAsia="zh-CN"/>
        </w:rPr>
        <w:t>项目</w:t>
      </w:r>
      <w:r>
        <w:rPr>
          <w:rFonts w:hint="eastAsia" w:ascii="宋体" w:hAnsi="宋体" w:eastAsia="仿宋"/>
          <w:color w:val="auto"/>
          <w:sz w:val="28"/>
          <w:szCs w:val="28"/>
          <w:highlight w:val="none"/>
        </w:rPr>
        <w:t>编号：ZF2025-36-</w:t>
      </w:r>
      <w:r>
        <w:rPr>
          <w:rFonts w:hint="eastAsia" w:ascii="宋体" w:hAnsi="宋体" w:eastAsia="仿宋"/>
          <w:color w:val="auto"/>
          <w:sz w:val="28"/>
          <w:szCs w:val="28"/>
          <w:highlight w:val="none"/>
          <w:lang w:eastAsia="zh-CN"/>
        </w:rPr>
        <w:t>1913</w:t>
      </w:r>
    </w:p>
    <w:p w14:paraId="0C6CEFB9">
      <w:pPr>
        <w:adjustRightInd w:val="0"/>
        <w:snapToGrid w:val="0"/>
        <w:spacing w:line="360" w:lineRule="auto"/>
        <w:ind w:firstLine="560" w:firstLineChars="200"/>
        <w:rPr>
          <w:rFonts w:hint="eastAsia" w:ascii="宋体" w:hAnsi="宋体" w:eastAsia="仿宋"/>
          <w:color w:val="auto"/>
          <w:sz w:val="28"/>
          <w:szCs w:val="28"/>
          <w:highlight w:val="none"/>
          <w:u w:val="single"/>
          <w:lang w:eastAsia="zh-CN"/>
        </w:rPr>
      </w:pPr>
      <w:r>
        <w:rPr>
          <w:rFonts w:hint="eastAsia" w:ascii="宋体" w:hAnsi="宋体" w:eastAsia="仿宋"/>
          <w:color w:val="auto"/>
          <w:sz w:val="28"/>
          <w:szCs w:val="28"/>
          <w:highlight w:val="none"/>
        </w:rPr>
        <w:t>项目名称：</w:t>
      </w:r>
      <w:r>
        <w:rPr>
          <w:rFonts w:hint="eastAsia" w:ascii="宋体" w:hAnsi="宋体" w:eastAsia="仿宋"/>
          <w:color w:val="auto"/>
          <w:sz w:val="28"/>
          <w:szCs w:val="28"/>
          <w:highlight w:val="none"/>
          <w:u w:val="none"/>
        </w:rPr>
        <w:t>安徽医科大学第一附属医院</w:t>
      </w:r>
      <w:r>
        <w:rPr>
          <w:rFonts w:hint="eastAsia" w:ascii="宋体" w:hAnsi="宋体" w:eastAsia="仿宋"/>
          <w:color w:val="auto"/>
          <w:sz w:val="28"/>
          <w:szCs w:val="28"/>
          <w:highlight w:val="none"/>
          <w:u w:val="none"/>
          <w:lang w:eastAsia="zh-CN"/>
        </w:rPr>
        <w:t>长江路门诊部中央空调合同能源管理</w:t>
      </w:r>
    </w:p>
    <w:bookmarkEnd w:id="6"/>
    <w:p w14:paraId="5EF128C8">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预算金额：</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.00</w:t>
      </w:r>
      <w:r>
        <w:rPr>
          <w:rFonts w:hint="eastAsia" w:ascii="仿宋" w:hAnsi="仿宋" w:eastAsia="仿宋" w:cs="仿宋"/>
          <w:color w:val="auto"/>
          <w:sz w:val="28"/>
          <w:szCs w:val="28"/>
          <w:highlight w:val="none"/>
          <w:lang w:val="en-US" w:eastAsia="zh-CN"/>
        </w:rPr>
        <w:t>万</w:t>
      </w:r>
      <w:r>
        <w:rPr>
          <w:rFonts w:hint="eastAsia" w:ascii="宋体" w:hAnsi="宋体" w:eastAsia="仿宋"/>
          <w:color w:val="auto"/>
          <w:sz w:val="28"/>
          <w:szCs w:val="28"/>
          <w:highlight w:val="none"/>
        </w:rPr>
        <w:t>元/</w:t>
      </w:r>
      <w:r>
        <w:rPr>
          <w:rFonts w:hint="eastAsia" w:ascii="宋体" w:hAnsi="宋体" w:eastAsia="仿宋"/>
          <w:color w:val="auto"/>
          <w:sz w:val="28"/>
          <w:szCs w:val="28"/>
          <w:highlight w:val="none"/>
          <w:lang w:val="en-US" w:eastAsia="zh-CN"/>
        </w:rPr>
        <w:t>年</w:t>
      </w:r>
      <w:r>
        <w:rPr>
          <w:rFonts w:hint="eastAsia" w:ascii="宋体" w:hAnsi="宋体" w:eastAsia="仿宋"/>
          <w:color w:val="auto"/>
          <w:sz w:val="28"/>
          <w:szCs w:val="28"/>
          <w:highlight w:val="none"/>
        </w:rPr>
        <w:t xml:space="preserve">            </w:t>
      </w:r>
    </w:p>
    <w:p w14:paraId="25B96D46">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最高限价（如有）：</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.00</w:t>
      </w:r>
      <w:r>
        <w:rPr>
          <w:rFonts w:hint="eastAsia" w:ascii="仿宋" w:hAnsi="仿宋" w:eastAsia="仿宋" w:cs="仿宋"/>
          <w:color w:val="auto"/>
          <w:sz w:val="28"/>
          <w:szCs w:val="28"/>
          <w:highlight w:val="none"/>
          <w:lang w:val="en-US" w:eastAsia="zh-CN"/>
        </w:rPr>
        <w:t>万</w:t>
      </w:r>
      <w:r>
        <w:rPr>
          <w:rFonts w:hint="eastAsia" w:ascii="宋体" w:hAnsi="宋体" w:eastAsia="仿宋"/>
          <w:color w:val="auto"/>
          <w:sz w:val="28"/>
          <w:szCs w:val="28"/>
          <w:highlight w:val="none"/>
        </w:rPr>
        <w:t>元/</w:t>
      </w:r>
      <w:r>
        <w:rPr>
          <w:rFonts w:hint="eastAsia" w:ascii="宋体" w:hAnsi="宋体" w:eastAsia="仿宋"/>
          <w:color w:val="auto"/>
          <w:sz w:val="28"/>
          <w:szCs w:val="28"/>
          <w:highlight w:val="none"/>
          <w:lang w:val="en-US" w:eastAsia="zh-CN"/>
        </w:rPr>
        <w:t>年</w:t>
      </w:r>
      <w:r>
        <w:rPr>
          <w:rFonts w:hint="eastAsia" w:ascii="宋体" w:hAnsi="宋体" w:eastAsia="仿宋"/>
          <w:color w:val="auto"/>
          <w:sz w:val="28"/>
          <w:szCs w:val="28"/>
          <w:highlight w:val="none"/>
        </w:rPr>
        <w:t xml:space="preserve">            </w:t>
      </w:r>
    </w:p>
    <w:p w14:paraId="6FA7AC11">
      <w:pPr>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采购需求：</w:t>
      </w:r>
      <w:r>
        <w:rPr>
          <w:rFonts w:hint="eastAsia" w:ascii="仿宋" w:hAnsi="仿宋" w:eastAsia="仿宋" w:cs="仿宋"/>
          <w:color w:val="auto"/>
          <w:sz w:val="28"/>
          <w:szCs w:val="28"/>
          <w:highlight w:val="none"/>
        </w:rPr>
        <w:t>本项目为安徽</w:t>
      </w:r>
      <w:r>
        <w:rPr>
          <w:rFonts w:hint="eastAsia" w:ascii="仿宋" w:hAnsi="仿宋" w:eastAsia="仿宋" w:cs="仿宋"/>
          <w:color w:val="auto"/>
          <w:sz w:val="28"/>
          <w:szCs w:val="28"/>
          <w:highlight w:val="none"/>
          <w:lang w:val="en-US" w:eastAsia="zh-CN"/>
        </w:rPr>
        <w:t>医科大学第一附属医院长江路门诊中央空调</w:t>
      </w:r>
      <w:r>
        <w:rPr>
          <w:rFonts w:hint="eastAsia" w:ascii="仿宋" w:hAnsi="仿宋" w:eastAsia="仿宋" w:cs="仿宋"/>
          <w:color w:val="auto"/>
          <w:sz w:val="28"/>
          <w:szCs w:val="28"/>
          <w:highlight w:val="none"/>
        </w:rPr>
        <w:t>能源管理，采用能源费用托管型合同能源管理模式，由中标人负责投资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改造、运营</w:t>
      </w:r>
      <w:r>
        <w:rPr>
          <w:rFonts w:hint="eastAsia" w:ascii="仿宋" w:hAnsi="仿宋" w:eastAsia="仿宋" w:cs="仿宋"/>
          <w:color w:val="auto"/>
          <w:sz w:val="28"/>
          <w:szCs w:val="28"/>
          <w:highlight w:val="none"/>
        </w:rPr>
        <w:t>。主要内容包括但不限于：</w:t>
      </w:r>
      <w:r>
        <w:rPr>
          <w:rFonts w:hint="eastAsia" w:ascii="仿宋" w:hAnsi="仿宋" w:eastAsia="仿宋" w:cs="仿宋"/>
          <w:color w:val="auto"/>
          <w:sz w:val="28"/>
          <w:szCs w:val="28"/>
          <w:highlight w:val="none"/>
          <w:lang w:val="en-US" w:eastAsia="zh-CN"/>
        </w:rPr>
        <w:t>新增磁悬浮主机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蒸汽溴化锂机组升级改造、更换汽水换热器</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末端系统改造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标准化机房建设</w:t>
      </w:r>
      <w:r>
        <w:rPr>
          <w:rFonts w:hint="eastAsia" w:ascii="仿宋" w:hAnsi="仿宋" w:eastAsia="仿宋" w:cs="仿宋"/>
          <w:color w:val="auto"/>
          <w:sz w:val="28"/>
          <w:szCs w:val="28"/>
          <w:highlight w:val="none"/>
        </w:rPr>
        <w:t>等，具体详见招标文件</w:t>
      </w:r>
      <w:r>
        <w:rPr>
          <w:rFonts w:hint="eastAsia" w:ascii="仿宋" w:hAnsi="仿宋" w:eastAsia="仿宋" w:cs="仿宋"/>
          <w:color w:val="auto"/>
          <w:sz w:val="28"/>
          <w:szCs w:val="28"/>
          <w:highlight w:val="none"/>
          <w:shd w:val="clear" w:color="auto" w:fill="FFFFFF"/>
        </w:rPr>
        <w:t>。</w:t>
      </w:r>
    </w:p>
    <w:p w14:paraId="582654A6">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合同履行期限：合同能源管理服务10年。</w:t>
      </w:r>
    </w:p>
    <w:p w14:paraId="0FCD24BD">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本项目</w:t>
      </w:r>
      <w:r>
        <w:rPr>
          <w:rFonts w:hint="eastAsia" w:ascii="楷体" w:hAnsi="楷体" w:eastAsia="仿宋"/>
          <w:color w:val="auto"/>
          <w:sz w:val="28"/>
          <w:szCs w:val="28"/>
          <w:highlight w:val="none"/>
        </w:rPr>
        <w:t>接受</w:t>
      </w:r>
      <w:r>
        <w:rPr>
          <w:rFonts w:hint="eastAsia" w:ascii="宋体" w:hAnsi="宋体" w:eastAsia="仿宋"/>
          <w:color w:val="auto"/>
          <w:sz w:val="28"/>
          <w:szCs w:val="28"/>
          <w:highlight w:val="none"/>
        </w:rPr>
        <w:t>联合体投标。</w:t>
      </w:r>
      <w:bookmarkStart w:id="7" w:name="_Toc35393622"/>
      <w:bookmarkStart w:id="8" w:name="_Toc28359003"/>
      <w:bookmarkStart w:id="9" w:name="_Toc28359080"/>
      <w:bookmarkStart w:id="10" w:name="_Toc35393791"/>
    </w:p>
    <w:p w14:paraId="449CD975">
      <w:pPr>
        <w:pStyle w:val="3"/>
        <w:widowControl/>
        <w:adjustRightInd w:val="0"/>
        <w:snapToGrid w:val="0"/>
        <w:spacing w:before="48" w:beforeLines="20" w:after="48" w:afterLines="20" w:line="360" w:lineRule="auto"/>
        <w:ind w:firstLine="560" w:firstLineChars="200"/>
        <w:rPr>
          <w:rStyle w:val="101"/>
          <w:rFonts w:hAnsi="宋体"/>
          <w:b w:val="0"/>
          <w:bCs w:val="0"/>
          <w:color w:val="auto"/>
          <w:sz w:val="28"/>
          <w:szCs w:val="28"/>
          <w:highlight w:val="none"/>
        </w:rPr>
      </w:pPr>
      <w:r>
        <w:rPr>
          <w:rStyle w:val="101"/>
          <w:rFonts w:hint="eastAsia" w:hAnsi="宋体"/>
          <w:b w:val="0"/>
          <w:bCs w:val="0"/>
          <w:color w:val="auto"/>
          <w:sz w:val="28"/>
          <w:szCs w:val="28"/>
          <w:highlight w:val="none"/>
        </w:rPr>
        <w:t>二、申请人的资格要求：</w:t>
      </w:r>
      <w:bookmarkEnd w:id="7"/>
      <w:bookmarkEnd w:id="8"/>
      <w:bookmarkEnd w:id="9"/>
      <w:bookmarkEnd w:id="10"/>
    </w:p>
    <w:p w14:paraId="116E2D99">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宋体" w:hAnsi="宋体" w:eastAsia="仿宋"/>
          <w:color w:val="auto"/>
          <w:sz w:val="28"/>
          <w:szCs w:val="28"/>
          <w:highlight w:val="none"/>
        </w:rPr>
        <w:t>1.满足《中华人民</w:t>
      </w:r>
      <w:r>
        <w:rPr>
          <w:rFonts w:hint="eastAsia" w:ascii="仿宋" w:hAnsi="仿宋" w:eastAsia="仿宋" w:cs="仿宋"/>
          <w:color w:val="auto"/>
          <w:sz w:val="28"/>
          <w:szCs w:val="28"/>
          <w:highlight w:val="none"/>
        </w:rPr>
        <w:t>共和国政府采购法》第二十二条规定；</w:t>
      </w:r>
    </w:p>
    <w:p w14:paraId="06BB5CEC">
      <w:pPr>
        <w:adjustRightInd w:val="0"/>
        <w:snapToGrid w:val="0"/>
        <w:spacing w:line="360" w:lineRule="auto"/>
        <w:ind w:firstLine="560" w:firstLineChars="200"/>
        <w:rPr>
          <w:rFonts w:hint="eastAsia" w:ascii="仿宋" w:hAnsi="仿宋" w:eastAsia="仿宋" w:cs="仿宋"/>
          <w:color w:val="auto"/>
          <w:sz w:val="28"/>
          <w:szCs w:val="28"/>
          <w:highlight w:val="none"/>
        </w:rPr>
      </w:pPr>
      <w:bookmarkStart w:id="11" w:name="_Toc28359081"/>
      <w:bookmarkStart w:id="12" w:name="_Toc28359004"/>
      <w:r>
        <w:rPr>
          <w:rFonts w:hint="eastAsia" w:ascii="仿宋" w:hAnsi="仿宋" w:eastAsia="仿宋" w:cs="仿宋"/>
          <w:color w:val="auto"/>
          <w:sz w:val="28"/>
          <w:szCs w:val="28"/>
          <w:highlight w:val="none"/>
        </w:rPr>
        <w:t>2.落实政府采购政策需满足的资格要求：</w:t>
      </w:r>
      <w:bookmarkStart w:id="13" w:name="_Toc35393792"/>
      <w:bookmarkStart w:id="14" w:name="_Toc35393623"/>
      <w:r>
        <w:rPr>
          <w:rFonts w:hint="eastAsia" w:ascii="仿宋" w:hAnsi="仿宋" w:eastAsia="仿宋" w:cs="仿宋"/>
          <w:color w:val="auto"/>
          <w:sz w:val="28"/>
          <w:szCs w:val="28"/>
          <w:highlight w:val="none"/>
        </w:rPr>
        <w:t>无</w:t>
      </w:r>
    </w:p>
    <w:p w14:paraId="1BBABCF3">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4D107647">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3.1接受联合体参加采购活动的，联合体应当满足下列要求：</w:t>
      </w:r>
    </w:p>
    <w:p w14:paraId="00DA9953">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（1）联合体各方均应满足《中华人民共和国政府采购法》第二十二条规定；</w:t>
      </w:r>
    </w:p>
    <w:p w14:paraId="5F7F5E47">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（2）联合体各方必须按招标文件提供的格式签订联合体协议书，明确联合体牵头人和各方的权利义务；</w:t>
      </w:r>
    </w:p>
    <w:p w14:paraId="3EDA9209">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信誉要求</w:t>
      </w:r>
    </w:p>
    <w:p w14:paraId="1B202816">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截至提交投标文件截止时间，投标人（含其不具有独立法人资格的分支机构）存在下列有效情形之一的，其投标文件按无效处理。</w:t>
      </w:r>
    </w:p>
    <w:p w14:paraId="4E958C27">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（1）被人民法院列入失信被执行人名单的；</w:t>
      </w:r>
    </w:p>
    <w:p w14:paraId="2EDFE64B">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（2）被税务机关列入重大税收违法案件当事人名单的；</w:t>
      </w:r>
    </w:p>
    <w:p w14:paraId="3F56D3A4">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（3）被财政部门列入政府采购严重违法失信名单的；</w:t>
      </w:r>
    </w:p>
    <w:p w14:paraId="69353C1D">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174106C0">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注：“有效”是指“情形”规定的程度、起止期间处于有效状态。投标人为联合体的，对投标人的要求视同对联合体成员的要求。</w:t>
      </w:r>
    </w:p>
    <w:p w14:paraId="51F44CE8">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其他要求：</w:t>
      </w:r>
      <w:r>
        <w:rPr>
          <w:rFonts w:hint="eastAsia" w:ascii="仿宋" w:hAnsi="仿宋" w:eastAsia="仿宋" w:cs="仿宋"/>
          <w:color w:val="auto"/>
          <w:sz w:val="28"/>
          <w:szCs w:val="28"/>
          <w:highlight w:val="none"/>
          <w:lang w:val="en-US" w:eastAsia="zh-CN"/>
        </w:rPr>
        <w:t>/</w:t>
      </w:r>
    </w:p>
    <w:p w14:paraId="3C4A5143">
      <w:pPr>
        <w:pStyle w:val="3"/>
        <w:widowControl/>
        <w:adjustRightInd w:val="0"/>
        <w:snapToGrid w:val="0"/>
        <w:spacing w:before="48" w:beforeLines="20" w:after="48" w:afterLines="20" w:line="360" w:lineRule="auto"/>
        <w:ind w:firstLine="560" w:firstLineChars="200"/>
        <w:rPr>
          <w:rStyle w:val="101"/>
          <w:rFonts w:hAnsi="宋体"/>
          <w:b w:val="0"/>
          <w:bCs w:val="0"/>
          <w:color w:val="auto"/>
          <w:sz w:val="28"/>
          <w:szCs w:val="28"/>
          <w:highlight w:val="none"/>
        </w:rPr>
      </w:pPr>
      <w:r>
        <w:rPr>
          <w:rStyle w:val="101"/>
          <w:rFonts w:hint="eastAsia" w:hAnsi="宋体"/>
          <w:b w:val="0"/>
          <w:bCs w:val="0"/>
          <w:color w:val="auto"/>
          <w:sz w:val="28"/>
          <w:szCs w:val="28"/>
          <w:highlight w:val="none"/>
        </w:rPr>
        <w:t>三、获取招标文件</w:t>
      </w:r>
      <w:bookmarkEnd w:id="11"/>
      <w:bookmarkEnd w:id="12"/>
      <w:bookmarkEnd w:id="13"/>
      <w:bookmarkEnd w:id="14"/>
    </w:p>
    <w:p w14:paraId="5D251CD3">
      <w:pPr>
        <w:adjustRightInd w:val="0"/>
        <w:snapToGrid w:val="0"/>
        <w:spacing w:line="360" w:lineRule="auto"/>
        <w:ind w:firstLine="540"/>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时间：</w:t>
      </w:r>
      <w:r>
        <w:rPr>
          <w:rFonts w:hint="eastAsia" w:ascii="宋体" w:hAnsi="宋体" w:eastAsia="仿宋" w:cs="宋体"/>
          <w:color w:val="auto"/>
          <w:sz w:val="28"/>
          <w:szCs w:val="28"/>
          <w:highlight w:val="none"/>
          <w:u w:val="single"/>
          <w:lang w:val="en-US" w:eastAsia="zh-CN"/>
        </w:rPr>
        <w:t>2025</w:t>
      </w:r>
      <w:r>
        <w:rPr>
          <w:rFonts w:hint="eastAsia" w:ascii="宋体" w:hAnsi="宋体" w:eastAsia="仿宋" w:cs="宋体"/>
          <w:color w:val="auto"/>
          <w:sz w:val="28"/>
          <w:szCs w:val="28"/>
          <w:highlight w:val="none"/>
          <w:u w:val="single"/>
        </w:rPr>
        <w:t>年</w:t>
      </w:r>
      <w:r>
        <w:rPr>
          <w:rFonts w:hint="eastAsia" w:ascii="宋体" w:hAnsi="宋体" w:eastAsia="仿宋" w:cs="宋体"/>
          <w:color w:val="auto"/>
          <w:sz w:val="28"/>
          <w:szCs w:val="28"/>
          <w:highlight w:val="none"/>
          <w:u w:val="single"/>
          <w:lang w:val="en-US" w:eastAsia="zh-CN"/>
        </w:rPr>
        <w:t>11</w:t>
      </w:r>
      <w:r>
        <w:rPr>
          <w:rFonts w:hint="eastAsia" w:ascii="宋体" w:hAnsi="宋体" w:eastAsia="仿宋" w:cs="宋体"/>
          <w:color w:val="auto"/>
          <w:sz w:val="28"/>
          <w:szCs w:val="28"/>
          <w:highlight w:val="none"/>
          <w:u w:val="single"/>
        </w:rPr>
        <w:t>月</w:t>
      </w:r>
      <w:r>
        <w:rPr>
          <w:rFonts w:hint="eastAsia" w:ascii="宋体" w:hAnsi="宋体" w:eastAsia="仿宋" w:cs="宋体"/>
          <w:color w:val="auto"/>
          <w:sz w:val="28"/>
          <w:szCs w:val="28"/>
          <w:highlight w:val="none"/>
          <w:u w:val="single"/>
          <w:lang w:val="en-US" w:eastAsia="zh-CN"/>
        </w:rPr>
        <w:t>18</w:t>
      </w:r>
      <w:r>
        <w:rPr>
          <w:rFonts w:hint="eastAsia" w:ascii="宋体" w:hAnsi="宋体" w:eastAsia="仿宋" w:cs="宋体"/>
          <w:color w:val="auto"/>
          <w:sz w:val="28"/>
          <w:szCs w:val="28"/>
          <w:highlight w:val="none"/>
          <w:u w:val="single"/>
        </w:rPr>
        <w:t>日</w:t>
      </w:r>
      <w:r>
        <w:rPr>
          <w:rFonts w:hint="eastAsia" w:ascii="宋体" w:hAnsi="宋体" w:eastAsia="仿宋" w:cs="宋体"/>
          <w:color w:val="auto"/>
          <w:sz w:val="28"/>
          <w:szCs w:val="28"/>
          <w:highlight w:val="none"/>
        </w:rPr>
        <w:t>至</w:t>
      </w:r>
      <w:r>
        <w:rPr>
          <w:rFonts w:hint="eastAsia" w:ascii="宋体" w:hAnsi="宋体" w:eastAsia="仿宋" w:cs="宋体"/>
          <w:color w:val="auto"/>
          <w:sz w:val="28"/>
          <w:szCs w:val="28"/>
          <w:highlight w:val="none"/>
          <w:u w:val="single"/>
          <w:lang w:val="en-US" w:eastAsia="zh-CN"/>
        </w:rPr>
        <w:t>2025</w:t>
      </w:r>
      <w:r>
        <w:rPr>
          <w:rFonts w:hint="eastAsia" w:ascii="宋体" w:hAnsi="宋体" w:eastAsia="仿宋" w:cs="宋体"/>
          <w:color w:val="auto"/>
          <w:sz w:val="28"/>
          <w:szCs w:val="28"/>
          <w:highlight w:val="none"/>
          <w:u w:val="single"/>
        </w:rPr>
        <w:t>年</w:t>
      </w:r>
      <w:r>
        <w:rPr>
          <w:rFonts w:hint="eastAsia" w:ascii="宋体" w:hAnsi="宋体" w:eastAsia="仿宋" w:cs="宋体"/>
          <w:color w:val="auto"/>
          <w:sz w:val="28"/>
          <w:szCs w:val="28"/>
          <w:highlight w:val="none"/>
          <w:u w:val="single"/>
          <w:lang w:val="en-US" w:eastAsia="zh-CN"/>
        </w:rPr>
        <w:t>11</w:t>
      </w:r>
      <w:r>
        <w:rPr>
          <w:rFonts w:hint="eastAsia" w:ascii="宋体" w:hAnsi="宋体" w:eastAsia="仿宋" w:cs="宋体"/>
          <w:color w:val="auto"/>
          <w:sz w:val="28"/>
          <w:szCs w:val="28"/>
          <w:highlight w:val="none"/>
          <w:u w:val="single"/>
        </w:rPr>
        <w:t>月</w:t>
      </w:r>
      <w:r>
        <w:rPr>
          <w:rFonts w:hint="eastAsia" w:ascii="宋体" w:hAnsi="宋体" w:eastAsia="仿宋" w:cs="宋体"/>
          <w:color w:val="auto"/>
          <w:sz w:val="28"/>
          <w:szCs w:val="28"/>
          <w:highlight w:val="none"/>
          <w:u w:val="single"/>
          <w:lang w:val="en-US" w:eastAsia="zh-CN"/>
        </w:rPr>
        <w:t>25</w:t>
      </w:r>
      <w:r>
        <w:rPr>
          <w:rFonts w:hint="eastAsia" w:ascii="宋体" w:hAnsi="宋体" w:eastAsia="仿宋" w:cs="宋体"/>
          <w:color w:val="auto"/>
          <w:sz w:val="28"/>
          <w:szCs w:val="28"/>
          <w:highlight w:val="none"/>
          <w:u w:val="single"/>
        </w:rPr>
        <w:t>日</w:t>
      </w:r>
      <w:r>
        <w:rPr>
          <w:rFonts w:hint="eastAsia" w:ascii="宋体" w:hAnsi="宋体" w:eastAsia="仿宋" w:cs="宋体"/>
          <w:color w:val="auto"/>
          <w:sz w:val="28"/>
          <w:szCs w:val="28"/>
          <w:highlight w:val="none"/>
        </w:rPr>
        <w:t>。</w:t>
      </w:r>
    </w:p>
    <w:p w14:paraId="6A928EAE">
      <w:pPr>
        <w:adjustRightInd w:val="0"/>
        <w:snapToGrid w:val="0"/>
        <w:spacing w:line="360" w:lineRule="auto"/>
        <w:ind w:firstLine="540"/>
        <w:rPr>
          <w:rFonts w:eastAsia="仿宋"/>
          <w:color w:val="auto"/>
          <w:sz w:val="28"/>
          <w:szCs w:val="28"/>
          <w:highlight w:val="none"/>
        </w:rPr>
      </w:pPr>
      <w:r>
        <w:rPr>
          <w:rFonts w:hint="eastAsia" w:eastAsia="仿宋"/>
          <w:color w:val="auto"/>
          <w:sz w:val="28"/>
          <w:szCs w:val="28"/>
          <w:highlight w:val="none"/>
        </w:rPr>
        <w:t>地点：</w:t>
      </w:r>
      <w:r>
        <w:rPr>
          <w:rFonts w:hint="eastAsia" w:ascii="楷体" w:hAnsi="楷体" w:eastAsia="仿宋"/>
          <w:color w:val="auto"/>
          <w:sz w:val="28"/>
          <w:szCs w:val="28"/>
          <w:highlight w:val="none"/>
        </w:rPr>
        <w:t>“优质采云采购平台”（http://www.youzhicai.com/）</w:t>
      </w:r>
    </w:p>
    <w:p w14:paraId="21A846EF">
      <w:pPr>
        <w:adjustRightInd w:val="0"/>
        <w:snapToGrid w:val="0"/>
        <w:spacing w:line="360" w:lineRule="auto"/>
        <w:ind w:firstLine="540"/>
        <w:rPr>
          <w:rFonts w:hint="eastAsia" w:ascii="楷体" w:hAnsi="楷体" w:eastAsia="仿宋"/>
          <w:color w:val="auto"/>
          <w:sz w:val="28"/>
          <w:szCs w:val="28"/>
          <w:highlight w:val="none"/>
        </w:rPr>
      </w:pPr>
      <w:r>
        <w:rPr>
          <w:rFonts w:hint="eastAsia" w:ascii="宋体" w:hAnsi="宋体" w:eastAsia="仿宋" w:cs="宋体"/>
          <w:color w:val="auto"/>
          <w:sz w:val="28"/>
          <w:szCs w:val="28"/>
          <w:highlight w:val="none"/>
        </w:rPr>
        <w:t>方式：</w:t>
      </w:r>
      <w:r>
        <w:rPr>
          <w:rFonts w:hint="eastAsia" w:ascii="楷体" w:hAnsi="楷体" w:eastAsia="仿宋"/>
          <w:color w:val="auto"/>
          <w:sz w:val="28"/>
          <w:szCs w:val="28"/>
          <w:highlight w:val="none"/>
        </w:rPr>
        <w:t>在线下载</w:t>
      </w:r>
    </w:p>
    <w:p w14:paraId="12274D1A">
      <w:pPr>
        <w:adjustRightInd w:val="0"/>
        <w:snapToGrid w:val="0"/>
        <w:spacing w:line="360" w:lineRule="auto"/>
        <w:ind w:firstLine="540"/>
        <w:rPr>
          <w:rFonts w:hint="eastAsia" w:ascii="宋体" w:hAnsi="宋体" w:eastAsia="仿宋" w:cs="宋体"/>
          <w:color w:val="auto"/>
          <w:sz w:val="28"/>
          <w:szCs w:val="28"/>
          <w:highlight w:val="none"/>
          <w:u w:val="single"/>
        </w:rPr>
      </w:pPr>
      <w:r>
        <w:rPr>
          <w:rFonts w:hint="eastAsia" w:ascii="宋体" w:hAnsi="宋体" w:eastAsia="仿宋" w:cs="宋体"/>
          <w:color w:val="auto"/>
          <w:sz w:val="28"/>
          <w:szCs w:val="28"/>
          <w:highlight w:val="none"/>
        </w:rPr>
        <w:t>售价(元)：0</w:t>
      </w:r>
    </w:p>
    <w:p w14:paraId="30FB4C56">
      <w:pPr>
        <w:pStyle w:val="3"/>
        <w:widowControl/>
        <w:adjustRightInd w:val="0"/>
        <w:snapToGrid w:val="0"/>
        <w:spacing w:before="48" w:beforeLines="20" w:after="48" w:afterLines="20" w:line="360" w:lineRule="auto"/>
        <w:ind w:firstLine="560" w:firstLineChars="200"/>
        <w:rPr>
          <w:rStyle w:val="101"/>
          <w:rFonts w:hAnsi="宋体"/>
          <w:b w:val="0"/>
          <w:bCs w:val="0"/>
          <w:color w:val="auto"/>
          <w:sz w:val="28"/>
          <w:szCs w:val="28"/>
          <w:highlight w:val="none"/>
        </w:rPr>
      </w:pPr>
      <w:bookmarkStart w:id="15" w:name="_Toc28359082"/>
      <w:bookmarkStart w:id="16" w:name="_Toc28359005"/>
      <w:bookmarkStart w:id="17" w:name="_Toc35393793"/>
      <w:bookmarkStart w:id="18" w:name="_Toc35393624"/>
      <w:r>
        <w:rPr>
          <w:rStyle w:val="101"/>
          <w:rFonts w:hint="eastAsia" w:hAnsi="宋体"/>
          <w:b w:val="0"/>
          <w:bCs w:val="0"/>
          <w:color w:val="auto"/>
          <w:sz w:val="28"/>
          <w:szCs w:val="28"/>
          <w:highlight w:val="none"/>
        </w:rPr>
        <w:t>四、提交投标文件</w:t>
      </w:r>
      <w:bookmarkEnd w:id="15"/>
      <w:bookmarkEnd w:id="16"/>
      <w:r>
        <w:rPr>
          <w:rStyle w:val="101"/>
          <w:rFonts w:hint="eastAsia" w:hAnsi="宋体"/>
          <w:b w:val="0"/>
          <w:bCs w:val="0"/>
          <w:color w:val="auto"/>
          <w:sz w:val="28"/>
          <w:szCs w:val="28"/>
          <w:highlight w:val="none"/>
        </w:rPr>
        <w:t>截止时间、开标时间和地点</w:t>
      </w:r>
      <w:bookmarkEnd w:id="17"/>
      <w:bookmarkEnd w:id="18"/>
    </w:p>
    <w:p w14:paraId="62E1DE5D">
      <w:pPr>
        <w:adjustRightInd w:val="0"/>
        <w:snapToGrid w:val="0"/>
        <w:spacing w:line="360" w:lineRule="auto"/>
        <w:ind w:firstLine="660" w:firstLineChars="236"/>
        <w:rPr>
          <w:rFonts w:hint="eastAsia" w:ascii="宋体" w:hAnsi="宋体" w:eastAsia="仿宋"/>
          <w:bCs/>
          <w:color w:val="auto"/>
          <w:sz w:val="28"/>
          <w:szCs w:val="28"/>
          <w:highlight w:val="none"/>
        </w:rPr>
      </w:pPr>
      <w:r>
        <w:rPr>
          <w:rFonts w:hint="eastAsia" w:ascii="宋体" w:hAnsi="宋体" w:eastAsia="仿宋"/>
          <w:bCs/>
          <w:color w:val="auto"/>
          <w:sz w:val="28"/>
          <w:szCs w:val="28"/>
          <w:highlight w:val="none"/>
          <w:u w:val="single"/>
          <w:lang w:val="en-US" w:eastAsia="zh-CN"/>
        </w:rPr>
        <w:t>2025</w:t>
      </w:r>
      <w:r>
        <w:rPr>
          <w:rFonts w:hint="eastAsia" w:ascii="宋体" w:hAnsi="宋体" w:eastAsia="仿宋"/>
          <w:bCs/>
          <w:color w:val="auto"/>
          <w:sz w:val="28"/>
          <w:szCs w:val="28"/>
          <w:highlight w:val="none"/>
          <w:u w:val="single"/>
        </w:rPr>
        <w:t>年</w:t>
      </w:r>
      <w:r>
        <w:rPr>
          <w:rFonts w:hint="eastAsia" w:ascii="宋体" w:hAnsi="宋体" w:eastAsia="仿宋"/>
          <w:bCs/>
          <w:color w:val="auto"/>
          <w:sz w:val="28"/>
          <w:szCs w:val="28"/>
          <w:highlight w:val="none"/>
          <w:u w:val="single"/>
          <w:lang w:val="en-US" w:eastAsia="zh-CN"/>
        </w:rPr>
        <w:t>12</w:t>
      </w:r>
      <w:r>
        <w:rPr>
          <w:rFonts w:hint="eastAsia" w:ascii="宋体" w:hAnsi="宋体" w:eastAsia="仿宋"/>
          <w:bCs/>
          <w:color w:val="auto"/>
          <w:sz w:val="28"/>
          <w:szCs w:val="28"/>
          <w:highlight w:val="none"/>
          <w:u w:val="single"/>
        </w:rPr>
        <w:t>月</w:t>
      </w:r>
      <w:r>
        <w:rPr>
          <w:rFonts w:hint="eastAsia" w:ascii="宋体" w:hAnsi="宋体" w:eastAsia="仿宋"/>
          <w:bCs/>
          <w:color w:val="auto"/>
          <w:sz w:val="28"/>
          <w:szCs w:val="28"/>
          <w:highlight w:val="none"/>
          <w:u w:val="single"/>
          <w:lang w:val="en-US" w:eastAsia="zh-CN"/>
        </w:rPr>
        <w:t>09</w:t>
      </w:r>
      <w:r>
        <w:rPr>
          <w:rFonts w:hint="eastAsia" w:ascii="宋体" w:hAnsi="宋体" w:eastAsia="仿宋"/>
          <w:bCs/>
          <w:color w:val="auto"/>
          <w:sz w:val="28"/>
          <w:szCs w:val="28"/>
          <w:highlight w:val="none"/>
          <w:u w:val="single"/>
        </w:rPr>
        <w:t>日</w:t>
      </w:r>
      <w:r>
        <w:rPr>
          <w:rFonts w:hint="eastAsia" w:ascii="宋体" w:hAnsi="宋体" w:eastAsia="仿宋"/>
          <w:bCs/>
          <w:color w:val="auto"/>
          <w:sz w:val="28"/>
          <w:szCs w:val="28"/>
          <w:highlight w:val="none"/>
          <w:u w:val="single"/>
          <w:lang w:val="en-US" w:eastAsia="zh-CN"/>
        </w:rPr>
        <w:t>09</w:t>
      </w:r>
      <w:r>
        <w:rPr>
          <w:rFonts w:hint="eastAsia" w:ascii="宋体" w:hAnsi="宋体" w:eastAsia="仿宋"/>
          <w:bCs/>
          <w:color w:val="auto"/>
          <w:sz w:val="28"/>
          <w:szCs w:val="28"/>
          <w:highlight w:val="none"/>
          <w:u w:val="single"/>
        </w:rPr>
        <w:t>点</w:t>
      </w:r>
      <w:r>
        <w:rPr>
          <w:rFonts w:hint="eastAsia" w:ascii="宋体" w:hAnsi="宋体" w:eastAsia="仿宋"/>
          <w:bCs/>
          <w:color w:val="auto"/>
          <w:sz w:val="28"/>
          <w:szCs w:val="28"/>
          <w:highlight w:val="none"/>
          <w:u w:val="single"/>
          <w:lang w:val="en-US" w:eastAsia="zh-CN"/>
        </w:rPr>
        <w:t>30</w:t>
      </w:r>
      <w:r>
        <w:rPr>
          <w:rFonts w:hint="eastAsia" w:ascii="宋体" w:hAnsi="宋体" w:eastAsia="仿宋"/>
          <w:bCs/>
          <w:color w:val="auto"/>
          <w:sz w:val="28"/>
          <w:szCs w:val="28"/>
          <w:highlight w:val="none"/>
          <w:u w:val="single"/>
        </w:rPr>
        <w:t>分</w:t>
      </w:r>
      <w:r>
        <w:rPr>
          <w:rFonts w:hint="eastAsia" w:ascii="宋体" w:hAnsi="宋体" w:eastAsia="仿宋"/>
          <w:bCs/>
          <w:color w:val="auto"/>
          <w:sz w:val="28"/>
          <w:szCs w:val="28"/>
          <w:highlight w:val="none"/>
        </w:rPr>
        <w:t>（北京时间）</w:t>
      </w:r>
    </w:p>
    <w:p w14:paraId="170B4432">
      <w:pPr>
        <w:adjustRightInd w:val="0"/>
        <w:snapToGrid w:val="0"/>
        <w:spacing w:line="360" w:lineRule="auto"/>
        <w:ind w:firstLine="660" w:firstLineChars="236"/>
        <w:rPr>
          <w:rFonts w:ascii="宋体" w:hAnsi="宋体" w:eastAsia="仿宋"/>
          <w:color w:val="auto"/>
          <w:sz w:val="28"/>
          <w:szCs w:val="28"/>
          <w:highlight w:val="none"/>
        </w:rPr>
      </w:pPr>
      <w:r>
        <w:rPr>
          <w:rFonts w:hint="eastAsia" w:ascii="宋体" w:hAnsi="宋体" w:eastAsia="仿宋"/>
          <w:color w:val="auto"/>
          <w:sz w:val="28"/>
          <w:szCs w:val="28"/>
          <w:highlight w:val="none"/>
        </w:rPr>
        <w:t>地点：</w:t>
      </w:r>
      <w:bookmarkStart w:id="19" w:name="_Hlk44253880"/>
      <w:r>
        <w:rPr>
          <w:rFonts w:hint="eastAsia" w:ascii="楷体" w:hAnsi="楷体" w:eastAsia="仿宋"/>
          <w:color w:val="auto"/>
          <w:sz w:val="28"/>
          <w:szCs w:val="28"/>
          <w:highlight w:val="none"/>
        </w:rPr>
        <w:t>线上开标：“优质采云采购平台”（http://www.youzhicai.com/）</w:t>
      </w:r>
      <w:bookmarkEnd w:id="19"/>
    </w:p>
    <w:p w14:paraId="0DAEE298">
      <w:pPr>
        <w:pStyle w:val="3"/>
        <w:widowControl/>
        <w:adjustRightInd w:val="0"/>
        <w:snapToGrid w:val="0"/>
        <w:spacing w:before="48" w:beforeLines="20" w:after="48" w:afterLines="20" w:line="360" w:lineRule="auto"/>
        <w:ind w:firstLine="560" w:firstLineChars="200"/>
        <w:rPr>
          <w:rStyle w:val="101"/>
          <w:rFonts w:hAnsi="宋体"/>
          <w:b w:val="0"/>
          <w:bCs w:val="0"/>
          <w:color w:val="auto"/>
          <w:sz w:val="28"/>
          <w:szCs w:val="28"/>
          <w:highlight w:val="none"/>
        </w:rPr>
      </w:pPr>
      <w:bookmarkStart w:id="20" w:name="_Toc35393794"/>
      <w:bookmarkStart w:id="21" w:name="_Toc35393625"/>
      <w:bookmarkStart w:id="22" w:name="_Toc28359084"/>
      <w:bookmarkStart w:id="23" w:name="_Toc28359007"/>
      <w:r>
        <w:rPr>
          <w:rStyle w:val="101"/>
          <w:rFonts w:hint="eastAsia" w:hAnsi="宋体"/>
          <w:b w:val="0"/>
          <w:bCs w:val="0"/>
          <w:color w:val="auto"/>
          <w:sz w:val="28"/>
          <w:szCs w:val="28"/>
          <w:highlight w:val="none"/>
        </w:rPr>
        <w:t>五、公告期限</w:t>
      </w:r>
      <w:bookmarkEnd w:id="20"/>
      <w:bookmarkEnd w:id="21"/>
      <w:bookmarkEnd w:id="22"/>
      <w:bookmarkEnd w:id="23"/>
    </w:p>
    <w:p w14:paraId="58773B63">
      <w:pPr>
        <w:adjustRightInd w:val="0"/>
        <w:snapToGrid w:val="0"/>
        <w:spacing w:line="360" w:lineRule="auto"/>
        <w:ind w:firstLine="660" w:firstLineChars="236"/>
        <w:rPr>
          <w:rFonts w:ascii="宋体" w:hAnsi="宋体" w:eastAsia="仿宋" w:cs="宋体"/>
          <w:color w:val="auto"/>
          <w:kern w:val="0"/>
          <w:sz w:val="28"/>
          <w:szCs w:val="28"/>
          <w:highlight w:val="none"/>
        </w:rPr>
      </w:pPr>
      <w:r>
        <w:rPr>
          <w:rFonts w:hint="eastAsia" w:ascii="宋体" w:hAnsi="宋体" w:eastAsia="仿宋" w:cs="宋体"/>
          <w:color w:val="auto"/>
          <w:kern w:val="0"/>
          <w:sz w:val="28"/>
          <w:szCs w:val="28"/>
          <w:highlight w:val="none"/>
        </w:rPr>
        <w:t>自本公告发布之日起5个工作日。</w:t>
      </w:r>
    </w:p>
    <w:p w14:paraId="0ABA7F70">
      <w:pPr>
        <w:pStyle w:val="3"/>
        <w:widowControl/>
        <w:adjustRightInd w:val="0"/>
        <w:snapToGrid w:val="0"/>
        <w:spacing w:before="48" w:beforeLines="20" w:after="48" w:afterLines="20" w:line="360" w:lineRule="auto"/>
        <w:ind w:firstLine="560" w:firstLineChars="200"/>
        <w:rPr>
          <w:rStyle w:val="101"/>
          <w:rFonts w:hAnsi="宋体"/>
          <w:b w:val="0"/>
          <w:bCs w:val="0"/>
          <w:color w:val="auto"/>
          <w:sz w:val="28"/>
          <w:szCs w:val="28"/>
          <w:highlight w:val="none"/>
        </w:rPr>
      </w:pPr>
      <w:bookmarkStart w:id="24" w:name="_Toc35393626"/>
      <w:bookmarkStart w:id="25" w:name="_Toc35393795"/>
      <w:r>
        <w:rPr>
          <w:rStyle w:val="101"/>
          <w:rFonts w:hint="eastAsia" w:hAnsi="宋体"/>
          <w:b w:val="0"/>
          <w:bCs w:val="0"/>
          <w:color w:val="auto"/>
          <w:sz w:val="28"/>
          <w:szCs w:val="28"/>
          <w:highlight w:val="none"/>
        </w:rPr>
        <w:t>六、其他补充事宜</w:t>
      </w:r>
      <w:bookmarkEnd w:id="24"/>
      <w:bookmarkEnd w:id="25"/>
    </w:p>
    <w:p w14:paraId="15955964">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1.本项目相关信息同时在“安徽省政府采购网、中国招标投标公共服务平台（www.cebpubservice.com）、安徽省招标投标信息网（www.ahtba.org.cn）、优质采云采购平台(www.youzhicai.com)、优质采招标采购平台（www.yzczb.com）”等媒介上发布；</w:t>
      </w:r>
    </w:p>
    <w:p w14:paraId="12F3C085">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2.本项目需落实的节能环保、中小企业扶持等相关政府采购政策详见招标文件。</w:t>
      </w:r>
    </w:p>
    <w:p w14:paraId="6A4A5D28">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3.政府采购电子化交易要求：</w:t>
      </w:r>
    </w:p>
    <w:p w14:paraId="54789E11">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（1）潜在投标人/供应商须登录</w:t>
      </w:r>
      <w:r>
        <w:rPr>
          <w:rFonts w:hint="eastAsia" w:ascii="宋体" w:hAnsi="宋体" w:eastAsia="仿宋"/>
          <w:color w:val="auto"/>
          <w:sz w:val="28"/>
          <w:szCs w:val="28"/>
          <w:highlight w:val="none"/>
          <w:u w:val="none"/>
        </w:rPr>
        <w:t>“优质采招标采购平台（www.yzczb.com）”或“优质采云采购平台（www.youzhicai.com</w:t>
      </w:r>
      <w:r>
        <w:rPr>
          <w:rFonts w:hint="eastAsia" w:ascii="宋体" w:hAnsi="宋体" w:eastAsia="仿宋"/>
          <w:color w:val="auto"/>
          <w:sz w:val="28"/>
          <w:szCs w:val="28"/>
          <w:highlight w:val="none"/>
          <w:u w:val="none"/>
          <w:lang w:eastAsia="zh-CN"/>
        </w:rPr>
        <w:t>）”（</w:t>
      </w:r>
      <w:r>
        <w:rPr>
          <w:rFonts w:hint="eastAsia" w:ascii="宋体" w:hAnsi="宋体" w:eastAsia="仿宋"/>
          <w:color w:val="auto"/>
          <w:sz w:val="28"/>
          <w:szCs w:val="28"/>
          <w:highlight w:val="none"/>
          <w:u w:val="none"/>
        </w:rPr>
        <w:t>以下称“优质采平台”）</w:t>
      </w:r>
      <w:r>
        <w:rPr>
          <w:rFonts w:hint="eastAsia" w:ascii="宋体" w:hAnsi="宋体" w:eastAsia="仿宋"/>
          <w:color w:val="auto"/>
          <w:sz w:val="28"/>
          <w:szCs w:val="28"/>
          <w:highlight w:val="none"/>
        </w:rPr>
        <w:t>参与本项目招标采购活动。首次登录须办理注册手续，请务必选择注册为“投标人角色”类型。注册流程见优质采平台“用户注册”栏目，咨询电话：400-0099-555。因未及时办理注册手续影响参加招标采购活动的，责任自负。</w:t>
      </w:r>
    </w:p>
    <w:p w14:paraId="6E4184C2">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（2）已注册的潜在投标人/供应商可登录优质采平台获取招标采购文件，本项目的招标采购文件及其他资料（含澄清、答疑及相关补充文件）通过优质采平台发布，</w:t>
      </w:r>
      <w:r>
        <w:rPr>
          <w:rFonts w:hint="eastAsia" w:ascii="宋体" w:hAnsi="宋体" w:eastAsia="仿宋"/>
          <w:color w:val="auto"/>
          <w:sz w:val="28"/>
          <w:szCs w:val="28"/>
          <w:highlight w:val="none"/>
          <w:lang w:eastAsia="zh-CN"/>
        </w:rPr>
        <w:t>采购人</w:t>
      </w:r>
      <w:r>
        <w:rPr>
          <w:rFonts w:hint="eastAsia" w:ascii="宋体" w:hAnsi="宋体" w:eastAsia="仿宋"/>
          <w:color w:val="auto"/>
          <w:sz w:val="28"/>
          <w:szCs w:val="28"/>
          <w:highlight w:val="none"/>
        </w:rPr>
        <w:t>/代理机构不再另行书面通知，潜在投标人/供应商应及时关注、查阅优质采平台。因未及时查看导致不利后果的，责任自负。</w:t>
      </w:r>
    </w:p>
    <w:p w14:paraId="6A57DE6B">
      <w:pPr>
        <w:widowControl/>
        <w:topLinePunct/>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（3）已注册的潜在投标人/供应商若注册信息发生变更（如：与初始注册信息不一致），应及时网上提交变更申请。因未及时变更导致不利后果的，责任自负。</w:t>
      </w:r>
    </w:p>
    <w:p w14:paraId="614816C5">
      <w:pPr>
        <w:widowControl/>
        <w:wordWrap w:val="0"/>
        <w:topLinePunct/>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3FB40EAE">
      <w:pPr>
        <w:keepNext w:val="0"/>
        <w:keepLines w:val="0"/>
        <w:pageBreakBefore w:val="0"/>
        <w:widowControl/>
        <w:kinsoku/>
        <w:wordWrap w:val="0"/>
        <w:overflowPunct/>
        <w:topLinePunct/>
        <w:autoSpaceDE/>
        <w:autoSpaceDN/>
        <w:bidi w:val="0"/>
        <w:adjustRightInd/>
        <w:snapToGrid/>
        <w:spacing w:line="360" w:lineRule="auto"/>
        <w:ind w:firstLine="560" w:firstLineChars="200"/>
        <w:textAlignment w:val="auto"/>
        <w:rPr>
          <w:rFonts w:hint="eastAsia" w:ascii="宋体" w:hAnsi="宋体" w:eastAsia="仿宋"/>
          <w:color w:val="auto"/>
          <w:sz w:val="28"/>
          <w:szCs w:val="28"/>
          <w:highlight w:val="none"/>
        </w:rPr>
      </w:pPr>
      <w:r>
        <w:rPr>
          <w:rFonts w:hint="eastAsia" w:ascii="宋体" w:hAnsi="宋体" w:eastAsia="仿宋"/>
          <w:color w:val="auto"/>
          <w:sz w:val="28"/>
          <w:szCs w:val="28"/>
          <w:highlight w:val="none"/>
        </w:rPr>
        <w:t>（5）电子投标/响应文件必须使用“优质采投标文件制作工具”制作生成并上传。下载地址：</w:t>
      </w:r>
      <w:r>
        <w:rPr>
          <w:rFonts w:ascii="宋体" w:hAnsi="宋体" w:eastAsia="仿宋"/>
          <w:color w:val="auto"/>
          <w:sz w:val="28"/>
          <w:szCs w:val="28"/>
          <w:highlight w:val="none"/>
        </w:rPr>
        <w:t>http://toolcdn.youzhicai.com/tools/BidderTools.zip</w:t>
      </w:r>
      <w:r>
        <w:rPr>
          <w:rFonts w:hint="eastAsia" w:ascii="宋体" w:hAnsi="宋体" w:eastAsia="仿宋"/>
          <w:color w:val="auto"/>
          <w:sz w:val="28"/>
          <w:szCs w:val="28"/>
          <w:highlight w:val="none"/>
        </w:rPr>
        <w:t>，使用说明书及视频教程下载地址:</w:t>
      </w:r>
      <w:r>
        <w:rPr>
          <w:rFonts w:ascii="宋体" w:hAnsi="宋体" w:eastAsia="仿宋"/>
          <w:color w:val="auto"/>
          <w:sz w:val="28"/>
          <w:szCs w:val="28"/>
          <w:highlight w:val="none"/>
        </w:rPr>
        <w:t>http://file.youzhicai.com/files/BidderHelp.rar</w:t>
      </w:r>
      <w:r>
        <w:rPr>
          <w:rFonts w:hint="eastAsia" w:ascii="宋体" w:hAnsi="宋体" w:eastAsia="仿宋"/>
          <w:color w:val="auto"/>
          <w:sz w:val="28"/>
          <w:szCs w:val="28"/>
          <w:highlight w:val="none"/>
        </w:rPr>
        <w:t>。</w:t>
      </w:r>
    </w:p>
    <w:p w14:paraId="37085BAE">
      <w:pPr>
        <w:widowControl/>
        <w:topLinePunct/>
        <w:spacing w:line="360" w:lineRule="auto"/>
        <w:ind w:firstLine="560" w:firstLineChars="200"/>
        <w:jc w:val="left"/>
        <w:rPr>
          <w:rFonts w:hint="eastAsia" w:ascii="宋体" w:hAnsi="宋体" w:eastAsia="仿宋"/>
          <w:color w:val="auto"/>
          <w:sz w:val="28"/>
          <w:szCs w:val="28"/>
          <w:highlight w:val="none"/>
        </w:rPr>
      </w:pPr>
      <w:r>
        <w:rPr>
          <w:rFonts w:hint="eastAsia" w:ascii="宋体" w:hAnsi="宋体" w:eastAsia="仿宋"/>
          <w:color w:val="auto"/>
          <w:sz w:val="28"/>
          <w:szCs w:val="28"/>
          <w:highlight w:val="none"/>
        </w:rPr>
        <w:t>4.根据《政府采购促进中小企业发展管理办法》（财库〔2020〕46号）第六条规定，本次采购符合不专门面向中小企业预留采购份额的情形：按照本办法规定预留采购份额无法确保充分供应、充分竞争，或者存在可能影响政府采购目标实现的情形</w:t>
      </w:r>
      <w:r>
        <w:rPr>
          <w:rFonts w:hint="eastAsia" w:ascii="宋体" w:hAnsi="宋体" w:eastAsia="仿宋"/>
          <w:color w:val="auto"/>
          <w:sz w:val="28"/>
          <w:szCs w:val="28"/>
          <w:highlight w:val="none"/>
          <w:lang w:eastAsia="zh-CN"/>
        </w:rPr>
        <w:t>。</w:t>
      </w:r>
      <w:r>
        <w:rPr>
          <w:rFonts w:hint="eastAsia" w:ascii="宋体" w:hAnsi="宋体" w:eastAsia="仿宋"/>
          <w:color w:val="auto"/>
          <w:sz w:val="28"/>
          <w:szCs w:val="28"/>
          <w:highlight w:val="none"/>
        </w:rPr>
        <w:t>投标人如有异议，可按招标文件约定提出询问或质疑。</w:t>
      </w:r>
    </w:p>
    <w:p w14:paraId="3DB3CDF2">
      <w:pPr>
        <w:pStyle w:val="3"/>
        <w:widowControl/>
        <w:adjustRightInd w:val="0"/>
        <w:snapToGrid w:val="0"/>
        <w:spacing w:before="48" w:beforeLines="20" w:after="48" w:afterLines="20" w:line="360" w:lineRule="auto"/>
        <w:ind w:firstLine="560" w:firstLineChars="200"/>
        <w:rPr>
          <w:rStyle w:val="101"/>
          <w:rFonts w:hAnsi="宋体"/>
          <w:b w:val="0"/>
          <w:bCs w:val="0"/>
          <w:color w:val="auto"/>
          <w:sz w:val="28"/>
          <w:szCs w:val="28"/>
          <w:highlight w:val="none"/>
        </w:rPr>
      </w:pPr>
      <w:bookmarkStart w:id="26" w:name="_Toc35393627"/>
      <w:bookmarkStart w:id="27" w:name="_Toc28359008"/>
      <w:bookmarkStart w:id="28" w:name="_Toc28359085"/>
      <w:bookmarkStart w:id="29" w:name="_Toc35393796"/>
      <w:r>
        <w:rPr>
          <w:rStyle w:val="101"/>
          <w:rFonts w:hint="eastAsia" w:hAnsi="宋体"/>
          <w:b w:val="0"/>
          <w:bCs w:val="0"/>
          <w:color w:val="auto"/>
          <w:sz w:val="28"/>
          <w:szCs w:val="28"/>
          <w:highlight w:val="none"/>
        </w:rPr>
        <w:t>七、对本次招标提出询问，请按</w:t>
      </w:r>
      <w:r>
        <w:rPr>
          <w:rStyle w:val="101"/>
          <w:rFonts w:hAnsi="宋体"/>
          <w:b w:val="0"/>
          <w:bCs w:val="0"/>
          <w:color w:val="auto"/>
          <w:sz w:val="28"/>
          <w:szCs w:val="28"/>
          <w:highlight w:val="none"/>
        </w:rPr>
        <w:t>以下方式</w:t>
      </w:r>
      <w:r>
        <w:rPr>
          <w:rStyle w:val="101"/>
          <w:rFonts w:hint="eastAsia" w:hAnsi="宋体"/>
          <w:b w:val="0"/>
          <w:bCs w:val="0"/>
          <w:color w:val="auto"/>
          <w:sz w:val="28"/>
          <w:szCs w:val="28"/>
          <w:highlight w:val="none"/>
        </w:rPr>
        <w:t>联系。</w:t>
      </w:r>
      <w:bookmarkEnd w:id="26"/>
      <w:bookmarkEnd w:id="27"/>
      <w:bookmarkEnd w:id="28"/>
      <w:bookmarkEnd w:id="29"/>
    </w:p>
    <w:p w14:paraId="7F632666">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1.采购人信息</w:t>
      </w:r>
    </w:p>
    <w:p w14:paraId="6CD145C9">
      <w:pPr>
        <w:widowControl/>
        <w:adjustRightInd w:val="0"/>
        <w:snapToGrid w:val="0"/>
        <w:spacing w:line="360" w:lineRule="auto"/>
        <w:ind w:firstLine="660" w:firstLineChars="236"/>
        <w:jc w:val="left"/>
        <w:rPr>
          <w:rFonts w:ascii="宋体" w:hAnsi="宋体" w:eastAsia="仿宋"/>
          <w:color w:val="auto"/>
          <w:sz w:val="28"/>
          <w:szCs w:val="28"/>
          <w:highlight w:val="none"/>
        </w:rPr>
      </w:pPr>
      <w:bookmarkStart w:id="30" w:name="_Toc28359009"/>
      <w:bookmarkStart w:id="31" w:name="_Toc28359086"/>
      <w:r>
        <w:rPr>
          <w:rFonts w:hint="eastAsia" w:ascii="宋体" w:hAnsi="宋体" w:eastAsia="仿宋" w:cs="宋体"/>
          <w:color w:val="auto"/>
          <w:sz w:val="28"/>
          <w:szCs w:val="28"/>
          <w:highlight w:val="none"/>
        </w:rPr>
        <w:t>名 称：安徽医科大学第一附属医院</w:t>
      </w:r>
    </w:p>
    <w:p w14:paraId="21787045">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地 址：合肥市绩溪路218号</w:t>
      </w:r>
    </w:p>
    <w:p w14:paraId="07096348">
      <w:pPr>
        <w:widowControl/>
        <w:adjustRightInd w:val="0"/>
        <w:snapToGrid w:val="0"/>
        <w:spacing w:line="360" w:lineRule="auto"/>
        <w:ind w:firstLine="660" w:firstLineChars="236"/>
        <w:jc w:val="left"/>
        <w:rPr>
          <w:rFonts w:ascii="宋体" w:hAnsi="宋体" w:eastAsia="仿宋"/>
          <w:color w:val="auto"/>
          <w:sz w:val="28"/>
          <w:szCs w:val="28"/>
          <w:highlight w:val="none"/>
          <w:u w:val="single"/>
        </w:rPr>
      </w:pPr>
      <w:r>
        <w:rPr>
          <w:rFonts w:hint="eastAsia" w:ascii="宋体" w:hAnsi="宋体" w:eastAsia="仿宋" w:cs="宋体"/>
          <w:color w:val="auto"/>
          <w:sz w:val="28"/>
          <w:szCs w:val="28"/>
          <w:highlight w:val="none"/>
        </w:rPr>
        <w:t>联系方式：0551-62922911</w:t>
      </w:r>
    </w:p>
    <w:p w14:paraId="48A97869">
      <w:pPr>
        <w:widowControl/>
        <w:adjustRightInd w:val="0"/>
        <w:snapToGrid w:val="0"/>
        <w:spacing w:line="360" w:lineRule="auto"/>
        <w:ind w:firstLine="660" w:firstLineChars="236"/>
        <w:jc w:val="left"/>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2.采购代理机构信息</w:t>
      </w:r>
      <w:bookmarkEnd w:id="30"/>
      <w:bookmarkEnd w:id="31"/>
    </w:p>
    <w:p w14:paraId="457F7C99">
      <w:pPr>
        <w:widowControl/>
        <w:adjustRightInd w:val="0"/>
        <w:snapToGrid w:val="0"/>
        <w:spacing w:line="360" w:lineRule="auto"/>
        <w:ind w:firstLine="660" w:firstLineChars="236"/>
        <w:jc w:val="left"/>
        <w:rPr>
          <w:rFonts w:ascii="宋体" w:hAnsi="宋体" w:eastAsia="仿宋"/>
          <w:color w:val="auto"/>
          <w:sz w:val="28"/>
          <w:szCs w:val="28"/>
          <w:highlight w:val="none"/>
        </w:rPr>
      </w:pPr>
      <w:bookmarkStart w:id="32" w:name="_Toc28359087"/>
      <w:bookmarkStart w:id="33" w:name="_Toc28359010"/>
      <w:r>
        <w:rPr>
          <w:rFonts w:hint="eastAsia" w:ascii="宋体" w:hAnsi="宋体" w:eastAsia="仿宋" w:cs="宋体"/>
          <w:color w:val="auto"/>
          <w:sz w:val="28"/>
          <w:szCs w:val="28"/>
          <w:highlight w:val="none"/>
        </w:rPr>
        <w:t>名 称：</w:t>
      </w:r>
      <w:r>
        <w:rPr>
          <w:rFonts w:hint="eastAsia" w:ascii="宋体" w:hAnsi="宋体" w:eastAsia="仿宋"/>
          <w:color w:val="auto"/>
          <w:sz w:val="28"/>
          <w:szCs w:val="28"/>
          <w:highlight w:val="none"/>
        </w:rPr>
        <w:t>安徽省招标集团股份有限公司</w:t>
      </w:r>
    </w:p>
    <w:p w14:paraId="6C8F9D28">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地 址：</w:t>
      </w:r>
      <w:r>
        <w:rPr>
          <w:rFonts w:hint="eastAsia" w:ascii="宋体" w:hAnsi="宋体" w:eastAsia="仿宋"/>
          <w:color w:val="auto"/>
          <w:sz w:val="28"/>
          <w:szCs w:val="28"/>
          <w:highlight w:val="none"/>
        </w:rPr>
        <w:t>合肥市</w:t>
      </w:r>
      <w:r>
        <w:rPr>
          <w:rFonts w:hint="eastAsia" w:ascii="宋体" w:hAnsi="宋体" w:eastAsia="仿宋"/>
          <w:color w:val="auto"/>
          <w:sz w:val="28"/>
          <w:szCs w:val="28"/>
          <w:highlight w:val="none"/>
          <w:lang w:val="en-US" w:eastAsia="zh-CN"/>
        </w:rPr>
        <w:t>包河区紫云路888</w:t>
      </w:r>
      <w:r>
        <w:rPr>
          <w:rFonts w:hint="eastAsia" w:ascii="宋体" w:hAnsi="宋体" w:eastAsia="仿宋"/>
          <w:color w:val="auto"/>
          <w:sz w:val="28"/>
          <w:szCs w:val="28"/>
          <w:highlight w:val="none"/>
        </w:rPr>
        <w:t>号</w:t>
      </w:r>
    </w:p>
    <w:p w14:paraId="5537B48D">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联系方式：</w:t>
      </w:r>
      <w:r>
        <w:rPr>
          <w:rFonts w:hint="eastAsia" w:ascii="宋体" w:hAnsi="宋体" w:eastAsia="仿宋"/>
          <w:color w:val="auto"/>
          <w:sz w:val="28"/>
          <w:szCs w:val="28"/>
          <w:highlight w:val="none"/>
        </w:rPr>
        <w:t>应急客服电话：0551-62220153（接听时间：8:30-12:00,13:30-17:30，节假日除外。潜在投标人应优先拨打项目联系人联系电话，无人接听时再拨打该“应急客服电话”）</w:t>
      </w:r>
    </w:p>
    <w:p w14:paraId="109DC506">
      <w:pPr>
        <w:widowControl/>
        <w:adjustRightInd w:val="0"/>
        <w:snapToGrid w:val="0"/>
        <w:spacing w:line="360" w:lineRule="auto"/>
        <w:ind w:firstLine="660" w:firstLineChars="236"/>
        <w:jc w:val="left"/>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3.项目</w:t>
      </w:r>
      <w:r>
        <w:rPr>
          <w:rFonts w:ascii="宋体" w:hAnsi="宋体" w:eastAsia="仿宋" w:cs="宋体"/>
          <w:color w:val="auto"/>
          <w:sz w:val="28"/>
          <w:szCs w:val="28"/>
          <w:highlight w:val="none"/>
        </w:rPr>
        <w:t>联系方式</w:t>
      </w:r>
      <w:bookmarkEnd w:id="32"/>
      <w:bookmarkEnd w:id="33"/>
    </w:p>
    <w:p w14:paraId="0D55F26E">
      <w:pPr>
        <w:pStyle w:val="23"/>
        <w:adjustRightInd w:val="0"/>
        <w:snapToGrid w:val="0"/>
        <w:spacing w:line="360" w:lineRule="auto"/>
        <w:ind w:firstLine="660" w:firstLineChars="236"/>
        <w:rPr>
          <w:rFonts w:hint="eastAsia" w:hAnsi="宋体" w:eastAsia="仿宋"/>
          <w:color w:val="auto"/>
          <w:sz w:val="28"/>
          <w:szCs w:val="28"/>
          <w:highlight w:val="none"/>
          <w:u w:val="none"/>
        </w:rPr>
      </w:pPr>
      <w:r>
        <w:rPr>
          <w:rFonts w:hint="eastAsia" w:hAnsi="宋体" w:eastAsia="仿宋"/>
          <w:color w:val="auto"/>
          <w:sz w:val="28"/>
          <w:szCs w:val="28"/>
          <w:highlight w:val="none"/>
          <w:u w:val="none"/>
        </w:rPr>
        <w:t>项目联系人：俞云龙、倪孟杰、施雨朦</w:t>
      </w:r>
    </w:p>
    <w:p w14:paraId="582C5D46">
      <w:pPr>
        <w:pStyle w:val="23"/>
        <w:adjustRightInd w:val="0"/>
        <w:snapToGrid w:val="0"/>
        <w:spacing w:line="360" w:lineRule="auto"/>
        <w:ind w:firstLine="660" w:firstLineChars="236"/>
        <w:rPr>
          <w:rFonts w:hint="eastAsia" w:hAnsi="宋体" w:eastAsia="仿宋"/>
          <w:color w:val="auto"/>
          <w:sz w:val="28"/>
          <w:szCs w:val="28"/>
          <w:highlight w:val="none"/>
          <w:u w:val="single"/>
        </w:rPr>
      </w:pPr>
      <w:r>
        <w:rPr>
          <w:rFonts w:hint="eastAsia" w:hAnsi="宋体" w:eastAsia="仿宋"/>
          <w:color w:val="auto"/>
          <w:sz w:val="28"/>
          <w:szCs w:val="28"/>
          <w:highlight w:val="none"/>
          <w:u w:val="none"/>
        </w:rPr>
        <w:t>电　话：0551-66061348、0551-66061352、0551-66061355、15255522615</w:t>
      </w:r>
    </w:p>
    <w:p w14:paraId="3452807C">
      <w:pPr>
        <w:widowControl/>
        <w:spacing w:line="360" w:lineRule="auto"/>
        <w:ind w:firstLine="420"/>
        <w:rPr>
          <w:rFonts w:hint="eastAsia" w:ascii="宋体" w:hAnsi="宋体" w:eastAsia="仿宋"/>
          <w:color w:val="auto"/>
          <w:sz w:val="28"/>
          <w:szCs w:val="28"/>
          <w:highlight w:val="none"/>
        </w:rPr>
      </w:pPr>
    </w:p>
    <w:p w14:paraId="6675D9C1">
      <w:pPr>
        <w:widowControl/>
        <w:adjustRightInd w:val="0"/>
        <w:snapToGrid w:val="0"/>
        <w:spacing w:line="360" w:lineRule="auto"/>
        <w:ind w:firstLine="660" w:firstLineChars="236"/>
        <w:jc w:val="left"/>
        <w:rPr>
          <w:rFonts w:ascii="楷体" w:hAnsi="楷体" w:eastAsia="仿宋"/>
          <w:i/>
          <w:color w:val="auto"/>
          <w:sz w:val="28"/>
          <w:szCs w:val="28"/>
          <w:highlight w:val="none"/>
        </w:rPr>
      </w:pPr>
      <w:r>
        <w:rPr>
          <w:rFonts w:hint="eastAsia" w:ascii="宋体" w:hAnsi="宋体" w:eastAsia="仿宋" w:cs="宋体"/>
          <w:color w:val="auto"/>
          <w:sz w:val="28"/>
          <w:szCs w:val="28"/>
          <w:highlight w:val="none"/>
        </w:rPr>
        <w:t>附件：</w:t>
      </w:r>
      <w:r>
        <w:rPr>
          <w:rFonts w:hint="eastAsia" w:ascii="宋体" w:hAnsi="宋体" w:eastAsia="仿宋"/>
          <w:color w:val="auto"/>
          <w:sz w:val="28"/>
          <w:szCs w:val="28"/>
          <w:highlight w:val="none"/>
        </w:rPr>
        <w:t>招标文件</w:t>
      </w:r>
    </w:p>
    <w:p w14:paraId="5B1D5F44">
      <w:pPr>
        <w:pStyle w:val="2"/>
        <w:widowControl/>
        <w:spacing w:before="0" w:after="0" w:line="240" w:lineRule="auto"/>
        <w:jc w:val="center"/>
        <w:rPr>
          <w:rFonts w:ascii="宋体" w:hAnsi="宋体" w:eastAsia="仿宋"/>
          <w:color w:val="auto"/>
          <w:highlight w:val="none"/>
        </w:rPr>
      </w:pPr>
      <w:bookmarkStart w:id="34" w:name="_Toc241459614"/>
      <w:bookmarkStart w:id="35" w:name="_Toc445554685"/>
      <w:bookmarkStart w:id="36" w:name="_Toc466024497"/>
      <w:bookmarkStart w:id="37" w:name="_Toc371415919"/>
      <w:bookmarkStart w:id="38" w:name="_Toc342296160"/>
      <w:bookmarkStart w:id="39" w:name="_Toc342297617"/>
      <w:bookmarkStart w:id="40" w:name="_Toc333587477"/>
      <w:r>
        <w:rPr>
          <w:rFonts w:ascii="宋体" w:hAnsi="宋体" w:eastAsia="仿宋"/>
          <w:color w:val="auto"/>
          <w:sz w:val="24"/>
          <w:szCs w:val="24"/>
          <w:highlight w:val="none"/>
        </w:rPr>
        <w:br w:type="page"/>
      </w:r>
      <w:bookmarkStart w:id="41" w:name="_Toc26870"/>
      <w:r>
        <w:rPr>
          <w:rFonts w:hint="eastAsia" w:ascii="宋体" w:hAnsi="宋体" w:eastAsia="仿宋"/>
          <w:color w:val="auto"/>
          <w:highlight w:val="none"/>
        </w:rPr>
        <w:t>第二章</w:t>
      </w:r>
      <w:r>
        <w:rPr>
          <w:rFonts w:ascii="宋体" w:hAnsi="宋体" w:eastAsia="仿宋"/>
          <w:color w:val="auto"/>
          <w:highlight w:val="none"/>
        </w:rPr>
        <w:t xml:space="preserve"> </w:t>
      </w:r>
      <w:r>
        <w:rPr>
          <w:rFonts w:hint="eastAsia" w:ascii="宋体" w:hAnsi="宋体" w:eastAsia="仿宋"/>
          <w:color w:val="auto"/>
          <w:highlight w:val="none"/>
        </w:rPr>
        <w:t xml:space="preserve"> 投标人须知</w:t>
      </w:r>
      <w:bookmarkEnd w:id="34"/>
      <w:bookmarkEnd w:id="35"/>
      <w:bookmarkEnd w:id="36"/>
      <w:bookmarkEnd w:id="41"/>
    </w:p>
    <w:p w14:paraId="04D55A7E">
      <w:pPr>
        <w:pStyle w:val="3"/>
        <w:widowControl/>
        <w:spacing w:before="120" w:after="120" w:line="240" w:lineRule="auto"/>
        <w:jc w:val="center"/>
        <w:rPr>
          <w:rStyle w:val="101"/>
          <w:rFonts w:hint="eastAsia" w:ascii="仿宋" w:hAnsi="仿宋" w:eastAsia="仿宋" w:cs="仿宋"/>
          <w:b/>
          <w:bCs w:val="0"/>
          <w:color w:val="auto"/>
          <w:sz w:val="28"/>
          <w:szCs w:val="28"/>
          <w:highlight w:val="none"/>
        </w:rPr>
      </w:pPr>
      <w:bookmarkStart w:id="42" w:name="_Toc466024498"/>
      <w:bookmarkStart w:id="43" w:name="_Toc445554686"/>
      <w:r>
        <w:rPr>
          <w:rStyle w:val="101"/>
          <w:rFonts w:hint="eastAsia" w:ascii="仿宋" w:hAnsi="仿宋" w:eastAsia="仿宋" w:cs="仿宋"/>
          <w:b/>
          <w:bCs w:val="0"/>
          <w:color w:val="auto"/>
          <w:sz w:val="28"/>
          <w:szCs w:val="28"/>
          <w:highlight w:val="none"/>
        </w:rPr>
        <w:t>投标人须知前附表</w:t>
      </w:r>
      <w:bookmarkEnd w:id="42"/>
      <w:bookmarkEnd w:id="43"/>
    </w:p>
    <w:p w14:paraId="018D0FEF">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本《投标人须知前附表》是对本章《投标人须知》的具体补充和修改，如有不一致，以本《投标人须知前附表》为准。</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23CF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857" w:type="dxa"/>
            <w:noWrap w:val="0"/>
            <w:vAlign w:val="center"/>
          </w:tcPr>
          <w:p w14:paraId="29461EE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64E6AE1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18E7154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编</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4D42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F1F229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57058BA1">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采购人</w:t>
            </w:r>
          </w:p>
        </w:tc>
        <w:tc>
          <w:tcPr>
            <w:tcW w:w="7229" w:type="dxa"/>
            <w:noWrap w:val="0"/>
            <w:vAlign w:val="center"/>
          </w:tcPr>
          <w:p w14:paraId="218F292F">
            <w:pPr>
              <w:keepNext w:val="0"/>
              <w:keepLines w:val="0"/>
              <w:suppressLineNumbers w:val="0"/>
              <w:adjustRightInd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736E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FE3B0B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2FE7AD5B">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采购代理机构</w:t>
            </w:r>
          </w:p>
        </w:tc>
        <w:tc>
          <w:tcPr>
            <w:tcW w:w="7229" w:type="dxa"/>
            <w:noWrap w:val="0"/>
            <w:vAlign w:val="center"/>
          </w:tcPr>
          <w:p w14:paraId="06EA13F6">
            <w:pPr>
              <w:keepNext w:val="0"/>
              <w:keepLines w:val="0"/>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0041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B20ECD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5D0DF02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6B0161C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6EE6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29DE4D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40C40FD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lang w:eastAsia="zh-CN"/>
              </w:rPr>
              <w:t>采购包</w:t>
            </w:r>
            <w:r>
              <w:rPr>
                <w:rFonts w:hint="eastAsia" w:ascii="宋体" w:hAnsi="宋体" w:eastAsia="仿宋" w:cs="Calibri"/>
                <w:color w:val="auto"/>
                <w:sz w:val="24"/>
                <w:highlight w:val="none"/>
              </w:rPr>
              <w:t>划分</w:t>
            </w:r>
          </w:p>
        </w:tc>
        <w:tc>
          <w:tcPr>
            <w:tcW w:w="7229" w:type="dxa"/>
            <w:noWrap w:val="0"/>
            <w:vAlign w:val="center"/>
          </w:tcPr>
          <w:p w14:paraId="439E460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 w:cs="Calibri"/>
                <w:color w:val="auto"/>
                <w:sz w:val="24"/>
                <w:highlight w:val="none"/>
                <w:lang w:val="en-US" w:eastAsia="zh-CN"/>
              </w:rPr>
            </w:pPr>
            <w:r>
              <w:rPr>
                <w:rFonts w:hint="eastAsia" w:ascii="仿宋" w:hAnsi="仿宋" w:eastAsia="仿宋" w:cs="仿宋"/>
                <w:i w:val="0"/>
                <w:iCs/>
                <w:color w:val="auto"/>
                <w:sz w:val="24"/>
                <w:highlight w:val="none"/>
                <w:lang w:val="en-US" w:eastAsia="zh-CN"/>
              </w:rPr>
              <w:t>1个标包</w:t>
            </w:r>
          </w:p>
        </w:tc>
      </w:tr>
      <w:tr w14:paraId="111A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D15168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22DCD54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3341446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4805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ACAF51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038B6E6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专门面向中小企业采购</w:t>
            </w:r>
          </w:p>
        </w:tc>
        <w:tc>
          <w:tcPr>
            <w:tcW w:w="7229" w:type="dxa"/>
            <w:noWrap w:val="0"/>
            <w:vAlign w:val="center"/>
          </w:tcPr>
          <w:p w14:paraId="09CD9BD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5644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D08C62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宋体"/>
                <w:color w:val="auto"/>
                <w:kern w:val="2"/>
                <w:sz w:val="24"/>
                <w:szCs w:val="24"/>
                <w:highlight w:val="none"/>
                <w:lang w:val="en-US" w:eastAsia="zh-CN" w:bidi="ar"/>
              </w:rPr>
              <w:t>1.2.1</w:t>
            </w:r>
          </w:p>
        </w:tc>
        <w:tc>
          <w:tcPr>
            <w:tcW w:w="1581" w:type="dxa"/>
            <w:noWrap w:val="0"/>
            <w:vAlign w:val="center"/>
          </w:tcPr>
          <w:p w14:paraId="6E40400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仿宋"/>
                <w:color w:val="auto"/>
                <w:kern w:val="2"/>
                <w:sz w:val="24"/>
                <w:szCs w:val="24"/>
                <w:highlight w:val="none"/>
                <w:lang w:val="en-US" w:eastAsia="zh-CN" w:bidi="ar"/>
              </w:rPr>
              <w:t>资金来源及比例</w:t>
            </w:r>
          </w:p>
        </w:tc>
        <w:tc>
          <w:tcPr>
            <w:tcW w:w="7229" w:type="dxa"/>
            <w:noWrap w:val="0"/>
            <w:vAlign w:val="center"/>
          </w:tcPr>
          <w:p w14:paraId="08A2A58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lang w:val="en-US"/>
              </w:rPr>
            </w:pPr>
            <w:r>
              <w:rPr>
                <w:rFonts w:hint="eastAsia" w:ascii="宋体" w:hAnsi="宋体" w:eastAsia="仿宋" w:cs="Times New Roman"/>
                <w:color w:val="auto"/>
                <w:sz w:val="24"/>
                <w:highlight w:val="none"/>
                <w:lang w:val="en-US" w:eastAsia="zh-CN"/>
              </w:rPr>
              <w:t>财政资金100%</w:t>
            </w:r>
          </w:p>
        </w:tc>
      </w:tr>
      <w:tr w14:paraId="40C6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B2B97A2">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3</w:t>
            </w:r>
            <w:r>
              <w:rPr>
                <w:rFonts w:hint="eastAsia" w:ascii="宋体" w:hAnsi="宋体" w:eastAsia="仿宋" w:cs="Calibri"/>
                <w:color w:val="auto"/>
                <w:sz w:val="24"/>
                <w:highlight w:val="none"/>
              </w:rPr>
              <w:t>.1</w:t>
            </w:r>
          </w:p>
        </w:tc>
        <w:tc>
          <w:tcPr>
            <w:tcW w:w="1581" w:type="dxa"/>
            <w:noWrap w:val="0"/>
            <w:vAlign w:val="center"/>
          </w:tcPr>
          <w:p w14:paraId="4F08A48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rPr>
              <w:t>资格</w:t>
            </w:r>
            <w:r>
              <w:rPr>
                <w:rFonts w:hint="eastAsia" w:ascii="宋体" w:hAnsi="宋体" w:eastAsia="仿宋" w:cs="Calibri"/>
                <w:color w:val="auto"/>
                <w:sz w:val="24"/>
                <w:highlight w:val="none"/>
                <w:lang w:val="en-US" w:eastAsia="zh-CN"/>
              </w:rPr>
              <w:t>要求</w:t>
            </w:r>
          </w:p>
        </w:tc>
        <w:tc>
          <w:tcPr>
            <w:tcW w:w="7229" w:type="dxa"/>
            <w:noWrap w:val="0"/>
            <w:vAlign w:val="center"/>
          </w:tcPr>
          <w:p w14:paraId="3B8C2D46">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Calibri"/>
                <w:color w:val="auto"/>
                <w:sz w:val="24"/>
                <w:highlight w:val="none"/>
              </w:rPr>
            </w:pPr>
            <w:r>
              <w:rPr>
                <w:rFonts w:hint="eastAsia" w:ascii="宋体" w:hAnsi="宋体" w:eastAsia="仿宋" w:cs="Calibri"/>
                <w:color w:val="auto"/>
                <w:sz w:val="24"/>
                <w:highlight w:val="none"/>
              </w:rPr>
              <w:t>见招标公告</w:t>
            </w:r>
          </w:p>
        </w:tc>
      </w:tr>
      <w:tr w14:paraId="5644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606A7C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3</w:t>
            </w:r>
            <w:r>
              <w:rPr>
                <w:rFonts w:hint="eastAsia" w:ascii="宋体" w:hAnsi="宋体" w:eastAsia="仿宋" w:cs="Calibri"/>
                <w:color w:val="auto"/>
                <w:sz w:val="24"/>
                <w:highlight w:val="none"/>
              </w:rPr>
              <w:t>.2</w:t>
            </w:r>
          </w:p>
        </w:tc>
        <w:tc>
          <w:tcPr>
            <w:tcW w:w="1581" w:type="dxa"/>
            <w:noWrap w:val="0"/>
            <w:vAlign w:val="center"/>
          </w:tcPr>
          <w:p w14:paraId="4C22146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联合体投标</w:t>
            </w:r>
            <w:r>
              <w:rPr>
                <w:rFonts w:hint="eastAsia" w:ascii="宋体" w:hAnsi="宋体" w:eastAsia="仿宋" w:cs="Calibri"/>
                <w:color w:val="auto"/>
                <w:sz w:val="24"/>
                <w:highlight w:val="none"/>
                <w:lang w:val="en-US" w:eastAsia="zh-CN"/>
              </w:rPr>
              <w:t>的其他要求</w:t>
            </w:r>
          </w:p>
        </w:tc>
        <w:tc>
          <w:tcPr>
            <w:tcW w:w="7229" w:type="dxa"/>
            <w:noWrap w:val="0"/>
            <w:vAlign w:val="center"/>
          </w:tcPr>
          <w:p w14:paraId="5F95C0B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仿宋" w:hAnsi="仿宋" w:eastAsia="仿宋" w:cs="仿宋"/>
                <w:i w:val="0"/>
                <w:iCs/>
                <w:color w:val="auto"/>
                <w:sz w:val="24"/>
                <w:highlight w:val="none"/>
                <w:lang w:val="en-US" w:eastAsia="zh-CN"/>
              </w:rPr>
              <w:t>/</w:t>
            </w:r>
          </w:p>
        </w:tc>
      </w:tr>
      <w:tr w14:paraId="1016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512561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3</w:t>
            </w:r>
            <w:r>
              <w:rPr>
                <w:rFonts w:hint="eastAsia" w:ascii="宋体" w:hAnsi="宋体" w:eastAsia="仿宋" w:cs="Calibri"/>
                <w:color w:val="auto"/>
                <w:sz w:val="24"/>
                <w:highlight w:val="none"/>
              </w:rPr>
              <w:t>.3</w:t>
            </w:r>
          </w:p>
        </w:tc>
        <w:tc>
          <w:tcPr>
            <w:tcW w:w="1581" w:type="dxa"/>
            <w:noWrap w:val="0"/>
            <w:vAlign w:val="center"/>
          </w:tcPr>
          <w:p w14:paraId="7A3021F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宋体" w:cs="宋体"/>
                <w:i w:val="0"/>
                <w:iCs/>
                <w:color w:val="auto"/>
                <w:sz w:val="24"/>
                <w:highlight w:val="none"/>
                <w:lang w:eastAsia="zh-CN"/>
              </w:rPr>
            </w:pPr>
            <w:r>
              <w:rPr>
                <w:rFonts w:hint="eastAsia" w:ascii="宋体" w:hAnsi="宋体" w:eastAsia="仿宋" w:cs="Calibri"/>
                <w:color w:val="auto"/>
                <w:sz w:val="24"/>
                <w:highlight w:val="none"/>
                <w:lang w:eastAsia="zh-CN"/>
              </w:rPr>
              <w:t>投标人不得存在的其他情形</w:t>
            </w:r>
          </w:p>
        </w:tc>
        <w:tc>
          <w:tcPr>
            <w:tcW w:w="7229" w:type="dxa"/>
            <w:noWrap w:val="0"/>
            <w:vAlign w:val="center"/>
          </w:tcPr>
          <w:p w14:paraId="7A81ABD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宋体" w:cs="宋体"/>
                <w:i w:val="0"/>
                <w:iCs/>
                <w:color w:val="auto"/>
                <w:sz w:val="24"/>
                <w:highlight w:val="none"/>
                <w:lang w:eastAsia="zh-CN"/>
              </w:rPr>
            </w:pPr>
            <w:r>
              <w:rPr>
                <w:rFonts w:hint="eastAsia" w:ascii="仿宋" w:hAnsi="仿宋" w:eastAsia="仿宋" w:cs="仿宋"/>
                <w:i w:val="0"/>
                <w:iCs/>
                <w:color w:val="auto"/>
                <w:sz w:val="24"/>
                <w:highlight w:val="none"/>
                <w:lang w:val="en-US" w:eastAsia="zh-CN"/>
              </w:rPr>
              <w:t>/</w:t>
            </w:r>
          </w:p>
        </w:tc>
      </w:tr>
      <w:tr w14:paraId="2B24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38646E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8</w:t>
            </w:r>
            <w:r>
              <w:rPr>
                <w:rFonts w:hint="eastAsia" w:ascii="宋体" w:hAnsi="宋体" w:eastAsia="仿宋" w:cs="Calibri"/>
                <w:color w:val="auto"/>
                <w:sz w:val="24"/>
                <w:highlight w:val="none"/>
              </w:rPr>
              <w:t>.1</w:t>
            </w:r>
          </w:p>
        </w:tc>
        <w:tc>
          <w:tcPr>
            <w:tcW w:w="1581" w:type="dxa"/>
            <w:noWrap w:val="0"/>
            <w:vAlign w:val="center"/>
          </w:tcPr>
          <w:p w14:paraId="3C4BD68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6D5BA80A">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s="Times New Roman"/>
                <w:color w:val="auto"/>
                <w:sz w:val="24"/>
                <w:highlight w:val="none"/>
              </w:rPr>
              <w:t>由投标人自行考察现场。</w:t>
            </w:r>
          </w:p>
          <w:p w14:paraId="66487FB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4B63EB6F">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 w:val="0"/>
                <w:iCs/>
                <w:color w:val="auto"/>
                <w:sz w:val="24"/>
                <w:highlight w:val="none"/>
                <w:lang w:val="en-US" w:eastAsia="zh-CN"/>
              </w:rPr>
              <w:t>/</w:t>
            </w:r>
          </w:p>
          <w:p w14:paraId="534FF21E">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 w:val="0"/>
                <w:iCs/>
                <w:color w:val="auto"/>
                <w:sz w:val="24"/>
                <w:highlight w:val="none"/>
                <w:lang w:val="en-US" w:eastAsia="zh-CN"/>
              </w:rPr>
              <w:t>/</w:t>
            </w:r>
          </w:p>
        </w:tc>
      </w:tr>
      <w:tr w14:paraId="376B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885053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9</w:t>
            </w:r>
          </w:p>
        </w:tc>
        <w:tc>
          <w:tcPr>
            <w:tcW w:w="1581" w:type="dxa"/>
            <w:noWrap w:val="0"/>
            <w:vAlign w:val="center"/>
          </w:tcPr>
          <w:p w14:paraId="7B31514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开标前答疑会</w:t>
            </w:r>
          </w:p>
        </w:tc>
        <w:tc>
          <w:tcPr>
            <w:tcW w:w="7229" w:type="dxa"/>
            <w:noWrap w:val="0"/>
            <w:vAlign w:val="center"/>
          </w:tcPr>
          <w:p w14:paraId="6E5B89E2">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不召开</w:t>
            </w:r>
          </w:p>
          <w:p w14:paraId="37A8A15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lang w:val="en-US"/>
              </w:rPr>
            </w:pPr>
            <w:r>
              <w:rPr>
                <w:rFonts w:hint="eastAsia" w:ascii="宋体" w:hAnsi="宋体" w:eastAsia="仿宋" w:cs="Calibri"/>
                <w:color w:val="auto"/>
                <w:sz w:val="24"/>
                <w:highlight w:val="none"/>
              </w:rPr>
              <w:t>□召开，召开时间：</w:t>
            </w:r>
            <w:r>
              <w:rPr>
                <w:rFonts w:hint="eastAsia" w:ascii="仿宋" w:hAnsi="仿宋" w:eastAsia="仿宋" w:cs="仿宋"/>
                <w:i w:val="0"/>
                <w:iCs/>
                <w:color w:val="auto"/>
                <w:sz w:val="24"/>
                <w:highlight w:val="none"/>
                <w:lang w:val="en-US" w:eastAsia="zh-CN"/>
              </w:rPr>
              <w:t>/</w:t>
            </w:r>
          </w:p>
          <w:p w14:paraId="1718B688">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eastAsia="仿宋" w:cs="Calibri"/>
                <w:color w:val="auto"/>
                <w:sz w:val="24"/>
                <w:highlight w:val="none"/>
                <w:u w:val="single"/>
                <w:lang w:val="en-US"/>
              </w:rPr>
            </w:pPr>
            <w:r>
              <w:rPr>
                <w:rFonts w:hint="eastAsia" w:ascii="宋体" w:hAnsi="宋体" w:eastAsia="仿宋" w:cs="Calibri"/>
                <w:color w:val="auto"/>
                <w:sz w:val="24"/>
                <w:highlight w:val="none"/>
              </w:rPr>
              <w:t>召开地点：</w:t>
            </w:r>
            <w:r>
              <w:rPr>
                <w:rFonts w:hint="eastAsia" w:ascii="仿宋" w:hAnsi="仿宋" w:eastAsia="仿宋" w:cs="仿宋"/>
                <w:i w:val="0"/>
                <w:iCs/>
                <w:color w:val="auto"/>
                <w:sz w:val="24"/>
                <w:highlight w:val="none"/>
                <w:lang w:val="en-US" w:eastAsia="zh-CN"/>
              </w:rPr>
              <w:t>/</w:t>
            </w:r>
          </w:p>
          <w:p w14:paraId="15CF503D">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 w:val="0"/>
                <w:iCs/>
                <w:color w:val="auto"/>
                <w:sz w:val="24"/>
                <w:highlight w:val="none"/>
                <w:lang w:val="en-US" w:eastAsia="zh-CN"/>
              </w:rPr>
              <w:t>/</w:t>
            </w:r>
          </w:p>
        </w:tc>
      </w:tr>
      <w:tr w14:paraId="3A65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484711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w:t>
            </w:r>
            <w:r>
              <w:rPr>
                <w:rFonts w:hint="eastAsia" w:ascii="宋体" w:hAnsi="宋体" w:eastAsia="仿宋" w:cs="Calibri"/>
                <w:color w:val="auto"/>
                <w:sz w:val="24"/>
                <w:highlight w:val="none"/>
                <w:lang w:val="en-US" w:eastAsia="zh-CN"/>
              </w:rPr>
              <w:t>0</w:t>
            </w:r>
            <w:r>
              <w:rPr>
                <w:rFonts w:hint="eastAsia" w:ascii="宋体" w:hAnsi="宋体" w:eastAsia="仿宋" w:cs="Calibri"/>
                <w:color w:val="auto"/>
                <w:sz w:val="24"/>
                <w:highlight w:val="none"/>
              </w:rPr>
              <w:t>.1</w:t>
            </w:r>
          </w:p>
        </w:tc>
        <w:tc>
          <w:tcPr>
            <w:tcW w:w="1581" w:type="dxa"/>
            <w:noWrap w:val="0"/>
            <w:vAlign w:val="center"/>
          </w:tcPr>
          <w:p w14:paraId="4E00D63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1662F41A">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lang w:eastAsia="zh-CN"/>
              </w:rPr>
              <w:t>☑</w:t>
            </w:r>
            <w:r>
              <w:rPr>
                <w:rFonts w:hint="eastAsia" w:ascii="宋体" w:hAnsi="宋体" w:eastAsia="仿宋" w:cs="Calibri"/>
                <w:color w:val="auto"/>
                <w:sz w:val="24"/>
                <w:highlight w:val="none"/>
              </w:rPr>
              <w:t>不允许</w:t>
            </w:r>
          </w:p>
          <w:p w14:paraId="716ECB68">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Calibri"/>
                <w:color w:val="auto"/>
                <w:sz w:val="24"/>
                <w:highlight w:val="none"/>
              </w:rPr>
              <w:t>□允许：</w:t>
            </w:r>
          </w:p>
          <w:p w14:paraId="54B67C99">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lang w:val="en-US" w:eastAsia="zh-CN"/>
              </w:rPr>
            </w:pPr>
            <w:r>
              <w:rPr>
                <w:rFonts w:hint="eastAsia" w:ascii="楷体" w:hAnsi="楷体" w:eastAsia="仿宋" w:cs="Times New Roman"/>
                <w:color w:val="auto"/>
                <w:sz w:val="24"/>
                <w:highlight w:val="none"/>
              </w:rPr>
              <w:t>（1）允许分包的范围和内容：</w:t>
            </w:r>
            <w:r>
              <w:rPr>
                <w:rFonts w:hint="eastAsia" w:ascii="楷体" w:hAnsi="楷体" w:eastAsia="仿宋" w:cs="Times New Roman"/>
                <w:color w:val="auto"/>
                <w:sz w:val="24"/>
                <w:highlight w:val="none"/>
                <w:lang w:val="en-US" w:eastAsia="zh-CN"/>
              </w:rPr>
              <w:t>/</w:t>
            </w:r>
          </w:p>
          <w:p w14:paraId="5A38A0EA">
            <w:pPr>
              <w:keepNext w:val="0"/>
              <w:keepLines w:val="0"/>
              <w:widowControl/>
              <w:suppressLineNumbers w:val="0"/>
              <w:snapToGrid w:val="0"/>
              <w:spacing w:before="0" w:beforeAutospacing="0" w:after="0" w:afterAutospacing="0" w:line="288" w:lineRule="auto"/>
              <w:ind w:left="0" w:right="0"/>
              <w:rPr>
                <w:rFonts w:hint="default" w:ascii="楷体" w:hAnsi="楷体" w:eastAsia="仿宋" w:cs="Times New Roman"/>
                <w:color w:val="auto"/>
                <w:sz w:val="24"/>
                <w:highlight w:val="none"/>
                <w:lang w:val="en-US" w:eastAsia="zh-CN"/>
              </w:rPr>
            </w:pPr>
            <w:r>
              <w:rPr>
                <w:rFonts w:hint="eastAsia" w:ascii="楷体" w:hAnsi="楷体" w:eastAsia="仿宋" w:cs="Times New Roman"/>
                <w:color w:val="auto"/>
                <w:sz w:val="24"/>
                <w:highlight w:val="none"/>
              </w:rPr>
              <w:t>（2）对分包人资质要求：</w:t>
            </w:r>
            <w:r>
              <w:rPr>
                <w:rFonts w:hint="eastAsia" w:ascii="楷体" w:hAnsi="楷体" w:eastAsia="仿宋" w:cs="Times New Roman"/>
                <w:color w:val="auto"/>
                <w:sz w:val="24"/>
                <w:highlight w:val="none"/>
                <w:lang w:val="en-US" w:eastAsia="zh-CN"/>
              </w:rPr>
              <w:t>/</w:t>
            </w:r>
          </w:p>
          <w:p w14:paraId="6131AA6D">
            <w:pPr>
              <w:keepNext w:val="0"/>
              <w:keepLines w:val="0"/>
              <w:widowControl/>
              <w:suppressLineNumbers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楷体" w:hAnsi="楷体" w:eastAsia="仿宋" w:cs="Times New Roman"/>
                <w:color w:val="auto"/>
                <w:sz w:val="24"/>
                <w:highlight w:val="none"/>
              </w:rPr>
              <w:t>（3）</w:t>
            </w:r>
            <w:r>
              <w:rPr>
                <w:rFonts w:hint="eastAsia" w:ascii="楷体" w:hAnsi="楷体" w:eastAsia="仿宋" w:cs="Times New Roman"/>
                <w:color w:val="auto"/>
                <w:sz w:val="24"/>
                <w:highlight w:val="none"/>
                <w:lang w:val="en-US" w:eastAsia="zh-CN"/>
              </w:rPr>
              <w:t>为享受</w:t>
            </w:r>
            <w:r>
              <w:rPr>
                <w:rFonts w:hint="eastAsia" w:ascii="楷体" w:hAnsi="楷体" w:eastAsia="仿宋" w:cs="Times New Roman"/>
                <w:color w:val="auto"/>
                <w:sz w:val="24"/>
                <w:highlight w:val="none"/>
              </w:rPr>
              <w:t>政府采购支持中小企业发展政策</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lang w:val="en-US" w:eastAsia="zh-CN"/>
              </w:rPr>
              <w:t>参与</w:t>
            </w:r>
            <w:r>
              <w:rPr>
                <w:rFonts w:hint="eastAsia" w:ascii="楷体" w:hAnsi="楷体" w:eastAsia="仿宋" w:cs="Times New Roman"/>
                <w:color w:val="auto"/>
                <w:sz w:val="24"/>
                <w:highlight w:val="none"/>
              </w:rPr>
              <w:t>政府采购</w:t>
            </w:r>
            <w:r>
              <w:rPr>
                <w:rFonts w:hint="eastAsia" w:ascii="楷体" w:hAnsi="楷体" w:eastAsia="仿宋" w:cs="Times New Roman"/>
                <w:color w:val="auto"/>
                <w:sz w:val="24"/>
                <w:highlight w:val="none"/>
                <w:lang w:val="en-US" w:eastAsia="zh-CN"/>
              </w:rPr>
              <w:t>活动</w:t>
            </w:r>
            <w:r>
              <w:rPr>
                <w:rFonts w:hint="eastAsia" w:ascii="楷体" w:hAnsi="楷体" w:eastAsia="仿宋" w:cs="Times New Roman"/>
                <w:color w:val="auto"/>
                <w:sz w:val="24"/>
                <w:highlight w:val="none"/>
              </w:rPr>
              <w:t>的大型企业可向中小</w:t>
            </w:r>
            <w:r>
              <w:rPr>
                <w:rFonts w:hint="eastAsia" w:ascii="楷体" w:hAnsi="楷体" w:eastAsia="仿宋" w:cs="Times New Roman"/>
                <w:color w:val="auto"/>
                <w:sz w:val="24"/>
                <w:highlight w:val="none"/>
                <w:lang w:val="en-US" w:eastAsia="zh-CN"/>
              </w:rPr>
              <w:t>微</w:t>
            </w:r>
            <w:r>
              <w:rPr>
                <w:rFonts w:hint="eastAsia" w:ascii="楷体" w:hAnsi="楷体" w:eastAsia="仿宋" w:cs="Times New Roman"/>
                <w:color w:val="auto"/>
                <w:sz w:val="24"/>
                <w:highlight w:val="none"/>
              </w:rPr>
              <w:t>企业分包</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lang w:val="en-US" w:eastAsia="zh-CN"/>
              </w:rPr>
              <w:t>中型企业可向小微企业分包</w:t>
            </w:r>
            <w:r>
              <w:rPr>
                <w:rFonts w:hint="eastAsia" w:ascii="楷体" w:hAnsi="楷体" w:eastAsia="仿宋" w:cs="Times New Roman"/>
                <w:color w:val="auto"/>
                <w:sz w:val="24"/>
                <w:highlight w:val="none"/>
              </w:rPr>
              <w:t>。</w:t>
            </w:r>
          </w:p>
        </w:tc>
      </w:tr>
      <w:tr w14:paraId="7A1E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47DAD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lang w:val="en-US" w:eastAsia="zh-CN"/>
              </w:rPr>
            </w:pPr>
            <w:r>
              <w:rPr>
                <w:rFonts w:hint="eastAsia" w:ascii="宋体" w:hAnsi="宋体" w:eastAsia="仿宋" w:cs="Calibri"/>
                <w:color w:val="auto"/>
                <w:sz w:val="24"/>
                <w:highlight w:val="none"/>
                <w:lang w:val="en-US" w:eastAsia="zh-CN"/>
              </w:rPr>
              <w:t>2.2.2</w:t>
            </w:r>
          </w:p>
        </w:tc>
        <w:tc>
          <w:tcPr>
            <w:tcW w:w="1581" w:type="dxa"/>
            <w:noWrap w:val="0"/>
            <w:vAlign w:val="center"/>
          </w:tcPr>
          <w:p w14:paraId="607310AD">
            <w:pPr>
              <w:keepNext w:val="0"/>
              <w:keepLines w:val="0"/>
              <w:widowControl/>
              <w:suppressLineNumbers w:val="0"/>
              <w:adjustRightInd w:val="0"/>
              <w:snapToGrid w:val="0"/>
              <w:spacing w:before="0" w:beforeAutospacing="0" w:after="0" w:afterAutospacing="0" w:line="300" w:lineRule="auto"/>
              <w:ind w:left="0" w:right="0"/>
              <w:jc w:val="center"/>
              <w:rPr>
                <w:rFonts w:hint="default" w:ascii="Calibri" w:hAnsi="Calibri" w:eastAsia="仿宋" w:cs="Times New Roman"/>
                <w:color w:val="auto"/>
                <w:sz w:val="24"/>
                <w:highlight w:val="none"/>
              </w:rPr>
            </w:pPr>
            <w:r>
              <w:rPr>
                <w:rFonts w:hint="eastAsia" w:ascii="宋体" w:hAnsi="宋体" w:eastAsia="仿宋" w:cs="Calibri"/>
                <w:color w:val="auto"/>
                <w:sz w:val="24"/>
                <w:highlight w:val="none"/>
              </w:rPr>
              <w:t>招标文件澄清发出的形式</w:t>
            </w:r>
          </w:p>
        </w:tc>
        <w:tc>
          <w:tcPr>
            <w:tcW w:w="7229" w:type="dxa"/>
            <w:noWrap w:val="0"/>
            <w:vAlign w:val="center"/>
          </w:tcPr>
          <w:p w14:paraId="4AE43C42">
            <w:pPr>
              <w:keepNext w:val="0"/>
              <w:keepLines w:val="0"/>
              <w:widowControl/>
              <w:suppressLineNumbers w:val="0"/>
              <w:adjustRightInd w:val="0"/>
              <w:snapToGrid w:val="0"/>
              <w:spacing w:before="0" w:beforeAutospacing="0" w:after="0" w:afterAutospacing="0" w:line="300" w:lineRule="auto"/>
              <w:ind w:left="0" w:right="0"/>
              <w:rPr>
                <w:rFonts w:hint="eastAsia" w:ascii="宋体" w:hAnsi="宋体" w:eastAsia="仿宋" w:cs="Calibri"/>
                <w:color w:val="auto"/>
                <w:sz w:val="24"/>
                <w:highlight w:val="none"/>
              </w:rPr>
            </w:pPr>
            <w:r>
              <w:rPr>
                <w:rFonts w:hint="eastAsia" w:ascii="宋体" w:hAnsi="宋体" w:eastAsia="仿宋" w:cs="Times New Roman"/>
                <w:color w:val="auto"/>
                <w:sz w:val="24"/>
                <w:highlight w:val="none"/>
                <w:lang w:val="en-US" w:eastAsia="zh-CN"/>
              </w:rPr>
              <w:t>发出形式：在优质采云采购平台发布，投标人自行查看、下载，无需确认。其他方式发布的，投标人应书面确认。</w:t>
            </w:r>
          </w:p>
        </w:tc>
      </w:tr>
      <w:tr w14:paraId="53A2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D02132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35466E4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构成投标文件的其他资料</w:t>
            </w:r>
          </w:p>
        </w:tc>
        <w:tc>
          <w:tcPr>
            <w:tcW w:w="7229" w:type="dxa"/>
            <w:noWrap w:val="0"/>
            <w:vAlign w:val="center"/>
          </w:tcPr>
          <w:p w14:paraId="100C4011">
            <w:pPr>
              <w:keepNext w:val="0"/>
              <w:keepLines w:val="0"/>
              <w:suppressLineNumbers w:val="0"/>
              <w:adjustRightInd w:val="0"/>
              <w:snapToGrid w:val="0"/>
              <w:spacing w:before="0" w:beforeAutospacing="0" w:after="0" w:afterAutospacing="0" w:line="288" w:lineRule="auto"/>
              <w:ind w:left="0" w:right="0"/>
              <w:rPr>
                <w:rFonts w:hint="eastAsia" w:ascii="Calibri" w:hAnsi="Calibri" w:eastAsia="楷体" w:cs="Times New Roman"/>
                <w:color w:val="auto"/>
                <w:sz w:val="24"/>
                <w:highlight w:val="none"/>
                <w:lang w:eastAsia="zh-CN"/>
              </w:rPr>
            </w:pPr>
            <w:r>
              <w:rPr>
                <w:rFonts w:hint="eastAsia" w:ascii="楷体" w:hAnsi="楷体" w:eastAsia="仿宋" w:cs="Times New Roman"/>
                <w:color w:val="auto"/>
                <w:sz w:val="24"/>
                <w:highlight w:val="none"/>
                <w:lang w:val="en-US" w:eastAsia="zh-CN"/>
              </w:rPr>
              <w:t>/</w:t>
            </w:r>
          </w:p>
        </w:tc>
      </w:tr>
      <w:tr w14:paraId="6CF2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9" w:hRule="atLeast"/>
        </w:trPr>
        <w:tc>
          <w:tcPr>
            <w:tcW w:w="857" w:type="dxa"/>
            <w:noWrap w:val="0"/>
            <w:vAlign w:val="center"/>
          </w:tcPr>
          <w:p w14:paraId="5119E95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4AAC333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540CD25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b/>
                <w:bCs/>
                <w:color w:val="auto"/>
                <w:sz w:val="24"/>
                <w:highlight w:val="none"/>
              </w:rPr>
            </w:pPr>
            <w:r>
              <w:rPr>
                <w:rFonts w:hint="eastAsia" w:ascii="宋体" w:hAnsi="宋体" w:eastAsia="仿宋" w:cs="Times New Roman"/>
                <w:b/>
                <w:bCs/>
                <w:color w:val="auto"/>
                <w:sz w:val="24"/>
                <w:highlight w:val="none"/>
              </w:rPr>
              <w:t>是否要求投标人提交样品：</w:t>
            </w:r>
          </w:p>
          <w:p w14:paraId="07889834">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rPr>
              <w:t>否</w:t>
            </w:r>
          </w:p>
          <w:p w14:paraId="01FE17A6">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□是，提交样品的具体要求：</w:t>
            </w:r>
          </w:p>
          <w:p w14:paraId="004D15CB">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（1）</w:t>
            </w:r>
            <w:r>
              <w:rPr>
                <w:rFonts w:hint="eastAsia" w:ascii="仿宋" w:hAnsi="仿宋" w:eastAsia="仿宋" w:cs="仿宋"/>
                <w:snapToGrid w:val="0"/>
                <w:color w:val="auto"/>
                <w:kern w:val="28"/>
                <w:sz w:val="24"/>
                <w:highlight w:val="none"/>
                <w:lang w:bidi="ar"/>
              </w:rPr>
              <w:t>样品制作的标准和要求：详见</w:t>
            </w:r>
            <w:r>
              <w:rPr>
                <w:rFonts w:hint="eastAsia" w:ascii="仿宋" w:hAnsi="仿宋" w:eastAsia="仿宋" w:cs="仿宋"/>
                <w:snapToGrid w:val="0"/>
                <w:color w:val="auto"/>
                <w:kern w:val="28"/>
                <w:sz w:val="24"/>
                <w:highlight w:val="none"/>
                <w:lang w:val="en-US" w:eastAsia="zh-CN" w:bidi="ar"/>
              </w:rPr>
              <w:t>第三章“</w:t>
            </w:r>
            <w:r>
              <w:rPr>
                <w:rFonts w:hint="eastAsia" w:ascii="仿宋" w:hAnsi="仿宋" w:eastAsia="仿宋" w:cs="仿宋"/>
                <w:color w:val="auto"/>
                <w:sz w:val="24"/>
                <w:highlight w:val="none"/>
                <w:lang w:val="en-US" w:eastAsia="zh-CN" w:bidi="ar"/>
              </w:rPr>
              <w:t>采购需求”</w:t>
            </w:r>
            <w:r>
              <w:rPr>
                <w:rFonts w:hint="eastAsia" w:ascii="仿宋" w:hAnsi="仿宋" w:eastAsia="仿宋" w:cs="仿宋"/>
                <w:color w:val="auto"/>
                <w:kern w:val="0"/>
                <w:sz w:val="24"/>
                <w:highlight w:val="none"/>
                <w:lang w:bidi="ar"/>
              </w:rPr>
              <w:t>；</w:t>
            </w:r>
          </w:p>
          <w:p w14:paraId="10EF15A8">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bidi="ar"/>
              </w:rPr>
              <w:t>）样品的评审方法以及评审标准</w:t>
            </w:r>
            <w:r>
              <w:rPr>
                <w:rFonts w:hint="eastAsia" w:ascii="仿宋" w:hAnsi="仿宋" w:eastAsia="仿宋" w:cs="仿宋"/>
                <w:snapToGrid w:val="0"/>
                <w:color w:val="auto"/>
                <w:kern w:val="28"/>
                <w:sz w:val="24"/>
                <w:highlight w:val="none"/>
                <w:lang w:bidi="ar"/>
              </w:rPr>
              <w:t>：详见</w:t>
            </w:r>
            <w:r>
              <w:rPr>
                <w:rFonts w:hint="eastAsia" w:ascii="仿宋" w:hAnsi="仿宋" w:eastAsia="仿宋" w:cs="仿宋"/>
                <w:snapToGrid w:val="0"/>
                <w:color w:val="auto"/>
                <w:kern w:val="28"/>
                <w:sz w:val="24"/>
                <w:highlight w:val="none"/>
                <w:lang w:val="en-US" w:eastAsia="zh-CN" w:bidi="ar"/>
              </w:rPr>
              <w:t>第四章“资格审查和</w:t>
            </w:r>
            <w:r>
              <w:rPr>
                <w:rFonts w:hint="eastAsia" w:ascii="仿宋" w:hAnsi="仿宋" w:eastAsia="仿宋" w:cs="仿宋"/>
                <w:color w:val="auto"/>
                <w:sz w:val="24"/>
                <w:highlight w:val="none"/>
                <w:lang w:bidi="ar"/>
              </w:rPr>
              <w:t>评标办法</w:t>
            </w:r>
            <w:r>
              <w:rPr>
                <w:rFonts w:hint="eastAsia" w:ascii="仿宋" w:hAnsi="仿宋" w:eastAsia="仿宋" w:cs="仿宋"/>
                <w:color w:val="auto"/>
                <w:sz w:val="24"/>
                <w:highlight w:val="none"/>
                <w:lang w:eastAsia="zh-CN" w:bidi="ar"/>
              </w:rPr>
              <w:t>”</w:t>
            </w:r>
            <w:r>
              <w:rPr>
                <w:rFonts w:hint="eastAsia" w:ascii="仿宋" w:hAnsi="仿宋" w:eastAsia="仿宋" w:cs="仿宋"/>
                <w:color w:val="auto"/>
                <w:kern w:val="0"/>
                <w:sz w:val="24"/>
                <w:highlight w:val="none"/>
                <w:lang w:bidi="ar"/>
              </w:rPr>
              <w:t>；</w:t>
            </w:r>
          </w:p>
          <w:p w14:paraId="0DAA60E2">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）是否需要随样品提交检测报告：</w:t>
            </w:r>
            <w:r>
              <w:rPr>
                <w:rFonts w:hint="eastAsia" w:ascii="仿宋" w:hAnsi="仿宋" w:eastAsia="仿宋" w:cs="仿宋"/>
                <w:color w:val="auto"/>
                <w:kern w:val="0"/>
                <w:sz w:val="24"/>
                <w:highlight w:val="none"/>
                <w:lang w:bidi="ar"/>
              </w:rPr>
              <w:sym w:font="Wingdings" w:char="00FE"/>
            </w:r>
            <w:r>
              <w:rPr>
                <w:rFonts w:hint="eastAsia" w:ascii="仿宋" w:hAnsi="仿宋" w:eastAsia="仿宋" w:cs="仿宋"/>
                <w:color w:val="auto"/>
                <w:kern w:val="0"/>
                <w:sz w:val="24"/>
                <w:highlight w:val="none"/>
                <w:lang w:bidi="ar"/>
              </w:rPr>
              <w:t>否；☐是，检测机构的要求</w:t>
            </w:r>
            <w:r>
              <w:rPr>
                <w:rFonts w:hint="eastAsia" w:ascii="仿宋" w:hAnsi="仿宋" w:eastAsia="仿宋" w:cs="仿宋"/>
                <w:color w:val="auto"/>
                <w:sz w:val="24"/>
                <w:highlight w:val="none"/>
                <w:lang w:bidi="ar"/>
              </w:rPr>
              <w:t>：</w:t>
            </w:r>
            <w:r>
              <w:rPr>
                <w:rFonts w:hint="eastAsia" w:ascii="楷体" w:hAnsi="楷体" w:eastAsia="仿宋" w:cs="Times New Roman"/>
                <w:color w:val="auto"/>
                <w:sz w:val="24"/>
                <w:highlight w:val="none"/>
              </w:rPr>
              <w:t>；检测内容：</w:t>
            </w:r>
            <w:r>
              <w:rPr>
                <w:rFonts w:hint="eastAsia" w:ascii="仿宋" w:hAnsi="仿宋" w:eastAsia="仿宋" w:cs="仿宋"/>
                <w:color w:val="auto"/>
                <w:kern w:val="0"/>
                <w:sz w:val="24"/>
                <w:highlight w:val="none"/>
                <w:lang w:bidi="ar"/>
              </w:rPr>
              <w:t>。</w:t>
            </w:r>
          </w:p>
          <w:p w14:paraId="62975022">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bidi="ar"/>
              </w:rPr>
              <w:t>）提供样品的时间：</w:t>
            </w:r>
            <w:r>
              <w:rPr>
                <w:rFonts w:hint="eastAsia" w:ascii="楷体" w:hAnsi="楷体" w:eastAsia="仿宋" w:cs="Times New Roman"/>
                <w:color w:val="auto"/>
                <w:sz w:val="24"/>
                <w:highlight w:val="none"/>
              </w:rPr>
              <w:t>投标截止时间前</w:t>
            </w:r>
            <w:r>
              <w:rPr>
                <w:rFonts w:hint="eastAsia" w:ascii="仿宋" w:hAnsi="仿宋" w:eastAsia="仿宋" w:cs="仿宋"/>
                <w:color w:val="auto"/>
                <w:kern w:val="0"/>
                <w:sz w:val="24"/>
                <w:highlight w:val="none"/>
                <w:lang w:bidi="ar"/>
              </w:rPr>
              <w:t>；地点：；联系人</w:t>
            </w:r>
            <w:r>
              <w:rPr>
                <w:rFonts w:hint="eastAsia" w:ascii="仿宋" w:hAnsi="仿宋" w:eastAsia="仿宋" w:cs="仿宋"/>
                <w:color w:val="auto"/>
                <w:sz w:val="24"/>
                <w:highlight w:val="none"/>
                <w:lang w:bidi="ar"/>
              </w:rPr>
              <w:t>：，</w:t>
            </w:r>
            <w:r>
              <w:rPr>
                <w:rFonts w:hint="eastAsia" w:ascii="仿宋" w:hAnsi="仿宋" w:eastAsia="仿宋" w:cs="仿宋"/>
                <w:color w:val="auto"/>
                <w:kern w:val="28"/>
                <w:sz w:val="24"/>
                <w:highlight w:val="none"/>
                <w:lang w:bidi="ar"/>
              </w:rPr>
              <w:t>联系电话：</w:t>
            </w:r>
            <w:r>
              <w:rPr>
                <w:rFonts w:hint="eastAsia" w:ascii="仿宋" w:hAnsi="仿宋" w:eastAsia="仿宋" w:cs="仿宋"/>
                <w:color w:val="auto"/>
                <w:sz w:val="24"/>
                <w:highlight w:val="none"/>
                <w:lang w:bidi="ar"/>
              </w:rPr>
              <w:t>。</w:t>
            </w:r>
          </w:p>
          <w:p w14:paraId="13129A1A">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请</w:t>
            </w:r>
            <w:r>
              <w:rPr>
                <w:rFonts w:hint="eastAsia" w:ascii="仿宋" w:hAnsi="仿宋" w:eastAsia="仿宋" w:cs="仿宋"/>
                <w:color w:val="auto"/>
                <w:sz w:val="24"/>
                <w:highlight w:val="none"/>
                <w:lang w:eastAsia="zh-CN" w:bidi="ar"/>
              </w:rPr>
              <w:t>供应商</w:t>
            </w:r>
            <w:r>
              <w:rPr>
                <w:rFonts w:hint="eastAsia" w:ascii="仿宋" w:hAnsi="仿宋" w:eastAsia="仿宋" w:cs="仿宋"/>
                <w:color w:val="auto"/>
                <w:sz w:val="24"/>
                <w:highlight w:val="none"/>
                <w:lang w:bidi="ar"/>
              </w:rPr>
              <w:t>按上述时间规定提供样品。未按规定递交的，采购代理机构将不予接收。</w:t>
            </w:r>
          </w:p>
          <w:p w14:paraId="4C701241">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5</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中标人样品的保管：</w:t>
            </w:r>
            <w:r>
              <w:rPr>
                <w:rFonts w:hint="eastAsia" w:ascii="楷体" w:hAnsi="楷体" w:eastAsia="仿宋" w:cs="Times New Roman"/>
                <w:color w:val="auto"/>
                <w:sz w:val="24"/>
                <w:highlight w:val="none"/>
              </w:rPr>
              <w:t>采购代理机构自</w:t>
            </w:r>
            <w:r>
              <w:rPr>
                <w:rFonts w:hint="eastAsia" w:ascii="楷体" w:hAnsi="楷体" w:eastAsia="仿宋" w:cs="Times New Roman"/>
                <w:color w:val="auto"/>
                <w:sz w:val="24"/>
                <w:highlight w:val="none"/>
                <w:lang w:eastAsia="zh-CN"/>
              </w:rPr>
              <w:t>中标结果公告</w:t>
            </w:r>
            <w:r>
              <w:rPr>
                <w:rFonts w:hint="eastAsia" w:ascii="楷体" w:hAnsi="楷体" w:eastAsia="仿宋" w:cs="Times New Roman"/>
                <w:color w:val="auto"/>
                <w:sz w:val="24"/>
                <w:highlight w:val="none"/>
              </w:rPr>
              <w:t>发布之日起3个工作日内，将中标人样品移交采购人。由采购人进行保管、封存，并作为履约验收的参考。</w:t>
            </w:r>
          </w:p>
          <w:p w14:paraId="536CDF21">
            <w:pPr>
              <w:keepNext w:val="0"/>
              <w:keepLines w:val="0"/>
              <w:suppressLineNumbers w:val="0"/>
              <w:adjustRightInd w:val="0"/>
              <w:spacing w:before="0" w:beforeAutospacing="0" w:after="0" w:afterAutospacing="0" w:line="288" w:lineRule="auto"/>
              <w:ind w:left="0" w:right="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）未中标人样品的退还：</w:t>
            </w:r>
            <w:r>
              <w:rPr>
                <w:rFonts w:hint="eastAsia" w:ascii="楷体" w:hAnsi="楷体" w:eastAsia="仿宋" w:cs="Times New Roman"/>
                <w:color w:val="auto"/>
                <w:sz w:val="24"/>
                <w:highlight w:val="none"/>
              </w:rPr>
              <w:t>自</w:t>
            </w:r>
            <w:r>
              <w:rPr>
                <w:rFonts w:hint="eastAsia" w:ascii="楷体" w:hAnsi="楷体" w:eastAsia="仿宋" w:cs="Times New Roman"/>
                <w:color w:val="auto"/>
                <w:sz w:val="24"/>
                <w:highlight w:val="none"/>
                <w:lang w:eastAsia="zh-CN"/>
              </w:rPr>
              <w:t>中标结果公告</w:t>
            </w:r>
            <w:r>
              <w:rPr>
                <w:rFonts w:hint="eastAsia" w:ascii="楷体" w:hAnsi="楷体" w:eastAsia="仿宋" w:cs="Times New Roman"/>
                <w:color w:val="auto"/>
                <w:sz w:val="24"/>
                <w:highlight w:val="none"/>
                <w:lang w:val="en-US" w:eastAsia="zh-CN"/>
              </w:rPr>
              <w:t>/终止公告</w:t>
            </w:r>
            <w:r>
              <w:rPr>
                <w:rFonts w:hint="eastAsia" w:ascii="楷体" w:hAnsi="楷体" w:eastAsia="仿宋" w:cs="Times New Roman"/>
                <w:color w:val="auto"/>
                <w:sz w:val="24"/>
                <w:highlight w:val="none"/>
              </w:rPr>
              <w:t>发布之日起3个工作日内，</w:t>
            </w:r>
            <w:r>
              <w:rPr>
                <w:rFonts w:hint="eastAsia" w:ascii="楷体" w:hAnsi="楷体" w:eastAsia="仿宋" w:cs="Times New Roman"/>
                <w:color w:val="auto"/>
                <w:sz w:val="24"/>
                <w:highlight w:val="none"/>
                <w:lang w:eastAsia="zh-CN"/>
              </w:rPr>
              <w:t>供应商</w:t>
            </w:r>
            <w:r>
              <w:rPr>
                <w:rFonts w:hint="eastAsia" w:ascii="楷体" w:hAnsi="楷体" w:eastAsia="仿宋" w:cs="Times New Roman"/>
                <w:color w:val="auto"/>
                <w:sz w:val="24"/>
                <w:highlight w:val="none"/>
              </w:rPr>
              <w:t>自行取回。逾期未取的，样品的损毁、灭失责任由</w:t>
            </w:r>
            <w:r>
              <w:rPr>
                <w:rFonts w:hint="eastAsia" w:ascii="楷体" w:hAnsi="楷体" w:eastAsia="仿宋" w:cs="Times New Roman"/>
                <w:color w:val="auto"/>
                <w:sz w:val="24"/>
                <w:highlight w:val="none"/>
                <w:lang w:eastAsia="zh-CN"/>
              </w:rPr>
              <w:t>供应商</w:t>
            </w:r>
            <w:r>
              <w:rPr>
                <w:rFonts w:hint="eastAsia" w:ascii="楷体" w:hAnsi="楷体" w:eastAsia="仿宋" w:cs="Times New Roman"/>
                <w:color w:val="auto"/>
                <w:sz w:val="24"/>
                <w:highlight w:val="none"/>
              </w:rPr>
              <w:t>承担。</w:t>
            </w:r>
          </w:p>
        </w:tc>
      </w:tr>
      <w:tr w14:paraId="77E4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2C315F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0C9CED1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投标报价包括的内容</w:t>
            </w:r>
          </w:p>
        </w:tc>
        <w:tc>
          <w:tcPr>
            <w:tcW w:w="7229" w:type="dxa"/>
            <w:noWrap w:val="0"/>
            <w:vAlign w:val="center"/>
          </w:tcPr>
          <w:p w14:paraId="1C92DF84">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楷体" w:cs="Times New Roman"/>
                <w:bCs/>
                <w:color w:val="auto"/>
                <w:sz w:val="24"/>
                <w:highlight w:val="none"/>
              </w:rPr>
            </w:pPr>
            <w:r>
              <w:rPr>
                <w:rFonts w:hint="eastAsia" w:ascii="楷体" w:hAnsi="楷体" w:eastAsia="仿宋" w:cs="Times New Roman"/>
                <w:bCs/>
                <w:color w:val="auto"/>
                <w:sz w:val="24"/>
                <w:highlight w:val="none"/>
              </w:rPr>
              <w:t>投标报价</w:t>
            </w:r>
            <w:r>
              <w:rPr>
                <w:rFonts w:hint="eastAsia" w:ascii="楷体" w:hAnsi="楷体" w:eastAsia="仿宋" w:cs="Times New Roman"/>
                <w:bCs/>
                <w:color w:val="auto"/>
                <w:sz w:val="24"/>
                <w:highlight w:val="none"/>
                <w:lang w:eastAsia="zh-CN"/>
              </w:rPr>
              <w:t>包括</w:t>
            </w:r>
            <w:r>
              <w:rPr>
                <w:rFonts w:hint="eastAsia" w:ascii="楷体" w:hAnsi="楷体" w:eastAsia="仿宋" w:cs="Times New Roman"/>
                <w:bCs/>
                <w:color w:val="auto"/>
                <w:sz w:val="24"/>
                <w:highlight w:val="none"/>
              </w:rPr>
              <w:t>提供服务的一切成本和费用、管理费、利润和税金，以及采购合同中明示或暗示的所有责任、义务和风险。</w:t>
            </w:r>
          </w:p>
        </w:tc>
      </w:tr>
      <w:tr w14:paraId="0EBB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A4802B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rPr>
              <w:t>3.2.</w:t>
            </w:r>
            <w:r>
              <w:rPr>
                <w:rFonts w:hint="eastAsia" w:ascii="宋体" w:hAnsi="宋体" w:eastAsia="仿宋" w:cs="Calibri"/>
                <w:color w:val="auto"/>
                <w:sz w:val="24"/>
                <w:highlight w:val="none"/>
                <w:lang w:val="en-US" w:eastAsia="zh-CN"/>
              </w:rPr>
              <w:t>4</w:t>
            </w:r>
          </w:p>
        </w:tc>
        <w:tc>
          <w:tcPr>
            <w:tcW w:w="1581" w:type="dxa"/>
            <w:noWrap w:val="0"/>
            <w:vAlign w:val="center"/>
          </w:tcPr>
          <w:p w14:paraId="3EA3611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投标报价的其他要求</w:t>
            </w:r>
          </w:p>
        </w:tc>
        <w:tc>
          <w:tcPr>
            <w:tcW w:w="7229" w:type="dxa"/>
            <w:noWrap w:val="0"/>
            <w:vAlign w:val="center"/>
          </w:tcPr>
          <w:p w14:paraId="7EEA610A">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bCs/>
                <w:color w:val="auto"/>
                <w:sz w:val="24"/>
                <w:highlight w:val="none"/>
              </w:rPr>
            </w:pPr>
            <w:r>
              <w:rPr>
                <w:rFonts w:hint="eastAsia" w:ascii="楷体" w:hAnsi="楷体" w:eastAsia="仿宋" w:cs="Times New Roman"/>
                <w:bCs/>
                <w:color w:val="auto"/>
                <w:sz w:val="24"/>
                <w:highlight w:val="none"/>
              </w:rPr>
              <w:t>□除招标文件另有规定外，投标人所报的单价在合同执行过程中固定不变，不得以任何理由予以变更。</w:t>
            </w:r>
          </w:p>
          <w:p w14:paraId="5AA1445D">
            <w:pPr>
              <w:keepNext w:val="0"/>
              <w:keepLines w:val="0"/>
              <w:widowControl/>
              <w:suppressLineNumbers w:val="0"/>
              <w:adjustRightInd w:val="0"/>
              <w:snapToGrid w:val="0"/>
              <w:spacing w:before="0" w:beforeAutospacing="0" w:after="0" w:afterAutospacing="0" w:line="288" w:lineRule="auto"/>
              <w:ind w:left="0" w:right="0"/>
              <w:rPr>
                <w:rFonts w:hint="eastAsia" w:ascii="Calibri" w:hAnsi="宋体" w:cs="Times New Roman"/>
                <w:bCs/>
                <w:color w:val="auto"/>
                <w:sz w:val="24"/>
                <w:szCs w:val="24"/>
                <w:highlight w:val="none"/>
              </w:rPr>
            </w:pPr>
            <w:r>
              <w:rPr>
                <w:rFonts w:hint="eastAsia" w:ascii="楷体" w:hAnsi="楷体" w:eastAsia="仿宋" w:cs="Times New Roman"/>
                <w:bCs/>
                <w:color w:val="auto"/>
                <w:sz w:val="24"/>
                <w:highlight w:val="none"/>
                <w:lang w:eastAsia="zh-CN"/>
              </w:rPr>
              <w:t>☑</w:t>
            </w:r>
            <w:r>
              <w:rPr>
                <w:rFonts w:hint="eastAsia" w:ascii="楷体" w:hAnsi="楷体" w:eastAsia="仿宋" w:cs="Times New Roman"/>
                <w:bCs/>
                <w:color w:val="auto"/>
                <w:sz w:val="24"/>
                <w:highlight w:val="none"/>
              </w:rPr>
              <w:t>投标人所报的总价在合同执行过程中固定不变，不得以任何理由予以变更。</w:t>
            </w:r>
          </w:p>
        </w:tc>
      </w:tr>
      <w:tr w14:paraId="5CB0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5E9552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3DEE06A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投标有效期</w:t>
            </w:r>
          </w:p>
        </w:tc>
        <w:tc>
          <w:tcPr>
            <w:tcW w:w="7229" w:type="dxa"/>
            <w:noWrap w:val="0"/>
            <w:vAlign w:val="center"/>
          </w:tcPr>
          <w:p w14:paraId="1D04F83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u w:val="none"/>
              </w:rPr>
              <w:t>90</w:t>
            </w:r>
            <w:r>
              <w:rPr>
                <w:rFonts w:hint="eastAsia" w:ascii="宋体" w:hAnsi="宋体" w:eastAsia="仿宋" w:cs="Calibri"/>
                <w:color w:val="auto"/>
                <w:sz w:val="24"/>
                <w:highlight w:val="none"/>
              </w:rPr>
              <w:t>日历天</w:t>
            </w:r>
            <w:r>
              <w:rPr>
                <w:rFonts w:hint="eastAsia" w:ascii="宋体" w:hAnsi="宋体" w:eastAsia="仿宋" w:cs="Times New Roman"/>
                <w:color w:val="auto"/>
                <w:sz w:val="24"/>
                <w:highlight w:val="none"/>
              </w:rPr>
              <w:t>（从投标截止之日算起）</w:t>
            </w:r>
          </w:p>
        </w:tc>
      </w:tr>
      <w:tr w14:paraId="1B30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0BC1B52">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61430C0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投标保证金</w:t>
            </w:r>
          </w:p>
        </w:tc>
        <w:tc>
          <w:tcPr>
            <w:tcW w:w="7229" w:type="dxa"/>
            <w:noWrap w:val="0"/>
            <w:vAlign w:val="center"/>
          </w:tcPr>
          <w:p w14:paraId="5D738DF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Times New Roman"/>
                <w:i/>
                <w:color w:val="auto"/>
                <w:sz w:val="24"/>
                <w:highlight w:val="none"/>
              </w:rPr>
            </w:pPr>
            <w:r>
              <w:rPr>
                <w:rFonts w:hint="eastAsia" w:ascii="Calibri" w:hAnsi="Calibri" w:eastAsia="仿宋" w:cs="Times New Roman"/>
                <w:color w:val="auto"/>
                <w:sz w:val="24"/>
                <w:highlight w:val="none"/>
              </w:rPr>
              <w:t>不要求</w:t>
            </w:r>
            <w:r>
              <w:rPr>
                <w:rFonts w:hint="eastAsia" w:ascii="Calibri" w:hAnsi="Calibri" w:eastAsia="仿宋" w:cs="Times New Roman"/>
                <w:color w:val="auto"/>
                <w:sz w:val="24"/>
                <w:highlight w:val="none"/>
                <w:lang w:val="en-US" w:eastAsia="zh-CN"/>
              </w:rPr>
              <w:t>提交</w:t>
            </w:r>
            <w:r>
              <w:rPr>
                <w:rFonts w:hint="eastAsia" w:ascii="Calibri" w:hAnsi="Calibri" w:eastAsia="仿宋" w:cs="Times New Roman"/>
                <w:color w:val="auto"/>
                <w:sz w:val="24"/>
                <w:highlight w:val="none"/>
              </w:rPr>
              <w:t>。</w:t>
            </w:r>
          </w:p>
        </w:tc>
      </w:tr>
      <w:tr w14:paraId="4502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715C3A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3.6.1</w:t>
            </w:r>
          </w:p>
        </w:tc>
        <w:tc>
          <w:tcPr>
            <w:tcW w:w="1581" w:type="dxa"/>
            <w:noWrap w:val="0"/>
            <w:vAlign w:val="center"/>
          </w:tcPr>
          <w:p w14:paraId="49FD779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是否允许递交备选投标方案</w:t>
            </w:r>
          </w:p>
        </w:tc>
        <w:tc>
          <w:tcPr>
            <w:tcW w:w="7229" w:type="dxa"/>
            <w:noWrap w:val="0"/>
            <w:vAlign w:val="center"/>
          </w:tcPr>
          <w:p w14:paraId="40BF0D53">
            <w:pPr>
              <w:keepNext w:val="0"/>
              <w:keepLines w:val="0"/>
              <w:widowControl/>
              <w:suppressLineNumbers w:val="0"/>
              <w:topLinePunct/>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rPr>
              <w:t>不允许</w:t>
            </w:r>
          </w:p>
          <w:p w14:paraId="5D53A2F2">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□允许，并满足以下条件：</w:t>
            </w:r>
          </w:p>
        </w:tc>
      </w:tr>
      <w:tr w14:paraId="6C28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99F16B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3.7.4（1）</w:t>
            </w:r>
          </w:p>
        </w:tc>
        <w:tc>
          <w:tcPr>
            <w:tcW w:w="1581" w:type="dxa"/>
            <w:noWrap w:val="0"/>
            <w:vAlign w:val="center"/>
          </w:tcPr>
          <w:p w14:paraId="133B351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rPr>
              <w:t>投标文件</w:t>
            </w:r>
            <w:r>
              <w:rPr>
                <w:rFonts w:hint="eastAsia" w:ascii="宋体" w:hAnsi="宋体" w:eastAsia="仿宋" w:cs="Calibri"/>
                <w:color w:val="auto"/>
                <w:sz w:val="24"/>
                <w:highlight w:val="none"/>
                <w:lang w:val="en-US" w:eastAsia="zh-CN"/>
              </w:rPr>
              <w:t>制作</w:t>
            </w:r>
          </w:p>
        </w:tc>
        <w:tc>
          <w:tcPr>
            <w:tcW w:w="7229" w:type="dxa"/>
            <w:noWrap w:val="0"/>
            <w:vAlign w:val="center"/>
          </w:tcPr>
          <w:p w14:paraId="3E7CB283">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楷体" w:hAnsi="楷体" w:eastAsia="仿宋" w:cs="Calibri"/>
                <w:color w:val="auto"/>
                <w:sz w:val="24"/>
                <w:highlight w:val="none"/>
                <w:lang w:val="en-US" w:eastAsia="zh-CN"/>
              </w:rPr>
              <w:t>见本章附件一《全流程电子招标采购具体要求》</w:t>
            </w:r>
          </w:p>
        </w:tc>
      </w:tr>
      <w:tr w14:paraId="27A8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83EFF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3.7.4（3）</w:t>
            </w:r>
          </w:p>
        </w:tc>
        <w:tc>
          <w:tcPr>
            <w:tcW w:w="1581" w:type="dxa"/>
            <w:noWrap w:val="0"/>
            <w:vAlign w:val="center"/>
          </w:tcPr>
          <w:p w14:paraId="1B8F030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投标文件所附证书证件要求</w:t>
            </w:r>
          </w:p>
        </w:tc>
        <w:tc>
          <w:tcPr>
            <w:tcW w:w="7229" w:type="dxa"/>
            <w:noWrap w:val="0"/>
            <w:vAlign w:val="center"/>
          </w:tcPr>
          <w:p w14:paraId="6BAF7B43">
            <w:pPr>
              <w:keepNext w:val="0"/>
              <w:keepLines w:val="0"/>
              <w:widowControl/>
              <w:suppressLineNumbers w:val="0"/>
              <w:topLinePunct/>
              <w:adjustRightInd w:val="0"/>
              <w:snapToGrid w:val="0"/>
              <w:spacing w:before="0" w:beforeAutospacing="0" w:after="0" w:afterAutospacing="0" w:line="288" w:lineRule="auto"/>
              <w:ind w:left="0" w:right="0"/>
              <w:rPr>
                <w:rFonts w:hint="default" w:ascii="楷体" w:hAnsi="楷体" w:eastAsia="仿宋" w:cs="Times New Roman"/>
                <w:bCs/>
                <w:color w:val="auto"/>
                <w:sz w:val="24"/>
                <w:highlight w:val="none"/>
                <w:lang w:val="en-US" w:eastAsia="zh-CN"/>
              </w:rPr>
            </w:pPr>
            <w:r>
              <w:rPr>
                <w:rFonts w:hint="eastAsia" w:ascii="楷体" w:hAnsi="楷体" w:eastAsia="仿宋" w:cs="Calibri"/>
                <w:color w:val="auto"/>
                <w:sz w:val="24"/>
                <w:highlight w:val="none"/>
              </w:rPr>
              <w:t>电子投标文件所附证书证件均应为投标人证书证件的</w:t>
            </w:r>
            <w:r>
              <w:rPr>
                <w:rFonts w:hint="eastAsia" w:ascii="楷体" w:hAnsi="楷体" w:eastAsia="仿宋" w:cs="Calibri"/>
                <w:color w:val="auto"/>
                <w:sz w:val="24"/>
                <w:highlight w:val="none"/>
                <w:lang w:eastAsia="zh-CN"/>
              </w:rPr>
              <w:t>扫描件</w:t>
            </w:r>
            <w:r>
              <w:rPr>
                <w:rFonts w:hint="eastAsia" w:ascii="楷体" w:hAnsi="楷体" w:eastAsia="仿宋" w:cs="Calibri"/>
                <w:color w:val="auto"/>
                <w:sz w:val="24"/>
                <w:highlight w:val="none"/>
                <w:lang w:val="en-US" w:eastAsia="zh-CN"/>
              </w:rPr>
              <w:t>或电子证照。</w:t>
            </w:r>
          </w:p>
        </w:tc>
      </w:tr>
      <w:tr w14:paraId="7F0A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282233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3.7.4（5）</w:t>
            </w:r>
          </w:p>
        </w:tc>
        <w:tc>
          <w:tcPr>
            <w:tcW w:w="1581" w:type="dxa"/>
            <w:noWrap w:val="0"/>
            <w:vAlign w:val="center"/>
          </w:tcPr>
          <w:p w14:paraId="1B802AD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投标文件份数及其他要求</w:t>
            </w:r>
          </w:p>
        </w:tc>
        <w:tc>
          <w:tcPr>
            <w:tcW w:w="7229" w:type="dxa"/>
            <w:noWrap w:val="0"/>
            <w:vAlign w:val="center"/>
          </w:tcPr>
          <w:p w14:paraId="201FC041">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投标人应提交的投标文件：</w:t>
            </w:r>
          </w:p>
          <w:p w14:paraId="7AE6A13E">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（1）加密的电子投标文件：使用优质采云采购平台电子标书制作工具制作生成的加密投标文件，应在投标截止时间前通过</w:t>
            </w:r>
            <w:r>
              <w:rPr>
                <w:rFonts w:hint="eastAsia" w:ascii="楷体" w:hAnsi="楷体" w:eastAsia="仿宋" w:cs="Microsoft JhengHei"/>
                <w:color w:val="auto"/>
                <w:kern w:val="0"/>
                <w:sz w:val="24"/>
                <w:highlight w:val="none"/>
              </w:rPr>
              <w:t>“优质采招标采购平台(www.yzczb.com)”或“优质采云采购平台(www.youzhicai.com)”</w:t>
            </w:r>
            <w:r>
              <w:rPr>
                <w:rFonts w:hint="eastAsia" w:ascii="楷体" w:hAnsi="楷体" w:eastAsia="仿宋" w:cs="Calibri"/>
                <w:color w:val="auto"/>
                <w:sz w:val="24"/>
                <w:highlight w:val="none"/>
              </w:rPr>
              <w:t>上传；</w:t>
            </w:r>
          </w:p>
          <w:p w14:paraId="7136778A">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（2）未加密的电子投标文件：生成加密投标文件时同时生成的版本，提供1份（光盘或U盘介质，格式为bzc格式），可密封提交（投标人自行确定是否提交）。</w:t>
            </w:r>
          </w:p>
          <w:p w14:paraId="51976C4E">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投标文件如不一致时，按以下顺序确定其投标文件效力：</w:t>
            </w:r>
          </w:p>
          <w:p w14:paraId="2A0A5DC9">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w:t>
            </w:r>
          </w:p>
          <w:p w14:paraId="3F1B80A8">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rPr>
              <w:t>（2）未加密的电子投标文件。</w:t>
            </w:r>
          </w:p>
        </w:tc>
      </w:tr>
      <w:tr w14:paraId="305F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9DAA62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4.1.1</w:t>
            </w:r>
          </w:p>
        </w:tc>
        <w:tc>
          <w:tcPr>
            <w:tcW w:w="1581" w:type="dxa"/>
            <w:noWrap w:val="0"/>
            <w:vAlign w:val="center"/>
          </w:tcPr>
          <w:p w14:paraId="79056BA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投标文件加密要求</w:t>
            </w:r>
          </w:p>
        </w:tc>
        <w:tc>
          <w:tcPr>
            <w:tcW w:w="7229" w:type="dxa"/>
            <w:noWrap w:val="0"/>
            <w:vAlign w:val="center"/>
          </w:tcPr>
          <w:p w14:paraId="5C8EFF81">
            <w:pPr>
              <w:keepNext w:val="0"/>
              <w:keepLines w:val="0"/>
              <w:widowControl/>
              <w:suppressLineNumbers w:val="0"/>
              <w:wordWrap w:val="0"/>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lang w:val="en-US" w:eastAsia="zh-CN"/>
              </w:rPr>
              <w:t>见本章附件一《全流程电子招标采购具体要求》</w:t>
            </w:r>
          </w:p>
        </w:tc>
      </w:tr>
      <w:tr w14:paraId="4F16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14F266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4.2.2</w:t>
            </w:r>
          </w:p>
        </w:tc>
        <w:tc>
          <w:tcPr>
            <w:tcW w:w="1581" w:type="dxa"/>
            <w:noWrap w:val="0"/>
            <w:vAlign w:val="center"/>
          </w:tcPr>
          <w:p w14:paraId="16FFE92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递交投标文件的电子交易平台</w:t>
            </w:r>
          </w:p>
        </w:tc>
        <w:tc>
          <w:tcPr>
            <w:tcW w:w="7229" w:type="dxa"/>
            <w:noWrap w:val="0"/>
            <w:vAlign w:val="center"/>
          </w:tcPr>
          <w:p w14:paraId="77876A81">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Microsoft JhengHei"/>
                <w:color w:val="auto"/>
                <w:kern w:val="0"/>
                <w:sz w:val="24"/>
                <w:highlight w:val="none"/>
              </w:rPr>
            </w:pPr>
            <w:r>
              <w:rPr>
                <w:rFonts w:hint="eastAsia" w:ascii="楷体" w:hAnsi="楷体" w:eastAsia="仿宋" w:cs="Microsoft JhengHei"/>
                <w:color w:val="auto"/>
                <w:kern w:val="0"/>
                <w:sz w:val="24"/>
                <w:highlight w:val="none"/>
              </w:rPr>
              <w:t>“优质采招标采购平台(www.yzczb.com)”或“优质采云采购平台(www.youzhicai.com)”</w:t>
            </w:r>
          </w:p>
          <w:p w14:paraId="0A3B96B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iCs/>
                <w:color w:val="auto"/>
                <w:sz w:val="24"/>
                <w:highlight w:val="none"/>
              </w:rPr>
            </w:pPr>
            <w:r>
              <w:rPr>
                <w:rFonts w:hint="eastAsia" w:ascii="楷体" w:hAnsi="楷体" w:eastAsia="仿宋" w:cs="Times New Roman"/>
                <w:color w:val="auto"/>
                <w:sz w:val="24"/>
                <w:highlight w:val="none"/>
              </w:rPr>
              <w:t>如未在招标文件规定的投标时间截止前网上上传加密的电子投标文件，而只递交了未加密的电子投标文件的，投标无效。</w:t>
            </w:r>
          </w:p>
        </w:tc>
      </w:tr>
      <w:tr w14:paraId="153D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CFCEF1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67D5787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是否退还投标文件</w:t>
            </w:r>
          </w:p>
        </w:tc>
        <w:tc>
          <w:tcPr>
            <w:tcW w:w="7229" w:type="dxa"/>
            <w:noWrap w:val="0"/>
            <w:vAlign w:val="center"/>
          </w:tcPr>
          <w:p w14:paraId="1885926D">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lang w:val="en-US" w:eastAsia="zh-CN"/>
              </w:rPr>
            </w:pPr>
            <w:r>
              <w:rPr>
                <w:rFonts w:hint="eastAsia" w:ascii="宋体" w:hAnsi="宋体" w:eastAsia="仿宋" w:cs="Times New Roman"/>
                <w:b/>
                <w:bCs/>
                <w:color w:val="auto"/>
                <w:sz w:val="24"/>
                <w:highlight w:val="none"/>
              </w:rPr>
              <w:sym w:font="Wingdings" w:char="F0FE"/>
            </w:r>
            <w:r>
              <w:rPr>
                <w:rFonts w:hint="eastAsia" w:ascii="宋体" w:hAnsi="宋体" w:eastAsia="仿宋" w:cs="Calibri"/>
                <w:color w:val="auto"/>
                <w:sz w:val="24"/>
                <w:highlight w:val="none"/>
              </w:rPr>
              <w:t>否，其中样品的退还规定</w:t>
            </w:r>
            <w:r>
              <w:rPr>
                <w:rFonts w:hint="eastAsia" w:ascii="宋体" w:hAnsi="宋体" w:eastAsia="仿宋" w:cs="Calibri"/>
                <w:color w:val="auto"/>
                <w:sz w:val="24"/>
                <w:highlight w:val="none"/>
                <w:lang w:val="en-US" w:eastAsia="zh-CN"/>
              </w:rPr>
              <w:t>见本章第3.1.4项</w:t>
            </w:r>
          </w:p>
          <w:p w14:paraId="7923AE48">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□是，退还安排：</w:t>
            </w:r>
            <w:r>
              <w:rPr>
                <w:rFonts w:hint="default" w:ascii="宋体" w:hAnsi="宋体" w:eastAsia="仿宋" w:cs="Calibri"/>
                <w:color w:val="auto"/>
                <w:sz w:val="24"/>
                <w:highlight w:val="none"/>
                <w:u w:val="single"/>
              </w:rPr>
              <w:t xml:space="preserve">                         </w:t>
            </w:r>
          </w:p>
        </w:tc>
      </w:tr>
      <w:tr w14:paraId="529F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942E77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5.2（4）</w:t>
            </w:r>
          </w:p>
        </w:tc>
        <w:tc>
          <w:tcPr>
            <w:tcW w:w="1581" w:type="dxa"/>
            <w:noWrap w:val="0"/>
            <w:vAlign w:val="center"/>
          </w:tcPr>
          <w:p w14:paraId="7A5F60B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开标程序</w:t>
            </w:r>
          </w:p>
        </w:tc>
        <w:tc>
          <w:tcPr>
            <w:tcW w:w="7229" w:type="dxa"/>
            <w:noWrap w:val="0"/>
            <w:vAlign w:val="center"/>
          </w:tcPr>
          <w:p w14:paraId="1756C696">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u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u w:val="none"/>
              </w:rPr>
              <w:t>30分钟以内，以电子交易平台时间为准</w:t>
            </w:r>
          </w:p>
          <w:p w14:paraId="7FD7ACE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u w:val="none"/>
              </w:rPr>
              <w:t>其他要求：</w:t>
            </w:r>
            <w:r>
              <w:rPr>
                <w:rFonts w:hint="eastAsia" w:ascii="楷体" w:hAnsi="楷体" w:eastAsia="仿宋" w:cs="Calibri"/>
                <w:color w:val="auto"/>
                <w:sz w:val="24"/>
                <w:highlight w:val="none"/>
                <w:u w:val="none"/>
              </w:rPr>
              <w:t>投标文件解密可以采用网上远程方式，无需到开标现场进行解密。解密的CA锁必须与投标文件加密的CA锁一致，否则造成的后果由投标人自行承担</w:t>
            </w:r>
          </w:p>
        </w:tc>
      </w:tr>
      <w:tr w14:paraId="49D3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6C0C83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6.3.2</w:t>
            </w:r>
          </w:p>
        </w:tc>
        <w:tc>
          <w:tcPr>
            <w:tcW w:w="1581" w:type="dxa"/>
            <w:noWrap w:val="0"/>
            <w:vAlign w:val="center"/>
          </w:tcPr>
          <w:p w14:paraId="03DDFD6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评标委员会推荐中标候选人的人数</w:t>
            </w:r>
          </w:p>
        </w:tc>
        <w:tc>
          <w:tcPr>
            <w:tcW w:w="7229" w:type="dxa"/>
            <w:noWrap w:val="0"/>
            <w:vAlign w:val="center"/>
          </w:tcPr>
          <w:p w14:paraId="47DC4178">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评标委员会推荐的中标候选人数量：</w:t>
            </w:r>
            <w:r>
              <w:rPr>
                <w:rFonts w:hint="eastAsia" w:ascii="宋体" w:hAnsi="宋体" w:eastAsia="仿宋" w:cs="Calibri"/>
                <w:color w:val="auto"/>
                <w:sz w:val="24"/>
                <w:highlight w:val="none"/>
                <w:u w:val="single"/>
              </w:rPr>
              <w:t>1-3名</w:t>
            </w:r>
          </w:p>
        </w:tc>
      </w:tr>
      <w:tr w14:paraId="49E5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FB8D2D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4EC93DF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是否授权评标委员会确定中标人</w:t>
            </w:r>
          </w:p>
        </w:tc>
        <w:tc>
          <w:tcPr>
            <w:tcW w:w="7229" w:type="dxa"/>
            <w:noWrap w:val="0"/>
            <w:vAlign w:val="center"/>
          </w:tcPr>
          <w:p w14:paraId="366AB0C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rPr>
              <w:t>否</w:t>
            </w:r>
          </w:p>
          <w:p w14:paraId="0D7A84F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lang w:val="en-US" w:eastAsia="zh-CN"/>
              </w:rPr>
            </w:pPr>
            <w:r>
              <w:rPr>
                <w:rFonts w:hint="eastAsia" w:ascii="宋体" w:hAnsi="宋体" w:eastAsia="仿宋" w:cs="Calibri"/>
                <w:color w:val="auto"/>
                <w:sz w:val="24"/>
                <w:highlight w:val="none"/>
              </w:rPr>
              <w:t>□是</w:t>
            </w:r>
          </w:p>
        </w:tc>
      </w:tr>
      <w:tr w14:paraId="0F23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313294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61D453D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中标结果公告</w:t>
            </w:r>
          </w:p>
        </w:tc>
        <w:tc>
          <w:tcPr>
            <w:tcW w:w="7229" w:type="dxa"/>
            <w:noWrap w:val="0"/>
            <w:vAlign w:val="center"/>
          </w:tcPr>
          <w:p w14:paraId="55060410">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u w:val="none"/>
              </w:rPr>
            </w:pPr>
            <w:r>
              <w:rPr>
                <w:rFonts w:hint="eastAsia" w:ascii="宋体" w:hAnsi="宋体" w:eastAsia="仿宋" w:cs="Times New Roman"/>
                <w:color w:val="auto"/>
                <w:sz w:val="24"/>
                <w:highlight w:val="none"/>
              </w:rPr>
              <w:t>公告方式：</w:t>
            </w:r>
            <w:r>
              <w:rPr>
                <w:rFonts w:hint="eastAsia" w:ascii="宋体" w:hAnsi="宋体" w:eastAsia="仿宋" w:cs="Times New Roman"/>
                <w:color w:val="auto"/>
                <w:sz w:val="24"/>
                <w:highlight w:val="none"/>
                <w:u w:val="none"/>
              </w:rPr>
              <w:t>在发布招标公告的媒介上发布本项目中标结果公告</w:t>
            </w:r>
          </w:p>
          <w:p w14:paraId="7B628F9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u w:val="single"/>
              </w:rPr>
            </w:pPr>
            <w:r>
              <w:rPr>
                <w:rFonts w:hint="eastAsia" w:ascii="宋体" w:hAnsi="宋体" w:eastAsia="仿宋" w:cs="Times New Roman"/>
                <w:color w:val="auto"/>
                <w:sz w:val="24"/>
                <w:highlight w:val="none"/>
                <w:u w:val="none"/>
              </w:rPr>
              <w:t>公告内容：按照财政部《政府采购公告和公示信息格式规范（2020年版）》中的“中标（成交）结果公告”格式及内容编制</w:t>
            </w:r>
          </w:p>
        </w:tc>
      </w:tr>
      <w:tr w14:paraId="08E8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7F84F0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w:t>
            </w:r>
            <w:r>
              <w:rPr>
                <w:rFonts w:hint="eastAsia" w:ascii="宋体" w:hAnsi="宋体" w:eastAsia="仿宋" w:cs="Calibri"/>
                <w:color w:val="auto"/>
                <w:sz w:val="24"/>
                <w:highlight w:val="none"/>
                <w:lang w:val="en-US" w:eastAsia="zh-CN"/>
              </w:rPr>
              <w:t>2</w:t>
            </w:r>
            <w:r>
              <w:rPr>
                <w:rFonts w:hint="eastAsia" w:ascii="宋体" w:hAnsi="宋体" w:eastAsia="仿宋" w:cs="Calibri"/>
                <w:color w:val="auto"/>
                <w:sz w:val="24"/>
                <w:highlight w:val="none"/>
              </w:rPr>
              <w:t>.2</w:t>
            </w:r>
          </w:p>
        </w:tc>
        <w:tc>
          <w:tcPr>
            <w:tcW w:w="1581" w:type="dxa"/>
            <w:noWrap w:val="0"/>
            <w:vAlign w:val="center"/>
          </w:tcPr>
          <w:p w14:paraId="16650D7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招标代理服务费</w:t>
            </w:r>
          </w:p>
        </w:tc>
        <w:tc>
          <w:tcPr>
            <w:tcW w:w="7229" w:type="dxa"/>
            <w:noWrap w:val="0"/>
            <w:vAlign w:val="center"/>
          </w:tcPr>
          <w:p w14:paraId="2DEA4A8C">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楷体" w:cs="Calibri"/>
                <w:i/>
                <w:color w:val="auto"/>
                <w:sz w:val="24"/>
                <w:highlight w:val="none"/>
              </w:rPr>
            </w:pPr>
            <w:r>
              <w:rPr>
                <w:rFonts w:hint="eastAsia" w:ascii="楷体" w:hAnsi="楷体" w:eastAsia="仿宋" w:cs="Calibri"/>
                <w:color w:val="auto"/>
                <w:sz w:val="24"/>
                <w:highlight w:val="none"/>
              </w:rPr>
              <w:t>参照国家发展改革委发改价格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2011</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534号文件、发改办价格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2003</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857号文件、计价格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2002</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1980号文件规定收费标准</w:t>
            </w:r>
            <w:r>
              <w:rPr>
                <w:rFonts w:hint="eastAsia" w:ascii="楷体" w:hAnsi="楷体" w:eastAsia="仿宋" w:cs="Calibri"/>
                <w:color w:val="auto"/>
                <w:sz w:val="24"/>
                <w:highlight w:val="none"/>
                <w:lang w:val="en-US" w:eastAsia="zh-CN"/>
              </w:rPr>
              <w:t>的70%</w:t>
            </w:r>
            <w:r>
              <w:rPr>
                <w:rFonts w:hint="eastAsia" w:ascii="楷体" w:hAnsi="楷体" w:eastAsia="仿宋" w:cs="Calibri"/>
                <w:color w:val="auto"/>
                <w:sz w:val="24"/>
                <w:highlight w:val="none"/>
              </w:rPr>
              <w:t>计取，由中标人在领取中标通知书时，向采购代理机构支付。</w:t>
            </w:r>
          </w:p>
        </w:tc>
      </w:tr>
      <w:tr w14:paraId="2B65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11D59F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w:t>
            </w:r>
            <w:r>
              <w:rPr>
                <w:rFonts w:hint="eastAsia" w:ascii="宋体" w:hAnsi="宋体" w:eastAsia="仿宋" w:cs="Calibri"/>
                <w:color w:val="auto"/>
                <w:sz w:val="24"/>
                <w:highlight w:val="none"/>
                <w:lang w:val="en-US" w:eastAsia="zh-CN"/>
              </w:rPr>
              <w:t>3</w:t>
            </w:r>
            <w:r>
              <w:rPr>
                <w:rFonts w:hint="eastAsia" w:ascii="宋体" w:hAnsi="宋体" w:eastAsia="仿宋" w:cs="Calibri"/>
                <w:color w:val="auto"/>
                <w:sz w:val="24"/>
                <w:highlight w:val="none"/>
              </w:rPr>
              <w:t>.1</w:t>
            </w:r>
          </w:p>
        </w:tc>
        <w:tc>
          <w:tcPr>
            <w:tcW w:w="1581" w:type="dxa"/>
            <w:noWrap w:val="0"/>
            <w:vAlign w:val="center"/>
          </w:tcPr>
          <w:p w14:paraId="1954F6D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5161630E">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是否要求投标人提交履约保证金：</w:t>
            </w:r>
          </w:p>
          <w:p w14:paraId="582C19BB">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r>
              <w:rPr>
                <w:rFonts w:hint="eastAsia" w:ascii="Calibri" w:hAnsi="Calibri" w:eastAsia="仿宋" w:cs="Times New Roman"/>
                <w:color w:val="auto"/>
                <w:sz w:val="24"/>
                <w:highlight w:val="none"/>
              </w:rPr>
              <w:t>不要求。</w:t>
            </w:r>
          </w:p>
          <w:p w14:paraId="481E2C7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u w:val="none"/>
              </w:rPr>
            </w:pPr>
            <w:r>
              <w:rPr>
                <w:rFonts w:hint="eastAsia" w:ascii="宋体" w:hAnsi="宋体" w:eastAsia="仿宋" w:cs="Times New Roman"/>
                <w:color w:val="auto"/>
                <w:sz w:val="24"/>
                <w:highlight w:val="none"/>
                <w:lang w:eastAsia="zh-CN"/>
              </w:rPr>
              <w:t>☑</w:t>
            </w:r>
            <w:r>
              <w:rPr>
                <w:rFonts w:hint="eastAsia" w:ascii="Calibri" w:hAnsi="Calibri" w:eastAsia="仿宋" w:cs="Times New Roman"/>
                <w:color w:val="auto"/>
                <w:sz w:val="24"/>
                <w:highlight w:val="none"/>
              </w:rPr>
              <w:t>要求，</w:t>
            </w:r>
            <w:r>
              <w:rPr>
                <w:rFonts w:hint="default" w:ascii="宋体" w:hAnsi="宋体" w:eastAsia="仿宋" w:cs="Times New Roman"/>
                <w:color w:val="auto"/>
                <w:sz w:val="24"/>
                <w:highlight w:val="none"/>
              </w:rPr>
              <w:t>履约保证金的形式</w:t>
            </w:r>
            <w:r>
              <w:rPr>
                <w:rFonts w:hint="default" w:ascii="宋体" w:hAnsi="宋体" w:eastAsia="仿宋" w:cs="Times New Roman"/>
                <w:color w:val="auto"/>
                <w:sz w:val="24"/>
                <w:highlight w:val="none"/>
                <w:u w:val="none"/>
              </w:rPr>
              <w:t>：</w:t>
            </w:r>
            <w:r>
              <w:rPr>
                <w:rFonts w:hint="eastAsia" w:ascii="楷体" w:hAnsi="楷体" w:eastAsia="仿宋" w:cs="Times New Roman"/>
                <w:color w:val="auto"/>
                <w:sz w:val="24"/>
                <w:highlight w:val="none"/>
                <w:u w:val="none"/>
              </w:rPr>
              <w:t>保函（格式：见招标文件</w:t>
            </w:r>
            <w:r>
              <w:rPr>
                <w:rFonts w:hint="eastAsia" w:ascii="楷体" w:hAnsi="楷体" w:eastAsia="仿宋" w:cs="Times New Roman"/>
                <w:color w:val="auto"/>
                <w:sz w:val="24"/>
                <w:highlight w:val="none"/>
                <w:u w:val="none"/>
                <w:lang w:val="en-US" w:eastAsia="zh-CN"/>
              </w:rPr>
              <w:t>第五章附件</w:t>
            </w:r>
            <w:r>
              <w:rPr>
                <w:rFonts w:hint="eastAsia" w:ascii="楷体" w:hAnsi="楷体" w:eastAsia="仿宋" w:cs="Times New Roman"/>
                <w:color w:val="auto"/>
                <w:sz w:val="24"/>
                <w:highlight w:val="none"/>
                <w:u w:val="none"/>
              </w:rPr>
              <w:t>）、转账/电汇、支票、汇票、本票、保险</w:t>
            </w:r>
          </w:p>
          <w:p w14:paraId="3828D88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u w:val="none"/>
              </w:rPr>
            </w:pPr>
            <w:r>
              <w:rPr>
                <w:rFonts w:hint="default" w:ascii="宋体" w:hAnsi="宋体" w:eastAsia="仿宋" w:cs="Times New Roman"/>
                <w:color w:val="auto"/>
                <w:sz w:val="24"/>
                <w:highlight w:val="none"/>
                <w:u w:val="none"/>
              </w:rPr>
              <w:t>履约保证金的金额：</w:t>
            </w:r>
            <w:r>
              <w:rPr>
                <w:rFonts w:hint="eastAsia" w:ascii="楷体" w:hAnsi="楷体" w:eastAsia="仿宋" w:cs="Times New Roman"/>
                <w:color w:val="auto"/>
                <w:sz w:val="24"/>
                <w:highlight w:val="none"/>
                <w:u w:val="none"/>
              </w:rPr>
              <w:t>合同金额的2.5%</w:t>
            </w:r>
          </w:p>
          <w:p w14:paraId="6807B04C">
            <w:pPr>
              <w:pStyle w:val="23"/>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u w:val="none"/>
              </w:rPr>
            </w:pPr>
            <w:r>
              <w:rPr>
                <w:rFonts w:hint="eastAsia" w:hAnsi="宋体" w:eastAsia="仿宋" w:cs="Times New Roman"/>
                <w:color w:val="auto"/>
                <w:sz w:val="24"/>
                <w:szCs w:val="24"/>
                <w:highlight w:val="none"/>
                <w:u w:val="none"/>
              </w:rPr>
              <w:t>履约保证金提交时间：</w:t>
            </w:r>
            <w:r>
              <w:rPr>
                <w:rFonts w:hint="eastAsia" w:hAnsi="宋体" w:eastAsia="仿宋" w:cs="Times New Roman"/>
                <w:color w:val="auto"/>
                <w:sz w:val="24"/>
                <w:szCs w:val="24"/>
                <w:highlight w:val="none"/>
                <w:u w:val="none"/>
                <w:lang w:val="en-US" w:eastAsia="zh-CN"/>
              </w:rPr>
              <w:t>采购</w:t>
            </w:r>
            <w:r>
              <w:rPr>
                <w:rFonts w:hint="eastAsia" w:ascii="楷体" w:hAnsi="楷体" w:eastAsia="仿宋" w:cs="Times New Roman"/>
                <w:color w:val="auto"/>
                <w:sz w:val="24"/>
                <w:szCs w:val="24"/>
                <w:highlight w:val="none"/>
                <w:u w:val="none"/>
              </w:rPr>
              <w:t>合同</w:t>
            </w:r>
            <w:r>
              <w:rPr>
                <w:rFonts w:hint="eastAsia" w:ascii="楷体" w:hAnsi="楷体" w:eastAsia="仿宋" w:cs="Times New Roman"/>
                <w:color w:val="auto"/>
                <w:sz w:val="24"/>
                <w:szCs w:val="24"/>
                <w:highlight w:val="none"/>
                <w:u w:val="none"/>
                <w:lang w:val="en-US" w:eastAsia="zh-CN"/>
              </w:rPr>
              <w:t>签订</w:t>
            </w:r>
            <w:r>
              <w:rPr>
                <w:rFonts w:hint="eastAsia" w:ascii="楷体" w:hAnsi="楷体" w:eastAsia="仿宋" w:cs="Times New Roman"/>
                <w:color w:val="auto"/>
                <w:sz w:val="24"/>
                <w:szCs w:val="24"/>
                <w:highlight w:val="none"/>
                <w:u w:val="none"/>
              </w:rPr>
              <w:t>前</w:t>
            </w:r>
          </w:p>
          <w:p w14:paraId="0D99C40B">
            <w:pPr>
              <w:pStyle w:val="23"/>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u w:val="none"/>
              </w:rPr>
            </w:pPr>
            <w:r>
              <w:rPr>
                <w:rFonts w:hint="eastAsia" w:hAnsi="宋体" w:eastAsia="仿宋" w:cs="Times New Roman"/>
                <w:color w:val="auto"/>
                <w:sz w:val="24"/>
                <w:szCs w:val="24"/>
                <w:highlight w:val="none"/>
                <w:u w:val="none"/>
              </w:rPr>
              <w:t>履约保证金退还时间：</w:t>
            </w:r>
            <w:r>
              <w:rPr>
                <w:rFonts w:hint="eastAsia" w:ascii="楷体" w:hAnsi="楷体" w:eastAsia="仿宋" w:cs="Times New Roman"/>
                <w:color w:val="auto"/>
                <w:sz w:val="24"/>
                <w:szCs w:val="24"/>
                <w:highlight w:val="none"/>
                <w:u w:val="none"/>
              </w:rPr>
              <w:t>验收合格后退还</w:t>
            </w:r>
          </w:p>
          <w:p w14:paraId="5A2BCBF1">
            <w:pPr>
              <w:pStyle w:val="23"/>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r>
              <w:rPr>
                <w:rFonts w:hint="eastAsia" w:hAnsi="宋体" w:eastAsia="仿宋" w:cs="Times New Roman"/>
                <w:color w:val="auto"/>
                <w:sz w:val="24"/>
                <w:szCs w:val="24"/>
                <w:highlight w:val="none"/>
              </w:rPr>
              <w:t>未按规定提交履约保证金，视为中标</w:t>
            </w:r>
            <w:r>
              <w:rPr>
                <w:rFonts w:hint="eastAsia" w:hAnsi="宋体" w:eastAsia="仿宋" w:cs="Times New Roman"/>
                <w:color w:val="auto"/>
                <w:sz w:val="24"/>
                <w:szCs w:val="24"/>
                <w:highlight w:val="none"/>
                <w:lang w:val="en-US" w:eastAsia="zh-CN"/>
              </w:rPr>
              <w:t>人</w:t>
            </w:r>
            <w:r>
              <w:rPr>
                <w:rFonts w:hint="eastAsia" w:hAnsi="宋体" w:eastAsia="仿宋" w:cs="Times New Roman"/>
                <w:color w:val="auto"/>
                <w:sz w:val="24"/>
                <w:szCs w:val="24"/>
                <w:highlight w:val="none"/>
              </w:rPr>
              <w:t>拒绝与采购人签订合同。采购人可按评标委员会推荐的中标候选人名单排序确定下一候选人为中标人，或者重新开展采购活动。</w:t>
            </w:r>
          </w:p>
          <w:p w14:paraId="00E222A9">
            <w:pPr>
              <w:pStyle w:val="23"/>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p>
          <w:p w14:paraId="5B7E3CB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675B508D">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0CA6BF6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5E45CB8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5687BB3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073742F0">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B8A9529">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5DA485DD">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cs="Times New Roman"/>
                <w:color w:val="auto"/>
                <w:highlight w:val="none"/>
              </w:rPr>
            </w:pPr>
            <w:r>
              <w:rPr>
                <w:rFonts w:hint="eastAsia" w:ascii="宋体" w:hAnsi="宋体" w:eastAsia="仿宋" w:cs="Calibri"/>
                <w:b w:val="0"/>
                <w:bCs w:val="0"/>
                <w:color w:val="auto"/>
                <w:kern w:val="2"/>
                <w:sz w:val="24"/>
                <w:szCs w:val="24"/>
                <w:highlight w:val="none"/>
                <w:lang w:val="en-US" w:eastAsia="zh-CN" w:bidi="ar-SA"/>
              </w:rPr>
              <w:t>④采用电子保函的，可访问安徽省政府采购网“融资/保函”栏目进行申请。</w:t>
            </w:r>
          </w:p>
        </w:tc>
      </w:tr>
      <w:tr w14:paraId="04DA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86034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w:t>
            </w:r>
            <w:r>
              <w:rPr>
                <w:rFonts w:hint="eastAsia" w:ascii="宋体" w:hAnsi="宋体" w:eastAsia="仿宋" w:cs="Calibri"/>
                <w:color w:val="auto"/>
                <w:sz w:val="24"/>
                <w:highlight w:val="none"/>
                <w:lang w:val="en-US" w:eastAsia="zh-CN"/>
              </w:rPr>
              <w:t>4</w:t>
            </w:r>
            <w:r>
              <w:rPr>
                <w:rFonts w:hint="eastAsia" w:ascii="宋体" w:hAnsi="宋体" w:eastAsia="仿宋" w:cs="Calibri"/>
                <w:color w:val="auto"/>
                <w:sz w:val="24"/>
                <w:highlight w:val="none"/>
              </w:rPr>
              <w:t>.1</w:t>
            </w:r>
          </w:p>
        </w:tc>
        <w:tc>
          <w:tcPr>
            <w:tcW w:w="1581" w:type="dxa"/>
            <w:noWrap w:val="0"/>
            <w:vAlign w:val="center"/>
          </w:tcPr>
          <w:p w14:paraId="72DD0E6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合同签订时间</w:t>
            </w:r>
          </w:p>
        </w:tc>
        <w:tc>
          <w:tcPr>
            <w:tcW w:w="7229" w:type="dxa"/>
            <w:noWrap w:val="0"/>
            <w:vAlign w:val="center"/>
          </w:tcPr>
          <w:p w14:paraId="3428833F">
            <w:pPr>
              <w:pStyle w:val="23"/>
              <w:keepNext w:val="0"/>
              <w:keepLines w:val="0"/>
              <w:widowControl/>
              <w:suppressLineNumbers w:val="0"/>
              <w:adjustRightInd w:val="0"/>
              <w:snapToGrid w:val="0"/>
              <w:spacing w:before="0" w:beforeAutospacing="0" w:after="0" w:afterAutospacing="0" w:line="288" w:lineRule="auto"/>
              <w:ind w:left="0" w:right="0"/>
              <w:rPr>
                <w:rFonts w:hint="eastAsia" w:hAnsi="宋体" w:cs="Times New Roman"/>
                <w:color w:val="auto"/>
                <w:sz w:val="24"/>
                <w:szCs w:val="24"/>
                <w:highlight w:val="none"/>
              </w:rPr>
            </w:pPr>
            <w:r>
              <w:rPr>
                <w:rFonts w:hint="eastAsia" w:ascii="楷体" w:hAnsi="楷体" w:eastAsia="仿宋" w:cs="楷体"/>
                <w:color w:val="auto"/>
                <w:sz w:val="24"/>
                <w:szCs w:val="24"/>
                <w:highlight w:val="none"/>
                <w:lang w:eastAsia="zh-CN"/>
              </w:rPr>
              <w:t>中标结果公告</w:t>
            </w:r>
            <w:r>
              <w:rPr>
                <w:rFonts w:hint="eastAsia" w:ascii="楷体" w:hAnsi="楷体" w:eastAsia="仿宋" w:cs="楷体"/>
                <w:color w:val="auto"/>
                <w:sz w:val="24"/>
                <w:szCs w:val="24"/>
                <w:highlight w:val="none"/>
              </w:rPr>
              <w:t>发布</w:t>
            </w:r>
            <w:r>
              <w:rPr>
                <w:rFonts w:hint="eastAsia" w:ascii="楷体" w:hAnsi="楷体" w:eastAsia="仿宋" w:cs="楷体"/>
                <w:color w:val="auto"/>
                <w:sz w:val="24"/>
                <w:szCs w:val="24"/>
                <w:highlight w:val="none"/>
                <w:lang w:eastAsia="zh-CN"/>
              </w:rPr>
              <w:t>（中标通知书发出）</w:t>
            </w:r>
            <w:r>
              <w:rPr>
                <w:rFonts w:hint="eastAsia" w:ascii="楷体" w:hAnsi="楷体" w:eastAsia="仿宋" w:cs="楷体"/>
                <w:color w:val="auto"/>
                <w:sz w:val="24"/>
                <w:szCs w:val="24"/>
                <w:highlight w:val="none"/>
              </w:rPr>
              <w:t>之日起7个工作日内</w:t>
            </w:r>
          </w:p>
        </w:tc>
      </w:tr>
      <w:tr w14:paraId="17AB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9CDF4A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lang w:val="en-US" w:eastAsia="zh-CN"/>
              </w:rPr>
              <w:t>9</w:t>
            </w:r>
            <w:r>
              <w:rPr>
                <w:rFonts w:hint="eastAsia" w:ascii="宋体" w:hAnsi="宋体" w:eastAsia="仿宋" w:cs="Calibri"/>
                <w:color w:val="auto"/>
                <w:sz w:val="24"/>
                <w:highlight w:val="none"/>
              </w:rPr>
              <w:t>.</w:t>
            </w:r>
            <w:r>
              <w:rPr>
                <w:rFonts w:hint="eastAsia" w:ascii="宋体" w:hAnsi="宋体" w:eastAsia="仿宋" w:cs="Calibri"/>
                <w:color w:val="auto"/>
                <w:sz w:val="24"/>
                <w:highlight w:val="none"/>
                <w:lang w:val="en-US" w:eastAsia="zh-CN"/>
              </w:rPr>
              <w:t>1</w:t>
            </w:r>
            <w:r>
              <w:rPr>
                <w:rFonts w:hint="eastAsia" w:ascii="宋体" w:hAnsi="宋体" w:eastAsia="仿宋" w:cs="Calibri"/>
                <w:color w:val="auto"/>
                <w:sz w:val="24"/>
                <w:highlight w:val="none"/>
              </w:rPr>
              <w:t>.1</w:t>
            </w:r>
          </w:p>
        </w:tc>
        <w:tc>
          <w:tcPr>
            <w:tcW w:w="1581" w:type="dxa"/>
            <w:noWrap w:val="0"/>
            <w:vAlign w:val="center"/>
          </w:tcPr>
          <w:p w14:paraId="2DD3C0F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lang w:val="en-US" w:eastAsia="zh-CN"/>
              </w:rPr>
            </w:pPr>
            <w:r>
              <w:rPr>
                <w:rFonts w:hint="default" w:ascii="Calibri" w:hAnsi="Calibri" w:eastAsia="仿宋" w:cs="Times New Roman"/>
                <w:color w:val="auto"/>
                <w:sz w:val="24"/>
                <w:highlight w:val="none"/>
              </w:rPr>
              <w:t>投标人</w:t>
            </w:r>
            <w:r>
              <w:rPr>
                <w:rFonts w:hint="eastAsia" w:ascii="Calibri" w:hAnsi="Calibri" w:eastAsia="仿宋" w:cs="Times New Roman"/>
                <w:color w:val="auto"/>
                <w:sz w:val="24"/>
                <w:highlight w:val="none"/>
                <w:lang w:val="en-US" w:eastAsia="zh-CN"/>
              </w:rPr>
              <w:t>提出询问</w:t>
            </w:r>
            <w:r>
              <w:rPr>
                <w:rFonts w:hint="eastAsia" w:ascii="宋体" w:hAnsi="宋体" w:eastAsia="仿宋" w:cs="Calibri"/>
                <w:color w:val="auto"/>
                <w:sz w:val="24"/>
                <w:highlight w:val="none"/>
              </w:rPr>
              <w:t>的时间</w:t>
            </w:r>
          </w:p>
        </w:tc>
        <w:tc>
          <w:tcPr>
            <w:tcW w:w="7229" w:type="dxa"/>
            <w:noWrap w:val="0"/>
            <w:vAlign w:val="center"/>
          </w:tcPr>
          <w:p w14:paraId="523DFF3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Calibri" w:hAnsi="Calibri" w:eastAsia="仿宋" w:cs="Times New Roman"/>
                <w:color w:val="auto"/>
                <w:sz w:val="24"/>
                <w:highlight w:val="none"/>
                <w:lang w:val="en-US" w:eastAsia="zh-CN"/>
              </w:rPr>
              <w:t>提出</w:t>
            </w:r>
            <w:r>
              <w:rPr>
                <w:rFonts w:hint="eastAsia" w:ascii="宋体" w:hAnsi="宋体" w:eastAsia="仿宋" w:cs="Calibri"/>
                <w:color w:val="auto"/>
                <w:sz w:val="24"/>
                <w:highlight w:val="none"/>
              </w:rPr>
              <w:t>时间：</w:t>
            </w:r>
            <w:r>
              <w:rPr>
                <w:rFonts w:hint="default" w:ascii="楷体" w:hAnsi="楷体" w:eastAsia="仿宋" w:cs="Times New Roman"/>
                <w:color w:val="auto"/>
                <w:sz w:val="24"/>
                <w:highlight w:val="none"/>
                <w:u w:val="none"/>
              </w:rPr>
              <w:t>在</w:t>
            </w:r>
            <w:r>
              <w:rPr>
                <w:rFonts w:hint="eastAsia" w:ascii="楷体" w:hAnsi="楷体" w:eastAsia="仿宋" w:cs="Times New Roman"/>
                <w:color w:val="auto"/>
                <w:sz w:val="24"/>
                <w:highlight w:val="none"/>
                <w:u w:val="none"/>
              </w:rPr>
              <w:t>投标截止时间</w:t>
            </w:r>
            <w:r>
              <w:rPr>
                <w:rFonts w:hint="eastAsia" w:ascii="楷体" w:hAnsi="楷体" w:eastAsia="仿宋" w:cs="Times New Roman"/>
                <w:color w:val="auto"/>
                <w:sz w:val="24"/>
                <w:highlight w:val="none"/>
                <w:u w:val="none"/>
                <w:lang w:val="en-US" w:eastAsia="zh-CN"/>
              </w:rPr>
              <w:t>16</w:t>
            </w:r>
            <w:r>
              <w:rPr>
                <w:rFonts w:hint="eastAsia" w:ascii="楷体" w:hAnsi="楷体" w:eastAsia="仿宋" w:cs="Times New Roman"/>
                <w:color w:val="auto"/>
                <w:sz w:val="24"/>
                <w:highlight w:val="none"/>
                <w:u w:val="none"/>
              </w:rPr>
              <w:t>日</w:t>
            </w:r>
            <w:r>
              <w:rPr>
                <w:rFonts w:hint="default" w:ascii="楷体" w:hAnsi="楷体" w:eastAsia="仿宋" w:cs="Times New Roman"/>
                <w:color w:val="auto"/>
                <w:sz w:val="24"/>
                <w:highlight w:val="none"/>
                <w:u w:val="none"/>
              </w:rPr>
              <w:t>前（以收到日期为准）</w:t>
            </w:r>
          </w:p>
          <w:p w14:paraId="68FFFAF9">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宋体" w:hAnsi="宋体" w:eastAsia="仿宋" w:cs="Times New Roman"/>
                <w:color w:val="auto"/>
                <w:sz w:val="24"/>
                <w:highlight w:val="none"/>
                <w:lang w:val="en-US" w:eastAsia="zh-CN"/>
              </w:rPr>
              <w:t>询问函格式：见本章附件二</w:t>
            </w:r>
          </w:p>
        </w:tc>
      </w:tr>
      <w:tr w14:paraId="21CA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38EF7F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lang w:val="en-US" w:eastAsia="zh-CN"/>
              </w:rPr>
              <w:t>9</w:t>
            </w:r>
            <w:r>
              <w:rPr>
                <w:rFonts w:hint="eastAsia" w:ascii="宋体" w:hAnsi="宋体" w:eastAsia="仿宋" w:cs="Calibri"/>
                <w:color w:val="auto"/>
                <w:sz w:val="24"/>
                <w:highlight w:val="none"/>
              </w:rPr>
              <w:t>.</w:t>
            </w:r>
            <w:r>
              <w:rPr>
                <w:rFonts w:hint="eastAsia" w:ascii="宋体" w:hAnsi="宋体" w:eastAsia="仿宋" w:cs="Calibri"/>
                <w:color w:val="auto"/>
                <w:sz w:val="24"/>
                <w:highlight w:val="none"/>
                <w:lang w:val="en-US" w:eastAsia="zh-CN"/>
              </w:rPr>
              <w:t>2</w:t>
            </w:r>
            <w:r>
              <w:rPr>
                <w:rFonts w:hint="eastAsia" w:ascii="宋体" w:hAnsi="宋体" w:eastAsia="仿宋" w:cs="Calibri"/>
                <w:color w:val="auto"/>
                <w:sz w:val="24"/>
                <w:highlight w:val="none"/>
              </w:rPr>
              <w:t>.1</w:t>
            </w:r>
          </w:p>
        </w:tc>
        <w:tc>
          <w:tcPr>
            <w:tcW w:w="1581" w:type="dxa"/>
            <w:noWrap w:val="0"/>
            <w:vAlign w:val="center"/>
          </w:tcPr>
          <w:p w14:paraId="2A5D05F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投标人提出质疑的时间</w:t>
            </w:r>
          </w:p>
        </w:tc>
        <w:tc>
          <w:tcPr>
            <w:tcW w:w="7229" w:type="dxa"/>
            <w:noWrap w:val="0"/>
            <w:vAlign w:val="center"/>
          </w:tcPr>
          <w:p w14:paraId="0DFDADF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u w:val="single"/>
              </w:rPr>
            </w:pPr>
            <w:r>
              <w:rPr>
                <w:rFonts w:hint="eastAsia" w:ascii="Calibri" w:hAnsi="Calibri" w:eastAsia="仿宋" w:cs="Times New Roman"/>
                <w:color w:val="auto"/>
                <w:sz w:val="24"/>
                <w:highlight w:val="none"/>
                <w:lang w:val="en-US" w:eastAsia="zh-CN"/>
              </w:rPr>
              <w:t>提出</w:t>
            </w:r>
            <w:r>
              <w:rPr>
                <w:rFonts w:hint="eastAsia" w:ascii="宋体" w:hAnsi="宋体" w:eastAsia="仿宋" w:cs="Calibri"/>
                <w:color w:val="auto"/>
                <w:sz w:val="24"/>
                <w:highlight w:val="none"/>
                <w:u w:val="none"/>
              </w:rPr>
              <w:t>时间：</w:t>
            </w:r>
            <w:r>
              <w:rPr>
                <w:rFonts w:hint="eastAsia" w:ascii="楷体" w:hAnsi="楷体" w:eastAsia="仿宋" w:cs="Calibri"/>
                <w:color w:val="auto"/>
                <w:sz w:val="24"/>
                <w:highlight w:val="none"/>
                <w:u w:val="none"/>
              </w:rPr>
              <w:t>知道或者应知其权益受到损害之日起7个工作日内</w:t>
            </w:r>
          </w:p>
          <w:p w14:paraId="6C39CB6D">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质疑函格式：见本章附件二</w:t>
            </w:r>
          </w:p>
        </w:tc>
      </w:tr>
      <w:tr w14:paraId="14F2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F1011E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lang w:val="en-US" w:eastAsia="zh-CN"/>
              </w:rPr>
            </w:pPr>
            <w:r>
              <w:rPr>
                <w:rFonts w:hint="eastAsia" w:ascii="宋体" w:hAnsi="宋体" w:eastAsia="仿宋" w:cs="Calibri"/>
                <w:color w:val="auto"/>
                <w:sz w:val="24"/>
                <w:highlight w:val="none"/>
                <w:lang w:val="en-US" w:eastAsia="zh-CN"/>
              </w:rPr>
              <w:t>9</w:t>
            </w:r>
            <w:r>
              <w:rPr>
                <w:rFonts w:hint="eastAsia" w:ascii="宋体" w:hAnsi="宋体" w:eastAsia="仿宋" w:cs="Calibri"/>
                <w:color w:val="auto"/>
                <w:sz w:val="24"/>
                <w:highlight w:val="none"/>
              </w:rPr>
              <w:t>.2</w:t>
            </w:r>
            <w:r>
              <w:rPr>
                <w:rFonts w:hint="eastAsia" w:ascii="宋体" w:hAnsi="宋体" w:eastAsia="仿宋" w:cs="Calibri"/>
                <w:color w:val="auto"/>
                <w:sz w:val="24"/>
                <w:highlight w:val="none"/>
                <w:lang w:val="en-US" w:eastAsia="zh-CN"/>
              </w:rPr>
              <w:t>.2</w:t>
            </w:r>
          </w:p>
        </w:tc>
        <w:tc>
          <w:tcPr>
            <w:tcW w:w="1581" w:type="dxa"/>
            <w:noWrap w:val="0"/>
            <w:vAlign w:val="center"/>
          </w:tcPr>
          <w:p w14:paraId="03CC940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接收质疑的联系</w:t>
            </w:r>
            <w:r>
              <w:rPr>
                <w:rFonts w:hint="eastAsia" w:ascii="宋体" w:hAnsi="宋体" w:eastAsia="仿宋" w:cs="Times New Roman"/>
                <w:color w:val="auto"/>
                <w:sz w:val="24"/>
                <w:highlight w:val="none"/>
                <w:lang w:val="en-US" w:eastAsia="zh-CN"/>
              </w:rPr>
              <w:t>方式</w:t>
            </w:r>
          </w:p>
        </w:tc>
        <w:tc>
          <w:tcPr>
            <w:tcW w:w="7229" w:type="dxa"/>
            <w:noWrap w:val="0"/>
            <w:vAlign w:val="center"/>
          </w:tcPr>
          <w:p w14:paraId="7CE3FF45">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招标代理机构：安徽省招标集团股份有限公司</w:t>
            </w:r>
          </w:p>
          <w:p w14:paraId="4D35864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地址：安徽省合肥市包河区紫云路888号安徽省招标集团总部基地407室。（安徽省招标集团法务与质管中心）</w:t>
            </w:r>
          </w:p>
          <w:p w14:paraId="2D7A8CB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联系电话：0551-62220155</w:t>
            </w:r>
          </w:p>
          <w:p w14:paraId="4A61699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联系人：张怀远</w:t>
            </w:r>
          </w:p>
        </w:tc>
      </w:tr>
      <w:tr w14:paraId="5ED8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5D9AD7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11.1.1</w:t>
            </w:r>
          </w:p>
        </w:tc>
        <w:tc>
          <w:tcPr>
            <w:tcW w:w="1581" w:type="dxa"/>
            <w:noWrap w:val="0"/>
            <w:vAlign w:val="center"/>
          </w:tcPr>
          <w:p w14:paraId="4498802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是否有强制采购</w:t>
            </w:r>
            <w:r>
              <w:rPr>
                <w:rFonts w:hint="eastAsia" w:ascii="宋体" w:hAnsi="宋体" w:eastAsia="仿宋" w:cs="Times New Roman"/>
                <w:color w:val="auto"/>
                <w:sz w:val="24"/>
                <w:highlight w:val="none"/>
                <w:lang w:val="en-US" w:eastAsia="zh-CN"/>
              </w:rPr>
              <w:t>的</w:t>
            </w:r>
            <w:r>
              <w:rPr>
                <w:rFonts w:hint="eastAsia" w:ascii="宋体" w:hAnsi="宋体" w:eastAsia="仿宋" w:cs="Times New Roman"/>
                <w:color w:val="auto"/>
                <w:sz w:val="24"/>
                <w:highlight w:val="none"/>
              </w:rPr>
              <w:t>节能产品</w:t>
            </w:r>
          </w:p>
        </w:tc>
        <w:tc>
          <w:tcPr>
            <w:tcW w:w="7229" w:type="dxa"/>
            <w:noWrap w:val="0"/>
            <w:vAlign w:val="top"/>
          </w:tcPr>
          <w:p w14:paraId="005A4ECC">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rPr>
              <w:t>没有</w:t>
            </w:r>
          </w:p>
          <w:p w14:paraId="5C65B34B">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u w:val="single"/>
                <w:lang w:eastAsia="zh-CN"/>
              </w:rPr>
            </w:pP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rPr>
              <w:t>有，</w:t>
            </w:r>
            <w:r>
              <w:rPr>
                <w:rFonts w:hint="eastAsia" w:ascii="宋体" w:hAnsi="宋体" w:eastAsia="仿宋" w:cs="Times New Roman"/>
                <w:color w:val="auto"/>
                <w:sz w:val="24"/>
                <w:highlight w:val="none"/>
                <w:lang w:val="en-US" w:eastAsia="zh-CN"/>
              </w:rPr>
              <w:t>详见</w:t>
            </w:r>
            <w:r>
              <w:rPr>
                <w:rFonts w:hint="eastAsia" w:ascii="宋体" w:hAnsi="宋体" w:eastAsia="仿宋" w:cs="Times New Roman"/>
                <w:color w:val="auto"/>
                <w:sz w:val="24"/>
                <w:highlight w:val="none"/>
              </w:rPr>
              <w:t>第三章</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rPr>
              <w:t>采购需求</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u w:val="none"/>
                <w:lang w:eastAsia="zh-CN"/>
              </w:rPr>
              <w:t>。</w:t>
            </w:r>
          </w:p>
          <w:p w14:paraId="3CFB49FE">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《关于印发节能产品政府采购品目清单的通知》</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rPr>
              <w:t>财库〔2019〕19号</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市场监管总局2019年第16号</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，投标人提供拟投产品在规定认证机构范围内的节字标志认证证书，方予以认定其所投产品为节能产品。</w:t>
            </w:r>
          </w:p>
        </w:tc>
      </w:tr>
      <w:tr w14:paraId="4115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B4EC7D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11.1.2</w:t>
            </w:r>
          </w:p>
        </w:tc>
        <w:tc>
          <w:tcPr>
            <w:tcW w:w="1581" w:type="dxa"/>
            <w:noWrap w:val="0"/>
            <w:vAlign w:val="center"/>
          </w:tcPr>
          <w:p w14:paraId="02D128A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Calibri" w:hAnsi="Calibri" w:eastAsia="仿宋" w:cs="Times New Roman"/>
                <w:color w:val="auto"/>
                <w:sz w:val="24"/>
                <w:highlight w:val="none"/>
                <w:lang w:bidi="en-US"/>
              </w:rPr>
              <w:t>环境标志产品政府采购清单</w:t>
            </w:r>
          </w:p>
        </w:tc>
        <w:tc>
          <w:tcPr>
            <w:tcW w:w="7229" w:type="dxa"/>
            <w:noWrap w:val="0"/>
            <w:vAlign w:val="top"/>
          </w:tcPr>
          <w:p w14:paraId="7290C2E8">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《关于印发环境标志产品政府采购品目清单的通知》（财库〔2019〕18号）、</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（市场监管总局</w:t>
            </w:r>
            <w:r>
              <w:rPr>
                <w:rFonts w:hint="default" w:ascii="宋体" w:hAnsi="宋体" w:eastAsia="仿宋" w:cs="Times New Roman"/>
                <w:color w:val="auto"/>
                <w:sz w:val="24"/>
                <w:highlight w:val="none"/>
              </w:rPr>
              <w:t>2019年第16号</w:t>
            </w:r>
            <w:r>
              <w:rPr>
                <w:rFonts w:hint="eastAsia" w:ascii="宋体" w:hAnsi="宋体" w:eastAsia="仿宋" w:cs="Times New Roman"/>
                <w:color w:val="auto"/>
                <w:sz w:val="24"/>
                <w:highlight w:val="none"/>
              </w:rPr>
              <w:t>），在规定的认证机构范围内，投标人提供拟投产品环境标志认证证书的，方予以认定其所投产品为环境标志产品。</w:t>
            </w:r>
          </w:p>
        </w:tc>
      </w:tr>
      <w:tr w14:paraId="025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BD0023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11.2.1</w:t>
            </w:r>
          </w:p>
        </w:tc>
        <w:tc>
          <w:tcPr>
            <w:tcW w:w="1581" w:type="dxa"/>
            <w:noWrap w:val="0"/>
            <w:vAlign w:val="center"/>
          </w:tcPr>
          <w:p w14:paraId="16131A1D">
            <w:pPr>
              <w:keepNext w:val="0"/>
              <w:keepLines w:val="0"/>
              <w:widowControl/>
              <w:suppressLineNumbers w:val="0"/>
              <w:adjustRightInd w:val="0"/>
              <w:snapToGrid w:val="0"/>
              <w:spacing w:before="0" w:beforeAutospacing="0" w:after="0" w:afterAutospacing="0" w:line="288" w:lineRule="auto"/>
              <w:ind w:left="0" w:right="0"/>
              <w:jc w:val="center"/>
              <w:rPr>
                <w:rFonts w:hint="eastAsia" w:ascii="Calibri" w:hAnsi="Calibri" w:eastAsia="仿宋" w:cs="Times New Roman"/>
                <w:color w:val="auto"/>
                <w:sz w:val="24"/>
                <w:highlight w:val="none"/>
                <w:lang w:bidi="en-US"/>
              </w:rPr>
            </w:pPr>
            <w:r>
              <w:rPr>
                <w:rFonts w:hint="eastAsia" w:ascii="Calibri" w:hAnsi="Calibri" w:eastAsia="仿宋" w:cs="Times New Roman"/>
                <w:color w:val="auto"/>
                <w:sz w:val="24"/>
                <w:highlight w:val="none"/>
                <w:lang w:bidi="en-US"/>
              </w:rPr>
              <w:t>中小企业认定标准</w:t>
            </w:r>
          </w:p>
        </w:tc>
        <w:tc>
          <w:tcPr>
            <w:tcW w:w="7229" w:type="dxa"/>
            <w:noWrap w:val="0"/>
            <w:vAlign w:val="top"/>
          </w:tcPr>
          <w:p w14:paraId="2DB0B88E">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0FF8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6375BB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11.2.3</w:t>
            </w:r>
          </w:p>
        </w:tc>
        <w:tc>
          <w:tcPr>
            <w:tcW w:w="1581" w:type="dxa"/>
            <w:noWrap w:val="0"/>
            <w:vAlign w:val="center"/>
          </w:tcPr>
          <w:p w14:paraId="523DD8B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价格扣除标准</w:t>
            </w:r>
          </w:p>
        </w:tc>
        <w:tc>
          <w:tcPr>
            <w:tcW w:w="7229" w:type="dxa"/>
            <w:noWrap w:val="0"/>
            <w:vAlign w:val="center"/>
          </w:tcPr>
          <w:p w14:paraId="0E9C1DE4">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未预留份额专门面向中小企业采购的采购项目，以及预留份额项目中的非预留部分采购包采购时，小微企业报价扣除比例：</w:t>
            </w:r>
          </w:p>
          <w:p w14:paraId="176012E8">
            <w:pPr>
              <w:keepNext w:val="0"/>
              <w:keepLines w:val="0"/>
              <w:widowControl/>
              <w:suppressLineNumbers w:val="0"/>
              <w:snapToGrid w:val="0"/>
              <w:spacing w:before="0" w:beforeAutospacing="0" w:after="0" w:afterAutospacing="0" w:line="288" w:lineRule="auto"/>
              <w:ind w:left="0" w:right="0"/>
              <w:jc w:val="left"/>
              <w:rPr>
                <w:rFonts w:hint="default" w:ascii="Calibri" w:hAnsi="Calibri" w:eastAsia="仿宋" w:cs="Times New Roman"/>
                <w:color w:val="auto"/>
                <w:sz w:val="24"/>
                <w:highlight w:val="none"/>
                <w:lang w:val="en-US" w:bidi="en-US"/>
              </w:rPr>
            </w:pPr>
            <w:r>
              <w:rPr>
                <w:rFonts w:hint="eastAsia" w:ascii="Calibri" w:hAnsi="Calibri" w:eastAsia="仿宋" w:cs="Times New Roman"/>
                <w:color w:val="auto"/>
                <w:sz w:val="24"/>
                <w:highlight w:val="none"/>
                <w:lang w:bidi="en-US"/>
              </w:rPr>
              <w:t>（1）小型和微型企业：</w:t>
            </w:r>
            <w:r>
              <w:rPr>
                <w:rFonts w:hint="eastAsia" w:ascii="Calibri" w:hAnsi="Calibri" w:eastAsia="仿宋" w:cs="Times New Roman"/>
                <w:color w:val="auto"/>
                <w:sz w:val="24"/>
                <w:highlight w:val="none"/>
                <w:lang w:val="en-US" w:eastAsia="zh-CN" w:bidi="en-US"/>
              </w:rPr>
              <w:t>10%</w:t>
            </w:r>
          </w:p>
          <w:p w14:paraId="0BEADDEB">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auto"/>
                <w:sz w:val="24"/>
                <w:highlight w:val="none"/>
                <w:lang w:val="en-US" w:eastAsia="zh-CN"/>
              </w:rPr>
            </w:pPr>
            <w:r>
              <w:rPr>
                <w:rFonts w:hint="eastAsia" w:ascii="Calibri" w:hAnsi="Calibri" w:eastAsia="仿宋" w:cs="Times New Roman"/>
                <w:color w:val="auto"/>
                <w:sz w:val="24"/>
                <w:highlight w:val="none"/>
                <w:lang w:bidi="en-US"/>
              </w:rPr>
              <w:t>（2）</w:t>
            </w:r>
            <w:r>
              <w:rPr>
                <w:rFonts w:hint="eastAsia" w:ascii="宋体" w:hAnsi="宋体" w:eastAsia="仿宋" w:cs="Times New Roman"/>
                <w:color w:val="auto"/>
                <w:sz w:val="24"/>
                <w:highlight w:val="none"/>
              </w:rPr>
              <w:t>对于联合协议或者分包意向协议约定小微企业的合同份额占到合同总金额30%时，对联合体或者大中型企业的报价的扣除比例</w:t>
            </w:r>
            <w:r>
              <w:rPr>
                <w:rFonts w:hint="eastAsia" w:ascii="楷体" w:hAnsi="楷体" w:eastAsia="仿宋" w:cs="Calibri"/>
                <w:color w:val="auto"/>
                <w:sz w:val="24"/>
                <w:highlight w:val="none"/>
                <w:lang w:val="en-US" w:eastAsia="zh-CN"/>
              </w:rPr>
              <w:t>：</w:t>
            </w:r>
            <w:r>
              <w:rPr>
                <w:rFonts w:hint="eastAsia" w:ascii="Calibri" w:hAnsi="Calibri" w:eastAsia="仿宋" w:cs="Times New Roman"/>
                <w:color w:val="auto"/>
                <w:sz w:val="24"/>
                <w:highlight w:val="none"/>
                <w:lang w:val="en-US" w:eastAsia="zh-CN" w:bidi="en-US"/>
              </w:rPr>
              <w:t>6%</w:t>
            </w:r>
          </w:p>
          <w:p w14:paraId="29ACBBF9">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注：1.价格扣除举例说明：</w:t>
            </w:r>
            <w:r>
              <w:rPr>
                <w:rFonts w:hint="default" w:ascii="宋体" w:hAnsi="宋体" w:eastAsia="仿宋" w:cs="Times New Roman"/>
                <w:color w:val="auto"/>
                <w:sz w:val="24"/>
                <w:highlight w:val="none"/>
              </w:rPr>
              <w:t>某</w:t>
            </w:r>
            <w:r>
              <w:rPr>
                <w:rFonts w:hint="eastAsia" w:ascii="宋体" w:hAnsi="宋体" w:eastAsia="仿宋" w:cs="Times New Roman"/>
                <w:color w:val="auto"/>
                <w:sz w:val="24"/>
                <w:highlight w:val="none"/>
              </w:rPr>
              <w:t>残疾人福利单位符合财库〔2017〕141号规定的政策支持单位，属于小微企业，其投标报价为</w:t>
            </w:r>
            <w:r>
              <w:rPr>
                <w:rFonts w:hint="default" w:ascii="宋体" w:hAnsi="宋体" w:eastAsia="仿宋" w:cs="Times New Roman"/>
                <w:color w:val="auto"/>
                <w:sz w:val="24"/>
                <w:highlight w:val="none"/>
              </w:rPr>
              <w:t>100万元，“扣除后的价格”为：100万元-100万元×</w:t>
            </w:r>
            <w:r>
              <w:rPr>
                <w:rFonts w:hint="eastAsia" w:ascii="宋体" w:hAnsi="宋体" w:eastAsia="仿宋" w:cs="Times New Roman"/>
                <w:color w:val="auto"/>
                <w:sz w:val="24"/>
                <w:highlight w:val="none"/>
              </w:rPr>
              <w:t>扣除比例，用扣除后的价格参与评审。</w:t>
            </w:r>
          </w:p>
          <w:p w14:paraId="4719EEB6">
            <w:pPr>
              <w:keepNext w:val="0"/>
              <w:keepLines w:val="0"/>
              <w:widowControl/>
              <w:suppressLineNumbers w:val="0"/>
              <w:snapToGrid w:val="0"/>
              <w:spacing w:before="0" w:beforeAutospacing="0" w:after="0" w:afterAutospacing="0" w:line="288" w:lineRule="auto"/>
              <w:ind w:left="0" w:right="0"/>
              <w:jc w:val="left"/>
              <w:rPr>
                <w:rFonts w:hint="eastAsia" w:ascii="Calibri" w:hAnsi="Calibri" w:cs="Times New Roman"/>
                <w:color w:val="auto"/>
                <w:sz w:val="24"/>
                <w:highlight w:val="none"/>
                <w:lang w:bidi="en-US"/>
              </w:rPr>
            </w:pPr>
            <w:r>
              <w:rPr>
                <w:rFonts w:hint="eastAsia" w:ascii="宋体" w:hAnsi="宋体" w:eastAsia="仿宋" w:cs="Times New Roman"/>
                <w:b/>
                <w:color w:val="auto"/>
                <w:sz w:val="24"/>
                <w:highlight w:val="none"/>
              </w:rPr>
              <w:t>2.本项目将对中标人提供的《中小企业声明函》，随中标结果一并公布。如提供虚假材料，将取消中标资格并报相关部门按有关规定处理，并计入不良记录。</w:t>
            </w:r>
          </w:p>
        </w:tc>
      </w:tr>
      <w:tr w14:paraId="0C84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5CD3BA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b/>
                <w:color w:val="auto"/>
                <w:sz w:val="24"/>
                <w:highlight w:val="none"/>
                <w:lang w:val="en-US" w:eastAsia="zh-CN"/>
              </w:rPr>
            </w:pPr>
            <w:r>
              <w:rPr>
                <w:rFonts w:hint="eastAsia" w:ascii="宋体" w:hAnsi="宋体" w:eastAsia="仿宋" w:cs="Calibri"/>
                <w:b w:val="0"/>
                <w:bCs/>
                <w:color w:val="auto"/>
                <w:sz w:val="24"/>
                <w:highlight w:val="none"/>
                <w:lang w:val="en-US" w:eastAsia="zh-CN"/>
              </w:rPr>
              <w:t>11.3</w:t>
            </w:r>
          </w:p>
        </w:tc>
        <w:tc>
          <w:tcPr>
            <w:tcW w:w="1581" w:type="dxa"/>
            <w:noWrap w:val="0"/>
            <w:vAlign w:val="center"/>
          </w:tcPr>
          <w:p w14:paraId="7A05E7C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lang w:val="en-US" w:eastAsia="zh-CN" w:bidi="en-US"/>
              </w:rPr>
              <w:t>其他政府采购政策</w:t>
            </w:r>
          </w:p>
        </w:tc>
        <w:tc>
          <w:tcPr>
            <w:tcW w:w="7229" w:type="dxa"/>
            <w:noWrap w:val="0"/>
            <w:vAlign w:val="center"/>
          </w:tcPr>
          <w:p w14:paraId="79753920">
            <w:pPr>
              <w:keepNext w:val="0"/>
              <w:keepLines w:val="0"/>
              <w:widowControl/>
              <w:suppressLineNumbers w:val="0"/>
              <w:adjustRightInd w:val="0"/>
              <w:snapToGrid w:val="0"/>
              <w:spacing w:before="0" w:beforeAutospacing="0" w:after="0" w:afterAutospacing="0" w:line="288" w:lineRule="auto"/>
              <w:ind w:left="0" w:right="0"/>
              <w:jc w:val="left"/>
              <w:rPr>
                <w:rFonts w:hint="eastAsia" w:ascii="宋体" w:hAnsi="宋体" w:eastAsia="仿宋" w:cs="Calibri"/>
                <w:b/>
                <w:color w:val="auto"/>
                <w:sz w:val="24"/>
                <w:highlight w:val="none"/>
                <w:lang w:eastAsia="zh-CN"/>
              </w:rPr>
            </w:pPr>
            <w:r>
              <w:rPr>
                <w:rFonts w:hint="eastAsia" w:ascii="楷体" w:hAnsi="楷体" w:eastAsia="仿宋" w:cs="Calibri"/>
                <w:color w:val="auto"/>
                <w:sz w:val="24"/>
                <w:highlight w:val="none"/>
                <w:lang w:val="en-US" w:eastAsia="zh-CN"/>
              </w:rPr>
              <w:t>/</w:t>
            </w:r>
          </w:p>
        </w:tc>
      </w:tr>
      <w:tr w14:paraId="6D7A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7BDCCD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Calibri"/>
                <w:b/>
                <w:color w:val="auto"/>
                <w:sz w:val="24"/>
                <w:highlight w:val="none"/>
              </w:rPr>
              <w:t>12</w:t>
            </w:r>
          </w:p>
        </w:tc>
        <w:tc>
          <w:tcPr>
            <w:tcW w:w="1581" w:type="dxa"/>
            <w:noWrap w:val="0"/>
            <w:vAlign w:val="center"/>
          </w:tcPr>
          <w:p w14:paraId="0D997C7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p>
        </w:tc>
        <w:tc>
          <w:tcPr>
            <w:tcW w:w="7229" w:type="dxa"/>
            <w:noWrap w:val="0"/>
            <w:vAlign w:val="center"/>
          </w:tcPr>
          <w:p w14:paraId="0B3015A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Times New Roman"/>
                <w:b/>
                <w:color w:val="auto"/>
                <w:sz w:val="24"/>
                <w:highlight w:val="none"/>
              </w:rPr>
            </w:pPr>
            <w:r>
              <w:rPr>
                <w:rFonts w:hint="eastAsia" w:ascii="宋体" w:hAnsi="宋体" w:eastAsia="仿宋" w:cs="Calibri"/>
                <w:b/>
                <w:color w:val="auto"/>
                <w:sz w:val="24"/>
                <w:highlight w:val="none"/>
              </w:rPr>
              <w:t>需要补充的其他内容</w:t>
            </w:r>
          </w:p>
        </w:tc>
      </w:tr>
      <w:tr w14:paraId="15E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5DF84A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12.1</w:t>
            </w:r>
          </w:p>
        </w:tc>
        <w:tc>
          <w:tcPr>
            <w:tcW w:w="1581" w:type="dxa"/>
            <w:noWrap w:val="0"/>
            <w:vAlign w:val="center"/>
          </w:tcPr>
          <w:p w14:paraId="2A112DD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电子招标投标</w:t>
            </w:r>
          </w:p>
        </w:tc>
        <w:tc>
          <w:tcPr>
            <w:tcW w:w="7229" w:type="dxa"/>
            <w:noWrap w:val="0"/>
            <w:vAlign w:val="top"/>
          </w:tcPr>
          <w:p w14:paraId="4B33D84B">
            <w:pPr>
              <w:keepNext w:val="0"/>
              <w:keepLines w:val="0"/>
              <w:widowControl/>
              <w:suppressLineNumbers w:val="0"/>
              <w:snapToGrid w:val="0"/>
              <w:spacing w:before="0" w:beforeAutospacing="0" w:after="0" w:afterAutospacing="0" w:line="288" w:lineRule="auto"/>
              <w:ind w:left="0" w:right="0"/>
              <w:jc w:val="left"/>
              <w:rPr>
                <w:rFonts w:hint="eastAsia" w:ascii="宋体" w:hAnsi="宋体" w:cs="Calibri"/>
                <w:b/>
                <w:color w:val="auto"/>
                <w:sz w:val="24"/>
                <w:highlight w:val="none"/>
              </w:rPr>
            </w:pPr>
            <w:r>
              <w:rPr>
                <w:rFonts w:hint="eastAsia" w:ascii="宋体" w:hAnsi="宋体" w:eastAsia="仿宋" w:cs="Times New Roman"/>
                <w:color w:val="auto"/>
                <w:sz w:val="24"/>
                <w:highlight w:val="none"/>
              </w:rPr>
              <w:t>采用电子招标投标，</w:t>
            </w:r>
            <w:r>
              <w:rPr>
                <w:rFonts w:hint="default" w:ascii="Calibri" w:hAnsi="Calibri" w:eastAsia="仿宋" w:cs="Times New Roman"/>
                <w:bCs/>
                <w:snapToGrid w:val="0"/>
                <w:color w:val="auto"/>
                <w:kern w:val="0"/>
                <w:sz w:val="24"/>
                <w:highlight w:val="none"/>
              </w:rPr>
              <w:t>除招标文件另有规定外，电子招标投标操作要求详见本章附件《</w:t>
            </w:r>
            <w:r>
              <w:rPr>
                <w:rFonts w:hint="eastAsia" w:ascii="Calibri" w:hAnsi="Calibri" w:eastAsia="仿宋" w:cs="Times New Roman"/>
                <w:bCs/>
                <w:snapToGrid w:val="0"/>
                <w:color w:val="auto"/>
                <w:kern w:val="0"/>
                <w:sz w:val="24"/>
                <w:highlight w:val="none"/>
              </w:rPr>
              <w:t>全流程电子招标采购具体要求</w:t>
            </w:r>
            <w:r>
              <w:rPr>
                <w:rFonts w:hint="default" w:ascii="Calibri" w:hAnsi="Calibri" w:eastAsia="仿宋" w:cs="Times New Roman"/>
                <w:bCs/>
                <w:snapToGrid w:val="0"/>
                <w:color w:val="auto"/>
                <w:kern w:val="0"/>
                <w:sz w:val="24"/>
                <w:highlight w:val="none"/>
              </w:rPr>
              <w:t>》</w:t>
            </w:r>
            <w:r>
              <w:rPr>
                <w:rFonts w:hint="eastAsia" w:ascii="Calibri" w:hAnsi="Calibri" w:eastAsia="仿宋" w:cs="Times New Roman"/>
                <w:bCs/>
                <w:snapToGrid w:val="0"/>
                <w:color w:val="auto"/>
                <w:kern w:val="0"/>
                <w:sz w:val="24"/>
                <w:highlight w:val="none"/>
              </w:rPr>
              <w:t>。</w:t>
            </w:r>
          </w:p>
        </w:tc>
      </w:tr>
      <w:tr w14:paraId="6E10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E68040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12.2</w:t>
            </w:r>
          </w:p>
        </w:tc>
        <w:tc>
          <w:tcPr>
            <w:tcW w:w="1581" w:type="dxa"/>
            <w:noWrap w:val="0"/>
            <w:vAlign w:val="center"/>
          </w:tcPr>
          <w:p w14:paraId="0F51C6D7">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原则规定与定义</w:t>
            </w:r>
          </w:p>
        </w:tc>
        <w:tc>
          <w:tcPr>
            <w:tcW w:w="7229" w:type="dxa"/>
            <w:noWrap w:val="0"/>
            <w:vAlign w:val="center"/>
          </w:tcPr>
          <w:p w14:paraId="4F407FC7">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（1）投标人</w:t>
            </w:r>
            <w:r>
              <w:rPr>
                <w:rFonts w:hint="default" w:ascii="宋体" w:hAnsi="宋体" w:eastAsia="仿宋" w:cs="Times New Roman"/>
                <w:color w:val="auto"/>
                <w:sz w:val="24"/>
                <w:highlight w:val="none"/>
              </w:rPr>
              <w:t>须知前附表是对</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须知正文部分对应条款的补充、细化，</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阅读时应与正文部分一并阅读，</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须知前附表与正文部分不一致处，应以</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须知前附表为准。</w:t>
            </w:r>
          </w:p>
          <w:p w14:paraId="7AF7F1D8">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w:t>
            </w:r>
            <w:r>
              <w:rPr>
                <w:rFonts w:hint="default" w:ascii="宋体" w:hAnsi="宋体" w:eastAsia="仿宋" w:cs="Times New Roman"/>
                <w:color w:val="auto"/>
                <w:sz w:val="24"/>
                <w:highlight w:val="none"/>
              </w:rPr>
              <w:t>“</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”符号表示本招标文件选定的内容；“</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”符号表示本招标文件未选定的内容；空格中的“/”表示没有具体内容。投标人投标时请按“</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符号”选定的内容和要求参加投标。</w:t>
            </w:r>
          </w:p>
          <w:p w14:paraId="45EFD9F2">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（3）与合同履行有关条款中注明的“甲方”、“买方”，在招标投标阶段按“采购人”理解；注明的“乙方”、“卖方”，按“投标人”理解。</w:t>
            </w:r>
          </w:p>
        </w:tc>
      </w:tr>
      <w:tr w14:paraId="3185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6AA9F0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12.3</w:t>
            </w:r>
          </w:p>
        </w:tc>
        <w:tc>
          <w:tcPr>
            <w:tcW w:w="1581" w:type="dxa"/>
            <w:noWrap w:val="0"/>
            <w:vAlign w:val="center"/>
          </w:tcPr>
          <w:p w14:paraId="5CAC2A3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知识产权</w:t>
            </w:r>
          </w:p>
        </w:tc>
        <w:tc>
          <w:tcPr>
            <w:tcW w:w="7229" w:type="dxa"/>
            <w:noWrap w:val="0"/>
            <w:vAlign w:val="top"/>
          </w:tcPr>
          <w:p w14:paraId="1FCB6190">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（1）构成本招标文件各个组成部分的文件，未经采购人书面同意，投标人不得擅自复印和用于非本招标项目所需的其他目的。</w:t>
            </w:r>
            <w:r>
              <w:rPr>
                <w:rFonts w:hint="default" w:ascii="宋体" w:hAnsi="宋体" w:eastAsia="仿宋" w:cs="Times New Roman"/>
                <w:color w:val="auto"/>
                <w:sz w:val="24"/>
                <w:highlight w:val="none"/>
              </w:rPr>
              <w:t>如因此导致</w:t>
            </w:r>
            <w:r>
              <w:rPr>
                <w:rFonts w:hint="eastAsia" w:ascii="宋体" w:hAnsi="宋体" w:eastAsia="仿宋" w:cs="Times New Roman"/>
                <w:color w:val="auto"/>
                <w:sz w:val="24"/>
                <w:highlight w:val="none"/>
              </w:rPr>
              <w:t>采购人</w:t>
            </w:r>
            <w:r>
              <w:rPr>
                <w:rFonts w:hint="default" w:ascii="宋体" w:hAnsi="宋体" w:eastAsia="仿宋" w:cs="Times New Roman"/>
                <w:color w:val="auto"/>
                <w:sz w:val="24"/>
                <w:highlight w:val="none"/>
              </w:rPr>
              <w:t>损失的，投标人须承担全部赔偿责任。</w:t>
            </w:r>
          </w:p>
          <w:p w14:paraId="223C1432">
            <w:pPr>
              <w:keepNext w:val="0"/>
              <w:keepLines w:val="0"/>
              <w:suppressLineNumbers w:val="0"/>
              <w:adjustRightInd w:val="0"/>
              <w:snapToGrid w:val="0"/>
              <w:spacing w:before="0" w:beforeAutospacing="0" w:after="0" w:afterAutospacing="0" w:line="288" w:lineRule="auto"/>
              <w:ind w:left="0" w:right="0"/>
              <w:jc w:val="left"/>
              <w:rPr>
                <w:rFonts w:hint="default" w:ascii="宋体" w:hAnsi="宋体" w:cs="Times New Roman"/>
                <w:color w:val="auto"/>
                <w:sz w:val="24"/>
                <w:highlight w:val="none"/>
              </w:rPr>
            </w:pPr>
            <w:r>
              <w:rPr>
                <w:rFonts w:hint="eastAsia" w:ascii="宋体" w:hAnsi="宋体" w:eastAsia="仿宋" w:cs="Times New Roman"/>
                <w:color w:val="auto"/>
                <w:sz w:val="24"/>
                <w:highlight w:val="none"/>
              </w:rPr>
              <w:t>（2）采购人</w:t>
            </w:r>
            <w:r>
              <w:rPr>
                <w:rFonts w:hint="default" w:ascii="宋体" w:hAnsi="宋体" w:eastAsia="仿宋" w:cs="Times New Roman"/>
                <w:color w:val="auto"/>
                <w:sz w:val="24"/>
                <w:highlight w:val="none"/>
              </w:rPr>
              <w:t>在中华人民共和国境内使用</w:t>
            </w:r>
            <w:r>
              <w:rPr>
                <w:rFonts w:hint="eastAsia" w:ascii="宋体" w:hAnsi="宋体" w:eastAsia="仿宋" w:cs="Times New Roman"/>
                <w:color w:val="auto"/>
                <w:sz w:val="24"/>
                <w:highlight w:val="none"/>
              </w:rPr>
              <w:t>中</w:t>
            </w:r>
            <w:r>
              <w:rPr>
                <w:rFonts w:hint="default" w:ascii="宋体" w:hAnsi="宋体" w:eastAsia="仿宋" w:cs="Times New Roman"/>
                <w:color w:val="auto"/>
                <w:sz w:val="24"/>
                <w:highlight w:val="none"/>
              </w:rPr>
              <w:t>标货物</w:t>
            </w:r>
            <w:r>
              <w:rPr>
                <w:rFonts w:hint="eastAsia" w:ascii="宋体" w:hAnsi="宋体" w:eastAsia="仿宋" w:cs="Times New Roman"/>
                <w:color w:val="auto"/>
                <w:sz w:val="24"/>
                <w:highlight w:val="none"/>
              </w:rPr>
              <w:t>（服务）</w:t>
            </w:r>
            <w:r>
              <w:rPr>
                <w:rFonts w:hint="default" w:ascii="宋体" w:hAnsi="宋体" w:eastAsia="仿宋" w:cs="Times New Roman"/>
                <w:color w:val="auto"/>
                <w:sz w:val="24"/>
                <w:highlight w:val="none"/>
              </w:rPr>
              <w:t>、资料、技术、服务或其任何一部分时</w:t>
            </w:r>
            <w:r>
              <w:rPr>
                <w:rFonts w:hint="eastAsia" w:ascii="宋体" w:hAnsi="宋体" w:eastAsia="仿宋" w:cs="Times New Roman"/>
                <w:color w:val="auto"/>
                <w:sz w:val="24"/>
                <w:highlight w:val="none"/>
              </w:rPr>
              <w:t>，履行合同义务后</w:t>
            </w:r>
            <w:r>
              <w:rPr>
                <w:rFonts w:hint="default" w:ascii="宋体" w:hAnsi="宋体" w:eastAsia="仿宋" w:cs="Times New Roman"/>
                <w:color w:val="auto"/>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s="Times New Roman"/>
                <w:color w:val="auto"/>
                <w:sz w:val="24"/>
                <w:highlight w:val="none"/>
              </w:rPr>
              <w:t>采购人</w:t>
            </w:r>
            <w:r>
              <w:rPr>
                <w:rFonts w:hint="default" w:ascii="宋体" w:hAnsi="宋体" w:eastAsia="仿宋" w:cs="Times New Roman"/>
                <w:color w:val="auto"/>
                <w:sz w:val="24"/>
                <w:highlight w:val="none"/>
              </w:rPr>
              <w:t>损失的，投标人须承担全部赔偿责任。</w:t>
            </w:r>
          </w:p>
        </w:tc>
      </w:tr>
      <w:tr w14:paraId="577B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7CEB1B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12.4</w:t>
            </w:r>
          </w:p>
        </w:tc>
        <w:tc>
          <w:tcPr>
            <w:tcW w:w="1581" w:type="dxa"/>
            <w:noWrap w:val="0"/>
            <w:vAlign w:val="center"/>
          </w:tcPr>
          <w:p w14:paraId="1C02A1A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投标专用章、业务专用章等效力规定</w:t>
            </w:r>
          </w:p>
        </w:tc>
        <w:tc>
          <w:tcPr>
            <w:tcW w:w="7229" w:type="dxa"/>
            <w:noWrap w:val="0"/>
            <w:vAlign w:val="center"/>
          </w:tcPr>
          <w:p w14:paraId="3A9471BB">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71DB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D9D6B9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12.5</w:t>
            </w:r>
          </w:p>
        </w:tc>
        <w:tc>
          <w:tcPr>
            <w:tcW w:w="1581" w:type="dxa"/>
            <w:noWrap w:val="0"/>
            <w:vAlign w:val="center"/>
          </w:tcPr>
          <w:p w14:paraId="69E63A3F">
            <w:pPr>
              <w:keepNext w:val="0"/>
              <w:keepLines w:val="0"/>
              <w:widowControl/>
              <w:suppressLineNumbers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rPr>
              <w:t>多包投标、多包中标的规定</w:t>
            </w:r>
          </w:p>
        </w:tc>
        <w:tc>
          <w:tcPr>
            <w:tcW w:w="7229" w:type="dxa"/>
            <w:noWrap w:val="0"/>
            <w:vAlign w:val="center"/>
          </w:tcPr>
          <w:p w14:paraId="4BC96C1C">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szCs w:val="24"/>
                <w:highlight w:val="none"/>
              </w:rPr>
            </w:pPr>
            <w:r>
              <w:rPr>
                <w:rFonts w:hint="eastAsia" w:ascii="仿宋" w:hAnsi="仿宋" w:eastAsia="仿宋" w:cs="Calibri"/>
                <w:color w:val="auto"/>
                <w:sz w:val="24"/>
                <w:szCs w:val="24"/>
                <w:highlight w:val="none"/>
                <w:lang w:eastAsia="zh-CN"/>
              </w:rPr>
              <w:t>☑</w:t>
            </w:r>
            <w:r>
              <w:rPr>
                <w:rFonts w:hint="eastAsia" w:ascii="仿宋" w:hAnsi="仿宋" w:eastAsia="仿宋" w:cs="仿宋"/>
                <w:color w:val="auto"/>
                <w:kern w:val="0"/>
                <w:sz w:val="24"/>
                <w:szCs w:val="24"/>
                <w:highlight w:val="none"/>
                <w:lang w:bidi="ar"/>
              </w:rPr>
              <w:t>本项目不适用</w:t>
            </w:r>
          </w:p>
          <w:p w14:paraId="150B439C">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szCs w:val="24"/>
                <w:highlight w:val="none"/>
              </w:rPr>
            </w:pPr>
            <w:r>
              <w:rPr>
                <w:rFonts w:hint="eastAsia" w:ascii="仿宋" w:hAnsi="仿宋" w:eastAsia="仿宋" w:cs="Calibri"/>
                <w:color w:val="auto"/>
                <w:sz w:val="24"/>
                <w:szCs w:val="24"/>
                <w:highlight w:val="none"/>
              </w:rPr>
              <w:t>□投标人可对本项目一个或多个包进行投标，也可中多个包。</w:t>
            </w:r>
          </w:p>
          <w:p w14:paraId="7C0467E8">
            <w:pPr>
              <w:keepNext w:val="0"/>
              <w:keepLines w:val="0"/>
              <w:widowControl/>
              <w:suppressLineNumbers w:val="0"/>
              <w:snapToGrid w:val="0"/>
              <w:spacing w:before="0" w:beforeAutospacing="0" w:after="0" w:afterAutospacing="0" w:line="288" w:lineRule="auto"/>
              <w:ind w:left="0" w:right="0"/>
              <w:jc w:val="left"/>
              <w:rPr>
                <w:rFonts w:hint="eastAsia" w:ascii="Calibri" w:hAnsi="Calibri" w:cs="Times New Roman"/>
                <w:color w:val="auto"/>
                <w:highlight w:val="none"/>
              </w:rPr>
            </w:pPr>
            <w:r>
              <w:rPr>
                <w:rFonts w:hint="eastAsia" w:ascii="仿宋" w:hAnsi="仿宋" w:eastAsia="仿宋" w:cs="Calibri"/>
                <w:color w:val="auto"/>
                <w:sz w:val="24"/>
                <w:szCs w:val="24"/>
                <w:highlight w:val="none"/>
              </w:rPr>
              <w:t>□</w:t>
            </w:r>
            <w:r>
              <w:rPr>
                <w:rFonts w:hint="eastAsia" w:ascii="仿宋" w:hAnsi="仿宋" w:eastAsia="仿宋" w:cs="Times New Roman"/>
                <w:color w:val="auto"/>
                <w:sz w:val="24"/>
                <w:highlight w:val="none"/>
              </w:rPr>
              <w:t>本项目评审时按“第1包→第2包→第3包”的</w:t>
            </w:r>
            <w:r>
              <w:rPr>
                <w:rFonts w:hint="eastAsia" w:ascii="仿宋" w:hAnsi="仿宋" w:eastAsia="仿宋" w:cs="Times New Roman"/>
                <w:color w:val="auto"/>
                <w:sz w:val="24"/>
                <w:highlight w:val="none"/>
                <w:lang w:val="en-US" w:eastAsia="zh-CN"/>
              </w:rPr>
              <w:t>包号递增</w:t>
            </w:r>
            <w:r>
              <w:rPr>
                <w:rFonts w:hint="eastAsia" w:ascii="仿宋" w:hAnsi="仿宋" w:eastAsia="仿宋" w:cs="Times New Roman"/>
                <w:color w:val="auto"/>
                <w:sz w:val="24"/>
                <w:highlight w:val="none"/>
              </w:rPr>
              <w:t>顺序评审。</w:t>
            </w:r>
            <w:r>
              <w:rPr>
                <w:rFonts w:hint="eastAsia" w:ascii="仿宋" w:hAnsi="仿宋" w:eastAsia="仿宋" w:cs="Calibri"/>
                <w:color w:val="auto"/>
                <w:sz w:val="24"/>
                <w:szCs w:val="24"/>
                <w:highlight w:val="none"/>
              </w:rPr>
              <w:t>投标人可对本项目一个或多个包进行投标</w:t>
            </w:r>
            <w:r>
              <w:rPr>
                <w:rFonts w:hint="eastAsia" w:ascii="仿宋" w:hAnsi="仿宋" w:eastAsia="仿宋" w:cs="Times New Roman"/>
                <w:color w:val="auto"/>
                <w:sz w:val="24"/>
                <w:highlight w:val="none"/>
              </w:rPr>
              <w:t>，但只能在单个标包中取得中标资格，且在后续标包的评审中均视为</w:t>
            </w:r>
            <w:r>
              <w:rPr>
                <w:rFonts w:hint="eastAsia" w:ascii="仿宋" w:hAnsi="仿宋" w:eastAsia="仿宋" w:cs="Times New Roman"/>
                <w:color w:val="auto"/>
                <w:sz w:val="24"/>
                <w:highlight w:val="none"/>
                <w:lang w:val="en-US" w:eastAsia="zh-CN"/>
              </w:rPr>
              <w:t>无效投标人</w:t>
            </w:r>
            <w:r>
              <w:rPr>
                <w:rFonts w:hint="eastAsia" w:ascii="仿宋" w:hAnsi="仿宋" w:eastAsia="仿宋" w:cs="Times New Roman"/>
                <w:color w:val="auto"/>
                <w:sz w:val="24"/>
                <w:highlight w:val="none"/>
              </w:rPr>
              <w:t>。如某标包因中标人放弃中标资格、质疑或投诉等原因导致评审结果变更的，不影响其他包评审结果，也不受多投单中规则影响。</w:t>
            </w:r>
          </w:p>
        </w:tc>
      </w:tr>
      <w:tr w14:paraId="56C2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45CA9A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12.6</w:t>
            </w:r>
          </w:p>
        </w:tc>
        <w:tc>
          <w:tcPr>
            <w:tcW w:w="1581" w:type="dxa"/>
            <w:noWrap w:val="0"/>
            <w:vAlign w:val="center"/>
          </w:tcPr>
          <w:p w14:paraId="211942F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相关提示</w:t>
            </w:r>
          </w:p>
        </w:tc>
        <w:tc>
          <w:tcPr>
            <w:tcW w:w="7229" w:type="dxa"/>
            <w:noWrap w:val="0"/>
            <w:vAlign w:val="center"/>
          </w:tcPr>
          <w:p w14:paraId="4B20ACC7">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（1）招标文件中所称时间均指北京时间，采用电子招标投标时，以交易平台时间为准。</w:t>
            </w:r>
          </w:p>
          <w:p w14:paraId="24BF4262">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（2）投标人应注意规定的开标地点和投标截止时间，为了使招标投标工作有条不紊进行，避免</w:t>
            </w:r>
            <w:r>
              <w:rPr>
                <w:rFonts w:hint="eastAsia" w:ascii="宋体" w:hAnsi="宋体" w:eastAsia="仿宋" w:cs="Times New Roman"/>
                <w:color w:val="auto"/>
                <w:sz w:val="24"/>
                <w:highlight w:val="none"/>
                <w:lang w:val="en-US" w:eastAsia="zh-CN"/>
              </w:rPr>
              <w:t>因网络等问题导致</w:t>
            </w:r>
            <w:r>
              <w:rPr>
                <w:rFonts w:hint="eastAsia" w:ascii="宋体" w:hAnsi="宋体" w:eastAsia="仿宋" w:cs="Times New Roman"/>
                <w:color w:val="auto"/>
                <w:sz w:val="24"/>
                <w:highlight w:val="none"/>
              </w:rPr>
              <w:t>投标文件</w:t>
            </w:r>
            <w:r>
              <w:rPr>
                <w:rFonts w:hint="eastAsia" w:ascii="宋体" w:hAnsi="宋体" w:eastAsia="仿宋" w:cs="Times New Roman"/>
                <w:color w:val="auto"/>
                <w:sz w:val="24"/>
                <w:highlight w:val="none"/>
                <w:lang w:val="en-US" w:eastAsia="zh-CN"/>
              </w:rPr>
              <w:t>无法按时加密并提交</w:t>
            </w:r>
            <w:r>
              <w:rPr>
                <w:rFonts w:hint="eastAsia" w:ascii="宋体" w:hAnsi="宋体" w:eastAsia="仿宋" w:cs="Times New Roman"/>
                <w:color w:val="auto"/>
                <w:sz w:val="24"/>
                <w:highlight w:val="none"/>
              </w:rPr>
              <w:t>的情况发生，建议投标人提前30分钟做好准备工作。</w:t>
            </w:r>
          </w:p>
          <w:p w14:paraId="52AA2EC2">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（3）本项目保证金账户采用虚拟账号，每个项目均不同，同一个项目不同标包也不同。投标标包应与保证金相匹配。如项目招标失败再次招标时，保证金账号也会发生变化。请投标人仔细核对账户信息。</w:t>
            </w:r>
          </w:p>
        </w:tc>
      </w:tr>
      <w:tr w14:paraId="45AE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B8FA5D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12.7</w:t>
            </w:r>
          </w:p>
        </w:tc>
        <w:tc>
          <w:tcPr>
            <w:tcW w:w="1581" w:type="dxa"/>
            <w:noWrap w:val="0"/>
            <w:vAlign w:val="center"/>
          </w:tcPr>
          <w:p w14:paraId="16732E3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招标文件的解释</w:t>
            </w:r>
          </w:p>
        </w:tc>
        <w:tc>
          <w:tcPr>
            <w:tcW w:w="7229" w:type="dxa"/>
            <w:noWrap w:val="0"/>
            <w:vAlign w:val="top"/>
          </w:tcPr>
          <w:p w14:paraId="565B9C0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cs="Times New Roman"/>
                <w:bCs/>
                <w:color w:val="auto"/>
                <w:sz w:val="24"/>
                <w:highlight w:val="none"/>
              </w:rPr>
              <w:t>由采购人和采购代理机构负责解释。</w:t>
            </w:r>
          </w:p>
        </w:tc>
      </w:tr>
      <w:tr w14:paraId="3059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BD273D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12.8</w:t>
            </w:r>
          </w:p>
        </w:tc>
        <w:tc>
          <w:tcPr>
            <w:tcW w:w="1581" w:type="dxa"/>
            <w:noWrap w:val="0"/>
            <w:vAlign w:val="center"/>
          </w:tcPr>
          <w:p w14:paraId="1E73BA9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“政采贷”融资指引</w:t>
            </w:r>
          </w:p>
        </w:tc>
        <w:tc>
          <w:tcPr>
            <w:tcW w:w="7229" w:type="dxa"/>
            <w:noWrap w:val="0"/>
            <w:vAlign w:val="top"/>
          </w:tcPr>
          <w:p w14:paraId="7395866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有融资需求的供应商在取得政府采购中标或成交通知书后，可访问安徽省政府采购网“</w:t>
            </w:r>
            <w:r>
              <w:rPr>
                <w:rFonts w:hint="eastAsia" w:ascii="宋体" w:hAnsi="宋体" w:eastAsia="仿宋" w:cs="Times New Roman"/>
                <w:i w:val="0"/>
                <w:iCs w:val="0"/>
                <w:color w:val="auto"/>
                <w:sz w:val="24"/>
                <w:highlight w:val="none"/>
              </w:rPr>
              <w:t>融资/保函</w:t>
            </w:r>
            <w:r>
              <w:rPr>
                <w:rFonts w:hint="eastAsia" w:ascii="宋体" w:hAnsi="宋体" w:eastAsia="仿宋" w:cs="Times New Roman"/>
                <w:color w:val="auto"/>
                <w:sz w:val="24"/>
                <w:highlight w:val="none"/>
              </w:rPr>
              <w:t>”栏目，查看和联系第三方平台或者金融机构，商洽融资事项，确定融资意向。</w:t>
            </w:r>
          </w:p>
          <w:p w14:paraId="11ACE34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供应商签署政府采购中标（成交）合同后，登录“徽采云”金融服务模块，选择意向产品进行申请，并填写相关信息，“徽采云”金融服务模块将供应商融资申请信息推送第三方平台、意向金融机构。</w:t>
            </w:r>
          </w:p>
        </w:tc>
      </w:tr>
    </w:tbl>
    <w:p w14:paraId="346657E8">
      <w:pPr>
        <w:widowControl/>
        <w:spacing w:line="360" w:lineRule="auto"/>
        <w:rPr>
          <w:rFonts w:ascii="宋体" w:hAnsi="宋体" w:eastAsia="仿宋" w:cs="Calibri"/>
          <w:b/>
          <w:bCs/>
          <w:color w:val="auto"/>
          <w:sz w:val="24"/>
          <w:highlight w:val="none"/>
        </w:rPr>
      </w:pPr>
    </w:p>
    <w:p w14:paraId="1D4F24BB">
      <w:pPr>
        <w:widowControl/>
        <w:rPr>
          <w:rStyle w:val="101"/>
          <w:rFonts w:ascii="宋体" w:hAnsi="宋体" w:eastAsia="仿宋"/>
          <w:bCs w:val="0"/>
          <w:color w:val="auto"/>
          <w:sz w:val="24"/>
          <w:szCs w:val="24"/>
          <w:highlight w:val="none"/>
        </w:rPr>
        <w:sectPr>
          <w:footerReference r:id="rId8"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bookmarkEnd w:id="37"/>
    <w:bookmarkEnd w:id="38"/>
    <w:bookmarkEnd w:id="39"/>
    <w:bookmarkEnd w:id="40"/>
    <w:p w14:paraId="408911DA">
      <w:pPr>
        <w:pStyle w:val="3"/>
        <w:rPr>
          <w:rStyle w:val="101"/>
          <w:rFonts w:ascii="宋体" w:hAnsi="宋体" w:eastAsia="仿宋"/>
          <w:b/>
          <w:bCs/>
          <w:color w:val="auto"/>
          <w:sz w:val="24"/>
          <w:szCs w:val="24"/>
          <w:highlight w:val="none"/>
        </w:rPr>
      </w:pPr>
      <w:bookmarkStart w:id="44" w:name="_Toc455587032"/>
      <w:bookmarkStart w:id="45" w:name="_Toc338944604"/>
      <w:bookmarkStart w:id="46" w:name="_Toc333600682"/>
      <w:bookmarkStart w:id="47" w:name="_Toc342294713"/>
      <w:bookmarkStart w:id="48" w:name="_Toc152042305"/>
      <w:bookmarkStart w:id="49" w:name="_Toc466024500"/>
      <w:bookmarkStart w:id="50" w:name="_Toc342297618"/>
      <w:bookmarkStart w:id="51" w:name="_Toc371415920"/>
      <w:bookmarkStart w:id="52" w:name="_Toc342296161"/>
      <w:bookmarkStart w:id="53" w:name="_Toc445554688"/>
      <w:bookmarkStart w:id="54" w:name="_Toc179632546"/>
      <w:bookmarkStart w:id="55" w:name="_Toc333599658"/>
      <w:bookmarkStart w:id="56" w:name="_Toc152045529"/>
      <w:bookmarkStart w:id="57" w:name="_Toc144974497"/>
      <w:bookmarkStart w:id="58" w:name="_Toc455587216"/>
      <w:bookmarkStart w:id="59" w:name="_Toc338943699"/>
      <w:bookmarkStart w:id="60" w:name="_Toc458504818"/>
      <w:r>
        <w:rPr>
          <w:rStyle w:val="101"/>
          <w:rFonts w:hint="eastAsia" w:ascii="宋体" w:hAnsi="宋体" w:eastAsia="仿宋"/>
          <w:b/>
          <w:bCs/>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BF6E615">
      <w:pPr>
        <w:pStyle w:val="4"/>
        <w:adjustRightInd w:val="0"/>
        <w:ind w:firstLine="482" w:firstLineChars="200"/>
        <w:rPr>
          <w:rFonts w:eastAsia="仿宋"/>
          <w:color w:val="auto"/>
          <w:sz w:val="24"/>
          <w:highlight w:val="none"/>
          <w:lang w:eastAsia="zh-CN"/>
        </w:rPr>
      </w:pPr>
      <w:bookmarkStart w:id="61" w:name="_Toc342296162"/>
      <w:bookmarkStart w:id="62" w:name="_Toc342294714"/>
      <w:bookmarkStart w:id="63" w:name="_Toc179632547"/>
      <w:bookmarkStart w:id="64" w:name="_Toc466024501"/>
      <w:bookmarkStart w:id="65" w:name="_Toc152042306"/>
      <w:bookmarkStart w:id="66" w:name="_Toc455587033"/>
      <w:bookmarkStart w:id="67" w:name="_Toc152045530"/>
      <w:bookmarkStart w:id="68" w:name="_Toc338943700"/>
      <w:bookmarkStart w:id="69" w:name="_Toc333599659"/>
      <w:bookmarkStart w:id="70" w:name="_Toc445554689"/>
      <w:bookmarkStart w:id="71" w:name="_Toc333600683"/>
      <w:bookmarkStart w:id="72" w:name="_Toc458504819"/>
      <w:bookmarkStart w:id="73" w:name="_Toc455587217"/>
      <w:bookmarkStart w:id="74" w:name="_Toc342297619"/>
      <w:bookmarkStart w:id="75" w:name="_Toc144974498"/>
      <w:bookmarkStart w:id="76" w:name="_Toc338944605"/>
      <w:bookmarkStart w:id="77" w:name="_Toc333587853"/>
      <w:bookmarkStart w:id="78" w:name="_Toc371415921"/>
      <w:r>
        <w:rPr>
          <w:rFonts w:eastAsia="仿宋"/>
          <w:color w:val="auto"/>
          <w:sz w:val="24"/>
          <w:highlight w:val="none"/>
          <w:lang w:eastAsia="zh-CN"/>
        </w:rPr>
        <w:t>1</w:t>
      </w:r>
      <w:r>
        <w:rPr>
          <w:rFonts w:hint="eastAsia" w:eastAsia="仿宋"/>
          <w:color w:val="auto"/>
          <w:sz w:val="24"/>
          <w:highlight w:val="none"/>
          <w:lang w:eastAsia="zh-CN"/>
        </w:rPr>
        <w:t>.1 项目概况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7200ED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7E939FC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 采购人：见投标人须知前附表。</w:t>
      </w:r>
    </w:p>
    <w:p w14:paraId="3296098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1.1.3 采购代理机构：见投标人须知前附表。</w:t>
      </w:r>
    </w:p>
    <w:p w14:paraId="54E44E6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1.1.4 采购项目名称：见投标人须知前附表。</w:t>
      </w:r>
    </w:p>
    <w:p w14:paraId="4F86409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1.1.5 </w:t>
      </w:r>
      <w:r>
        <w:rPr>
          <w:rFonts w:hint="eastAsia" w:ascii="宋体" w:hAnsi="宋体" w:eastAsia="仿宋"/>
          <w:color w:val="auto"/>
          <w:sz w:val="24"/>
          <w:highlight w:val="none"/>
          <w:lang w:eastAsia="zh-CN"/>
        </w:rPr>
        <w:t>采购包</w:t>
      </w:r>
      <w:r>
        <w:rPr>
          <w:rFonts w:hint="eastAsia" w:ascii="宋体" w:hAnsi="宋体" w:eastAsia="仿宋"/>
          <w:color w:val="auto"/>
          <w:sz w:val="24"/>
          <w:highlight w:val="none"/>
        </w:rPr>
        <w:t>划分：见投标人须知前附表。</w:t>
      </w:r>
    </w:p>
    <w:p w14:paraId="576BE35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1.1.6 采购预算：见投标人须知前附表。</w:t>
      </w:r>
    </w:p>
    <w:p w14:paraId="4EB0D2F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1.1.7 专门面向中小企业采购：见投标人须知前附表。</w:t>
      </w:r>
    </w:p>
    <w:p w14:paraId="7390F1ED">
      <w:pPr>
        <w:pStyle w:val="4"/>
        <w:adjustRightInd w:val="0"/>
        <w:ind w:firstLine="482" w:firstLineChars="200"/>
        <w:rPr>
          <w:rFonts w:hint="default" w:eastAsia="仿宋"/>
          <w:color w:val="auto"/>
          <w:sz w:val="24"/>
          <w:highlight w:val="none"/>
          <w:lang w:val="en-US" w:eastAsia="zh-CN"/>
        </w:rPr>
      </w:pPr>
      <w:bookmarkStart w:id="79" w:name="_Toc445554690"/>
      <w:bookmarkStart w:id="80" w:name="_Toc466024502"/>
      <w:bookmarkStart w:id="81" w:name="_Toc455587034"/>
      <w:bookmarkStart w:id="82" w:name="_Toc455587218"/>
      <w:bookmarkStart w:id="83" w:name="_Toc458504820"/>
      <w:r>
        <w:rPr>
          <w:rFonts w:hint="eastAsia" w:eastAsia="仿宋"/>
          <w:color w:val="auto"/>
          <w:sz w:val="24"/>
          <w:highlight w:val="none"/>
          <w:lang w:eastAsia="zh-CN"/>
        </w:rPr>
        <w:t>1.2 资金落实情况</w:t>
      </w:r>
    </w:p>
    <w:bookmarkEnd w:id="79"/>
    <w:bookmarkEnd w:id="80"/>
    <w:bookmarkEnd w:id="81"/>
    <w:bookmarkEnd w:id="82"/>
    <w:bookmarkEnd w:id="83"/>
    <w:p w14:paraId="4DCBE8C4">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仿宋" w:cs="宋体"/>
          <w:color w:val="auto"/>
          <w:sz w:val="24"/>
          <w:szCs w:val="24"/>
          <w:highlight w:val="none"/>
          <w:lang w:val="en-US"/>
        </w:rPr>
      </w:pPr>
      <w:bookmarkStart w:id="84" w:name="_Toc458504821"/>
      <w:bookmarkStart w:id="85" w:name="_Toc338944609"/>
      <w:bookmarkStart w:id="86" w:name="_Toc455587035"/>
      <w:bookmarkStart w:id="87" w:name="_Toc371415924"/>
      <w:bookmarkStart w:id="88" w:name="_Toc333599663"/>
      <w:bookmarkStart w:id="89" w:name="_Toc333600687"/>
      <w:bookmarkStart w:id="90" w:name="_Toc342296166"/>
      <w:bookmarkStart w:id="91" w:name="_Toc445554692"/>
      <w:bookmarkStart w:id="92" w:name="_Toc152042310"/>
      <w:bookmarkStart w:id="93" w:name="_Toc455587219"/>
      <w:bookmarkStart w:id="94" w:name="_Toc333587857"/>
      <w:bookmarkStart w:id="95" w:name="_Toc466024503"/>
      <w:bookmarkStart w:id="96" w:name="_Toc342294718"/>
      <w:bookmarkStart w:id="97" w:name="_Toc338943704"/>
      <w:bookmarkStart w:id="98" w:name="_Toc342297623"/>
      <w:bookmarkStart w:id="99" w:name="_Toc144974502"/>
      <w:bookmarkStart w:id="100" w:name="_Toc152045534"/>
      <w:bookmarkStart w:id="101" w:name="_Toc179632551"/>
      <w:r>
        <w:rPr>
          <w:rFonts w:hint="eastAsia" w:ascii="宋体" w:hAnsi="宋体" w:eastAsia="仿宋" w:cs="宋体"/>
          <w:color w:val="auto"/>
          <w:kern w:val="2"/>
          <w:sz w:val="24"/>
          <w:szCs w:val="24"/>
          <w:highlight w:val="none"/>
          <w:lang w:val="en-US" w:eastAsia="zh-CN" w:bidi="ar"/>
        </w:rPr>
        <w:t xml:space="preserve">1.2.1 </w:t>
      </w:r>
      <w:r>
        <w:rPr>
          <w:rFonts w:hint="eastAsia" w:ascii="宋体" w:hAnsi="宋体" w:eastAsia="仿宋" w:cs="仿宋"/>
          <w:color w:val="auto"/>
          <w:kern w:val="2"/>
          <w:sz w:val="24"/>
          <w:szCs w:val="24"/>
          <w:highlight w:val="none"/>
          <w:lang w:val="en-US" w:eastAsia="zh-CN" w:bidi="ar"/>
        </w:rPr>
        <w:t>资金来源及比例：见投标人须知前附表。</w:t>
      </w:r>
    </w:p>
    <w:p w14:paraId="25F1FC9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 xml:space="preserve">1.2.2 </w:t>
      </w:r>
      <w:r>
        <w:rPr>
          <w:rFonts w:hint="eastAsia" w:ascii="宋体" w:hAnsi="宋体" w:eastAsia="仿宋"/>
          <w:color w:val="auto"/>
          <w:sz w:val="24"/>
          <w:highlight w:val="none"/>
        </w:rPr>
        <w:t>资金落实情况：本项目的采购人已获得足以支付本次</w:t>
      </w:r>
      <w:r>
        <w:rPr>
          <w:rFonts w:hint="eastAsia" w:ascii="宋体" w:hAnsi="宋体" w:eastAsia="仿宋"/>
          <w:color w:val="auto"/>
          <w:sz w:val="24"/>
          <w:highlight w:val="none"/>
          <w:lang w:val="en-US" w:eastAsia="zh-CN"/>
        </w:rPr>
        <w:t>采购</w:t>
      </w:r>
      <w:r>
        <w:rPr>
          <w:rFonts w:hint="eastAsia" w:ascii="宋体" w:hAnsi="宋体" w:eastAsia="仿宋"/>
          <w:color w:val="auto"/>
          <w:sz w:val="24"/>
          <w:highlight w:val="none"/>
        </w:rPr>
        <w:t>后所签订的合同项下的资金。</w:t>
      </w:r>
    </w:p>
    <w:p w14:paraId="326636BD">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1.</w:t>
      </w:r>
      <w:r>
        <w:rPr>
          <w:rFonts w:hint="eastAsia" w:eastAsia="仿宋"/>
          <w:color w:val="auto"/>
          <w:sz w:val="24"/>
          <w:highlight w:val="none"/>
          <w:lang w:val="en-US" w:eastAsia="zh-CN"/>
        </w:rPr>
        <w:t>3</w:t>
      </w:r>
      <w:r>
        <w:rPr>
          <w:rFonts w:hint="eastAsia" w:eastAsia="仿宋"/>
          <w:color w:val="auto"/>
          <w:sz w:val="24"/>
          <w:highlight w:val="none"/>
          <w:lang w:eastAsia="zh-CN"/>
        </w:rPr>
        <w:t xml:space="preserve"> 资格要求</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BE477D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.1 投标人应具备承担本采购项目的资质条件、能力和信誉</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具体资格要求见</w:t>
      </w:r>
      <w:r>
        <w:rPr>
          <w:rFonts w:hint="eastAsia" w:ascii="宋体" w:hAnsi="宋体" w:eastAsia="仿宋"/>
          <w:color w:val="auto"/>
          <w:sz w:val="24"/>
          <w:highlight w:val="none"/>
        </w:rPr>
        <w:t>投标人须知</w:t>
      </w:r>
      <w:r>
        <w:rPr>
          <w:rFonts w:hint="eastAsia" w:ascii="宋体" w:hAnsi="宋体" w:eastAsia="仿宋"/>
          <w:color w:val="auto"/>
          <w:sz w:val="24"/>
          <w:highlight w:val="none"/>
          <w:lang w:val="en-US" w:eastAsia="zh-CN"/>
        </w:rPr>
        <w:t>前附表。</w:t>
      </w:r>
    </w:p>
    <w:p w14:paraId="2778433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.2 接受联合体投标的，除应符合本章第1.</w:t>
      </w:r>
      <w:r>
        <w:rPr>
          <w:rFonts w:hint="eastAsia" w:ascii="宋体" w:hAnsi="宋体" w:eastAsia="仿宋"/>
          <w:color w:val="auto"/>
          <w:sz w:val="24"/>
          <w:highlight w:val="none"/>
          <w:lang w:val="en-US" w:eastAsia="zh-CN"/>
        </w:rPr>
        <w:t>3</w:t>
      </w:r>
      <w:r>
        <w:rPr>
          <w:rFonts w:ascii="宋体" w:hAnsi="宋体" w:eastAsia="仿宋"/>
          <w:color w:val="auto"/>
          <w:sz w:val="24"/>
          <w:highlight w:val="none"/>
        </w:rPr>
        <w:t>.1</w:t>
      </w:r>
      <w:r>
        <w:rPr>
          <w:rFonts w:hint="eastAsia" w:ascii="宋体" w:hAnsi="宋体" w:eastAsia="仿宋"/>
          <w:color w:val="auto"/>
          <w:sz w:val="24"/>
          <w:highlight w:val="none"/>
        </w:rPr>
        <w:t>项和投标人须知前附表的要求外，还应遵守以下规定：</w:t>
      </w:r>
    </w:p>
    <w:p w14:paraId="01BEE07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）联合体各方应按招标文件提供的格式签订联合体协议书，明确联合体牵头人和各方权利义务，并承诺就中标项目向采购人承担连带责任；</w:t>
      </w:r>
    </w:p>
    <w:p w14:paraId="0F7C34B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（2）由同一专业的单位组成的联合体，按照资质等级较低的单位确定资质等级；</w:t>
      </w:r>
    </w:p>
    <w:p w14:paraId="23B1E54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（3）联合体各方不得再以自己名义单独或参加其他联合体在本项目中投标，否则各相关投标均无效；</w:t>
      </w:r>
    </w:p>
    <w:p w14:paraId="0E9FDA6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auto"/>
          <w:sz w:val="24"/>
          <w:highlight w:val="none"/>
        </w:rPr>
        <w:t>采购</w:t>
      </w:r>
      <w:r>
        <w:rPr>
          <w:rFonts w:ascii="宋体" w:hAnsi="宋体" w:eastAsia="仿宋"/>
          <w:color w:val="auto"/>
          <w:sz w:val="24"/>
          <w:highlight w:val="none"/>
        </w:rPr>
        <w:t>人；联合体牵头人所提交的投标文件应认为已代表了联合体各成员的真实情况；</w:t>
      </w:r>
    </w:p>
    <w:p w14:paraId="19C361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5）尽管委任了联合体牵头人，但联合体各成员在投标、签订合同与履行合同过程中，仍负有连带的和各自的法律责任。</w:t>
      </w:r>
    </w:p>
    <w:p w14:paraId="654673F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.3 投标人</w:t>
      </w:r>
      <w:r>
        <w:rPr>
          <w:rFonts w:hAnsi="宋体" w:eastAsia="仿宋"/>
          <w:color w:val="auto"/>
          <w:sz w:val="24"/>
          <w:highlight w:val="none"/>
        </w:rPr>
        <w:t>（包括联合体各成员）</w:t>
      </w:r>
      <w:r>
        <w:rPr>
          <w:rFonts w:hint="eastAsia" w:ascii="宋体" w:hAnsi="宋体" w:eastAsia="仿宋"/>
          <w:color w:val="auto"/>
          <w:sz w:val="24"/>
          <w:highlight w:val="none"/>
        </w:rPr>
        <w:t>不得存在下列情形之一：</w:t>
      </w:r>
    </w:p>
    <w:p w14:paraId="15F5485F">
      <w:pPr>
        <w:widowControl/>
        <w:adjustRightInd w:val="0"/>
        <w:snapToGrid w:val="0"/>
        <w:spacing w:line="360" w:lineRule="auto"/>
        <w:ind w:firstLine="480" w:firstLineChars="200"/>
        <w:rPr>
          <w:rFonts w:hint="eastAsia" w:ascii="宋体" w:hAnsi="宋体" w:eastAsia="仿宋"/>
          <w:color w:val="auto"/>
          <w:sz w:val="24"/>
          <w:highlight w:val="none"/>
        </w:rPr>
      </w:pPr>
      <w:bookmarkStart w:id="102" w:name="_Toc342294719"/>
      <w:bookmarkStart w:id="103" w:name="_Toc338944610"/>
      <w:bookmarkStart w:id="104" w:name="_Toc342296167"/>
      <w:bookmarkStart w:id="105" w:name="_Toc144974503"/>
      <w:bookmarkStart w:id="106" w:name="_Toc342297624"/>
      <w:bookmarkStart w:id="107" w:name="_Toc152042311"/>
      <w:bookmarkStart w:id="108" w:name="_Toc152045535"/>
      <w:bookmarkStart w:id="109" w:name="_Toc333587858"/>
      <w:bookmarkStart w:id="110" w:name="_Toc338943705"/>
      <w:bookmarkStart w:id="111" w:name="_Toc333600688"/>
      <w:bookmarkStart w:id="112" w:name="_Toc333599664"/>
      <w:bookmarkStart w:id="113" w:name="_Toc179632552"/>
      <w:r>
        <w:rPr>
          <w:rFonts w:hint="eastAsia" w:ascii="宋体" w:hAnsi="宋体" w:eastAsia="仿宋"/>
          <w:color w:val="auto"/>
          <w:sz w:val="24"/>
          <w:highlight w:val="none"/>
        </w:rPr>
        <w:t>（1）</w:t>
      </w:r>
      <w:r>
        <w:rPr>
          <w:rFonts w:ascii="宋体" w:hAnsi="宋体" w:eastAsia="仿宋"/>
          <w:color w:val="auto"/>
          <w:sz w:val="24"/>
          <w:highlight w:val="none"/>
        </w:rPr>
        <w:t>为本采购项目的采购代理机构；</w:t>
      </w:r>
    </w:p>
    <w:p w14:paraId="54252E4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为采购人</w:t>
      </w:r>
      <w:r>
        <w:rPr>
          <w:rFonts w:hint="eastAsia" w:ascii="宋体" w:hAnsi="宋体" w:eastAsia="仿宋"/>
          <w:color w:val="auto"/>
          <w:sz w:val="24"/>
          <w:highlight w:val="none"/>
        </w:rPr>
        <w:t>不具有独立承担民事责任能力的</w:t>
      </w:r>
      <w:r>
        <w:rPr>
          <w:rFonts w:ascii="宋体" w:hAnsi="宋体" w:eastAsia="仿宋"/>
          <w:color w:val="auto"/>
          <w:sz w:val="24"/>
          <w:highlight w:val="none"/>
        </w:rPr>
        <w:t>附属机构</w:t>
      </w:r>
      <w:r>
        <w:rPr>
          <w:rFonts w:hint="eastAsia" w:ascii="宋体" w:hAnsi="宋体" w:eastAsia="仿宋"/>
          <w:color w:val="auto"/>
          <w:sz w:val="24"/>
          <w:highlight w:val="none"/>
        </w:rPr>
        <w:t>；</w:t>
      </w:r>
    </w:p>
    <w:p w14:paraId="458A2FD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与采购人存在利害关系且可能影响采购公正性；</w:t>
      </w:r>
    </w:p>
    <w:p w14:paraId="2F05085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由本</w:t>
      </w:r>
      <w:r>
        <w:rPr>
          <w:rFonts w:hint="eastAsia" w:ascii="宋体" w:hAnsi="宋体" w:eastAsia="仿宋"/>
          <w:color w:val="auto"/>
          <w:sz w:val="24"/>
          <w:highlight w:val="none"/>
        </w:rPr>
        <w:t>采购项目</w:t>
      </w:r>
      <w:r>
        <w:rPr>
          <w:rFonts w:ascii="宋体" w:hAnsi="宋体" w:eastAsia="仿宋"/>
          <w:color w:val="auto"/>
          <w:sz w:val="24"/>
          <w:highlight w:val="none"/>
        </w:rPr>
        <w:t>采购代理机构代理</w:t>
      </w:r>
      <w:r>
        <w:rPr>
          <w:rFonts w:hint="eastAsia" w:ascii="宋体" w:hAnsi="宋体" w:eastAsia="仿宋"/>
          <w:color w:val="auto"/>
          <w:sz w:val="24"/>
          <w:highlight w:val="none"/>
        </w:rPr>
        <w:t>投标</w:t>
      </w:r>
      <w:r>
        <w:rPr>
          <w:rFonts w:ascii="宋体" w:hAnsi="宋体" w:eastAsia="仿宋"/>
          <w:color w:val="auto"/>
          <w:sz w:val="24"/>
          <w:highlight w:val="none"/>
        </w:rPr>
        <w:t>，或者接受过本</w:t>
      </w:r>
      <w:r>
        <w:rPr>
          <w:rFonts w:hint="eastAsia" w:ascii="宋体" w:hAnsi="宋体" w:eastAsia="仿宋"/>
          <w:color w:val="auto"/>
          <w:sz w:val="24"/>
          <w:highlight w:val="none"/>
        </w:rPr>
        <w:t>采购项目</w:t>
      </w:r>
      <w:r>
        <w:rPr>
          <w:rFonts w:ascii="宋体" w:hAnsi="宋体" w:eastAsia="仿宋"/>
          <w:color w:val="auto"/>
          <w:sz w:val="24"/>
          <w:highlight w:val="none"/>
        </w:rPr>
        <w:t>的采购代理机构为本</w:t>
      </w:r>
      <w:r>
        <w:rPr>
          <w:rFonts w:hint="eastAsia" w:ascii="宋体" w:hAnsi="宋体" w:eastAsia="仿宋"/>
          <w:color w:val="auto"/>
          <w:sz w:val="24"/>
          <w:highlight w:val="none"/>
        </w:rPr>
        <w:t>采购项目</w:t>
      </w:r>
      <w:r>
        <w:rPr>
          <w:rFonts w:ascii="宋体" w:hAnsi="宋体" w:eastAsia="仿宋"/>
          <w:color w:val="auto"/>
          <w:sz w:val="24"/>
          <w:highlight w:val="none"/>
        </w:rPr>
        <w:t>提供咨询</w:t>
      </w:r>
      <w:r>
        <w:rPr>
          <w:rFonts w:hint="eastAsia" w:ascii="宋体" w:hAnsi="宋体" w:eastAsia="仿宋"/>
          <w:color w:val="auto"/>
          <w:sz w:val="24"/>
          <w:highlight w:val="none"/>
        </w:rPr>
        <w:t>；</w:t>
      </w:r>
    </w:p>
    <w:p w14:paraId="6857815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w:t>
      </w:r>
      <w:r>
        <w:rPr>
          <w:rFonts w:ascii="宋体" w:hAnsi="宋体" w:eastAsia="仿宋"/>
          <w:color w:val="auto"/>
          <w:sz w:val="24"/>
          <w:highlight w:val="none"/>
        </w:rPr>
        <w:t>被责令停产停业、暂扣或者吊销许可证、暂扣或者吊销执照；</w:t>
      </w:r>
    </w:p>
    <w:p w14:paraId="7EB0366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进入清算程序，或被宣告破产，或其他丧失履约能力的情形；</w:t>
      </w:r>
    </w:p>
    <w:p w14:paraId="70EA17B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（7）与本项目其他投标人的</w:t>
      </w:r>
      <w:r>
        <w:rPr>
          <w:rFonts w:ascii="宋体" w:hAnsi="宋体" w:eastAsia="仿宋"/>
          <w:color w:val="auto"/>
          <w:sz w:val="24"/>
          <w:highlight w:val="none"/>
        </w:rPr>
        <w:t>单位负责人为同一人或者存在直接控股、管理关系的不同投标人</w:t>
      </w:r>
      <w:r>
        <w:rPr>
          <w:rFonts w:hint="eastAsia" w:ascii="宋体" w:hAnsi="宋体" w:eastAsia="仿宋"/>
          <w:color w:val="auto"/>
          <w:sz w:val="24"/>
          <w:highlight w:val="none"/>
        </w:rPr>
        <w:t>；</w:t>
      </w:r>
    </w:p>
    <w:p w14:paraId="226A967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（8）被依法禁止参加政府采购活动并在有效期内；</w:t>
      </w:r>
    </w:p>
    <w:p w14:paraId="51D251A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（9）为采购项目提供整体设计、规范编制或者项目管理、监理、检测等服务的投标人，不得再参加该采购项目的其他采购活动，具体按财政部财办库〔2015〕295号文件规定；</w:t>
      </w:r>
    </w:p>
    <w:p w14:paraId="3D3272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（10）截至投标截止时间，</w:t>
      </w:r>
      <w:r>
        <w:rPr>
          <w:rFonts w:ascii="宋体" w:hAnsi="宋体" w:eastAsia="仿宋"/>
          <w:color w:val="auto"/>
          <w:sz w:val="24"/>
          <w:highlight w:val="none"/>
        </w:rPr>
        <w:t>被人民法院列入失信被执行人名单</w:t>
      </w:r>
      <w:r>
        <w:rPr>
          <w:rFonts w:hint="eastAsia" w:ascii="宋体" w:hAnsi="宋体" w:eastAsia="仿宋"/>
          <w:color w:val="auto"/>
          <w:sz w:val="24"/>
          <w:highlight w:val="none"/>
        </w:rPr>
        <w:t>的（以信用中国</w:t>
      </w:r>
      <w:r>
        <w:rPr>
          <w:rFonts w:ascii="宋体" w:hAnsi="宋体" w:eastAsia="仿宋"/>
          <w:color w:val="auto"/>
          <w:sz w:val="24"/>
          <w:highlight w:val="none"/>
        </w:rPr>
        <w:t>www.creditchina.gov.cn</w:t>
      </w:r>
      <w:r>
        <w:rPr>
          <w:rFonts w:hint="eastAsia" w:ascii="宋体" w:hAnsi="宋体" w:eastAsia="仿宋"/>
          <w:color w:val="auto"/>
          <w:sz w:val="24"/>
          <w:highlight w:val="none"/>
        </w:rPr>
        <w:t>、中国执行信息公开网</w:t>
      </w:r>
      <w:r>
        <w:rPr>
          <w:rFonts w:ascii="宋体" w:hAnsi="宋体" w:eastAsia="仿宋"/>
          <w:color w:val="auto"/>
          <w:sz w:val="24"/>
          <w:highlight w:val="none"/>
        </w:rPr>
        <w:t>http://zxgk.court.gov.cn/</w:t>
      </w:r>
      <w:r>
        <w:rPr>
          <w:rFonts w:hint="eastAsia" w:ascii="宋体" w:hAnsi="宋体" w:eastAsia="仿宋"/>
          <w:color w:val="auto"/>
          <w:sz w:val="24"/>
          <w:highlight w:val="none"/>
        </w:rPr>
        <w:t>查询为准）</w:t>
      </w:r>
      <w:r>
        <w:rPr>
          <w:rFonts w:ascii="宋体" w:hAnsi="宋体" w:eastAsia="仿宋"/>
          <w:color w:val="auto"/>
          <w:sz w:val="24"/>
          <w:highlight w:val="none"/>
        </w:rPr>
        <w:t>；</w:t>
      </w:r>
    </w:p>
    <w:p w14:paraId="5571184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（11）截至投标截止时间，被列入重大税收违法案件当事人</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重大税收违法失信主体</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查询为准）；</w:t>
      </w:r>
    </w:p>
    <w:p w14:paraId="639DE45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（12）截至投标截止时间，被列入政府采购严重违法失信名单的（以信用中国网站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、中国政府采购网</w:t>
      </w:r>
      <w:r>
        <w:rPr>
          <w:rFonts w:ascii="宋体" w:hAnsi="宋体" w:eastAsia="仿宋"/>
          <w:color w:val="auto"/>
          <w:sz w:val="24"/>
          <w:highlight w:val="none"/>
        </w:rPr>
        <w:t>http://www.ccgp.gov.cn/</w:t>
      </w:r>
      <w:r>
        <w:rPr>
          <w:rFonts w:hint="eastAsia" w:ascii="宋体" w:hAnsi="宋体" w:eastAsia="仿宋"/>
          <w:color w:val="auto"/>
          <w:sz w:val="24"/>
          <w:highlight w:val="none"/>
        </w:rPr>
        <w:t>查询为准）；</w:t>
      </w:r>
    </w:p>
    <w:p w14:paraId="3F1178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6432F65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w:t>
      </w:r>
      <w:r>
        <w:rPr>
          <w:rFonts w:ascii="宋体" w:hAnsi="宋体" w:eastAsia="仿宋"/>
          <w:color w:val="auto"/>
          <w:sz w:val="24"/>
          <w:highlight w:val="none"/>
        </w:rPr>
        <w:t>法律法规</w:t>
      </w:r>
      <w:r>
        <w:rPr>
          <w:rFonts w:hint="eastAsia" w:ascii="宋体" w:hAnsi="宋体" w:eastAsia="仿宋"/>
          <w:color w:val="auto"/>
          <w:sz w:val="24"/>
          <w:highlight w:val="none"/>
        </w:rPr>
        <w:t>规定的其他情形；</w:t>
      </w:r>
    </w:p>
    <w:p w14:paraId="56AC884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w:t>
      </w:r>
      <w:r>
        <w:rPr>
          <w:rFonts w:ascii="宋体" w:hAnsi="宋体" w:eastAsia="仿宋"/>
          <w:color w:val="auto"/>
          <w:sz w:val="24"/>
          <w:highlight w:val="none"/>
        </w:rPr>
        <w:t>投标人须知前附表规定的其他情形。</w:t>
      </w:r>
    </w:p>
    <w:p w14:paraId="1EB4EC1A">
      <w:pPr>
        <w:pStyle w:val="4"/>
        <w:adjustRightInd w:val="0"/>
        <w:ind w:firstLine="482" w:firstLineChars="200"/>
        <w:rPr>
          <w:rFonts w:eastAsia="仿宋"/>
          <w:color w:val="auto"/>
          <w:sz w:val="24"/>
          <w:highlight w:val="none"/>
          <w:lang w:eastAsia="zh-CN"/>
        </w:rPr>
      </w:pPr>
      <w:bookmarkStart w:id="114" w:name="_Toc455587036"/>
      <w:bookmarkStart w:id="115" w:name="_Toc466024504"/>
      <w:bookmarkStart w:id="116" w:name="_Toc458504822"/>
      <w:bookmarkStart w:id="117" w:name="_Toc371415925"/>
      <w:bookmarkStart w:id="118" w:name="_Toc445554693"/>
      <w:bookmarkStart w:id="119" w:name="_Toc455587220"/>
      <w:r>
        <w:rPr>
          <w:rFonts w:hint="eastAsia" w:eastAsia="仿宋"/>
          <w:color w:val="auto"/>
          <w:sz w:val="24"/>
          <w:highlight w:val="none"/>
          <w:lang w:eastAsia="zh-CN"/>
        </w:rPr>
        <w:t>1.</w:t>
      </w:r>
      <w:r>
        <w:rPr>
          <w:rFonts w:hint="eastAsia" w:eastAsia="仿宋"/>
          <w:color w:val="auto"/>
          <w:sz w:val="24"/>
          <w:highlight w:val="none"/>
          <w:lang w:val="en-US" w:eastAsia="zh-CN"/>
        </w:rPr>
        <w:t>4</w:t>
      </w:r>
      <w:r>
        <w:rPr>
          <w:rFonts w:hint="eastAsia" w:eastAsia="仿宋"/>
          <w:color w:val="auto"/>
          <w:sz w:val="24"/>
          <w:highlight w:val="none"/>
          <w:lang w:eastAsia="zh-CN"/>
        </w:rPr>
        <w:t xml:space="preserve"> 费用承担</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730F2E6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投标人准备和参加投标活动发生的费用自理。</w:t>
      </w:r>
    </w:p>
    <w:p w14:paraId="4B4FED4C">
      <w:pPr>
        <w:pStyle w:val="4"/>
        <w:adjustRightInd w:val="0"/>
        <w:ind w:firstLine="482" w:firstLineChars="200"/>
        <w:rPr>
          <w:rFonts w:eastAsia="仿宋"/>
          <w:color w:val="auto"/>
          <w:sz w:val="24"/>
          <w:highlight w:val="none"/>
          <w:lang w:eastAsia="zh-CN"/>
        </w:rPr>
      </w:pPr>
      <w:bookmarkStart w:id="120" w:name="_Toc458504823"/>
      <w:bookmarkStart w:id="121" w:name="_Toc455587037"/>
      <w:bookmarkStart w:id="122" w:name="_Toc466024505"/>
      <w:bookmarkStart w:id="123" w:name="_Toc455587221"/>
      <w:bookmarkStart w:id="124" w:name="_Toc445554694"/>
      <w:bookmarkStart w:id="125" w:name="_Toc247527560"/>
      <w:bookmarkStart w:id="126" w:name="_Toc247513959"/>
      <w:bookmarkStart w:id="127" w:name="_Toc300834956"/>
      <w:bookmarkStart w:id="128" w:name="_Toc152042312"/>
      <w:bookmarkStart w:id="129" w:name="_Toc144974504"/>
      <w:bookmarkStart w:id="130" w:name="_Toc152045536"/>
      <w:r>
        <w:rPr>
          <w:rFonts w:hint="eastAsia" w:eastAsia="仿宋"/>
          <w:color w:val="auto"/>
          <w:sz w:val="24"/>
          <w:highlight w:val="none"/>
          <w:lang w:eastAsia="zh-CN"/>
        </w:rPr>
        <w:t>1.</w:t>
      </w:r>
      <w:r>
        <w:rPr>
          <w:rFonts w:hint="eastAsia" w:eastAsia="仿宋"/>
          <w:color w:val="auto"/>
          <w:sz w:val="24"/>
          <w:highlight w:val="none"/>
          <w:lang w:val="en-US" w:eastAsia="zh-CN"/>
        </w:rPr>
        <w:t>5</w:t>
      </w:r>
      <w:r>
        <w:rPr>
          <w:rFonts w:hint="eastAsia" w:eastAsia="仿宋"/>
          <w:color w:val="auto"/>
          <w:sz w:val="24"/>
          <w:highlight w:val="none"/>
          <w:lang w:eastAsia="zh-CN"/>
        </w:rPr>
        <w:t xml:space="preserve"> 保密</w:t>
      </w:r>
      <w:bookmarkEnd w:id="120"/>
      <w:bookmarkEnd w:id="121"/>
      <w:bookmarkEnd w:id="122"/>
      <w:bookmarkEnd w:id="123"/>
      <w:bookmarkEnd w:id="124"/>
    </w:p>
    <w:p w14:paraId="5E13E7D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参与招标投标活动的各方应当对招标文件和投标文件中的商业和技术等秘密保密，否则应当承担相应的法律责任。</w:t>
      </w:r>
    </w:p>
    <w:p w14:paraId="7E56BCB3">
      <w:pPr>
        <w:pStyle w:val="4"/>
        <w:adjustRightInd w:val="0"/>
        <w:ind w:firstLine="482" w:firstLineChars="200"/>
        <w:rPr>
          <w:rFonts w:eastAsia="仿宋"/>
          <w:color w:val="auto"/>
          <w:sz w:val="24"/>
          <w:highlight w:val="none"/>
          <w:lang w:eastAsia="zh-CN"/>
        </w:rPr>
      </w:pPr>
      <w:bookmarkStart w:id="131" w:name="_Toc458504824"/>
      <w:bookmarkStart w:id="132" w:name="_Toc445554695"/>
      <w:bookmarkStart w:id="133" w:name="_Toc455587038"/>
      <w:bookmarkStart w:id="134" w:name="_Toc455587222"/>
      <w:bookmarkStart w:id="135" w:name="_Toc466024506"/>
      <w:r>
        <w:rPr>
          <w:rFonts w:hint="eastAsia" w:eastAsia="仿宋"/>
          <w:color w:val="auto"/>
          <w:sz w:val="24"/>
          <w:highlight w:val="none"/>
          <w:lang w:eastAsia="zh-CN"/>
        </w:rPr>
        <w:t>1.</w:t>
      </w:r>
      <w:r>
        <w:rPr>
          <w:rFonts w:hint="eastAsia" w:eastAsia="仿宋"/>
          <w:color w:val="auto"/>
          <w:sz w:val="24"/>
          <w:highlight w:val="none"/>
          <w:lang w:val="en-US" w:eastAsia="zh-CN"/>
        </w:rPr>
        <w:t>6</w:t>
      </w:r>
      <w:r>
        <w:rPr>
          <w:rFonts w:hint="eastAsia" w:eastAsia="仿宋"/>
          <w:color w:val="auto"/>
          <w:sz w:val="24"/>
          <w:highlight w:val="none"/>
          <w:lang w:eastAsia="zh-CN"/>
        </w:rPr>
        <w:t xml:space="preserve"> 语言文字</w:t>
      </w:r>
      <w:bookmarkEnd w:id="125"/>
      <w:bookmarkEnd w:id="126"/>
      <w:bookmarkEnd w:id="127"/>
      <w:bookmarkEnd w:id="128"/>
      <w:bookmarkEnd w:id="129"/>
      <w:bookmarkEnd w:id="130"/>
      <w:bookmarkEnd w:id="131"/>
      <w:bookmarkEnd w:id="132"/>
      <w:bookmarkEnd w:id="133"/>
      <w:bookmarkEnd w:id="134"/>
      <w:bookmarkEnd w:id="135"/>
    </w:p>
    <w:p w14:paraId="5396F50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除专用术语外，与招标投标有关的语言均应当使用中文。必要时专用术语应附有中文注释。</w:t>
      </w:r>
    </w:p>
    <w:p w14:paraId="1D061032">
      <w:pPr>
        <w:pStyle w:val="4"/>
        <w:adjustRightInd w:val="0"/>
        <w:ind w:firstLine="482" w:firstLineChars="200"/>
        <w:rPr>
          <w:rFonts w:eastAsia="仿宋"/>
          <w:color w:val="auto"/>
          <w:sz w:val="24"/>
          <w:highlight w:val="none"/>
          <w:lang w:eastAsia="zh-CN"/>
        </w:rPr>
      </w:pPr>
      <w:bookmarkStart w:id="136" w:name="_Toc342297627"/>
      <w:bookmarkStart w:id="137" w:name="_Toc338944613"/>
      <w:bookmarkStart w:id="138" w:name="_Toc338943708"/>
      <w:bookmarkStart w:id="139" w:name="_Toc333599667"/>
      <w:bookmarkStart w:id="140" w:name="_Toc466024507"/>
      <w:bookmarkStart w:id="141" w:name="_Toc445554696"/>
      <w:bookmarkStart w:id="142" w:name="_Toc342296170"/>
      <w:bookmarkStart w:id="143" w:name="_Toc458504825"/>
      <w:bookmarkStart w:id="144" w:name="_Toc152042314"/>
      <w:bookmarkStart w:id="145" w:name="_Toc333600691"/>
      <w:bookmarkStart w:id="146" w:name="_Toc333587861"/>
      <w:bookmarkStart w:id="147" w:name="_Toc455587223"/>
      <w:bookmarkStart w:id="148" w:name="_Toc371415926"/>
      <w:bookmarkStart w:id="149" w:name="_Toc342294722"/>
      <w:bookmarkStart w:id="150" w:name="_Toc455587039"/>
      <w:bookmarkStart w:id="151" w:name="_Toc179632555"/>
      <w:bookmarkStart w:id="152" w:name="_Toc144974506"/>
      <w:bookmarkStart w:id="153" w:name="_Toc152045538"/>
      <w:r>
        <w:rPr>
          <w:rFonts w:hint="eastAsia" w:eastAsia="仿宋"/>
          <w:color w:val="auto"/>
          <w:sz w:val="24"/>
          <w:highlight w:val="none"/>
          <w:lang w:eastAsia="zh-CN"/>
        </w:rPr>
        <w:t>1.</w:t>
      </w:r>
      <w:r>
        <w:rPr>
          <w:rFonts w:hint="eastAsia" w:eastAsia="仿宋"/>
          <w:color w:val="auto"/>
          <w:sz w:val="24"/>
          <w:highlight w:val="none"/>
          <w:lang w:val="en-US" w:eastAsia="zh-CN"/>
        </w:rPr>
        <w:t>7</w:t>
      </w:r>
      <w:r>
        <w:rPr>
          <w:rFonts w:hint="eastAsia" w:eastAsia="仿宋"/>
          <w:color w:val="auto"/>
          <w:sz w:val="24"/>
          <w:highlight w:val="none"/>
          <w:lang w:eastAsia="zh-CN"/>
        </w:rPr>
        <w:t xml:space="preserve"> 计量单位</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5218FE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除招标文件另有规定外，所有计量均采用中华人民共和国法定计量单位。</w:t>
      </w:r>
    </w:p>
    <w:p w14:paraId="34224B12">
      <w:pPr>
        <w:pStyle w:val="4"/>
        <w:adjustRightInd w:val="0"/>
        <w:ind w:firstLine="482" w:firstLineChars="200"/>
        <w:rPr>
          <w:rFonts w:eastAsia="仿宋"/>
          <w:color w:val="auto"/>
          <w:sz w:val="24"/>
          <w:highlight w:val="none"/>
          <w:lang w:eastAsia="zh-CN"/>
        </w:rPr>
      </w:pPr>
      <w:bookmarkStart w:id="154" w:name="_Toc455587040"/>
      <w:bookmarkStart w:id="155" w:name="_Toc455587224"/>
      <w:bookmarkStart w:id="156" w:name="_Toc458504826"/>
      <w:bookmarkStart w:id="157" w:name="_Toc371415927"/>
      <w:bookmarkStart w:id="158" w:name="_Toc445554697"/>
      <w:bookmarkStart w:id="159" w:name="_Toc466024508"/>
      <w:bookmarkStart w:id="160" w:name="_Toc152042316"/>
      <w:bookmarkStart w:id="161" w:name="_Toc333599669"/>
      <w:bookmarkStart w:id="162" w:name="_Toc333600693"/>
      <w:bookmarkStart w:id="163" w:name="_Toc338943710"/>
      <w:bookmarkStart w:id="164" w:name="_Toc144974508"/>
      <w:bookmarkStart w:id="165" w:name="_Toc342294724"/>
      <w:bookmarkStart w:id="166" w:name="_Toc152045540"/>
      <w:bookmarkStart w:id="167" w:name="_Toc179632557"/>
      <w:bookmarkStart w:id="168" w:name="_Toc342297629"/>
      <w:bookmarkStart w:id="169" w:name="_Toc338944615"/>
      <w:bookmarkStart w:id="170" w:name="_Toc342296172"/>
      <w:bookmarkStart w:id="171" w:name="_Toc333587863"/>
      <w:r>
        <w:rPr>
          <w:rFonts w:hint="eastAsia" w:eastAsia="仿宋"/>
          <w:color w:val="auto"/>
          <w:sz w:val="24"/>
          <w:highlight w:val="none"/>
          <w:lang w:eastAsia="zh-CN"/>
        </w:rPr>
        <w:t>1.</w:t>
      </w:r>
      <w:bookmarkEnd w:id="154"/>
      <w:bookmarkEnd w:id="155"/>
      <w:bookmarkEnd w:id="156"/>
      <w:bookmarkEnd w:id="157"/>
      <w:bookmarkEnd w:id="158"/>
      <w:r>
        <w:rPr>
          <w:rFonts w:hint="eastAsia" w:eastAsia="仿宋"/>
          <w:color w:val="auto"/>
          <w:sz w:val="24"/>
          <w:highlight w:val="none"/>
          <w:lang w:val="en-US" w:eastAsia="zh-CN"/>
        </w:rPr>
        <w:t>8</w:t>
      </w:r>
      <w:r>
        <w:rPr>
          <w:rFonts w:hint="eastAsia" w:eastAsia="仿宋"/>
          <w:color w:val="auto"/>
          <w:sz w:val="24"/>
          <w:highlight w:val="none"/>
          <w:lang w:eastAsia="zh-CN"/>
        </w:rPr>
        <w:t xml:space="preserve"> 现场考察</w:t>
      </w:r>
      <w:bookmarkEnd w:id="159"/>
    </w:p>
    <w:p w14:paraId="0AFEE90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8</w:t>
      </w:r>
      <w:r>
        <w:rPr>
          <w:rFonts w:ascii="宋体" w:hAnsi="宋体" w:eastAsia="仿宋"/>
          <w:color w:val="auto"/>
          <w:sz w:val="24"/>
          <w:highlight w:val="none"/>
        </w:rPr>
        <w:t>.1</w:t>
      </w:r>
      <w:r>
        <w:rPr>
          <w:rFonts w:hint="eastAsia" w:ascii="宋体" w:hAnsi="宋体" w:eastAsia="仿宋"/>
          <w:color w:val="auto"/>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04B156D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8</w:t>
      </w: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 xml:space="preserve"> 投标人现场考察发生的费用自理。</w:t>
      </w:r>
    </w:p>
    <w:p w14:paraId="6FC6EBE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8</w:t>
      </w:r>
      <w:r>
        <w:rPr>
          <w:rFonts w:ascii="宋体" w:hAnsi="宋体" w:eastAsia="仿宋"/>
          <w:color w:val="auto"/>
          <w:sz w:val="24"/>
          <w:highlight w:val="none"/>
        </w:rPr>
        <w:t>.3</w:t>
      </w:r>
      <w:r>
        <w:rPr>
          <w:rFonts w:hint="eastAsia" w:ascii="宋体" w:hAnsi="宋体" w:eastAsia="仿宋"/>
          <w:color w:val="auto"/>
          <w:sz w:val="24"/>
          <w:highlight w:val="none"/>
        </w:rPr>
        <w:t xml:space="preserve"> 除采购人的原因外，投标人自行负责在现场考察中所发生的人员伤亡和财产损失。</w:t>
      </w:r>
    </w:p>
    <w:p w14:paraId="6B31C4C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8</w:t>
      </w:r>
      <w:r>
        <w:rPr>
          <w:rFonts w:ascii="宋体" w:hAnsi="宋体" w:eastAsia="仿宋"/>
          <w:color w:val="auto"/>
          <w:sz w:val="24"/>
          <w:highlight w:val="none"/>
        </w:rPr>
        <w:t>.4</w:t>
      </w:r>
      <w:r>
        <w:rPr>
          <w:rFonts w:hint="eastAsia" w:ascii="宋体" w:hAnsi="宋体" w:eastAsia="仿宋"/>
          <w:color w:val="auto"/>
          <w:sz w:val="24"/>
          <w:highlight w:val="none"/>
        </w:rPr>
        <w:t xml:space="preserve"> 采购人在现场考察中介绍的现场情况和周边相关的环境情况，仅作为投标人在编制投标文件时参考，采购人不对投标人据此作出的判断和决策负责。</w:t>
      </w:r>
    </w:p>
    <w:p w14:paraId="5EDBF30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8</w:t>
      </w:r>
      <w:r>
        <w:rPr>
          <w:rFonts w:hint="eastAsia" w:ascii="宋体" w:hAnsi="宋体" w:eastAsia="仿宋"/>
          <w:color w:val="auto"/>
          <w:sz w:val="24"/>
          <w:highlight w:val="none"/>
        </w:rPr>
        <w:t>.5 除非有特殊要求，招标文件不单独提供</w:t>
      </w:r>
      <w:r>
        <w:rPr>
          <w:rFonts w:hint="eastAsia" w:ascii="宋体" w:hAnsi="宋体" w:eastAsia="仿宋"/>
          <w:color w:val="auto"/>
          <w:sz w:val="24"/>
          <w:highlight w:val="none"/>
          <w:lang w:val="en-US" w:eastAsia="zh-CN"/>
        </w:rPr>
        <w:t>履约地点</w:t>
      </w:r>
      <w:r>
        <w:rPr>
          <w:rFonts w:hint="eastAsia" w:ascii="宋体" w:hAnsi="宋体" w:eastAsia="仿宋"/>
          <w:color w:val="auto"/>
          <w:sz w:val="24"/>
          <w:highlight w:val="none"/>
        </w:rPr>
        <w:t>的自然环境、气候条件、公用设施等情况，投标人被视为熟悉上述与履行合同有关的一切情况。</w:t>
      </w:r>
    </w:p>
    <w:p w14:paraId="79BCCF3B">
      <w:pPr>
        <w:pStyle w:val="4"/>
        <w:adjustRightInd w:val="0"/>
        <w:ind w:firstLine="482" w:firstLineChars="200"/>
        <w:rPr>
          <w:rFonts w:eastAsia="仿宋"/>
          <w:color w:val="auto"/>
          <w:sz w:val="24"/>
          <w:highlight w:val="none"/>
          <w:lang w:eastAsia="zh-CN"/>
        </w:rPr>
      </w:pPr>
      <w:bookmarkStart w:id="172" w:name="_Toc455587225"/>
      <w:bookmarkStart w:id="173" w:name="_Toc458504827"/>
      <w:bookmarkStart w:id="174" w:name="_Toc445554698"/>
      <w:bookmarkStart w:id="175" w:name="_Toc455587041"/>
      <w:bookmarkStart w:id="176" w:name="_Toc466024509"/>
      <w:r>
        <w:rPr>
          <w:rFonts w:hint="eastAsia" w:eastAsia="仿宋"/>
          <w:color w:val="auto"/>
          <w:sz w:val="24"/>
          <w:highlight w:val="none"/>
          <w:lang w:eastAsia="zh-CN"/>
        </w:rPr>
        <w:t>1.</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eastAsia="仿宋"/>
          <w:color w:val="auto"/>
          <w:sz w:val="24"/>
          <w:highlight w:val="none"/>
          <w:lang w:val="en-US" w:eastAsia="zh-CN"/>
        </w:rPr>
        <w:t>9</w:t>
      </w:r>
      <w:r>
        <w:rPr>
          <w:rFonts w:hint="eastAsia" w:eastAsia="仿宋"/>
          <w:color w:val="auto"/>
          <w:sz w:val="24"/>
          <w:highlight w:val="none"/>
          <w:lang w:eastAsia="zh-CN"/>
        </w:rPr>
        <w:t xml:space="preserve"> 开标前答疑会</w:t>
      </w:r>
      <w:bookmarkEnd w:id="176"/>
    </w:p>
    <w:p w14:paraId="760D77C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投标人须知前附表规定召开开标前答疑会（以下简称答疑会）的，采购人按照投标人须知前附表规定的时间和地点召开答疑会，澄清投标人提出的问题。</w:t>
      </w:r>
    </w:p>
    <w:p w14:paraId="0091D01D">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w:t>
      </w:r>
      <w:r>
        <w:rPr>
          <w:rFonts w:hint="eastAsia" w:eastAsia="仿宋"/>
          <w:color w:val="auto"/>
          <w:sz w:val="24"/>
          <w:highlight w:val="none"/>
          <w:lang w:val="en-US" w:eastAsia="zh-CN"/>
        </w:rPr>
        <w:t>0</w:t>
      </w:r>
      <w:r>
        <w:rPr>
          <w:rFonts w:hint="eastAsia" w:eastAsia="仿宋"/>
          <w:color w:val="auto"/>
          <w:sz w:val="24"/>
          <w:highlight w:val="none"/>
          <w:lang w:eastAsia="zh-CN"/>
        </w:rPr>
        <w:t xml:space="preserve"> 分包</w:t>
      </w:r>
    </w:p>
    <w:p w14:paraId="1AF768E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w:t>
      </w:r>
      <w:r>
        <w:rPr>
          <w:rFonts w:hint="eastAsia" w:ascii="宋体" w:hAnsi="宋体" w:eastAsia="仿宋"/>
          <w:color w:val="auto"/>
          <w:sz w:val="24"/>
          <w:highlight w:val="none"/>
          <w:lang w:val="en-US" w:eastAsia="zh-CN"/>
        </w:rPr>
        <w:t>0</w:t>
      </w:r>
      <w:r>
        <w:rPr>
          <w:rFonts w:hint="eastAsia" w:ascii="宋体" w:hAnsi="宋体" w:eastAsia="仿宋"/>
          <w:color w:val="auto"/>
          <w:sz w:val="24"/>
          <w:highlight w:val="none"/>
        </w:rPr>
        <w:t>.1 投标人拟在中标后将中标项目的非主体、非关键性工作进行分包的，应符合投标人须知前附表规定的分包</w:t>
      </w:r>
      <w:r>
        <w:rPr>
          <w:rFonts w:hint="eastAsia" w:ascii="宋体" w:hAnsi="宋体" w:eastAsia="仿宋"/>
          <w:color w:val="auto"/>
          <w:sz w:val="24"/>
          <w:highlight w:val="none"/>
          <w:lang w:val="en-US" w:eastAsia="zh-CN"/>
        </w:rPr>
        <w:t>要求</w:t>
      </w:r>
      <w:r>
        <w:rPr>
          <w:rFonts w:hint="eastAsia" w:ascii="宋体" w:hAnsi="宋体" w:eastAsia="仿宋"/>
          <w:color w:val="auto"/>
          <w:sz w:val="24"/>
          <w:highlight w:val="none"/>
        </w:rPr>
        <w:t xml:space="preserve">，分包承担主体应当具备相应资质条件且不得再次分包，除投标人须知前附表规定的非主体、非关键性工作外，其他工作不得分包。 </w:t>
      </w:r>
    </w:p>
    <w:p w14:paraId="770E1BA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w:t>
      </w:r>
      <w:r>
        <w:rPr>
          <w:rFonts w:hint="eastAsia" w:ascii="宋体" w:hAnsi="宋体" w:eastAsia="仿宋"/>
          <w:color w:val="auto"/>
          <w:sz w:val="24"/>
          <w:highlight w:val="none"/>
          <w:lang w:val="en-US" w:eastAsia="zh-CN"/>
        </w:rPr>
        <w:t>0</w:t>
      </w:r>
      <w:r>
        <w:rPr>
          <w:rFonts w:hint="eastAsia" w:ascii="宋体" w:hAnsi="宋体" w:eastAsia="仿宋"/>
          <w:color w:val="auto"/>
          <w:sz w:val="24"/>
          <w:highlight w:val="none"/>
        </w:rPr>
        <w:t>.2 中标人不得向他人转让中标项目。中标人应当就分包项目向采购人负责，分包承担主体就分包项目承担连带责任。</w:t>
      </w:r>
    </w:p>
    <w:p w14:paraId="6CC5D7E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w:t>
      </w:r>
      <w:r>
        <w:rPr>
          <w:rFonts w:hint="eastAsia" w:ascii="宋体" w:hAnsi="宋体" w:eastAsia="仿宋"/>
          <w:color w:val="auto"/>
          <w:sz w:val="24"/>
          <w:highlight w:val="none"/>
          <w:lang w:val="en-US" w:eastAsia="zh-CN"/>
        </w:rPr>
        <w:t>0</w:t>
      </w:r>
      <w:r>
        <w:rPr>
          <w:rFonts w:hint="eastAsia" w:ascii="宋体" w:hAnsi="宋体" w:eastAsia="仿宋"/>
          <w:color w:val="auto"/>
          <w:sz w:val="24"/>
          <w:highlight w:val="none"/>
        </w:rPr>
        <w:t>.3 中标人享受政府采购扶持政策获得政府采购合同的，小微企业不得将合同分包给大中型企业，中型企业不得将合同分包给大型企业。</w:t>
      </w:r>
    </w:p>
    <w:p w14:paraId="544F5944">
      <w:pPr>
        <w:pStyle w:val="3"/>
        <w:rPr>
          <w:rStyle w:val="101"/>
          <w:rFonts w:ascii="宋体" w:hAnsi="宋体" w:eastAsia="仿宋"/>
          <w:b/>
          <w:bCs/>
          <w:color w:val="auto"/>
          <w:sz w:val="24"/>
          <w:szCs w:val="24"/>
          <w:highlight w:val="none"/>
        </w:rPr>
      </w:pPr>
      <w:bookmarkStart w:id="177" w:name="_Toc333600696"/>
      <w:bookmarkStart w:id="178" w:name="_Toc152042318"/>
      <w:bookmarkStart w:id="179" w:name="_Toc455587227"/>
      <w:bookmarkStart w:id="180" w:name="_Toc338944618"/>
      <w:bookmarkStart w:id="181" w:name="_Toc342297632"/>
      <w:bookmarkStart w:id="182" w:name="_Toc144974510"/>
      <w:bookmarkStart w:id="183" w:name="_Toc342294727"/>
      <w:bookmarkStart w:id="184" w:name="_Toc445554700"/>
      <w:bookmarkStart w:id="185" w:name="_Toc458504828"/>
      <w:bookmarkStart w:id="186" w:name="_Toc152045542"/>
      <w:bookmarkStart w:id="187" w:name="_Toc179632560"/>
      <w:bookmarkStart w:id="188" w:name="_Toc338943713"/>
      <w:bookmarkStart w:id="189" w:name="_Toc466024510"/>
      <w:bookmarkStart w:id="190" w:name="_Toc342296175"/>
      <w:bookmarkStart w:id="191" w:name="_Toc371415929"/>
      <w:bookmarkStart w:id="192" w:name="_Toc333599672"/>
      <w:bookmarkStart w:id="193" w:name="_Toc455587043"/>
      <w:r>
        <w:rPr>
          <w:rStyle w:val="101"/>
          <w:rFonts w:hint="eastAsia" w:ascii="宋体" w:hAnsi="宋体" w:eastAsia="仿宋"/>
          <w:b/>
          <w:bCs/>
          <w:color w:val="auto"/>
          <w:sz w:val="24"/>
          <w:szCs w:val="24"/>
          <w:highlight w:val="none"/>
        </w:rPr>
        <w:t>2. 招标文件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6A9A641">
      <w:pPr>
        <w:pStyle w:val="4"/>
        <w:adjustRightInd w:val="0"/>
        <w:ind w:firstLine="482" w:firstLineChars="200"/>
        <w:rPr>
          <w:rFonts w:eastAsia="仿宋"/>
          <w:color w:val="auto"/>
          <w:sz w:val="24"/>
          <w:highlight w:val="none"/>
          <w:lang w:eastAsia="zh-CN"/>
        </w:rPr>
      </w:pPr>
      <w:bookmarkStart w:id="194" w:name="_Toc342297633"/>
      <w:bookmarkStart w:id="195" w:name="_Toc152042319"/>
      <w:bookmarkStart w:id="196" w:name="_Toc338944619"/>
      <w:bookmarkStart w:id="197" w:name="_Toc144974511"/>
      <w:bookmarkStart w:id="198" w:name="_Toc333587867"/>
      <w:bookmarkStart w:id="199" w:name="_Toc333599673"/>
      <w:bookmarkStart w:id="200" w:name="_Toc342296176"/>
      <w:bookmarkStart w:id="201" w:name="_Toc179632561"/>
      <w:bookmarkStart w:id="202" w:name="_Toc152045543"/>
      <w:bookmarkStart w:id="203" w:name="_Toc455587044"/>
      <w:bookmarkStart w:id="204" w:name="_Toc445554701"/>
      <w:bookmarkStart w:id="205" w:name="_Toc338943714"/>
      <w:bookmarkStart w:id="206" w:name="_Toc333600697"/>
      <w:bookmarkStart w:id="207" w:name="_Toc342294728"/>
      <w:bookmarkStart w:id="208" w:name="_Toc458504829"/>
      <w:bookmarkStart w:id="209" w:name="_Toc371415930"/>
      <w:bookmarkStart w:id="210" w:name="_Toc466024511"/>
      <w:bookmarkStart w:id="211" w:name="_Toc455587228"/>
      <w:r>
        <w:rPr>
          <w:rFonts w:hint="eastAsia" w:eastAsia="仿宋"/>
          <w:color w:val="auto"/>
          <w:sz w:val="24"/>
          <w:highlight w:val="none"/>
          <w:lang w:eastAsia="zh-CN"/>
        </w:rPr>
        <w:t>2.1 招标文件的组成</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7DC3F5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本招标文件包括：</w:t>
      </w:r>
    </w:p>
    <w:p w14:paraId="4F30CE3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）招标公告；</w:t>
      </w:r>
    </w:p>
    <w:p w14:paraId="07F3D92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）投标人须知；</w:t>
      </w:r>
    </w:p>
    <w:p w14:paraId="467E850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）采购需求；</w:t>
      </w:r>
    </w:p>
    <w:p w14:paraId="4852344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w:t>
      </w:r>
      <w:r>
        <w:rPr>
          <w:rFonts w:hint="eastAsia" w:ascii="宋体" w:hAnsi="宋体" w:eastAsia="仿宋"/>
          <w:color w:val="auto"/>
          <w:sz w:val="24"/>
          <w:highlight w:val="none"/>
        </w:rPr>
        <w:t>）资格审查</w:t>
      </w:r>
      <w:r>
        <w:rPr>
          <w:rFonts w:hint="eastAsia" w:ascii="宋体" w:hAnsi="宋体" w:eastAsia="仿宋"/>
          <w:color w:val="auto"/>
          <w:sz w:val="24"/>
          <w:highlight w:val="none"/>
          <w:lang w:val="en-US" w:eastAsia="zh-CN"/>
        </w:rPr>
        <w:t>和</w:t>
      </w:r>
      <w:r>
        <w:rPr>
          <w:rFonts w:hint="eastAsia" w:ascii="宋体" w:hAnsi="宋体" w:eastAsia="仿宋"/>
          <w:color w:val="auto"/>
          <w:sz w:val="24"/>
          <w:highlight w:val="none"/>
        </w:rPr>
        <w:t>评标办法；</w:t>
      </w:r>
    </w:p>
    <w:p w14:paraId="77D80AA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（5）合同条款及格式；</w:t>
      </w:r>
    </w:p>
    <w:p w14:paraId="5B196E43">
      <w:pPr>
        <w:widowControl/>
        <w:adjustRightInd w:val="0"/>
        <w:snapToGrid w:val="0"/>
        <w:spacing w:line="360" w:lineRule="auto"/>
        <w:ind w:firstLine="480" w:firstLineChars="200"/>
        <w:rPr>
          <w:rFonts w:hint="eastAsia" w:ascii="宋体" w:hAnsi="宋体" w:eastAsia="仿宋"/>
          <w:color w:val="auto"/>
          <w:sz w:val="24"/>
          <w:highlight w:val="none"/>
          <w:lang w:eastAsia="zh-CN"/>
        </w:rPr>
      </w:pPr>
      <w:r>
        <w:rPr>
          <w:rFonts w:hint="eastAsia" w:ascii="宋体" w:hAnsi="宋体" w:eastAsia="仿宋"/>
          <w:color w:val="auto"/>
          <w:sz w:val="24"/>
          <w:highlight w:val="none"/>
        </w:rPr>
        <w:t>（6）投标文件格式</w:t>
      </w:r>
      <w:r>
        <w:rPr>
          <w:rFonts w:hint="eastAsia" w:ascii="宋体" w:hAnsi="宋体" w:eastAsia="仿宋"/>
          <w:color w:val="auto"/>
          <w:sz w:val="24"/>
          <w:highlight w:val="none"/>
          <w:lang w:eastAsia="zh-CN"/>
        </w:rPr>
        <w:t>。</w:t>
      </w:r>
    </w:p>
    <w:p w14:paraId="257072C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对招标文件所作的澄清、修改、补充通知，构成招标文件的组成部分。当招标文件、招标文件的澄清或修改等在同一内容的</w:t>
      </w:r>
      <w:r>
        <w:rPr>
          <w:rFonts w:hint="eastAsia" w:eastAsia="仿宋"/>
          <w:color w:val="auto"/>
          <w:sz w:val="24"/>
          <w:highlight w:val="none"/>
        </w:rPr>
        <w:t>表述</w:t>
      </w:r>
      <w:r>
        <w:rPr>
          <w:rFonts w:hint="eastAsia" w:ascii="宋体" w:hAnsi="宋体" w:eastAsia="仿宋"/>
          <w:color w:val="auto"/>
          <w:sz w:val="24"/>
          <w:highlight w:val="none"/>
        </w:rPr>
        <w:t>上不一致时，以最后发出的书面文件为准。</w:t>
      </w:r>
    </w:p>
    <w:p w14:paraId="6B70D3B1">
      <w:pPr>
        <w:pStyle w:val="4"/>
        <w:adjustRightInd w:val="0"/>
        <w:ind w:firstLine="482" w:firstLineChars="200"/>
        <w:rPr>
          <w:rFonts w:eastAsia="仿宋"/>
          <w:color w:val="auto"/>
          <w:sz w:val="24"/>
          <w:highlight w:val="none"/>
          <w:lang w:eastAsia="zh-CN"/>
        </w:rPr>
      </w:pPr>
      <w:bookmarkStart w:id="212" w:name="_Toc300834965"/>
      <w:bookmarkStart w:id="213" w:name="_Toc152045544"/>
      <w:bookmarkStart w:id="214" w:name="_Toc455587229"/>
      <w:bookmarkStart w:id="215" w:name="_Toc247513968"/>
      <w:bookmarkStart w:id="216" w:name="_Toc247527569"/>
      <w:bookmarkStart w:id="217" w:name="_Toc445554702"/>
      <w:bookmarkStart w:id="218" w:name="_Toc144974512"/>
      <w:bookmarkStart w:id="219" w:name="_Toc371415931"/>
      <w:bookmarkStart w:id="220" w:name="_Toc152042320"/>
      <w:bookmarkStart w:id="221" w:name="_Toc466024512"/>
      <w:bookmarkStart w:id="222" w:name="_Toc455587045"/>
      <w:bookmarkStart w:id="223" w:name="_Toc458504830"/>
      <w:r>
        <w:rPr>
          <w:rFonts w:hint="eastAsia" w:eastAsia="仿宋"/>
          <w:color w:val="auto"/>
          <w:sz w:val="24"/>
          <w:highlight w:val="none"/>
          <w:lang w:eastAsia="zh-CN"/>
        </w:rPr>
        <w:t>2.2 招标文件的澄清</w:t>
      </w:r>
      <w:bookmarkEnd w:id="212"/>
      <w:bookmarkEnd w:id="213"/>
      <w:bookmarkEnd w:id="214"/>
      <w:bookmarkEnd w:id="215"/>
      <w:bookmarkEnd w:id="216"/>
      <w:bookmarkEnd w:id="217"/>
      <w:bookmarkEnd w:id="218"/>
      <w:bookmarkEnd w:id="219"/>
      <w:bookmarkEnd w:id="220"/>
      <w:bookmarkEnd w:id="221"/>
      <w:bookmarkEnd w:id="222"/>
      <w:bookmarkEnd w:id="223"/>
    </w:p>
    <w:p w14:paraId="7FAA8A0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eastAsia="仿宋"/>
          <w:color w:val="auto"/>
          <w:sz w:val="24"/>
          <w:highlight w:val="none"/>
        </w:rPr>
        <w:t>投标人应仔细阅读和检查招标文件的全部内容。如发现缺页或附件不全，应及时向</w:t>
      </w:r>
      <w:r>
        <w:rPr>
          <w:rFonts w:hint="eastAsia" w:eastAsia="仿宋"/>
          <w:color w:val="auto"/>
          <w:sz w:val="24"/>
          <w:highlight w:val="none"/>
        </w:rPr>
        <w:t>采购</w:t>
      </w:r>
      <w:r>
        <w:rPr>
          <w:rFonts w:eastAsia="仿宋"/>
          <w:color w:val="auto"/>
          <w:sz w:val="24"/>
          <w:highlight w:val="none"/>
        </w:rPr>
        <w:t>人提出，以便补齐。</w:t>
      </w:r>
      <w:r>
        <w:rPr>
          <w:rFonts w:hint="eastAsia" w:eastAsia="仿宋"/>
          <w:color w:val="auto"/>
          <w:sz w:val="24"/>
          <w:highlight w:val="none"/>
        </w:rPr>
        <w:t>投标人对</w:t>
      </w:r>
      <w:r>
        <w:rPr>
          <w:rFonts w:eastAsia="仿宋"/>
          <w:color w:val="auto"/>
          <w:sz w:val="24"/>
          <w:highlight w:val="none"/>
        </w:rPr>
        <w:t>招标文件</w:t>
      </w:r>
      <w:r>
        <w:rPr>
          <w:rFonts w:hint="eastAsia" w:eastAsia="仿宋"/>
          <w:color w:val="auto"/>
          <w:sz w:val="24"/>
          <w:highlight w:val="none"/>
        </w:rPr>
        <w:t>有疑问的，可依法</w:t>
      </w:r>
      <w:r>
        <w:rPr>
          <w:rFonts w:hint="eastAsia" w:eastAsia="仿宋"/>
          <w:color w:val="auto"/>
          <w:sz w:val="24"/>
          <w:highlight w:val="none"/>
          <w:lang w:val="en-US" w:eastAsia="zh-CN"/>
        </w:rPr>
        <w:t>按本章第9.1款</w:t>
      </w:r>
      <w:r>
        <w:rPr>
          <w:rFonts w:hint="eastAsia" w:eastAsia="仿宋"/>
          <w:color w:val="auto"/>
          <w:sz w:val="24"/>
          <w:highlight w:val="none"/>
        </w:rPr>
        <w:t>提出询问</w:t>
      </w:r>
      <w:r>
        <w:rPr>
          <w:rFonts w:eastAsia="仿宋"/>
          <w:color w:val="auto"/>
          <w:sz w:val="24"/>
          <w:highlight w:val="none"/>
        </w:rPr>
        <w:t>。</w:t>
      </w:r>
    </w:p>
    <w:p w14:paraId="50184A3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2.2.2 招标文件的澄清</w:t>
      </w:r>
      <w:r>
        <w:rPr>
          <w:rFonts w:hint="eastAsia" w:ascii="宋体" w:hAnsi="宋体" w:eastAsia="仿宋"/>
          <w:color w:val="auto"/>
          <w:sz w:val="24"/>
          <w:highlight w:val="none"/>
          <w:lang w:val="en-US" w:eastAsia="zh-CN"/>
        </w:rPr>
        <w:t>按投标人须知前附表规定的形式发出，</w:t>
      </w:r>
      <w:r>
        <w:rPr>
          <w:rFonts w:hint="eastAsia" w:ascii="宋体" w:hAnsi="宋体" w:eastAsia="仿宋"/>
          <w:color w:val="auto"/>
          <w:sz w:val="24"/>
          <w:highlight w:val="none"/>
        </w:rPr>
        <w:t>但不指明澄清问题的来源</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该澄清的内容为招标文件的组成部分。如果澄清发出的时间距本章第4.2.1项规定的投标截止时间不足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日的，并且澄清内容可能影响投标文件编制，将相应顺延投标截止时间。</w:t>
      </w:r>
    </w:p>
    <w:p w14:paraId="4B8061A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.3</w:t>
      </w:r>
      <w:r>
        <w:rPr>
          <w:rFonts w:hint="eastAsia" w:ascii="宋体" w:hAnsi="宋体" w:eastAsia="仿宋"/>
          <w:color w:val="auto"/>
          <w:sz w:val="24"/>
          <w:highlight w:val="none"/>
        </w:rPr>
        <w:t xml:space="preserve"> 投标人应主动上网查询</w:t>
      </w:r>
      <w:r>
        <w:rPr>
          <w:rFonts w:hint="eastAsia" w:ascii="宋体" w:hAnsi="宋体" w:eastAsia="仿宋"/>
          <w:color w:val="auto"/>
          <w:sz w:val="24"/>
          <w:highlight w:val="none"/>
          <w:lang w:val="en-US" w:eastAsia="zh-CN"/>
        </w:rPr>
        <w:t>通过优质采云采购平台发出的对</w:t>
      </w:r>
      <w:r>
        <w:rPr>
          <w:rFonts w:hint="eastAsia" w:ascii="宋体" w:hAnsi="宋体" w:eastAsia="仿宋"/>
          <w:color w:val="auto"/>
          <w:sz w:val="24"/>
          <w:highlight w:val="none"/>
        </w:rPr>
        <w:t>招标文件的澄清，无需投标人书面确认。对招标文件进行的澄清，通过其他方式发布的，投标人收到澄清通知后24小时内书面确认（以发出时间为准），逾期未确认的，视为投标人完整收到。投标人未及时关注相关信息的，其责任自负。</w:t>
      </w:r>
    </w:p>
    <w:p w14:paraId="02E40045">
      <w:pPr>
        <w:pStyle w:val="4"/>
        <w:adjustRightInd w:val="0"/>
        <w:ind w:firstLine="482" w:firstLineChars="200"/>
        <w:rPr>
          <w:rFonts w:eastAsia="仿宋"/>
          <w:color w:val="auto"/>
          <w:sz w:val="24"/>
          <w:highlight w:val="none"/>
          <w:lang w:eastAsia="zh-CN"/>
        </w:rPr>
      </w:pPr>
      <w:bookmarkStart w:id="224" w:name="_Toc458504831"/>
      <w:bookmarkStart w:id="225" w:name="_Toc144974513"/>
      <w:bookmarkStart w:id="226" w:name="_Toc247527570"/>
      <w:bookmarkStart w:id="227" w:name="_Toc455587046"/>
      <w:bookmarkStart w:id="228" w:name="_Toc300834966"/>
      <w:bookmarkStart w:id="229" w:name="_Toc445554703"/>
      <w:bookmarkStart w:id="230" w:name="_Toc247513969"/>
      <w:bookmarkStart w:id="231" w:name="_Toc371415932"/>
      <w:bookmarkStart w:id="232" w:name="_Toc455587230"/>
      <w:bookmarkStart w:id="233" w:name="_Toc152042321"/>
      <w:bookmarkStart w:id="234" w:name="_Toc152045545"/>
      <w:bookmarkStart w:id="235" w:name="_Toc466024513"/>
      <w:r>
        <w:rPr>
          <w:rFonts w:hint="eastAsia" w:eastAsia="仿宋"/>
          <w:color w:val="auto"/>
          <w:sz w:val="24"/>
          <w:highlight w:val="none"/>
          <w:lang w:eastAsia="zh-CN"/>
        </w:rPr>
        <w:t>2.3 招标文件的修改</w:t>
      </w:r>
      <w:bookmarkEnd w:id="224"/>
      <w:bookmarkEnd w:id="225"/>
      <w:bookmarkEnd w:id="226"/>
      <w:bookmarkEnd w:id="227"/>
      <w:bookmarkEnd w:id="228"/>
      <w:bookmarkEnd w:id="229"/>
      <w:bookmarkEnd w:id="230"/>
      <w:bookmarkEnd w:id="231"/>
      <w:bookmarkEnd w:id="232"/>
      <w:bookmarkEnd w:id="233"/>
      <w:bookmarkEnd w:id="234"/>
      <w:bookmarkEnd w:id="235"/>
    </w:p>
    <w:p w14:paraId="15FA92A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val="en-US" w:eastAsia="zh-CN"/>
        </w:rPr>
        <w:t>对招标文件的修改</w:t>
      </w:r>
      <w:r>
        <w:rPr>
          <w:rFonts w:hint="eastAsia" w:ascii="宋体" w:hAnsi="宋体" w:eastAsia="仿宋"/>
          <w:color w:val="auto"/>
          <w:sz w:val="24"/>
          <w:highlight w:val="none"/>
        </w:rPr>
        <w:t>将在</w:t>
      </w:r>
      <w:r>
        <w:rPr>
          <w:rFonts w:hint="eastAsia" w:ascii="宋体" w:hAnsi="宋体" w:eastAsia="仿宋"/>
          <w:color w:val="auto"/>
          <w:sz w:val="24"/>
          <w:highlight w:val="none"/>
          <w:lang w:val="en-US" w:eastAsia="zh-CN"/>
        </w:rPr>
        <w:t>招标公告发布的媒介</w:t>
      </w:r>
      <w:r>
        <w:rPr>
          <w:rFonts w:hint="eastAsia" w:ascii="宋体" w:hAnsi="宋体" w:eastAsia="仿宋"/>
          <w:color w:val="auto"/>
          <w:sz w:val="24"/>
          <w:highlight w:val="none"/>
        </w:rPr>
        <w:t>以发布更正公告的</w:t>
      </w:r>
      <w:r>
        <w:rPr>
          <w:rFonts w:hint="eastAsia" w:ascii="宋体" w:hAnsi="宋体" w:eastAsia="仿宋"/>
          <w:color w:val="auto"/>
          <w:sz w:val="24"/>
          <w:highlight w:val="none"/>
          <w:lang w:val="en-US" w:eastAsia="zh-CN"/>
        </w:rPr>
        <w:t>形式公开</w:t>
      </w:r>
      <w:r>
        <w:rPr>
          <w:rFonts w:hint="eastAsia" w:ascii="宋体" w:hAnsi="宋体" w:eastAsia="仿宋"/>
          <w:color w:val="auto"/>
          <w:sz w:val="24"/>
          <w:highlight w:val="none"/>
        </w:rPr>
        <w:t>。如果修改招标文件的时间距本章第4.2.1项规定的投标截止时间不足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日的，且修改内容影响投标文件编制，将相应顺延投标截止时间。</w:t>
      </w:r>
    </w:p>
    <w:p w14:paraId="2018DBC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.2</w:t>
      </w:r>
      <w:r>
        <w:rPr>
          <w:rFonts w:hint="eastAsia" w:ascii="宋体" w:hAnsi="宋体" w:eastAsia="仿宋"/>
          <w:color w:val="auto"/>
          <w:sz w:val="24"/>
          <w:highlight w:val="none"/>
        </w:rPr>
        <w:t xml:space="preserve"> 更正公告的内容作为招标文件的组成部分，对投标人起约束作用。投标人应主动上网查询</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采购人及</w:t>
      </w:r>
      <w:r>
        <w:rPr>
          <w:rFonts w:hint="eastAsia" w:ascii="宋体" w:hAnsi="宋体" w:eastAsia="仿宋"/>
          <w:color w:val="auto"/>
          <w:sz w:val="24"/>
          <w:highlight w:val="none"/>
        </w:rPr>
        <w:t>采购代理机构不承担投标人未及时关注相关信息引发的相关责任。</w:t>
      </w:r>
    </w:p>
    <w:p w14:paraId="35E65FB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2.4 招标文件的质疑</w:t>
      </w:r>
    </w:p>
    <w:p w14:paraId="39B6E4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2.4.1 投标人</w:t>
      </w:r>
      <w:r>
        <w:rPr>
          <w:rFonts w:hint="eastAsia" w:ascii="宋体" w:hAnsi="宋体" w:eastAsia="仿宋"/>
          <w:color w:val="auto"/>
          <w:sz w:val="24"/>
          <w:highlight w:val="none"/>
          <w:lang w:val="en-US" w:eastAsia="zh-CN"/>
        </w:rPr>
        <w:t>对招标文件的质疑须符合本章第9.2款规定。</w:t>
      </w:r>
    </w:p>
    <w:p w14:paraId="4713D6B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2.4.</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 采购人对质疑的答复构成对招标文件澄清或者修改的，采购人将按照本章第2.2款、第2.3款规定办理。</w:t>
      </w:r>
    </w:p>
    <w:p w14:paraId="0081D635">
      <w:pPr>
        <w:pStyle w:val="3"/>
        <w:rPr>
          <w:rStyle w:val="101"/>
          <w:rFonts w:ascii="宋体" w:hAnsi="宋体" w:eastAsia="仿宋"/>
          <w:b/>
          <w:bCs/>
          <w:color w:val="auto"/>
          <w:sz w:val="24"/>
          <w:szCs w:val="24"/>
          <w:highlight w:val="none"/>
        </w:rPr>
      </w:pPr>
      <w:bookmarkStart w:id="236" w:name="_Toc455587048"/>
      <w:bookmarkStart w:id="237" w:name="_Toc152042322"/>
      <w:bookmarkStart w:id="238" w:name="_Toc342297636"/>
      <w:bookmarkStart w:id="239" w:name="_Toc152045546"/>
      <w:bookmarkStart w:id="240" w:name="_Toc342296179"/>
      <w:bookmarkStart w:id="241" w:name="_Toc458504832"/>
      <w:bookmarkStart w:id="242" w:name="_Toc455587232"/>
      <w:bookmarkStart w:id="243" w:name="_Toc342294731"/>
      <w:bookmarkStart w:id="244" w:name="_Toc371415933"/>
      <w:bookmarkStart w:id="245" w:name="_Toc338943717"/>
      <w:bookmarkStart w:id="246" w:name="_Toc338944622"/>
      <w:bookmarkStart w:id="247" w:name="_Toc179632564"/>
      <w:bookmarkStart w:id="248" w:name="_Toc466024514"/>
      <w:bookmarkStart w:id="249" w:name="_Toc333600700"/>
      <w:bookmarkStart w:id="250" w:name="_Toc333599676"/>
      <w:bookmarkStart w:id="251" w:name="_Toc144974514"/>
      <w:bookmarkStart w:id="252" w:name="_Toc445554705"/>
      <w:r>
        <w:rPr>
          <w:rStyle w:val="101"/>
          <w:rFonts w:hint="eastAsia" w:ascii="宋体" w:hAnsi="宋体" w:eastAsia="仿宋"/>
          <w:b/>
          <w:bCs/>
          <w:color w:val="auto"/>
          <w:sz w:val="24"/>
          <w:szCs w:val="24"/>
          <w:highlight w:val="none"/>
        </w:rPr>
        <w:t>3. 投标文件</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CC21E0E">
      <w:pPr>
        <w:pStyle w:val="4"/>
        <w:adjustRightInd w:val="0"/>
        <w:ind w:firstLine="482" w:firstLineChars="200"/>
        <w:rPr>
          <w:rFonts w:eastAsia="仿宋"/>
          <w:color w:val="auto"/>
          <w:sz w:val="24"/>
          <w:highlight w:val="none"/>
          <w:lang w:eastAsia="zh-CN"/>
        </w:rPr>
      </w:pPr>
      <w:bookmarkStart w:id="253" w:name="_Toc455587233"/>
      <w:bookmarkStart w:id="254" w:name="_Toc333599677"/>
      <w:bookmarkStart w:id="255" w:name="_Toc338944623"/>
      <w:bookmarkStart w:id="256" w:name="_Toc179632565"/>
      <w:bookmarkStart w:id="257" w:name="_Toc144974515"/>
      <w:bookmarkStart w:id="258" w:name="_Toc333587871"/>
      <w:bookmarkStart w:id="259" w:name="_Toc458504833"/>
      <w:bookmarkStart w:id="260" w:name="_Toc342297637"/>
      <w:bookmarkStart w:id="261" w:name="_Toc333600701"/>
      <w:bookmarkStart w:id="262" w:name="_Toc466024515"/>
      <w:bookmarkStart w:id="263" w:name="_Toc455587049"/>
      <w:bookmarkStart w:id="264" w:name="_Toc371415934"/>
      <w:bookmarkStart w:id="265" w:name="_Toc152045547"/>
      <w:bookmarkStart w:id="266" w:name="_Toc342296180"/>
      <w:bookmarkStart w:id="267" w:name="_Toc445554706"/>
      <w:bookmarkStart w:id="268" w:name="_Toc342294732"/>
      <w:bookmarkStart w:id="269" w:name="_Toc152042323"/>
      <w:bookmarkStart w:id="270" w:name="_Toc338943718"/>
      <w:r>
        <w:rPr>
          <w:rFonts w:hint="eastAsia" w:eastAsia="仿宋"/>
          <w:color w:val="auto"/>
          <w:sz w:val="24"/>
          <w:highlight w:val="none"/>
          <w:lang w:eastAsia="zh-CN"/>
        </w:rPr>
        <w:t>3.1 投标文件的组成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B063E2F">
      <w:pPr>
        <w:widowControl/>
        <w:adjustRightInd w:val="0"/>
        <w:snapToGrid w:val="0"/>
        <w:spacing w:line="360" w:lineRule="auto"/>
        <w:ind w:firstLine="480" w:firstLineChars="200"/>
        <w:rPr>
          <w:rFonts w:hint="eastAsia" w:ascii="宋体" w:hAnsi="宋体" w:eastAsia="仿宋"/>
          <w:color w:val="auto"/>
          <w:sz w:val="24"/>
          <w:highlight w:val="none"/>
        </w:rPr>
      </w:pPr>
      <w:bookmarkStart w:id="271" w:name="_Toc338944624"/>
      <w:bookmarkStart w:id="272" w:name="_Toc152045548"/>
      <w:bookmarkStart w:id="273" w:name="_Toc152042324"/>
      <w:bookmarkStart w:id="274" w:name="_Toc333599678"/>
      <w:bookmarkStart w:id="275" w:name="_Toc144974516"/>
      <w:bookmarkStart w:id="276" w:name="_Toc338943719"/>
      <w:bookmarkStart w:id="277" w:name="_Toc333587872"/>
      <w:bookmarkStart w:id="278" w:name="_Toc342297638"/>
      <w:bookmarkStart w:id="279" w:name="_Toc342294733"/>
      <w:bookmarkStart w:id="280" w:name="_Toc179632566"/>
      <w:bookmarkStart w:id="281" w:name="_Toc333600702"/>
      <w:bookmarkStart w:id="282" w:name="_Toc342296181"/>
      <w:r>
        <w:rPr>
          <w:rFonts w:hint="eastAsia" w:ascii="宋体" w:hAnsi="宋体" w:eastAsia="仿宋"/>
          <w:color w:val="auto"/>
          <w:sz w:val="24"/>
          <w:highlight w:val="none"/>
        </w:rPr>
        <w:t>3.1</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投标文件应包括下列内容：</w:t>
      </w:r>
    </w:p>
    <w:p w14:paraId="0D748C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（1）投标函；</w:t>
      </w:r>
    </w:p>
    <w:p w14:paraId="22CAB9B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（2）开标一览表；</w:t>
      </w:r>
    </w:p>
    <w:p w14:paraId="776C3CB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（3）分项报价表；</w:t>
      </w:r>
    </w:p>
    <w:p w14:paraId="46471ECB">
      <w:pPr>
        <w:widowControl/>
        <w:adjustRightInd w:val="0"/>
        <w:snapToGrid w:val="0"/>
        <w:spacing w:line="360" w:lineRule="auto"/>
        <w:ind w:firstLine="480" w:firstLineChars="200"/>
        <w:rPr>
          <w:rFonts w:hint="default" w:ascii="宋体" w:hAnsi="宋体" w:eastAsia="仿宋"/>
          <w:color w:val="auto"/>
          <w:sz w:val="24"/>
          <w:highlight w:val="none"/>
          <w:lang w:val="en-US" w:eastAsia="zh-CN"/>
        </w:rPr>
      </w:pPr>
      <w:r>
        <w:rPr>
          <w:rFonts w:hint="eastAsia" w:ascii="宋体" w:hAnsi="宋体" w:eastAsia="仿宋"/>
          <w:color w:val="auto"/>
          <w:sz w:val="24"/>
          <w:highlight w:val="none"/>
        </w:rPr>
        <w:t>（4）</w:t>
      </w:r>
      <w:r>
        <w:rPr>
          <w:rFonts w:hint="eastAsia" w:ascii="宋体" w:hAnsi="宋体" w:eastAsia="仿宋"/>
          <w:color w:val="auto"/>
          <w:sz w:val="24"/>
          <w:highlight w:val="none"/>
          <w:lang w:val="en-US" w:eastAsia="zh-CN"/>
        </w:rPr>
        <w:t>投标人综合情况简介；</w:t>
      </w:r>
    </w:p>
    <w:p w14:paraId="0132AA4D">
      <w:pPr>
        <w:widowControl/>
        <w:adjustRightInd w:val="0"/>
        <w:snapToGrid w:val="0"/>
        <w:spacing w:line="360" w:lineRule="auto"/>
        <w:ind w:firstLine="480" w:firstLineChars="200"/>
        <w:rPr>
          <w:rFonts w:hint="eastAsia" w:ascii="宋体" w:hAnsi="宋体" w:eastAsia="仿宋"/>
          <w:color w:val="auto"/>
          <w:sz w:val="24"/>
          <w:highlight w:val="none"/>
          <w:lang w:eastAsia="zh-CN"/>
        </w:rPr>
      </w:pPr>
      <w:r>
        <w:rPr>
          <w:rFonts w:hint="eastAsia" w:ascii="宋体" w:hAnsi="宋体" w:eastAsia="仿宋"/>
          <w:color w:val="auto"/>
          <w:sz w:val="24"/>
          <w:highlight w:val="none"/>
        </w:rPr>
        <w:t>（5）中小企业声明函（服务）</w:t>
      </w:r>
      <w:r>
        <w:rPr>
          <w:rFonts w:hint="eastAsia" w:ascii="宋体" w:hAnsi="宋体" w:eastAsia="仿宋"/>
          <w:color w:val="auto"/>
          <w:sz w:val="24"/>
          <w:highlight w:val="none"/>
          <w:lang w:eastAsia="zh-CN"/>
        </w:rPr>
        <w:t>；</w:t>
      </w:r>
    </w:p>
    <w:p w14:paraId="779EC03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（6）法定代表人（单位负责人）身份证明或授权委托书；</w:t>
      </w:r>
    </w:p>
    <w:p w14:paraId="6A499A7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（7）联合体协议书</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如有</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w:t>
      </w:r>
    </w:p>
    <w:p w14:paraId="4C03598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w:t>
      </w:r>
      <w:r>
        <w:rPr>
          <w:rFonts w:hint="eastAsia" w:ascii="宋体" w:hAnsi="宋体" w:eastAsia="仿宋"/>
          <w:color w:val="auto"/>
          <w:sz w:val="24"/>
          <w:highlight w:val="none"/>
          <w:lang w:val="en-US" w:eastAsia="zh-CN"/>
        </w:rPr>
        <w:t>分包意向协议书</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如有</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w:t>
      </w:r>
    </w:p>
    <w:p w14:paraId="105FE48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w:t>
      </w:r>
      <w:r>
        <w:rPr>
          <w:rFonts w:hint="eastAsia" w:ascii="宋体" w:hAnsi="宋体" w:eastAsia="仿宋"/>
          <w:color w:val="auto"/>
          <w:sz w:val="24"/>
          <w:highlight w:val="none"/>
          <w:lang w:eastAsia="zh-CN"/>
        </w:rPr>
        <w:t>资格审查材料</w:t>
      </w:r>
      <w:r>
        <w:rPr>
          <w:rFonts w:hint="eastAsia" w:ascii="宋体" w:hAnsi="宋体" w:eastAsia="仿宋"/>
          <w:color w:val="auto"/>
          <w:sz w:val="24"/>
          <w:highlight w:val="none"/>
        </w:rPr>
        <w:t>；</w:t>
      </w:r>
    </w:p>
    <w:p w14:paraId="252B750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w:t>
      </w:r>
      <w:r>
        <w:rPr>
          <w:rFonts w:hint="eastAsia" w:ascii="宋体" w:hAnsi="宋体" w:eastAsia="仿宋"/>
          <w:color w:val="auto"/>
          <w:sz w:val="24"/>
          <w:highlight w:val="none"/>
          <w:lang w:val="en-US" w:eastAsia="zh-CN"/>
        </w:rPr>
        <w:t>符合性审查与详细评审材料</w:t>
      </w:r>
      <w:r>
        <w:rPr>
          <w:rFonts w:hint="eastAsia" w:ascii="宋体" w:hAnsi="宋体" w:eastAsia="仿宋"/>
          <w:color w:val="auto"/>
          <w:sz w:val="24"/>
          <w:highlight w:val="none"/>
        </w:rPr>
        <w:t>；</w:t>
      </w:r>
    </w:p>
    <w:p w14:paraId="0B1518E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w:t>
      </w:r>
      <w:r>
        <w:rPr>
          <w:rFonts w:hint="eastAsia" w:ascii="宋体" w:hAnsi="宋体" w:eastAsia="仿宋" w:cs="Times New Roman"/>
          <w:color w:val="auto"/>
          <w:sz w:val="24"/>
          <w:highlight w:val="none"/>
          <w:lang w:eastAsia="zh-CN"/>
        </w:rPr>
        <w:t>主要标的承诺函；</w:t>
      </w:r>
    </w:p>
    <w:p w14:paraId="1CB4B520">
      <w:pPr>
        <w:widowControl/>
        <w:adjustRightInd w:val="0"/>
        <w:snapToGrid w:val="0"/>
        <w:spacing w:line="360" w:lineRule="auto"/>
        <w:ind w:firstLine="480" w:firstLineChars="200"/>
        <w:rPr>
          <w:rFonts w:hint="eastAsia" w:ascii="宋体" w:hAnsi="宋体" w:eastAsia="仿宋" w:cs="Times New Roman"/>
          <w:color w:val="auto"/>
          <w:sz w:val="24"/>
          <w:highlight w:val="none"/>
          <w:lang w:eastAsia="zh-CN"/>
        </w:rPr>
      </w:pPr>
      <w:r>
        <w:rPr>
          <w:rFonts w:hint="eastAsia" w:ascii="宋体" w:hAnsi="宋体" w:eastAsia="仿宋"/>
          <w:color w:val="auto"/>
          <w:sz w:val="24"/>
          <w:highlight w:val="none"/>
        </w:rPr>
        <w:t>（12）</w:t>
      </w:r>
      <w:r>
        <w:rPr>
          <w:rFonts w:hint="eastAsia" w:ascii="宋体" w:hAnsi="宋体" w:eastAsia="仿宋" w:cs="Times New Roman"/>
          <w:color w:val="auto"/>
          <w:sz w:val="24"/>
          <w:highlight w:val="none"/>
        </w:rPr>
        <w:t>投标人认为应该提供的其他材料</w:t>
      </w:r>
      <w:r>
        <w:rPr>
          <w:rFonts w:hint="eastAsia" w:ascii="宋体" w:hAnsi="宋体" w:eastAsia="仿宋" w:cs="Times New Roman"/>
          <w:color w:val="auto"/>
          <w:sz w:val="24"/>
          <w:highlight w:val="none"/>
          <w:lang w:eastAsia="zh-CN"/>
        </w:rPr>
        <w:t>。</w:t>
      </w:r>
    </w:p>
    <w:p w14:paraId="1ECEF73E">
      <w:pPr>
        <w:widowControl/>
        <w:adjustRightInd w:val="0"/>
        <w:snapToGrid w:val="0"/>
        <w:spacing w:line="360" w:lineRule="auto"/>
        <w:ind w:firstLine="480" w:firstLineChars="200"/>
        <w:rPr>
          <w:rFonts w:eastAsia="仿宋"/>
          <w:color w:val="auto"/>
          <w:sz w:val="24"/>
          <w:highlight w:val="none"/>
        </w:rPr>
      </w:pPr>
      <w:r>
        <w:rPr>
          <w:rFonts w:eastAsia="仿宋"/>
          <w:color w:val="auto"/>
          <w:sz w:val="24"/>
          <w:highlight w:val="none"/>
        </w:rPr>
        <w:t>投标人在评标过程中作出的符合法律法规和招标文件规定的澄清确认，构成投标文件的组成部分。</w:t>
      </w:r>
    </w:p>
    <w:p w14:paraId="52A30D2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3.1.2 投标人须知前附表规定不接受联合体投标的，或投标人没有组成联合体的，投标文件不包括本章第3.1.1（</w:t>
      </w:r>
      <w:r>
        <w:rPr>
          <w:rFonts w:hint="eastAsia" w:ascii="宋体" w:hAnsi="宋体" w:eastAsia="仿宋"/>
          <w:color w:val="auto"/>
          <w:sz w:val="24"/>
          <w:highlight w:val="none"/>
          <w:lang w:val="en-US" w:eastAsia="zh-CN"/>
        </w:rPr>
        <w:t>7</w:t>
      </w:r>
      <w:r>
        <w:rPr>
          <w:rFonts w:hint="eastAsia" w:ascii="宋体" w:hAnsi="宋体" w:eastAsia="仿宋"/>
          <w:color w:val="auto"/>
          <w:sz w:val="24"/>
          <w:highlight w:val="none"/>
        </w:rPr>
        <w:t>）目所指的联合体协议书。</w:t>
      </w:r>
    </w:p>
    <w:p w14:paraId="19FFB617">
      <w:pPr>
        <w:adjustRightIn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 xml:space="preserve"> 投标人须知前附表规定不接受</w:t>
      </w:r>
      <w:r>
        <w:rPr>
          <w:rFonts w:hint="eastAsia" w:ascii="宋体" w:hAnsi="宋体" w:eastAsia="仿宋"/>
          <w:color w:val="auto"/>
          <w:sz w:val="24"/>
          <w:highlight w:val="none"/>
          <w:lang w:val="en-US" w:eastAsia="zh-CN"/>
        </w:rPr>
        <w:t>分包</w:t>
      </w:r>
      <w:r>
        <w:rPr>
          <w:rFonts w:hint="eastAsia" w:ascii="宋体" w:hAnsi="宋体" w:eastAsia="仿宋"/>
          <w:color w:val="auto"/>
          <w:sz w:val="24"/>
          <w:highlight w:val="none"/>
        </w:rPr>
        <w:t>的，或投标人没有</w:t>
      </w:r>
      <w:r>
        <w:rPr>
          <w:rFonts w:hint="eastAsia" w:ascii="宋体" w:hAnsi="宋体" w:eastAsia="仿宋"/>
          <w:color w:val="auto"/>
          <w:sz w:val="24"/>
          <w:highlight w:val="none"/>
          <w:lang w:val="en-US" w:eastAsia="zh-CN"/>
        </w:rPr>
        <w:t>分包</w:t>
      </w:r>
      <w:r>
        <w:rPr>
          <w:rFonts w:hint="eastAsia" w:ascii="宋体" w:hAnsi="宋体" w:eastAsia="仿宋"/>
          <w:color w:val="auto"/>
          <w:sz w:val="24"/>
          <w:highlight w:val="none"/>
        </w:rPr>
        <w:t>的，投标文件不包括本章第3.1.1（</w:t>
      </w:r>
      <w:r>
        <w:rPr>
          <w:rFonts w:hint="eastAsia" w:ascii="宋体" w:hAnsi="宋体" w:eastAsia="仿宋"/>
          <w:color w:val="auto"/>
          <w:sz w:val="24"/>
          <w:highlight w:val="none"/>
          <w:lang w:val="en-US" w:eastAsia="zh-CN"/>
        </w:rPr>
        <w:t>8</w:t>
      </w:r>
      <w:r>
        <w:rPr>
          <w:rFonts w:hint="eastAsia" w:ascii="宋体" w:hAnsi="宋体" w:eastAsia="仿宋"/>
          <w:color w:val="auto"/>
          <w:sz w:val="24"/>
          <w:highlight w:val="none"/>
        </w:rPr>
        <w:t>）目所指的</w:t>
      </w:r>
      <w:r>
        <w:rPr>
          <w:rFonts w:hint="eastAsia" w:ascii="宋体" w:hAnsi="宋体" w:eastAsia="仿宋"/>
          <w:color w:val="auto"/>
          <w:sz w:val="24"/>
          <w:highlight w:val="none"/>
          <w:lang w:val="en-US" w:eastAsia="zh-CN"/>
        </w:rPr>
        <w:t>分包意向协议书</w:t>
      </w:r>
      <w:r>
        <w:rPr>
          <w:rFonts w:hint="eastAsia" w:ascii="宋体" w:hAnsi="宋体" w:eastAsia="仿宋"/>
          <w:color w:val="auto"/>
          <w:sz w:val="24"/>
          <w:highlight w:val="none"/>
        </w:rPr>
        <w:t>。</w:t>
      </w:r>
    </w:p>
    <w:p w14:paraId="1A470B97">
      <w:pPr>
        <w:adjustRightIn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3.1.4 投标人须知前附表规定要求递交投标货物样品的，投标人应按照投标人须知前附表的规定提供投标货物样品。</w:t>
      </w:r>
    </w:p>
    <w:p w14:paraId="6F2D0322">
      <w:pPr>
        <w:pStyle w:val="4"/>
        <w:adjustRightInd w:val="0"/>
        <w:ind w:firstLine="482" w:firstLineChars="200"/>
        <w:rPr>
          <w:rFonts w:eastAsia="仿宋"/>
          <w:color w:val="auto"/>
          <w:sz w:val="24"/>
          <w:highlight w:val="none"/>
          <w:lang w:eastAsia="zh-CN"/>
        </w:rPr>
      </w:pPr>
      <w:bookmarkStart w:id="283" w:name="_Toc455587050"/>
      <w:bookmarkStart w:id="284" w:name="_Toc466024516"/>
      <w:bookmarkStart w:id="285" w:name="_Toc445554707"/>
      <w:bookmarkStart w:id="286" w:name="_Toc458504834"/>
      <w:bookmarkStart w:id="287" w:name="_Toc455587234"/>
      <w:r>
        <w:rPr>
          <w:rFonts w:hint="eastAsia" w:eastAsia="仿宋"/>
          <w:color w:val="auto"/>
          <w:sz w:val="24"/>
          <w:highlight w:val="none"/>
          <w:lang w:eastAsia="zh-CN"/>
        </w:rPr>
        <w:t>3.2 投标报价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Start w:id="288" w:name="_Toc370199958"/>
    </w:p>
    <w:p w14:paraId="0EEC691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w:t>
      </w:r>
      <w:r>
        <w:rPr>
          <w:rFonts w:ascii="宋体" w:hAnsi="宋体" w:eastAsia="仿宋"/>
          <w:color w:val="auto"/>
          <w:sz w:val="24"/>
          <w:highlight w:val="none"/>
        </w:rPr>
        <w:t>.1</w:t>
      </w:r>
      <w:r>
        <w:rPr>
          <w:rFonts w:hint="eastAsia" w:ascii="宋体" w:hAnsi="宋体" w:eastAsia="仿宋"/>
          <w:color w:val="auto"/>
          <w:sz w:val="24"/>
          <w:highlight w:val="none"/>
        </w:rPr>
        <w:t xml:space="preserve"> 投标报价应当包括的内容见投标人须知前附表规定。投标人应当按招标文件规定进行投标报价，并按给定格式填写投标报价表格。</w:t>
      </w:r>
      <w:bookmarkEnd w:id="288"/>
      <w:bookmarkStart w:id="289" w:name="_Toc370199959"/>
    </w:p>
    <w:p w14:paraId="1966972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3.2.2 </w:t>
      </w:r>
      <w:r>
        <w:rPr>
          <w:rFonts w:ascii="宋体" w:hAnsi="宋体" w:eastAsia="仿宋"/>
          <w:color w:val="auto"/>
          <w:sz w:val="24"/>
          <w:highlight w:val="none"/>
        </w:rPr>
        <w:t>投标人应充分了解该项目的总体情况以及影响报价的其他要素。</w:t>
      </w:r>
    </w:p>
    <w:p w14:paraId="1194A00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w:t>
      </w:r>
      <w:r>
        <w:rPr>
          <w:rFonts w:hint="eastAsia" w:ascii="宋体" w:hAnsi="宋体" w:eastAsia="仿宋"/>
          <w:color w:val="auto"/>
          <w:sz w:val="24"/>
          <w:highlight w:val="none"/>
          <w:lang w:val="en-US" w:eastAsia="zh-CN"/>
        </w:rPr>
        <w:t xml:space="preserve">3 </w:t>
      </w:r>
      <w:r>
        <w:rPr>
          <w:rFonts w:hint="eastAsia" w:ascii="宋体" w:hAnsi="宋体" w:eastAsia="仿宋"/>
          <w:color w:val="auto"/>
          <w:sz w:val="24"/>
          <w:highlight w:val="none"/>
        </w:rPr>
        <w:t>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1B14858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3.2.4</w:t>
      </w:r>
      <w:r>
        <w:rPr>
          <w:rFonts w:hint="eastAsia" w:ascii="宋体" w:hAnsi="宋体" w:eastAsia="仿宋"/>
          <w:color w:val="auto"/>
          <w:sz w:val="24"/>
          <w:highlight w:val="none"/>
          <w:lang w:val="en-US" w:eastAsia="zh-CN"/>
        </w:rPr>
        <w:t xml:space="preserve"> </w:t>
      </w:r>
      <w:r>
        <w:rPr>
          <w:rFonts w:hint="eastAsia" w:ascii="宋体" w:hAnsi="宋体" w:eastAsia="仿宋"/>
          <w:color w:val="auto"/>
          <w:sz w:val="24"/>
          <w:highlight w:val="none"/>
        </w:rPr>
        <w:t>投标报价的其他要求见投标人须知前附表。</w:t>
      </w:r>
    </w:p>
    <w:bookmarkEnd w:id="289"/>
    <w:p w14:paraId="4F6F523A">
      <w:pPr>
        <w:pStyle w:val="4"/>
        <w:adjustRightInd w:val="0"/>
        <w:ind w:firstLine="482" w:firstLineChars="200"/>
        <w:rPr>
          <w:rFonts w:eastAsia="仿宋"/>
          <w:color w:val="auto"/>
          <w:sz w:val="24"/>
          <w:highlight w:val="none"/>
          <w:lang w:eastAsia="zh-CN"/>
        </w:rPr>
      </w:pPr>
      <w:bookmarkStart w:id="290" w:name="_Toc338943720"/>
      <w:bookmarkStart w:id="291" w:name="_Toc179632567"/>
      <w:bookmarkStart w:id="292" w:name="_Toc466024517"/>
      <w:bookmarkStart w:id="293" w:name="_Toc342296182"/>
      <w:bookmarkStart w:id="294" w:name="_Toc445554708"/>
      <w:bookmarkStart w:id="295" w:name="_Toc333600703"/>
      <w:bookmarkStart w:id="296" w:name="_Toc455587051"/>
      <w:bookmarkStart w:id="297" w:name="_Toc144974517"/>
      <w:bookmarkStart w:id="298" w:name="_Toc342294734"/>
      <w:bookmarkStart w:id="299" w:name="_Toc333587873"/>
      <w:bookmarkStart w:id="300" w:name="_Toc333599679"/>
      <w:bookmarkStart w:id="301" w:name="_Toc455587235"/>
      <w:bookmarkStart w:id="302" w:name="_Toc371415937"/>
      <w:bookmarkStart w:id="303" w:name="_Toc342297639"/>
      <w:bookmarkStart w:id="304" w:name="_Toc458504835"/>
      <w:bookmarkStart w:id="305" w:name="_Toc338944625"/>
      <w:bookmarkStart w:id="306" w:name="_Toc152042325"/>
      <w:bookmarkStart w:id="307" w:name="_Toc152045549"/>
      <w:r>
        <w:rPr>
          <w:rFonts w:hint="eastAsia" w:eastAsia="仿宋"/>
          <w:color w:val="auto"/>
          <w:sz w:val="24"/>
          <w:highlight w:val="none"/>
          <w:lang w:eastAsia="zh-CN"/>
        </w:rPr>
        <w:t>3.3 投标有效期</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04541F3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.1</w:t>
      </w:r>
      <w:r>
        <w:rPr>
          <w:rFonts w:hint="eastAsia" w:ascii="宋体" w:hAnsi="宋体" w:eastAsia="仿宋"/>
          <w:color w:val="auto"/>
          <w:sz w:val="24"/>
          <w:highlight w:val="none"/>
        </w:rPr>
        <w:t xml:space="preserve"> 在投标人须知前附表</w:t>
      </w:r>
      <w:r>
        <w:rPr>
          <w:rFonts w:hint="eastAsia" w:ascii="宋体" w:hAnsi="宋体" w:eastAsia="仿宋"/>
          <w:color w:val="auto"/>
          <w:sz w:val="24"/>
          <w:highlight w:val="none"/>
          <w:lang w:eastAsia="zh-CN"/>
        </w:rPr>
        <w:t>规定</w:t>
      </w:r>
      <w:r>
        <w:rPr>
          <w:rFonts w:hint="eastAsia" w:ascii="宋体" w:hAnsi="宋体" w:eastAsia="仿宋"/>
          <w:color w:val="auto"/>
          <w:sz w:val="24"/>
          <w:highlight w:val="none"/>
        </w:rPr>
        <w:t>的投标有效期内，投标文件保持有效，投标人不得要求撤销或修改其投标文件，否则应承担招标文件和法律法规规定的责任。</w:t>
      </w:r>
    </w:p>
    <w:p w14:paraId="7EAC90D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.2</w:t>
      </w:r>
      <w:r>
        <w:rPr>
          <w:rFonts w:hint="eastAsia" w:ascii="宋体" w:hAnsi="宋体" w:eastAsia="仿宋"/>
          <w:color w:val="auto"/>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auto"/>
          <w:sz w:val="24"/>
          <w:highlight w:val="none"/>
        </w:rPr>
        <w:t xml:space="preserve"> </w:t>
      </w:r>
    </w:p>
    <w:p w14:paraId="1AB04CB6">
      <w:pPr>
        <w:pStyle w:val="4"/>
        <w:adjustRightInd w:val="0"/>
        <w:ind w:firstLine="482" w:firstLineChars="200"/>
        <w:rPr>
          <w:rFonts w:eastAsia="仿宋"/>
          <w:color w:val="auto"/>
          <w:sz w:val="24"/>
          <w:highlight w:val="none"/>
          <w:lang w:eastAsia="zh-CN"/>
        </w:rPr>
      </w:pPr>
      <w:bookmarkStart w:id="308" w:name="_Toc144974518"/>
      <w:bookmarkStart w:id="309" w:name="_Toc466024518"/>
      <w:bookmarkStart w:id="310" w:name="_Toc333599680"/>
      <w:bookmarkStart w:id="311" w:name="_Toc342296183"/>
      <w:bookmarkStart w:id="312" w:name="_Toc342294735"/>
      <w:bookmarkStart w:id="313" w:name="_Toc455587236"/>
      <w:bookmarkStart w:id="314" w:name="_Toc371415938"/>
      <w:bookmarkStart w:id="315" w:name="_Toc338944626"/>
      <w:bookmarkStart w:id="316" w:name="_Toc179632568"/>
      <w:bookmarkStart w:id="317" w:name="_Toc458504836"/>
      <w:bookmarkStart w:id="318" w:name="_Toc338943721"/>
      <w:bookmarkStart w:id="319" w:name="_Toc152042326"/>
      <w:bookmarkStart w:id="320" w:name="_Toc445554709"/>
      <w:bookmarkStart w:id="321" w:name="_Toc333587874"/>
      <w:bookmarkStart w:id="322" w:name="_Toc152045550"/>
      <w:bookmarkStart w:id="323" w:name="_Toc455587052"/>
      <w:bookmarkStart w:id="324" w:name="_Toc333600704"/>
      <w:bookmarkStart w:id="325" w:name="_Toc342297640"/>
      <w:r>
        <w:rPr>
          <w:rFonts w:hint="eastAsia" w:eastAsia="仿宋"/>
          <w:color w:val="auto"/>
          <w:sz w:val="24"/>
          <w:highlight w:val="none"/>
          <w:lang w:eastAsia="zh-CN"/>
        </w:rPr>
        <w:t>3.4 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941B568">
      <w:pPr>
        <w:widowControl/>
        <w:adjustRightInd w:val="0"/>
        <w:snapToGrid w:val="0"/>
        <w:spacing w:line="360" w:lineRule="auto"/>
        <w:ind w:firstLine="480" w:firstLineChars="200"/>
        <w:rPr>
          <w:rFonts w:hint="default" w:ascii="宋体" w:hAnsi="宋体" w:eastAsia="仿宋"/>
          <w:color w:val="auto"/>
          <w:sz w:val="24"/>
          <w:highlight w:val="none"/>
          <w:lang w:val="en-US"/>
        </w:rPr>
      </w:pPr>
      <w:r>
        <w:rPr>
          <w:rFonts w:hint="eastAsia" w:ascii="宋体" w:hAnsi="宋体" w:eastAsia="仿宋"/>
          <w:color w:val="auto"/>
          <w:sz w:val="24"/>
          <w:highlight w:val="none"/>
          <w:lang w:val="en-US" w:eastAsia="zh-CN"/>
        </w:rPr>
        <w:t>对投标保证金的要求见</w:t>
      </w:r>
      <w:r>
        <w:rPr>
          <w:rFonts w:hint="eastAsia" w:ascii="宋体" w:hAnsi="宋体" w:eastAsia="仿宋"/>
          <w:color w:val="auto"/>
          <w:sz w:val="24"/>
          <w:highlight w:val="none"/>
        </w:rPr>
        <w:t>投标人须知</w:t>
      </w:r>
      <w:r>
        <w:rPr>
          <w:rFonts w:hint="eastAsia" w:ascii="宋体" w:hAnsi="宋体" w:eastAsia="仿宋"/>
          <w:color w:val="auto"/>
          <w:sz w:val="24"/>
          <w:highlight w:val="none"/>
          <w:lang w:val="en-US" w:eastAsia="zh-CN"/>
        </w:rPr>
        <w:t>前附表。</w:t>
      </w:r>
    </w:p>
    <w:p w14:paraId="7B8702EF">
      <w:pPr>
        <w:pStyle w:val="4"/>
        <w:adjustRightInd w:val="0"/>
        <w:ind w:firstLine="482" w:firstLineChars="200"/>
        <w:rPr>
          <w:rFonts w:eastAsia="仿宋"/>
          <w:color w:val="auto"/>
          <w:sz w:val="24"/>
          <w:highlight w:val="none"/>
          <w:lang w:eastAsia="zh-CN"/>
        </w:rPr>
      </w:pPr>
      <w:bookmarkStart w:id="326" w:name="_Toc342296184"/>
      <w:bookmarkStart w:id="327" w:name="_Toc338944627"/>
      <w:bookmarkStart w:id="328" w:name="_Toc152042327"/>
      <w:bookmarkStart w:id="329" w:name="_Toc466024519"/>
      <w:bookmarkStart w:id="330" w:name="_Toc455587053"/>
      <w:bookmarkStart w:id="331" w:name="_Toc338943722"/>
      <w:bookmarkStart w:id="332" w:name="_Toc445554710"/>
      <w:bookmarkStart w:id="333" w:name="_Toc371415939"/>
      <w:bookmarkStart w:id="334" w:name="_Toc333599681"/>
      <w:bookmarkStart w:id="335" w:name="_Toc458504837"/>
      <w:bookmarkStart w:id="336" w:name="_Toc152045551"/>
      <w:bookmarkStart w:id="337" w:name="_Toc342297641"/>
      <w:bookmarkStart w:id="338" w:name="_Toc455587237"/>
      <w:bookmarkStart w:id="339" w:name="_Toc144974519"/>
      <w:bookmarkStart w:id="340" w:name="_Toc333587875"/>
      <w:bookmarkStart w:id="341" w:name="_Toc342294736"/>
      <w:bookmarkStart w:id="342" w:name="_Toc333600705"/>
      <w:bookmarkStart w:id="343" w:name="_Toc179632569"/>
      <w:r>
        <w:rPr>
          <w:rFonts w:hint="eastAsia" w:eastAsia="仿宋"/>
          <w:color w:val="auto"/>
          <w:sz w:val="24"/>
          <w:highlight w:val="none"/>
          <w:lang w:eastAsia="zh-CN"/>
        </w:rPr>
        <w:t>3.5 资格审查资料（适用于已进行资格预审的）</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669108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6FDE570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投标人是代理商或经销商的，通过资格预审后如确定了拟投标货物（服务）的制造商（提供商）的，投标时不得更换，否则其投标将按无效处理。</w:t>
      </w:r>
    </w:p>
    <w:p w14:paraId="0FE9937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如本招标文件“评标办法”中</w:t>
      </w:r>
      <w:r>
        <w:rPr>
          <w:rFonts w:hint="eastAsia" w:ascii="宋体" w:hAnsi="宋体" w:eastAsia="仿宋"/>
          <w:color w:val="auto"/>
          <w:sz w:val="24"/>
          <w:highlight w:val="none"/>
          <w:lang w:eastAsia="zh-CN"/>
        </w:rPr>
        <w:t>涉及</w:t>
      </w:r>
      <w:r>
        <w:rPr>
          <w:rFonts w:hint="eastAsia" w:ascii="宋体" w:hAnsi="宋体" w:eastAsia="仿宋"/>
          <w:color w:val="auto"/>
          <w:sz w:val="24"/>
          <w:highlight w:val="none"/>
        </w:rPr>
        <w:t>对相关投标人资格进行评审的，投标人应在投标文件相应的“资格审查资料”中提供证明文件。</w:t>
      </w:r>
    </w:p>
    <w:p w14:paraId="556F01F0">
      <w:pPr>
        <w:pStyle w:val="4"/>
        <w:adjustRightInd w:val="0"/>
        <w:ind w:firstLine="482" w:firstLineChars="200"/>
        <w:rPr>
          <w:rFonts w:hint="eastAsia" w:eastAsia="仿宋"/>
          <w:color w:val="auto"/>
          <w:sz w:val="24"/>
          <w:highlight w:val="none"/>
          <w:lang w:eastAsia="zh-CN"/>
        </w:rPr>
      </w:pPr>
      <w:bookmarkStart w:id="344" w:name="_Toc371415940"/>
      <w:bookmarkStart w:id="345" w:name="_Toc342296185"/>
      <w:bookmarkStart w:id="346" w:name="_Toc152042328"/>
      <w:bookmarkStart w:id="347" w:name="_Toc333600706"/>
      <w:bookmarkStart w:id="348" w:name="_Toc179632570"/>
      <w:bookmarkStart w:id="349" w:name="_Toc455587238"/>
      <w:bookmarkStart w:id="350" w:name="_Toc144974520"/>
      <w:bookmarkStart w:id="351" w:name="_Toc342297642"/>
      <w:bookmarkStart w:id="352" w:name="_Toc342294737"/>
      <w:bookmarkStart w:id="353" w:name="_Toc338943723"/>
      <w:bookmarkStart w:id="354" w:name="_Toc458504838"/>
      <w:bookmarkStart w:id="355" w:name="_Toc455587054"/>
      <w:bookmarkStart w:id="356" w:name="_Toc333599682"/>
      <w:bookmarkStart w:id="357" w:name="_Toc333587876"/>
      <w:bookmarkStart w:id="358" w:name="_Toc466024520"/>
      <w:bookmarkStart w:id="359" w:name="_Toc152045552"/>
      <w:bookmarkStart w:id="360" w:name="_Toc338944628"/>
      <w:bookmarkStart w:id="361" w:name="_Toc445554711"/>
      <w:r>
        <w:rPr>
          <w:rFonts w:hint="eastAsia" w:eastAsia="仿宋"/>
          <w:color w:val="auto"/>
          <w:sz w:val="24"/>
          <w:highlight w:val="none"/>
          <w:lang w:eastAsia="zh-CN"/>
        </w:rPr>
        <w:t>3.5 资格审查资料（适用于未进行资格预审的）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4DEE9C1A">
      <w:pPr>
        <w:widowControl/>
        <w:adjustRightInd w:val="0"/>
        <w:snapToGrid w:val="0"/>
        <w:spacing w:line="360" w:lineRule="auto"/>
        <w:ind w:firstLine="480" w:firstLineChars="20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3.5.1 资格审查办法见第四章第一节 资格审查。</w:t>
      </w:r>
    </w:p>
    <w:p w14:paraId="34583E3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val="en-US" w:eastAsia="zh-CN"/>
        </w:rPr>
        <w:t>资格审查材料</w:t>
      </w:r>
      <w:r>
        <w:rPr>
          <w:rFonts w:hint="eastAsia" w:ascii="宋体" w:hAnsi="宋体" w:eastAsia="仿宋"/>
          <w:color w:val="auto"/>
          <w:sz w:val="24"/>
          <w:highlight w:val="none"/>
        </w:rPr>
        <w:t>”应按规定格式填写，并提供符合要求的相关证明材料的</w:t>
      </w:r>
      <w:r>
        <w:rPr>
          <w:rFonts w:hint="eastAsia" w:ascii="宋体" w:hAnsi="宋体" w:eastAsia="仿宋"/>
          <w:color w:val="auto"/>
          <w:sz w:val="24"/>
          <w:highlight w:val="none"/>
          <w:lang w:val="en-US" w:eastAsia="zh-CN"/>
        </w:rPr>
        <w:t>扫描件或电子证照</w:t>
      </w:r>
      <w:r>
        <w:rPr>
          <w:rFonts w:hint="eastAsia" w:ascii="宋体" w:hAnsi="宋体" w:eastAsia="仿宋"/>
          <w:color w:val="auto"/>
          <w:sz w:val="24"/>
          <w:highlight w:val="none"/>
        </w:rPr>
        <w:t>。</w:t>
      </w:r>
    </w:p>
    <w:p w14:paraId="1EB7D48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 xml:space="preserve"> 投标人须知前附表规定接受联合体投标的，本章第3.5.1项至第3.5.</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项规定的表格和资料包括联合体各方成员相关情况。</w:t>
      </w:r>
    </w:p>
    <w:p w14:paraId="08818113">
      <w:pPr>
        <w:pStyle w:val="4"/>
        <w:adjustRightInd w:val="0"/>
        <w:ind w:firstLine="482" w:firstLineChars="200"/>
        <w:rPr>
          <w:rFonts w:eastAsia="仿宋"/>
          <w:color w:val="auto"/>
          <w:sz w:val="24"/>
          <w:highlight w:val="none"/>
          <w:lang w:eastAsia="zh-CN"/>
        </w:rPr>
      </w:pPr>
      <w:bookmarkStart w:id="362" w:name="_Toc144974521"/>
      <w:bookmarkStart w:id="363" w:name="_Toc371415941"/>
      <w:bookmarkStart w:id="364" w:name="_Toc179632571"/>
      <w:bookmarkStart w:id="365" w:name="_Toc342297643"/>
      <w:bookmarkStart w:id="366" w:name="_Toc338943724"/>
      <w:bookmarkStart w:id="367" w:name="_Toc333587877"/>
      <w:bookmarkStart w:id="368" w:name="_Toc458504840"/>
      <w:bookmarkStart w:id="369" w:name="_Toc333599683"/>
      <w:bookmarkStart w:id="370" w:name="_Toc342294738"/>
      <w:bookmarkStart w:id="371" w:name="_Toc455587240"/>
      <w:bookmarkStart w:id="372" w:name="_Toc333600707"/>
      <w:bookmarkStart w:id="373" w:name="_Toc152042329"/>
      <w:bookmarkStart w:id="374" w:name="_Toc455587056"/>
      <w:bookmarkStart w:id="375" w:name="_Toc342296186"/>
      <w:bookmarkStart w:id="376" w:name="_Toc466024522"/>
      <w:bookmarkStart w:id="377" w:name="_Toc152045553"/>
      <w:bookmarkStart w:id="378" w:name="_Toc338944629"/>
      <w:bookmarkStart w:id="379" w:name="_Toc445554713"/>
      <w:r>
        <w:rPr>
          <w:rFonts w:hint="eastAsia" w:eastAsia="仿宋"/>
          <w:color w:val="auto"/>
          <w:sz w:val="24"/>
          <w:highlight w:val="none"/>
          <w:lang w:eastAsia="zh-CN"/>
        </w:rPr>
        <w:t>3.6 备选投标方案</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B8101B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3.6.1 除投标人须知前附表另有规定外，投标人不得递交备选投标方案，</w:t>
      </w:r>
      <w:r>
        <w:rPr>
          <w:rFonts w:eastAsia="仿宋"/>
          <w:color w:val="auto"/>
          <w:sz w:val="24"/>
          <w:highlight w:val="none"/>
        </w:rPr>
        <w:t>否则其投标将</w:t>
      </w:r>
      <w:r>
        <w:rPr>
          <w:rFonts w:hint="eastAsia" w:eastAsia="仿宋"/>
          <w:color w:val="auto"/>
          <w:sz w:val="24"/>
          <w:highlight w:val="none"/>
        </w:rPr>
        <w:t>按无效处理</w:t>
      </w:r>
      <w:r>
        <w:rPr>
          <w:rFonts w:hint="eastAsia" w:ascii="宋体" w:hAnsi="宋体" w:eastAsia="仿宋"/>
          <w:color w:val="auto"/>
          <w:sz w:val="24"/>
          <w:highlight w:val="none"/>
        </w:rPr>
        <w:t>。</w:t>
      </w:r>
    </w:p>
    <w:p w14:paraId="41F08670">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3.6.2 </w:t>
      </w:r>
      <w:r>
        <w:rPr>
          <w:rFonts w:eastAsia="仿宋"/>
          <w:color w:val="auto"/>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auto"/>
          <w:sz w:val="24"/>
          <w:highlight w:val="none"/>
        </w:rPr>
        <w:t>采购</w:t>
      </w:r>
      <w:r>
        <w:rPr>
          <w:rFonts w:eastAsia="仿宋"/>
          <w:color w:val="auto"/>
          <w:sz w:val="24"/>
          <w:highlight w:val="none"/>
        </w:rPr>
        <w:t>人可以接受该备选投标方案。</w:t>
      </w:r>
    </w:p>
    <w:p w14:paraId="3CB5C9C9">
      <w:pPr>
        <w:widowControl/>
        <w:adjustRightInd w:val="0"/>
        <w:snapToGrid w:val="0"/>
        <w:spacing w:line="360" w:lineRule="auto"/>
        <w:ind w:firstLine="480" w:firstLineChars="200"/>
        <w:rPr>
          <w:rFonts w:eastAsia="仿宋"/>
          <w:color w:val="auto"/>
          <w:sz w:val="24"/>
          <w:highlight w:val="none"/>
        </w:rPr>
      </w:pPr>
      <w:r>
        <w:rPr>
          <w:rFonts w:ascii="宋体" w:hAnsi="宋体" w:eastAsia="仿宋"/>
          <w:color w:val="auto"/>
          <w:sz w:val="24"/>
          <w:highlight w:val="none"/>
        </w:rPr>
        <w:t>3.6.3 投标人提供两个或两个以上投标报价，或者在投标文件中提供一个报价，但同时提供两个或两</w:t>
      </w:r>
      <w:r>
        <w:rPr>
          <w:rFonts w:eastAsia="仿宋"/>
          <w:color w:val="auto"/>
          <w:sz w:val="24"/>
          <w:highlight w:val="none"/>
        </w:rPr>
        <w:t>个以上</w:t>
      </w:r>
      <w:bookmarkStart w:id="380" w:name="_Toc300834971"/>
      <w:bookmarkStart w:id="381" w:name="_Toc352691495"/>
      <w:bookmarkStart w:id="382" w:name="_Toc361508607"/>
      <w:bookmarkStart w:id="383" w:name="_Toc384308232"/>
      <w:bookmarkStart w:id="384" w:name="_Toc369531538"/>
      <w:bookmarkStart w:id="385" w:name="_Toc29902"/>
      <w:bookmarkStart w:id="386" w:name="_Toc247513974"/>
      <w:bookmarkStart w:id="387" w:name="_Toc247527575"/>
      <w:r>
        <w:rPr>
          <w:rFonts w:hint="eastAsia" w:eastAsia="仿宋"/>
          <w:color w:val="auto"/>
          <w:sz w:val="24"/>
          <w:highlight w:val="none"/>
          <w:lang w:val="en-US" w:eastAsia="zh-CN"/>
        </w:rPr>
        <w:t>服务</w:t>
      </w:r>
      <w:r>
        <w:rPr>
          <w:rFonts w:hint="eastAsia" w:eastAsia="仿宋"/>
          <w:color w:val="auto"/>
          <w:sz w:val="24"/>
          <w:highlight w:val="none"/>
        </w:rPr>
        <w:t>方案</w:t>
      </w:r>
      <w:r>
        <w:rPr>
          <w:rFonts w:eastAsia="仿宋"/>
          <w:color w:val="auto"/>
          <w:sz w:val="24"/>
          <w:highlight w:val="none"/>
        </w:rPr>
        <w:t>的</w:t>
      </w:r>
      <w:bookmarkEnd w:id="380"/>
      <w:bookmarkEnd w:id="381"/>
      <w:bookmarkEnd w:id="382"/>
      <w:bookmarkEnd w:id="383"/>
      <w:bookmarkEnd w:id="384"/>
      <w:bookmarkEnd w:id="385"/>
      <w:bookmarkEnd w:id="386"/>
      <w:bookmarkEnd w:id="387"/>
      <w:r>
        <w:rPr>
          <w:rFonts w:eastAsia="仿宋"/>
          <w:color w:val="auto"/>
          <w:sz w:val="24"/>
          <w:highlight w:val="none"/>
        </w:rPr>
        <w:t>，视为提供备选方案。</w:t>
      </w:r>
    </w:p>
    <w:p w14:paraId="743E3DC1">
      <w:pPr>
        <w:pStyle w:val="4"/>
        <w:adjustRightInd w:val="0"/>
        <w:ind w:firstLine="482" w:firstLineChars="200"/>
        <w:rPr>
          <w:rFonts w:eastAsia="仿宋"/>
          <w:color w:val="auto"/>
          <w:sz w:val="24"/>
          <w:highlight w:val="none"/>
          <w:lang w:eastAsia="zh-CN"/>
        </w:rPr>
      </w:pPr>
      <w:bookmarkStart w:id="388" w:name="_Toc445554714"/>
      <w:bookmarkStart w:id="389" w:name="_Toc371415942"/>
      <w:bookmarkStart w:id="390" w:name="_Toc458504841"/>
      <w:bookmarkStart w:id="391" w:name="_Toc455587241"/>
      <w:bookmarkStart w:id="392" w:name="_Toc466024523"/>
      <w:bookmarkStart w:id="393" w:name="_Toc455587057"/>
      <w:r>
        <w:rPr>
          <w:rFonts w:hint="eastAsia" w:eastAsia="仿宋"/>
          <w:color w:val="auto"/>
          <w:sz w:val="24"/>
          <w:highlight w:val="none"/>
          <w:lang w:eastAsia="zh-CN"/>
        </w:rPr>
        <w:t>3.7 投标文件的编制</w:t>
      </w:r>
      <w:bookmarkEnd w:id="388"/>
      <w:bookmarkEnd w:id="389"/>
      <w:bookmarkEnd w:id="390"/>
      <w:bookmarkEnd w:id="391"/>
      <w:bookmarkEnd w:id="392"/>
      <w:bookmarkEnd w:id="393"/>
    </w:p>
    <w:p w14:paraId="23B9208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投标文件应按</w:t>
      </w:r>
      <w:r>
        <w:rPr>
          <w:rFonts w:hint="eastAsia" w:eastAsia="仿宋"/>
          <w:color w:val="auto"/>
          <w:sz w:val="24"/>
          <w:highlight w:val="none"/>
        </w:rPr>
        <w:t>招标文件</w:t>
      </w:r>
      <w:r>
        <w:rPr>
          <w:rFonts w:hint="eastAsia" w:ascii="宋体" w:hAnsi="宋体" w:eastAsia="仿宋"/>
          <w:color w:val="auto"/>
          <w:sz w:val="24"/>
          <w:highlight w:val="none"/>
        </w:rPr>
        <w:t>规定格式进行编写，如有必要，可以增加附页、扩展表格，作为投标文件的组成部分。</w:t>
      </w:r>
    </w:p>
    <w:p w14:paraId="24BB768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.2</w:t>
      </w:r>
      <w:r>
        <w:rPr>
          <w:rFonts w:hint="eastAsia" w:ascii="宋体" w:hAnsi="宋体" w:eastAsia="仿宋"/>
          <w:color w:val="auto"/>
          <w:sz w:val="24"/>
          <w:highlight w:val="none"/>
        </w:rPr>
        <w:t xml:space="preserve"> 投标文件应当对招标文件有关采购需求、交付（实施）的时间（期限）</w:t>
      </w:r>
      <w:r>
        <w:rPr>
          <w:rFonts w:hint="eastAsia" w:ascii="宋体" w:hAnsi="宋体" w:eastAsia="仿宋"/>
          <w:color w:val="auto"/>
          <w:sz w:val="24"/>
          <w:highlight w:val="none"/>
          <w:lang w:eastAsia="zh-CN"/>
        </w:rPr>
        <w:t>、交付（实施）的地点（范围）</w:t>
      </w:r>
      <w:r>
        <w:rPr>
          <w:rFonts w:hint="eastAsia" w:ascii="宋体" w:hAnsi="宋体" w:eastAsia="仿宋"/>
          <w:color w:val="auto"/>
          <w:sz w:val="24"/>
          <w:highlight w:val="none"/>
        </w:rPr>
        <w:t>、技术与服务要求、投标报价要求、投标有效期、付款方式、合同条款等实质性</w:t>
      </w:r>
      <w:r>
        <w:rPr>
          <w:rFonts w:hint="eastAsia" w:eastAsia="仿宋"/>
          <w:color w:val="auto"/>
          <w:sz w:val="24"/>
          <w:highlight w:val="none"/>
        </w:rPr>
        <w:t>内容</w:t>
      </w:r>
      <w:r>
        <w:rPr>
          <w:rFonts w:hint="eastAsia" w:ascii="宋体" w:hAnsi="宋体" w:eastAsia="仿宋"/>
          <w:color w:val="auto"/>
          <w:sz w:val="24"/>
          <w:highlight w:val="none"/>
          <w:lang w:val="en-US" w:eastAsia="zh-CN"/>
        </w:rPr>
        <w:t>作</w:t>
      </w:r>
      <w:r>
        <w:rPr>
          <w:rFonts w:hint="eastAsia" w:ascii="宋体" w:hAnsi="宋体" w:eastAsia="仿宋"/>
          <w:color w:val="auto"/>
          <w:sz w:val="24"/>
          <w:highlight w:val="none"/>
        </w:rPr>
        <w:t>出响应。投标文件在满足招标文件实质性要求的基础上，可以提出比招标文件要求更有利于采购人的承诺。</w:t>
      </w:r>
    </w:p>
    <w:p w14:paraId="37D636D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3.7.3 投标人必须对其提交的资料的真实性负责，并接受采购人对其中任何资料进一步审查的要求。</w:t>
      </w:r>
    </w:p>
    <w:p w14:paraId="0CE545E6">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4 投标文件的制作应满足以下规定：</w:t>
      </w:r>
    </w:p>
    <w:p w14:paraId="56BC083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）投标文件由投标人使用</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自带的</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制作生成，详见投标人须知前附表规定。</w:t>
      </w:r>
    </w:p>
    <w:p w14:paraId="6FEBDC4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）投标人在编制投标文件时应建立分级目录，并按照标签提示导入相关内容。</w:t>
      </w:r>
    </w:p>
    <w:p w14:paraId="45D708F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（3）除投标人须知前附表另有规定外，</w:t>
      </w:r>
      <w:r>
        <w:rPr>
          <w:rFonts w:ascii="宋体" w:hAnsi="宋体" w:eastAsia="仿宋"/>
          <w:color w:val="auto"/>
          <w:sz w:val="24"/>
          <w:highlight w:val="none"/>
        </w:rPr>
        <w:t>投标文件</w:t>
      </w:r>
      <w:r>
        <w:rPr>
          <w:rFonts w:hint="eastAsia" w:ascii="宋体" w:hAnsi="宋体" w:eastAsia="仿宋"/>
          <w:color w:val="auto"/>
          <w:sz w:val="24"/>
          <w:highlight w:val="none"/>
        </w:rPr>
        <w:t>中证明资料的</w:t>
      </w:r>
      <w:r>
        <w:rPr>
          <w:rFonts w:ascii="宋体" w:hAnsi="宋体" w:eastAsia="仿宋"/>
          <w:color w:val="auto"/>
          <w:sz w:val="24"/>
          <w:highlight w:val="none"/>
        </w:rPr>
        <w:t>“</w:t>
      </w:r>
      <w:r>
        <w:rPr>
          <w:rFonts w:hint="eastAsia" w:ascii="宋体" w:hAnsi="宋体" w:eastAsia="仿宋"/>
          <w:color w:val="auto"/>
          <w:sz w:val="24"/>
          <w:highlight w:val="none"/>
        </w:rPr>
        <w:t>复印件</w:t>
      </w:r>
      <w:r>
        <w:rPr>
          <w:rFonts w:ascii="宋体" w:hAnsi="宋体" w:eastAsia="仿宋"/>
          <w:color w:val="auto"/>
          <w:sz w:val="24"/>
          <w:highlight w:val="none"/>
        </w:rPr>
        <w:t>”均为</w:t>
      </w:r>
      <w:r>
        <w:rPr>
          <w:rFonts w:hint="eastAsia" w:ascii="宋体" w:hAnsi="宋体" w:eastAsia="仿宋"/>
          <w:color w:val="auto"/>
          <w:sz w:val="24"/>
          <w:highlight w:val="none"/>
          <w:lang w:eastAsia="zh-CN"/>
        </w:rPr>
        <w:t>扫描件</w:t>
      </w:r>
      <w:r>
        <w:rPr>
          <w:rFonts w:ascii="宋体" w:hAnsi="宋体" w:eastAsia="仿宋"/>
          <w:color w:val="auto"/>
          <w:sz w:val="24"/>
          <w:highlight w:val="none"/>
        </w:rPr>
        <w:t>。</w:t>
      </w:r>
    </w:p>
    <w:p w14:paraId="61A9E21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投标文件格式</w:t>
      </w:r>
      <w:r>
        <w:rPr>
          <w:rFonts w:ascii="宋体" w:hAnsi="宋体" w:eastAsia="仿宋"/>
          <w:color w:val="auto"/>
          <w:sz w:val="24"/>
          <w:highlight w:val="none"/>
        </w:rPr>
        <w:t>”</w:t>
      </w:r>
      <w:r>
        <w:rPr>
          <w:rFonts w:hint="eastAsia" w:ascii="宋体" w:hAnsi="宋体" w:eastAsia="仿宋"/>
          <w:color w:val="auto"/>
          <w:sz w:val="24"/>
          <w:highlight w:val="none"/>
        </w:rPr>
        <w:t>中要求盖单位章和（或）签字的地方，投标人均应使用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16305E1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（5）投标文件制作完成后，投标人应使用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数字证书对投标文件进行文件加密，形成加密的投标文件、非加密的投标文件，非加密的投标文件</w:t>
      </w:r>
      <w:r>
        <w:rPr>
          <w:rFonts w:hint="eastAsia" w:ascii="宋体" w:hAnsi="宋体" w:eastAsia="仿宋"/>
          <w:color w:val="auto"/>
          <w:sz w:val="24"/>
          <w:highlight w:val="none"/>
          <w:lang w:val="en-US" w:eastAsia="zh-CN"/>
        </w:rPr>
        <w:t>提交</w:t>
      </w:r>
      <w:r>
        <w:rPr>
          <w:rFonts w:hint="eastAsia" w:ascii="宋体" w:hAnsi="宋体" w:eastAsia="仿宋"/>
          <w:color w:val="auto"/>
          <w:sz w:val="24"/>
          <w:highlight w:val="none"/>
        </w:rPr>
        <w:t>形式见投标人须知前附表规定。</w:t>
      </w:r>
    </w:p>
    <w:p w14:paraId="4948472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（6）投标文件制作的具体方法详见</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中的帮助文档。</w:t>
      </w:r>
    </w:p>
    <w:p w14:paraId="016842D2">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5</w:t>
      </w:r>
      <w:r>
        <w:rPr>
          <w:rFonts w:ascii="宋体" w:hAnsi="宋体" w:eastAsia="仿宋"/>
          <w:color w:val="auto"/>
          <w:sz w:val="24"/>
          <w:highlight w:val="none"/>
        </w:rPr>
        <w:t xml:space="preserve"> </w:t>
      </w:r>
      <w:r>
        <w:rPr>
          <w:rFonts w:hint="eastAsia" w:ascii="宋体" w:hAnsi="宋体" w:eastAsia="仿宋"/>
          <w:color w:val="auto"/>
          <w:sz w:val="24"/>
          <w:highlight w:val="none"/>
        </w:rPr>
        <w:t>因投标人自身原因而导致投标文件无法导入</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电子开标、评标系统，该投标视为无效投标，投标人自行承担由此导致的全部责任。</w:t>
      </w:r>
    </w:p>
    <w:p w14:paraId="59373F07">
      <w:pPr>
        <w:pStyle w:val="3"/>
        <w:rPr>
          <w:rStyle w:val="101"/>
          <w:rFonts w:ascii="宋体" w:hAnsi="宋体" w:eastAsia="仿宋"/>
          <w:b/>
          <w:bCs/>
          <w:color w:val="auto"/>
          <w:sz w:val="24"/>
          <w:szCs w:val="24"/>
          <w:highlight w:val="none"/>
        </w:rPr>
      </w:pPr>
      <w:bookmarkStart w:id="394" w:name="_Toc338943726"/>
      <w:bookmarkStart w:id="395" w:name="_Toc458504842"/>
      <w:bookmarkStart w:id="396" w:name="_Toc455587242"/>
      <w:bookmarkStart w:id="397" w:name="_Toc152045555"/>
      <w:bookmarkStart w:id="398" w:name="_Toc144974523"/>
      <w:bookmarkStart w:id="399" w:name="_Toc342294740"/>
      <w:bookmarkStart w:id="400" w:name="_Toc445554715"/>
      <w:bookmarkStart w:id="401" w:name="_Toc455587058"/>
      <w:bookmarkStart w:id="402" w:name="_Toc371415943"/>
      <w:bookmarkStart w:id="403" w:name="_Toc338944631"/>
      <w:bookmarkStart w:id="404" w:name="_Toc466024524"/>
      <w:bookmarkStart w:id="405" w:name="_Toc179632573"/>
      <w:bookmarkStart w:id="406" w:name="_Toc152042331"/>
      <w:bookmarkStart w:id="407" w:name="_Toc333600709"/>
      <w:bookmarkStart w:id="408" w:name="_Toc333599685"/>
      <w:bookmarkStart w:id="409" w:name="_Toc342296188"/>
      <w:bookmarkStart w:id="410" w:name="_Toc342297645"/>
      <w:r>
        <w:rPr>
          <w:rStyle w:val="101"/>
          <w:rFonts w:hint="eastAsia" w:ascii="宋体" w:hAnsi="宋体" w:eastAsia="仿宋"/>
          <w:b/>
          <w:bCs/>
          <w:color w:val="auto"/>
          <w:sz w:val="24"/>
          <w:szCs w:val="24"/>
          <w:highlight w:val="none"/>
        </w:rPr>
        <w:t>4. 投标</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0EA852EC">
      <w:pPr>
        <w:pStyle w:val="4"/>
        <w:adjustRightInd w:val="0"/>
        <w:ind w:firstLine="482" w:firstLineChars="200"/>
        <w:rPr>
          <w:rFonts w:eastAsia="仿宋"/>
          <w:color w:val="auto"/>
          <w:sz w:val="24"/>
          <w:highlight w:val="none"/>
          <w:lang w:eastAsia="zh-CN"/>
        </w:rPr>
      </w:pPr>
      <w:bookmarkStart w:id="411" w:name="_Toc455587059"/>
      <w:bookmarkStart w:id="412" w:name="_Toc466024525"/>
      <w:bookmarkStart w:id="413" w:name="_Toc144974524"/>
      <w:bookmarkStart w:id="414" w:name="_Toc342296189"/>
      <w:bookmarkStart w:id="415" w:name="_Toc152045556"/>
      <w:bookmarkStart w:id="416" w:name="_Toc342297646"/>
      <w:bookmarkStart w:id="417" w:name="_Toc333587880"/>
      <w:bookmarkStart w:id="418" w:name="_Toc342294741"/>
      <w:bookmarkStart w:id="419" w:name="_Toc455587243"/>
      <w:bookmarkStart w:id="420" w:name="_Toc333600710"/>
      <w:bookmarkStart w:id="421" w:name="_Toc152042332"/>
      <w:bookmarkStart w:id="422" w:name="_Toc458504843"/>
      <w:bookmarkStart w:id="423" w:name="_Toc179632574"/>
      <w:bookmarkStart w:id="424" w:name="_Toc333599686"/>
      <w:bookmarkStart w:id="425" w:name="_Toc371415944"/>
      <w:bookmarkStart w:id="426" w:name="_Toc445554716"/>
      <w:bookmarkStart w:id="427" w:name="_Toc338943727"/>
      <w:bookmarkStart w:id="428" w:name="_Toc338944632"/>
      <w:r>
        <w:rPr>
          <w:rFonts w:hint="eastAsia" w:eastAsia="仿宋"/>
          <w:color w:val="auto"/>
          <w:sz w:val="24"/>
          <w:highlight w:val="none"/>
          <w:lang w:eastAsia="zh-CN"/>
        </w:rPr>
        <w:t>4.1 投标文件的</w:t>
      </w:r>
      <w:r>
        <w:rPr>
          <w:rFonts w:hint="eastAsia" w:eastAsia="仿宋"/>
          <w:color w:val="auto"/>
          <w:sz w:val="24"/>
          <w:highlight w:val="none"/>
          <w:lang w:val="en-US" w:eastAsia="zh-CN"/>
        </w:rPr>
        <w:t>加密</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EC60FD6">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4.1.1</w:t>
      </w:r>
      <w:r>
        <w:rPr>
          <w:rFonts w:hint="eastAsia" w:ascii="宋体" w:hAnsi="宋体" w:eastAsia="仿宋"/>
          <w:color w:val="auto"/>
          <w:sz w:val="24"/>
          <w:highlight w:val="none"/>
        </w:rPr>
        <w:t xml:space="preserve"> </w:t>
      </w:r>
      <w:r>
        <w:rPr>
          <w:rFonts w:ascii="宋体" w:hAnsi="宋体" w:eastAsia="仿宋"/>
          <w:color w:val="auto"/>
          <w:sz w:val="24"/>
          <w:highlight w:val="none"/>
        </w:rPr>
        <w:t>投标人应当按照招标文件和电子交易平台的要求加密投标文件，具体要求见投标人须知前附表。</w:t>
      </w:r>
    </w:p>
    <w:p w14:paraId="559A9C0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4.1.</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 未按照上述要求加密的投标文件，电子交易平台将予以拒收。</w:t>
      </w:r>
    </w:p>
    <w:p w14:paraId="3CF0BACC">
      <w:pPr>
        <w:pStyle w:val="4"/>
        <w:adjustRightInd w:val="0"/>
        <w:ind w:firstLine="482" w:firstLineChars="200"/>
        <w:rPr>
          <w:rFonts w:eastAsia="仿宋"/>
          <w:color w:val="auto"/>
          <w:sz w:val="24"/>
          <w:highlight w:val="none"/>
          <w:lang w:eastAsia="zh-CN"/>
        </w:rPr>
      </w:pPr>
      <w:bookmarkStart w:id="429" w:name="_Toc466024526"/>
      <w:bookmarkStart w:id="430" w:name="_Toc445554717"/>
      <w:bookmarkStart w:id="431" w:name="_Toc455587244"/>
      <w:bookmarkStart w:id="432" w:name="_Toc455587060"/>
      <w:bookmarkStart w:id="433" w:name="_Toc458504844"/>
      <w:bookmarkStart w:id="434" w:name="_Toc371415945"/>
      <w:r>
        <w:rPr>
          <w:rFonts w:hint="eastAsia" w:eastAsia="仿宋"/>
          <w:color w:val="auto"/>
          <w:sz w:val="24"/>
          <w:highlight w:val="none"/>
          <w:lang w:eastAsia="zh-CN"/>
        </w:rPr>
        <w:t>4.2 投标文件的递交</w:t>
      </w:r>
      <w:bookmarkEnd w:id="429"/>
      <w:bookmarkEnd w:id="430"/>
      <w:bookmarkEnd w:id="431"/>
      <w:bookmarkEnd w:id="432"/>
      <w:bookmarkEnd w:id="433"/>
      <w:bookmarkEnd w:id="434"/>
    </w:p>
    <w:p w14:paraId="42D124EB">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4.2.1 </w:t>
      </w:r>
      <w:r>
        <w:rPr>
          <w:rFonts w:eastAsia="仿宋"/>
          <w:color w:val="auto"/>
          <w:sz w:val="24"/>
          <w:highlight w:val="none"/>
        </w:rPr>
        <w:t>投标人应在</w:t>
      </w:r>
      <w:r>
        <w:rPr>
          <w:rFonts w:hint="eastAsia" w:eastAsia="仿宋"/>
          <w:color w:val="auto"/>
          <w:sz w:val="24"/>
          <w:highlight w:val="none"/>
          <w:lang w:val="en-US" w:eastAsia="zh-CN"/>
        </w:rPr>
        <w:t>招标公告规定的</w:t>
      </w:r>
      <w:r>
        <w:rPr>
          <w:rFonts w:eastAsia="仿宋"/>
          <w:color w:val="auto"/>
          <w:sz w:val="24"/>
          <w:highlight w:val="none"/>
        </w:rPr>
        <w:t>投标截止时间前递交投标文件。</w:t>
      </w:r>
    </w:p>
    <w:p w14:paraId="4256113B">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s="Times New Roman"/>
          <w:color w:val="auto"/>
          <w:sz w:val="24"/>
          <w:highlight w:val="none"/>
        </w:rPr>
        <w:t>4.2.2</w:t>
      </w:r>
      <w:r>
        <w:rPr>
          <w:rFonts w:hint="eastAsia" w:eastAsia="仿宋"/>
          <w:color w:val="auto"/>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auto"/>
          <w:sz w:val="24"/>
          <w:highlight w:val="none"/>
        </w:rPr>
        <w:t>“</w:t>
      </w:r>
      <w:r>
        <w:rPr>
          <w:rFonts w:hint="eastAsia" w:eastAsia="仿宋"/>
          <w:color w:val="auto"/>
          <w:sz w:val="24"/>
          <w:highlight w:val="none"/>
        </w:rPr>
        <w:t>电子交易平台</w:t>
      </w:r>
      <w:r>
        <w:rPr>
          <w:rFonts w:eastAsia="仿宋"/>
          <w:color w:val="auto"/>
          <w:sz w:val="24"/>
          <w:highlight w:val="none"/>
        </w:rPr>
        <w:t>”</w:t>
      </w:r>
      <w:r>
        <w:rPr>
          <w:rFonts w:hint="eastAsia" w:eastAsia="仿宋"/>
          <w:color w:val="auto"/>
          <w:sz w:val="24"/>
          <w:highlight w:val="none"/>
        </w:rPr>
        <w:t>）将拒绝接收。详见投标人须知前附表规定。</w:t>
      </w:r>
    </w:p>
    <w:p w14:paraId="0C9A6655">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s="Times New Roman"/>
          <w:color w:val="auto"/>
          <w:sz w:val="24"/>
          <w:highlight w:val="none"/>
        </w:rPr>
        <w:t>4.2.3</w:t>
      </w:r>
      <w:r>
        <w:rPr>
          <w:rFonts w:hint="eastAsia" w:eastAsia="仿宋"/>
          <w:color w:val="auto"/>
          <w:sz w:val="24"/>
          <w:highlight w:val="none"/>
        </w:rPr>
        <w:t xml:space="preserve"> 除投标人须知前附表另有规定外，投标人所递交的投标文件不予退还。</w:t>
      </w:r>
    </w:p>
    <w:p w14:paraId="4E78ED26">
      <w:pPr>
        <w:pStyle w:val="4"/>
        <w:adjustRightInd w:val="0"/>
        <w:ind w:firstLine="482" w:firstLineChars="200"/>
        <w:rPr>
          <w:rFonts w:eastAsia="仿宋"/>
          <w:color w:val="auto"/>
          <w:sz w:val="24"/>
          <w:highlight w:val="none"/>
          <w:lang w:eastAsia="zh-CN"/>
        </w:rPr>
      </w:pPr>
      <w:bookmarkStart w:id="435" w:name="_Toc333587882"/>
      <w:bookmarkStart w:id="436" w:name="_Toc342297648"/>
      <w:bookmarkStart w:id="437" w:name="_Toc152042334"/>
      <w:bookmarkStart w:id="438" w:name="_Toc338944634"/>
      <w:bookmarkStart w:id="439" w:name="_Toc333600712"/>
      <w:bookmarkStart w:id="440" w:name="_Toc179632576"/>
      <w:bookmarkStart w:id="441" w:name="_Toc152045558"/>
      <w:bookmarkStart w:id="442" w:name="_Toc371415946"/>
      <w:bookmarkStart w:id="443" w:name="_Toc333599688"/>
      <w:bookmarkStart w:id="444" w:name="_Toc455587245"/>
      <w:bookmarkStart w:id="445" w:name="_Toc342294743"/>
      <w:bookmarkStart w:id="446" w:name="_Toc144974526"/>
      <w:bookmarkStart w:id="447" w:name="_Toc342296191"/>
      <w:bookmarkStart w:id="448" w:name="_Toc445554718"/>
      <w:bookmarkStart w:id="449" w:name="_Toc466024527"/>
      <w:bookmarkStart w:id="450" w:name="_Toc338943729"/>
      <w:bookmarkStart w:id="451" w:name="_Toc455587061"/>
      <w:bookmarkStart w:id="452" w:name="_Toc458504845"/>
      <w:r>
        <w:rPr>
          <w:rFonts w:hint="eastAsia" w:eastAsia="仿宋"/>
          <w:color w:val="auto"/>
          <w:sz w:val="24"/>
          <w:highlight w:val="none"/>
          <w:lang w:eastAsia="zh-CN"/>
        </w:rPr>
        <w:t>4.3 投标文件的修改与撤回</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8E6A9B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4.3</w:t>
      </w:r>
      <w:r>
        <w:rPr>
          <w:rFonts w:ascii="宋体" w:hAnsi="宋体" w:eastAsia="仿宋"/>
          <w:color w:val="auto"/>
          <w:sz w:val="24"/>
          <w:highlight w:val="none"/>
        </w:rPr>
        <w:t>.1</w:t>
      </w:r>
      <w:r>
        <w:rPr>
          <w:rFonts w:hint="eastAsia" w:ascii="宋体" w:hAnsi="宋体" w:eastAsia="仿宋"/>
          <w:color w:val="auto"/>
          <w:sz w:val="24"/>
          <w:highlight w:val="none"/>
        </w:rPr>
        <w:t xml:space="preserve"> 在规定的投标截止时间前，投标人可以补充、修改或撤回已递交的投标文件，但应以书面形式通知采购人。</w:t>
      </w:r>
    </w:p>
    <w:p w14:paraId="7FC72DD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4.3.2 投标人修改或撤回已递交投标文件的通知，应按照本章第3.7.4项的要求加盖电子印章。电子交易平台收到通知后，即时向投标人发出确认回执通知。</w:t>
      </w:r>
    </w:p>
    <w:p w14:paraId="6601DA6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4.3.3 投标人撤回投标文件的，</w:t>
      </w:r>
      <w:r>
        <w:rPr>
          <w:rFonts w:hint="eastAsia" w:eastAsia="仿宋"/>
          <w:color w:val="auto"/>
          <w:sz w:val="24"/>
          <w:highlight w:val="none"/>
        </w:rPr>
        <w:t>采购</w:t>
      </w:r>
      <w:r>
        <w:rPr>
          <w:rFonts w:hint="eastAsia" w:ascii="宋体" w:hAnsi="宋体" w:eastAsia="仿宋"/>
          <w:color w:val="auto"/>
          <w:sz w:val="24"/>
          <w:highlight w:val="none"/>
        </w:rPr>
        <w:t>人自收到投标人书面撤回通知之日起5日内退还已收取的投标保证金。</w:t>
      </w:r>
    </w:p>
    <w:p w14:paraId="2198EF4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4.3.4 补充、修改的内容为投标文件的组成部分，只需提供一份。补充、修改的投标文件应按照本章第3条、第4条的规定进行编制、</w:t>
      </w:r>
      <w:r>
        <w:rPr>
          <w:rFonts w:hint="eastAsia" w:ascii="宋体" w:hAnsi="宋体" w:eastAsia="仿宋"/>
          <w:color w:val="auto"/>
          <w:sz w:val="24"/>
          <w:highlight w:val="none"/>
          <w:lang w:val="en-US" w:eastAsia="zh-CN"/>
        </w:rPr>
        <w:t>加密</w:t>
      </w:r>
      <w:r>
        <w:rPr>
          <w:rFonts w:hint="eastAsia" w:ascii="宋体" w:hAnsi="宋体" w:eastAsia="仿宋"/>
          <w:color w:val="auto"/>
          <w:sz w:val="24"/>
          <w:highlight w:val="none"/>
        </w:rPr>
        <w:t>、标记和递交，并标明“补充”或“修改”字样。</w:t>
      </w:r>
    </w:p>
    <w:p w14:paraId="489A4E9E">
      <w:pPr>
        <w:pStyle w:val="3"/>
        <w:rPr>
          <w:rStyle w:val="101"/>
          <w:rFonts w:hint="eastAsia" w:ascii="宋体" w:hAnsi="宋体" w:eastAsia="仿宋"/>
          <w:b/>
          <w:bCs/>
          <w:color w:val="auto"/>
          <w:sz w:val="24"/>
          <w:szCs w:val="24"/>
          <w:highlight w:val="none"/>
        </w:rPr>
      </w:pPr>
      <w:bookmarkStart w:id="453" w:name="_Toc338944635"/>
      <w:bookmarkStart w:id="454" w:name="_Toc152042335"/>
      <w:bookmarkStart w:id="455" w:name="_Toc144974527"/>
      <w:bookmarkStart w:id="456" w:name="_Toc152045559"/>
      <w:bookmarkStart w:id="457" w:name="_Toc342296192"/>
      <w:bookmarkStart w:id="458" w:name="_Toc455587246"/>
      <w:bookmarkStart w:id="459" w:name="_Toc445554719"/>
      <w:bookmarkStart w:id="460" w:name="_Toc466024528"/>
      <w:bookmarkStart w:id="461" w:name="_Toc342297649"/>
      <w:bookmarkStart w:id="462" w:name="_Toc333599689"/>
      <w:bookmarkStart w:id="463" w:name="_Toc371415947"/>
      <w:bookmarkStart w:id="464" w:name="_Toc333600713"/>
      <w:bookmarkStart w:id="465" w:name="_Toc342294744"/>
      <w:bookmarkStart w:id="466" w:name="_Toc338943730"/>
      <w:bookmarkStart w:id="467" w:name="_Toc179632577"/>
      <w:bookmarkStart w:id="468" w:name="_Toc455587062"/>
      <w:bookmarkStart w:id="469" w:name="_Toc458504846"/>
      <w:r>
        <w:rPr>
          <w:rStyle w:val="101"/>
          <w:rFonts w:hint="eastAsia" w:ascii="宋体" w:hAnsi="宋体" w:eastAsia="仿宋"/>
          <w:b/>
          <w:bCs/>
          <w:color w:val="auto"/>
          <w:sz w:val="24"/>
          <w:szCs w:val="24"/>
          <w:highlight w:val="none"/>
        </w:rPr>
        <w:t>5. 开标</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989DDC7">
      <w:pPr>
        <w:pStyle w:val="4"/>
        <w:adjustRightInd w:val="0"/>
        <w:ind w:firstLine="482" w:firstLineChars="200"/>
        <w:rPr>
          <w:rFonts w:eastAsia="仿宋"/>
          <w:color w:val="auto"/>
          <w:sz w:val="24"/>
          <w:highlight w:val="none"/>
          <w:lang w:eastAsia="zh-CN"/>
        </w:rPr>
      </w:pPr>
      <w:bookmarkStart w:id="470" w:name="_Toc455587247"/>
      <w:bookmarkStart w:id="471" w:name="_Toc144974528"/>
      <w:bookmarkStart w:id="472" w:name="_Toc342294745"/>
      <w:bookmarkStart w:id="473" w:name="_Toc342296193"/>
      <w:bookmarkStart w:id="474" w:name="_Toc455587063"/>
      <w:bookmarkStart w:id="475" w:name="_Toc338944636"/>
      <w:bookmarkStart w:id="476" w:name="_Toc338943731"/>
      <w:bookmarkStart w:id="477" w:name="_Toc333599690"/>
      <w:bookmarkStart w:id="478" w:name="_Toc445554720"/>
      <w:bookmarkStart w:id="479" w:name="_Toc371415948"/>
      <w:bookmarkStart w:id="480" w:name="_Toc179632578"/>
      <w:bookmarkStart w:id="481" w:name="_Toc333587884"/>
      <w:bookmarkStart w:id="482" w:name="_Toc152042336"/>
      <w:bookmarkStart w:id="483" w:name="_Toc466024529"/>
      <w:bookmarkStart w:id="484" w:name="_Toc333600714"/>
      <w:bookmarkStart w:id="485" w:name="_Toc342297650"/>
      <w:bookmarkStart w:id="486" w:name="_Toc458504847"/>
      <w:bookmarkStart w:id="487" w:name="_Toc152045560"/>
      <w:r>
        <w:rPr>
          <w:rFonts w:hint="eastAsia" w:eastAsia="仿宋"/>
          <w:color w:val="auto"/>
          <w:sz w:val="24"/>
          <w:highlight w:val="none"/>
          <w:lang w:eastAsia="zh-CN"/>
        </w:rPr>
        <w:t xml:space="preserve">5.1 </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hint="eastAsia" w:eastAsia="仿宋"/>
          <w:color w:val="auto"/>
          <w:sz w:val="24"/>
          <w:highlight w:val="none"/>
          <w:lang w:eastAsia="zh-CN"/>
        </w:rPr>
        <w:t>开标时间和地点</w:t>
      </w:r>
    </w:p>
    <w:p w14:paraId="52E12EA8">
      <w:pPr>
        <w:widowControl/>
        <w:adjustRightInd w:val="0"/>
        <w:snapToGrid w:val="0"/>
        <w:spacing w:line="360" w:lineRule="auto"/>
        <w:ind w:firstLine="480" w:firstLineChars="200"/>
        <w:rPr>
          <w:rFonts w:eastAsia="仿宋"/>
          <w:color w:val="auto"/>
          <w:sz w:val="24"/>
          <w:highlight w:val="none"/>
        </w:rPr>
      </w:pPr>
      <w:r>
        <w:rPr>
          <w:rFonts w:hint="eastAsia" w:eastAsia="仿宋"/>
          <w:color w:val="auto"/>
          <w:sz w:val="24"/>
          <w:highlight w:val="none"/>
        </w:rPr>
        <w:t>采购</w:t>
      </w:r>
      <w:r>
        <w:rPr>
          <w:rFonts w:eastAsia="仿宋"/>
          <w:color w:val="auto"/>
          <w:sz w:val="24"/>
          <w:highlight w:val="none"/>
        </w:rPr>
        <w:t>人在</w:t>
      </w:r>
      <w:r>
        <w:rPr>
          <w:rFonts w:hint="eastAsia" w:eastAsia="仿宋"/>
          <w:color w:val="auto"/>
          <w:sz w:val="24"/>
          <w:highlight w:val="none"/>
          <w:lang w:val="en-US" w:eastAsia="zh-CN"/>
        </w:rPr>
        <w:t>招标公告规定的</w:t>
      </w:r>
      <w:r>
        <w:rPr>
          <w:rFonts w:eastAsia="仿宋"/>
          <w:color w:val="auto"/>
          <w:sz w:val="24"/>
          <w:highlight w:val="none"/>
        </w:rPr>
        <w:t>开标时间</w:t>
      </w:r>
      <w:r>
        <w:rPr>
          <w:rFonts w:hint="eastAsia" w:eastAsia="仿宋"/>
          <w:color w:val="auto"/>
          <w:sz w:val="24"/>
          <w:highlight w:val="none"/>
          <w:lang w:val="en-US" w:eastAsia="zh-CN"/>
        </w:rPr>
        <w:t>和开标地点</w:t>
      </w:r>
      <w:r>
        <w:rPr>
          <w:rFonts w:hint="eastAsia" w:eastAsia="仿宋"/>
          <w:color w:val="auto"/>
          <w:sz w:val="24"/>
          <w:highlight w:val="none"/>
        </w:rPr>
        <w:t>，</w:t>
      </w:r>
      <w:r>
        <w:rPr>
          <w:rFonts w:eastAsia="仿宋"/>
          <w:color w:val="auto"/>
          <w:sz w:val="24"/>
          <w:highlight w:val="none"/>
        </w:rPr>
        <w:t>通过电子招标投标交易平台公开开标，所有投标人的法定代表人</w:t>
      </w:r>
      <w:r>
        <w:rPr>
          <w:rFonts w:hint="eastAsia" w:eastAsia="仿宋"/>
          <w:color w:val="auto"/>
          <w:sz w:val="24"/>
          <w:highlight w:val="none"/>
        </w:rPr>
        <w:t>（单位负责人）</w:t>
      </w:r>
      <w:r>
        <w:rPr>
          <w:rFonts w:eastAsia="仿宋"/>
          <w:color w:val="auto"/>
          <w:sz w:val="24"/>
          <w:highlight w:val="none"/>
        </w:rPr>
        <w:t>或其委托代理人应当准时参加。</w:t>
      </w:r>
    </w:p>
    <w:p w14:paraId="4AF2B5F3">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5.2 开标程序</w:t>
      </w:r>
    </w:p>
    <w:p w14:paraId="00D29F2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主持人按下列程序进行开标：</w:t>
      </w:r>
    </w:p>
    <w:p w14:paraId="051566F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）宣布开标纪律；</w:t>
      </w:r>
    </w:p>
    <w:p w14:paraId="3E0E80A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）公布在投标截止时间前递交投标文件的投标人名称；</w:t>
      </w:r>
    </w:p>
    <w:p w14:paraId="1C807D5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）宣布开标人、唱标人、记录人等有关人员姓名；</w:t>
      </w:r>
    </w:p>
    <w:p w14:paraId="5F4B509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hint="eastAsia" w:ascii="宋体" w:hAnsi="宋体" w:eastAsia="仿宋"/>
          <w:color w:val="auto"/>
          <w:sz w:val="24"/>
          <w:highlight w:val="none"/>
          <w:lang w:val="en-US" w:eastAsia="zh-CN"/>
        </w:rPr>
        <w:t>按</w:t>
      </w:r>
      <w:r>
        <w:rPr>
          <w:rFonts w:hint="eastAsia" w:ascii="宋体" w:hAnsi="宋体" w:eastAsia="仿宋"/>
          <w:color w:val="auto"/>
          <w:sz w:val="24"/>
          <w:highlight w:val="none"/>
        </w:rPr>
        <w:t>投标人须知前附表规定通过电子招标投标交易平台对已递交的电子投标文件进行解密，公布招标项目名称、投标人名称、投标报价及其他内容，并记录在案；</w:t>
      </w:r>
    </w:p>
    <w:p w14:paraId="22A8BC6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（5）开标结束。</w:t>
      </w:r>
    </w:p>
    <w:p w14:paraId="48DDBB5C">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5.3 开标疑义</w:t>
      </w:r>
    </w:p>
    <w:p w14:paraId="78DE896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454530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投标人未参加开标的，视同认可开标结果。</w:t>
      </w:r>
    </w:p>
    <w:p w14:paraId="55B3C700">
      <w:pPr>
        <w:pStyle w:val="3"/>
        <w:rPr>
          <w:rStyle w:val="101"/>
          <w:rFonts w:hint="eastAsia" w:ascii="宋体" w:hAnsi="宋体" w:eastAsia="仿宋"/>
          <w:b/>
          <w:bCs/>
          <w:color w:val="auto"/>
          <w:sz w:val="24"/>
          <w:szCs w:val="24"/>
          <w:highlight w:val="none"/>
        </w:rPr>
      </w:pPr>
      <w:bookmarkStart w:id="488" w:name="_Toc342296195"/>
      <w:bookmarkStart w:id="489" w:name="_Toc333600716"/>
      <w:bookmarkStart w:id="490" w:name="_Toc342294747"/>
      <w:bookmarkStart w:id="491" w:name="_Toc338943733"/>
      <w:bookmarkStart w:id="492" w:name="_Toc179632580"/>
      <w:bookmarkStart w:id="493" w:name="_Toc445554723"/>
      <w:bookmarkStart w:id="494" w:name="_Toc144974530"/>
      <w:bookmarkStart w:id="495" w:name="_Toc152045562"/>
      <w:bookmarkStart w:id="496" w:name="_Toc458504849"/>
      <w:bookmarkStart w:id="497" w:name="_Toc455587066"/>
      <w:bookmarkStart w:id="498" w:name="_Toc371415950"/>
      <w:bookmarkStart w:id="499" w:name="_Toc342297652"/>
      <w:bookmarkStart w:id="500" w:name="_Toc455587250"/>
      <w:bookmarkStart w:id="501" w:name="_Toc466024531"/>
      <w:bookmarkStart w:id="502" w:name="_Toc338944638"/>
      <w:bookmarkStart w:id="503" w:name="_Toc152042338"/>
      <w:bookmarkStart w:id="504" w:name="_Toc333599692"/>
      <w:r>
        <w:rPr>
          <w:rStyle w:val="101"/>
          <w:rFonts w:hint="eastAsia" w:ascii="宋体" w:hAnsi="宋体" w:eastAsia="仿宋"/>
          <w:b/>
          <w:bCs/>
          <w:color w:val="auto"/>
          <w:sz w:val="24"/>
          <w:szCs w:val="24"/>
          <w:highlight w:val="none"/>
        </w:rPr>
        <w:t>6. 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D7153A5">
      <w:pPr>
        <w:pStyle w:val="4"/>
        <w:adjustRightInd w:val="0"/>
        <w:ind w:firstLine="482" w:firstLineChars="200"/>
        <w:rPr>
          <w:rFonts w:eastAsia="仿宋"/>
          <w:color w:val="auto"/>
          <w:sz w:val="24"/>
          <w:highlight w:val="none"/>
          <w:lang w:eastAsia="zh-CN"/>
        </w:rPr>
      </w:pPr>
      <w:bookmarkStart w:id="505" w:name="_Toc466024532"/>
      <w:bookmarkStart w:id="506" w:name="_Toc333599693"/>
      <w:bookmarkStart w:id="507" w:name="_Toc333587887"/>
      <w:bookmarkStart w:id="508" w:name="_Toc371415951"/>
      <w:bookmarkStart w:id="509" w:name="_Toc179632581"/>
      <w:bookmarkStart w:id="510" w:name="_Toc458504850"/>
      <w:bookmarkStart w:id="511" w:name="_Toc455587251"/>
      <w:bookmarkStart w:id="512" w:name="_Toc342296196"/>
      <w:bookmarkStart w:id="513" w:name="_Toc455587067"/>
      <w:bookmarkStart w:id="514" w:name="_Toc338944639"/>
      <w:bookmarkStart w:id="515" w:name="_Toc445554724"/>
      <w:bookmarkStart w:id="516" w:name="_Toc333600717"/>
      <w:bookmarkStart w:id="517" w:name="_Toc342297653"/>
      <w:bookmarkStart w:id="518" w:name="_Toc144974531"/>
      <w:bookmarkStart w:id="519" w:name="_Toc152042339"/>
      <w:bookmarkStart w:id="520" w:name="_Toc152045563"/>
      <w:bookmarkStart w:id="521" w:name="_Toc342294748"/>
      <w:bookmarkStart w:id="522" w:name="_Toc338943734"/>
      <w:r>
        <w:rPr>
          <w:rFonts w:hint="eastAsia" w:eastAsia="仿宋"/>
          <w:color w:val="auto"/>
          <w:sz w:val="24"/>
          <w:highlight w:val="none"/>
          <w:lang w:eastAsia="zh-CN"/>
        </w:rPr>
        <w:t>6.1 评标委员会</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934F20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6.1</w:t>
      </w:r>
      <w:r>
        <w:rPr>
          <w:rFonts w:ascii="宋体" w:hAnsi="宋体" w:eastAsia="仿宋"/>
          <w:color w:val="auto"/>
          <w:sz w:val="24"/>
          <w:highlight w:val="none"/>
        </w:rPr>
        <w:t>.1</w:t>
      </w:r>
      <w:r>
        <w:rPr>
          <w:rFonts w:hint="eastAsia" w:ascii="宋体" w:hAnsi="宋体" w:eastAsia="仿宋"/>
          <w:color w:val="auto"/>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auto"/>
          <w:kern w:val="2"/>
          <w:sz w:val="24"/>
          <w:szCs w:val="24"/>
          <w:highlight w:val="none"/>
          <w:lang w:val="en-US" w:eastAsia="zh-CN" w:bidi="ar"/>
        </w:rPr>
        <w:t>评标委员会</w:t>
      </w:r>
      <w:r>
        <w:rPr>
          <w:rFonts w:hint="eastAsia" w:ascii="宋体" w:hAnsi="宋体" w:eastAsia="仿宋"/>
          <w:color w:val="auto"/>
          <w:sz w:val="24"/>
          <w:highlight w:val="none"/>
        </w:rPr>
        <w:t>成员人数应当为5人以上单</w:t>
      </w:r>
      <w:r>
        <w:rPr>
          <w:rFonts w:hint="eastAsia" w:ascii="宋体" w:hAnsi="宋体" w:eastAsia="仿宋" w:cs="Times New Roman"/>
          <w:color w:val="auto"/>
          <w:sz w:val="24"/>
          <w:highlight w:val="none"/>
        </w:rPr>
        <w:t>数</w:t>
      </w:r>
      <w:r>
        <w:rPr>
          <w:rFonts w:hint="eastAsia" w:ascii="宋体" w:hAnsi="宋体" w:eastAsia="仿宋" w:cs="Times New Roman"/>
          <w:color w:val="auto"/>
          <w:sz w:val="24"/>
          <w:highlight w:val="none"/>
          <w:lang w:eastAsia="zh-CN"/>
        </w:rPr>
        <w:t>，</w:t>
      </w:r>
      <w:r>
        <w:rPr>
          <w:rFonts w:hint="eastAsia" w:ascii="宋体" w:hAnsi="宋体" w:eastAsia="仿宋" w:cs="Times New Roman"/>
          <w:i w:val="0"/>
          <w:iCs w:val="0"/>
          <w:color w:val="auto"/>
          <w:kern w:val="2"/>
          <w:sz w:val="24"/>
          <w:szCs w:val="24"/>
          <w:highlight w:val="none"/>
          <w:u w:val="none"/>
          <w:lang w:val="en-US" w:eastAsia="zh-CN" w:bidi="ar"/>
        </w:rPr>
        <w:t>其中采购预算金额在1000万元以上或者技术复杂或者社会影响较大的项目，评标委员会成员人数应当为7人以上单数。</w:t>
      </w:r>
    </w:p>
    <w:p w14:paraId="5581532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6.1</w:t>
      </w:r>
      <w:r>
        <w:rPr>
          <w:rFonts w:ascii="宋体" w:hAnsi="宋体" w:eastAsia="仿宋"/>
          <w:color w:val="auto"/>
          <w:sz w:val="24"/>
          <w:highlight w:val="none"/>
        </w:rPr>
        <w:t>.2</w:t>
      </w:r>
      <w:r>
        <w:rPr>
          <w:rFonts w:hint="eastAsia" w:ascii="宋体" w:hAnsi="宋体" w:eastAsia="仿宋"/>
          <w:color w:val="auto"/>
          <w:sz w:val="24"/>
          <w:highlight w:val="none"/>
        </w:rPr>
        <w:t xml:space="preserve"> 评标委员会成员有下列情形之一的，应当回避：</w:t>
      </w:r>
    </w:p>
    <w:p w14:paraId="3B73036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（1）参加采购活动前三年内，与投标人存在劳动关系，或者担任过投标人的董事、监事，或者是投标人的控股股东或实际控制人；</w:t>
      </w:r>
    </w:p>
    <w:p w14:paraId="6440509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（2）与投标人的法定代表人或者负责人有夫妻、直系血亲、三代以内旁系血亲或者近姻亲关系；</w:t>
      </w:r>
    </w:p>
    <w:p w14:paraId="75AF5B3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（3）参与本项目进口产品论证的专家；</w:t>
      </w:r>
    </w:p>
    <w:p w14:paraId="3E6CA10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（4）与投标人有其他可能影响政府采购活动公平、公正进行的关系。</w:t>
      </w:r>
    </w:p>
    <w:p w14:paraId="5254C4AB">
      <w:pPr>
        <w:widowControl/>
        <w:topLinePunct/>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1C7521A1">
      <w:pPr>
        <w:pStyle w:val="4"/>
        <w:adjustRightInd w:val="0"/>
        <w:ind w:firstLine="482" w:firstLineChars="200"/>
        <w:rPr>
          <w:rFonts w:hint="eastAsia" w:eastAsia="楷体_GB2312"/>
          <w:i/>
          <w:color w:val="auto"/>
          <w:sz w:val="24"/>
          <w:highlight w:val="none"/>
          <w:lang w:eastAsia="zh-CN"/>
        </w:rPr>
      </w:pPr>
      <w:bookmarkStart w:id="523" w:name="_Toc338943735"/>
      <w:bookmarkStart w:id="524" w:name="_Toc445554725"/>
      <w:bookmarkStart w:id="525" w:name="_Toc455587252"/>
      <w:bookmarkStart w:id="526" w:name="_Toc466024533"/>
      <w:bookmarkStart w:id="527" w:name="_Toc152042340"/>
      <w:bookmarkStart w:id="528" w:name="_Toc333587888"/>
      <w:bookmarkStart w:id="529" w:name="_Toc458504851"/>
      <w:bookmarkStart w:id="530" w:name="_Toc338944640"/>
      <w:bookmarkStart w:id="531" w:name="_Toc455587068"/>
      <w:bookmarkStart w:id="532" w:name="_Toc342296197"/>
      <w:bookmarkStart w:id="533" w:name="_Toc179632582"/>
      <w:bookmarkStart w:id="534" w:name="_Toc333600718"/>
      <w:bookmarkStart w:id="535" w:name="_Toc144974532"/>
      <w:bookmarkStart w:id="536" w:name="_Toc371415952"/>
      <w:bookmarkStart w:id="537" w:name="_Toc342294749"/>
      <w:bookmarkStart w:id="538" w:name="_Toc342297654"/>
      <w:bookmarkStart w:id="539" w:name="_Toc152045564"/>
      <w:bookmarkStart w:id="540" w:name="_Toc333599694"/>
      <w:r>
        <w:rPr>
          <w:rFonts w:hint="eastAsia" w:eastAsia="仿宋"/>
          <w:color w:val="auto"/>
          <w:sz w:val="24"/>
          <w:highlight w:val="none"/>
          <w:lang w:eastAsia="zh-CN"/>
        </w:rPr>
        <w:t>6.2 评标原则</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6658E4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评标委员会应该按照客观、公正、审慎的原则，根据招标文件规定的评审程序、评审方法和评审标准进行独立评审。</w:t>
      </w:r>
    </w:p>
    <w:p w14:paraId="0E682763">
      <w:pPr>
        <w:pStyle w:val="4"/>
        <w:adjustRightInd w:val="0"/>
        <w:ind w:firstLine="482" w:firstLineChars="200"/>
        <w:rPr>
          <w:rFonts w:eastAsia="仿宋"/>
          <w:color w:val="auto"/>
          <w:sz w:val="24"/>
          <w:highlight w:val="none"/>
          <w:lang w:eastAsia="zh-CN"/>
        </w:rPr>
      </w:pPr>
      <w:bookmarkStart w:id="541" w:name="_Toc458504852"/>
      <w:bookmarkStart w:id="542" w:name="_Toc342297655"/>
      <w:bookmarkStart w:id="543" w:name="_Toc342296198"/>
      <w:bookmarkStart w:id="544" w:name="_Toc144974533"/>
      <w:bookmarkStart w:id="545" w:name="_Toc466024534"/>
      <w:bookmarkStart w:id="546" w:name="_Toc338943736"/>
      <w:bookmarkStart w:id="547" w:name="_Toc342294750"/>
      <w:bookmarkStart w:id="548" w:name="_Toc338944641"/>
      <w:bookmarkStart w:id="549" w:name="_Toc152045565"/>
      <w:bookmarkStart w:id="550" w:name="_Toc179632583"/>
      <w:bookmarkStart w:id="551" w:name="_Toc152042341"/>
      <w:bookmarkStart w:id="552" w:name="_Toc333599695"/>
      <w:bookmarkStart w:id="553" w:name="_Toc371415953"/>
      <w:bookmarkStart w:id="554" w:name="_Toc333587889"/>
      <w:bookmarkStart w:id="555" w:name="_Toc455587069"/>
      <w:bookmarkStart w:id="556" w:name="_Toc333600719"/>
      <w:bookmarkStart w:id="557" w:name="_Toc455587253"/>
      <w:bookmarkStart w:id="558" w:name="_Toc445554726"/>
      <w:r>
        <w:rPr>
          <w:rFonts w:hint="eastAsia" w:eastAsia="仿宋"/>
          <w:color w:val="auto"/>
          <w:sz w:val="24"/>
          <w:highlight w:val="none"/>
          <w:lang w:eastAsia="zh-CN"/>
        </w:rPr>
        <w:t>6.3 评标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57116BF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59" w:name="_Toc338944642"/>
      <w:bookmarkStart w:id="560" w:name="_Toc333600720"/>
      <w:bookmarkStart w:id="561" w:name="_Toc179632584"/>
      <w:bookmarkStart w:id="562" w:name="_Toc342294751"/>
      <w:bookmarkStart w:id="563" w:name="_Toc333599696"/>
      <w:bookmarkStart w:id="564" w:name="_Toc152045566"/>
      <w:bookmarkStart w:id="565" w:name="_Toc338943737"/>
      <w:bookmarkStart w:id="566" w:name="_Toc342297656"/>
      <w:bookmarkStart w:id="567" w:name="_Toc152042342"/>
      <w:bookmarkStart w:id="568" w:name="_Toc342296199"/>
      <w:bookmarkStart w:id="569" w:name="_Toc144974534"/>
    </w:p>
    <w:p w14:paraId="7718AA3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6.3.2 </w:t>
      </w:r>
      <w:r>
        <w:rPr>
          <w:rFonts w:ascii="宋体" w:hAnsi="宋体" w:eastAsia="仿宋"/>
          <w:color w:val="auto"/>
          <w:sz w:val="24"/>
          <w:highlight w:val="none"/>
        </w:rPr>
        <w:t>评标完成后，评标委员会应当向</w:t>
      </w:r>
      <w:r>
        <w:rPr>
          <w:rFonts w:hint="eastAsia" w:eastAsia="仿宋"/>
          <w:color w:val="auto"/>
          <w:sz w:val="24"/>
          <w:highlight w:val="none"/>
        </w:rPr>
        <w:t>采购</w:t>
      </w:r>
      <w:r>
        <w:rPr>
          <w:rFonts w:ascii="宋体" w:hAnsi="宋体" w:eastAsia="仿宋"/>
          <w:color w:val="auto"/>
          <w:sz w:val="24"/>
          <w:highlight w:val="none"/>
        </w:rPr>
        <w:t>人提交书面评标报告和中标候选人名单。评标委员会推荐中标</w:t>
      </w:r>
      <w:bookmarkStart w:id="570" w:name="_Toc361508615"/>
      <w:bookmarkStart w:id="571" w:name="_Toc247513982"/>
      <w:bookmarkStart w:id="572" w:name="_Toc352691502"/>
      <w:bookmarkStart w:id="573" w:name="_Toc369531546"/>
      <w:bookmarkStart w:id="574" w:name="_Toc247527583"/>
      <w:bookmarkStart w:id="575" w:name="_Toc300834979"/>
      <w:bookmarkStart w:id="576" w:name="_Toc12259"/>
      <w:bookmarkStart w:id="577" w:name="_Toc384308240"/>
      <w:r>
        <w:rPr>
          <w:rFonts w:ascii="宋体" w:hAnsi="宋体" w:eastAsia="仿宋"/>
          <w:color w:val="auto"/>
          <w:sz w:val="24"/>
          <w:highlight w:val="none"/>
        </w:rPr>
        <w:t>候选人的人数见投标人须知前附</w:t>
      </w:r>
      <w:bookmarkEnd w:id="570"/>
      <w:bookmarkEnd w:id="571"/>
      <w:bookmarkEnd w:id="572"/>
      <w:bookmarkEnd w:id="573"/>
      <w:bookmarkEnd w:id="574"/>
      <w:bookmarkEnd w:id="575"/>
      <w:bookmarkEnd w:id="576"/>
      <w:bookmarkEnd w:id="577"/>
      <w:r>
        <w:rPr>
          <w:rFonts w:ascii="宋体" w:hAnsi="宋体" w:eastAsia="仿宋"/>
          <w:color w:val="auto"/>
          <w:sz w:val="24"/>
          <w:highlight w:val="none"/>
        </w:rPr>
        <w:t>表。</w:t>
      </w:r>
    </w:p>
    <w:p w14:paraId="73EE40D0">
      <w:pPr>
        <w:pStyle w:val="3"/>
        <w:rPr>
          <w:rStyle w:val="101"/>
          <w:rFonts w:hint="eastAsia" w:ascii="宋体" w:hAnsi="宋体" w:eastAsia="仿宋"/>
          <w:b/>
          <w:bCs/>
          <w:color w:val="auto"/>
          <w:sz w:val="24"/>
          <w:szCs w:val="24"/>
          <w:highlight w:val="none"/>
        </w:rPr>
      </w:pPr>
      <w:bookmarkStart w:id="578" w:name="_Toc455587254"/>
      <w:bookmarkStart w:id="579" w:name="_Toc458504853"/>
      <w:bookmarkStart w:id="580" w:name="_Toc466024535"/>
      <w:bookmarkStart w:id="581" w:name="_Toc445554727"/>
      <w:bookmarkStart w:id="582" w:name="_Toc455587070"/>
      <w:bookmarkStart w:id="583" w:name="_Toc371415954"/>
      <w:r>
        <w:rPr>
          <w:rStyle w:val="101"/>
          <w:rFonts w:hint="eastAsia" w:ascii="宋体" w:hAnsi="宋体" w:eastAsia="仿宋"/>
          <w:b/>
          <w:bCs/>
          <w:color w:val="auto"/>
          <w:sz w:val="24"/>
          <w:szCs w:val="24"/>
          <w:highlight w:val="none"/>
        </w:rPr>
        <w:t>7. 合同授予</w:t>
      </w:r>
      <w:bookmarkEnd w:id="559"/>
      <w:bookmarkEnd w:id="560"/>
      <w:bookmarkEnd w:id="561"/>
      <w:bookmarkEnd w:id="562"/>
      <w:bookmarkEnd w:id="563"/>
      <w:bookmarkEnd w:id="564"/>
      <w:bookmarkEnd w:id="565"/>
      <w:bookmarkEnd w:id="566"/>
      <w:bookmarkEnd w:id="567"/>
      <w:bookmarkEnd w:id="568"/>
      <w:bookmarkEnd w:id="569"/>
      <w:bookmarkEnd w:id="578"/>
      <w:bookmarkEnd w:id="579"/>
      <w:bookmarkEnd w:id="580"/>
      <w:bookmarkEnd w:id="581"/>
      <w:bookmarkEnd w:id="582"/>
      <w:bookmarkEnd w:id="583"/>
    </w:p>
    <w:p w14:paraId="7257D9DF">
      <w:pPr>
        <w:pStyle w:val="4"/>
        <w:adjustRightInd w:val="0"/>
        <w:ind w:firstLine="482" w:firstLineChars="200"/>
        <w:rPr>
          <w:rFonts w:eastAsia="仿宋"/>
          <w:color w:val="auto"/>
          <w:sz w:val="24"/>
          <w:highlight w:val="none"/>
          <w:lang w:eastAsia="zh-CN"/>
        </w:rPr>
      </w:pPr>
      <w:bookmarkStart w:id="584" w:name="_Toc466024536"/>
      <w:bookmarkStart w:id="585" w:name="_Toc458504854"/>
      <w:bookmarkStart w:id="586" w:name="_Toc371415955"/>
      <w:bookmarkStart w:id="587" w:name="_Toc362252685"/>
      <w:bookmarkStart w:id="588" w:name="_Toc349730879"/>
      <w:bookmarkStart w:id="589" w:name="_Toc455587255"/>
      <w:bookmarkStart w:id="590" w:name="_Toc445554728"/>
      <w:bookmarkStart w:id="591" w:name="_Toc455587071"/>
      <w:bookmarkStart w:id="592" w:name="_Toc333599697"/>
      <w:bookmarkStart w:id="593" w:name="_Toc152042343"/>
      <w:bookmarkStart w:id="594" w:name="_Toc342296200"/>
      <w:bookmarkStart w:id="595" w:name="_Toc342294752"/>
      <w:bookmarkStart w:id="596" w:name="_Toc342297657"/>
      <w:bookmarkStart w:id="597" w:name="_Toc179632585"/>
      <w:bookmarkStart w:id="598" w:name="_Toc333600721"/>
      <w:bookmarkStart w:id="599" w:name="_Toc152045567"/>
      <w:bookmarkStart w:id="600" w:name="_Toc333587891"/>
      <w:bookmarkStart w:id="601" w:name="_Toc338943738"/>
      <w:bookmarkStart w:id="602" w:name="_Toc144974535"/>
      <w:bookmarkStart w:id="603" w:name="_Toc338944643"/>
      <w:r>
        <w:rPr>
          <w:rFonts w:hint="eastAsia" w:eastAsia="仿宋"/>
          <w:color w:val="auto"/>
          <w:sz w:val="24"/>
          <w:highlight w:val="none"/>
          <w:lang w:eastAsia="zh-CN"/>
        </w:rPr>
        <w:t>7.1</w:t>
      </w:r>
      <w:bookmarkEnd w:id="584"/>
      <w:bookmarkEnd w:id="585"/>
      <w:bookmarkEnd w:id="586"/>
      <w:bookmarkEnd w:id="587"/>
      <w:bookmarkEnd w:id="588"/>
      <w:bookmarkEnd w:id="589"/>
      <w:bookmarkEnd w:id="590"/>
      <w:bookmarkEnd w:id="591"/>
      <w:r>
        <w:rPr>
          <w:rFonts w:hint="eastAsia" w:eastAsia="仿宋"/>
          <w:color w:val="auto"/>
          <w:sz w:val="24"/>
          <w:highlight w:val="none"/>
          <w:lang w:eastAsia="zh-CN"/>
        </w:rPr>
        <w:t xml:space="preserve"> 确定中标人</w:t>
      </w:r>
    </w:p>
    <w:p w14:paraId="39FA016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7.1.1 按照投标人须知前附表规定，采购人或采购人</w:t>
      </w:r>
      <w:r>
        <w:rPr>
          <w:rFonts w:hint="eastAsia" w:ascii="宋体" w:hAnsi="宋体" w:eastAsia="仿宋"/>
          <w:color w:val="auto"/>
          <w:sz w:val="24"/>
          <w:highlight w:val="none"/>
          <w:lang w:val="en-US" w:eastAsia="zh-CN"/>
        </w:rPr>
        <w:t>授权评标委员会</w:t>
      </w:r>
      <w:r>
        <w:rPr>
          <w:rFonts w:hint="eastAsia" w:ascii="宋体" w:hAnsi="宋体" w:eastAsia="仿宋" w:cs="宋体"/>
          <w:color w:val="auto"/>
          <w:kern w:val="0"/>
          <w:sz w:val="24"/>
          <w:highlight w:val="none"/>
        </w:rPr>
        <w:t>在评标报告确定的中标候选人名单中按顺序确定中标人。</w:t>
      </w:r>
    </w:p>
    <w:p w14:paraId="3CB5758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7.1.2 采购人确定中标人后，按投标人须知前附表规定的</w:t>
      </w:r>
      <w:r>
        <w:rPr>
          <w:rFonts w:hint="eastAsia" w:ascii="宋体" w:hAnsi="宋体" w:eastAsia="仿宋"/>
          <w:color w:val="auto"/>
          <w:sz w:val="24"/>
          <w:highlight w:val="none"/>
          <w:lang w:val="en-US" w:eastAsia="zh-CN"/>
        </w:rPr>
        <w:t>方式与内容</w:t>
      </w:r>
      <w:r>
        <w:rPr>
          <w:rFonts w:hint="eastAsia" w:ascii="宋体" w:hAnsi="宋体" w:eastAsia="仿宋"/>
          <w:color w:val="auto"/>
          <w:sz w:val="24"/>
          <w:highlight w:val="none"/>
        </w:rPr>
        <w:t>公告中标结果。</w:t>
      </w:r>
    </w:p>
    <w:p w14:paraId="13515B48">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7.2</w:t>
      </w:r>
      <w:bookmarkStart w:id="604" w:name="_Toc455587072"/>
      <w:bookmarkStart w:id="605" w:name="_Toc371415957"/>
      <w:bookmarkStart w:id="606" w:name="_Toc445554730"/>
      <w:bookmarkStart w:id="607" w:name="_Toc362252686"/>
      <w:bookmarkStart w:id="608" w:name="_Toc466024537"/>
      <w:bookmarkStart w:id="609" w:name="_Toc458504855"/>
      <w:bookmarkStart w:id="610" w:name="_Toc455587256"/>
      <w:bookmarkStart w:id="611" w:name="_Toc349730880"/>
      <w:r>
        <w:rPr>
          <w:rFonts w:hint="eastAsia" w:eastAsia="仿宋"/>
          <w:color w:val="auto"/>
          <w:sz w:val="24"/>
          <w:highlight w:val="none"/>
          <w:lang w:eastAsia="zh-CN"/>
        </w:rPr>
        <w:t xml:space="preserve"> 中标通知</w:t>
      </w:r>
      <w:bookmarkEnd w:id="604"/>
      <w:bookmarkEnd w:id="605"/>
      <w:bookmarkEnd w:id="606"/>
      <w:bookmarkEnd w:id="607"/>
      <w:bookmarkEnd w:id="608"/>
      <w:bookmarkEnd w:id="609"/>
      <w:bookmarkEnd w:id="610"/>
      <w:bookmarkEnd w:id="611"/>
    </w:p>
    <w:p w14:paraId="0E92D83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.1 中标结果确定后，采购人以书面形式向中标人发出中标通知书。</w:t>
      </w:r>
    </w:p>
    <w:p w14:paraId="648DF26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.2 中标人须按投标人须知前附表规定向采购代理机构支付招标代理服务费，其计取标准见投标人须知前附表。</w:t>
      </w:r>
    </w:p>
    <w:p w14:paraId="23D0A304">
      <w:pPr>
        <w:pStyle w:val="4"/>
        <w:adjustRightInd w:val="0"/>
        <w:ind w:firstLine="482" w:firstLineChars="200"/>
        <w:rPr>
          <w:rFonts w:eastAsia="仿宋"/>
          <w:color w:val="auto"/>
          <w:sz w:val="24"/>
          <w:highlight w:val="none"/>
          <w:lang w:eastAsia="zh-CN"/>
        </w:rPr>
      </w:pPr>
      <w:bookmarkStart w:id="612" w:name="_Toc455587257"/>
      <w:bookmarkStart w:id="613" w:name="_Toc445554731"/>
      <w:bookmarkStart w:id="614" w:name="_Toc362252687"/>
      <w:bookmarkStart w:id="615" w:name="_Toc349730881"/>
      <w:bookmarkStart w:id="616" w:name="_Toc466024538"/>
      <w:bookmarkStart w:id="617" w:name="_Toc455587073"/>
      <w:bookmarkStart w:id="618" w:name="_Toc371415958"/>
      <w:bookmarkStart w:id="619" w:name="_Toc458504856"/>
      <w:r>
        <w:rPr>
          <w:rFonts w:hint="eastAsia" w:eastAsia="仿宋"/>
          <w:color w:val="auto"/>
          <w:sz w:val="24"/>
          <w:highlight w:val="none"/>
          <w:lang w:eastAsia="zh-CN"/>
        </w:rPr>
        <w:t>7.</w:t>
      </w:r>
      <w:r>
        <w:rPr>
          <w:rFonts w:hint="eastAsia" w:eastAsia="仿宋"/>
          <w:color w:val="auto"/>
          <w:sz w:val="24"/>
          <w:highlight w:val="none"/>
          <w:lang w:val="en-US" w:eastAsia="zh-CN"/>
        </w:rPr>
        <w:t>3</w:t>
      </w:r>
      <w:r>
        <w:rPr>
          <w:rFonts w:hint="eastAsia" w:eastAsia="仿宋"/>
          <w:color w:val="auto"/>
          <w:sz w:val="24"/>
          <w:highlight w:val="none"/>
          <w:lang w:eastAsia="zh-CN"/>
        </w:rPr>
        <w:t xml:space="preserve"> 履约</w:t>
      </w:r>
      <w:bookmarkEnd w:id="612"/>
      <w:bookmarkEnd w:id="613"/>
      <w:bookmarkEnd w:id="614"/>
      <w:bookmarkEnd w:id="615"/>
      <w:bookmarkEnd w:id="616"/>
      <w:bookmarkEnd w:id="617"/>
      <w:bookmarkEnd w:id="618"/>
      <w:bookmarkEnd w:id="619"/>
      <w:r>
        <w:rPr>
          <w:rFonts w:hint="eastAsia" w:eastAsia="仿宋"/>
          <w:color w:val="auto"/>
          <w:sz w:val="24"/>
          <w:highlight w:val="none"/>
          <w:lang w:eastAsia="zh-CN"/>
        </w:rPr>
        <w:t>保证金</w:t>
      </w:r>
    </w:p>
    <w:p w14:paraId="3AAE336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3</w:t>
      </w:r>
      <w:r>
        <w:rPr>
          <w:rFonts w:ascii="宋体" w:hAnsi="宋体" w:eastAsia="仿宋"/>
          <w:color w:val="auto"/>
          <w:sz w:val="24"/>
          <w:highlight w:val="none"/>
        </w:rPr>
        <w:t>.1</w:t>
      </w:r>
      <w:r>
        <w:rPr>
          <w:rFonts w:hint="eastAsia" w:ascii="宋体" w:hAnsi="宋体" w:eastAsia="仿宋"/>
          <w:color w:val="auto"/>
          <w:sz w:val="24"/>
          <w:highlight w:val="none"/>
        </w:rPr>
        <w:t xml:space="preserve"> 在签订合同前，中标人应按投标人须知前附表规定的金额、形式向采购人提交履约保证金。</w:t>
      </w:r>
      <w:r>
        <w:rPr>
          <w:rFonts w:eastAsia="仿宋"/>
          <w:color w:val="auto"/>
          <w:sz w:val="24"/>
          <w:highlight w:val="none"/>
        </w:rPr>
        <w:t>除投标人须知前附表另有规定外，履约保证金为中标合同金额的</w:t>
      </w:r>
      <w:r>
        <w:rPr>
          <w:rFonts w:hint="eastAsia" w:eastAsia="仿宋"/>
          <w:color w:val="auto"/>
          <w:sz w:val="24"/>
          <w:highlight w:val="none"/>
          <w:lang w:val="en-US" w:eastAsia="zh-CN"/>
        </w:rPr>
        <w:t>10</w:t>
      </w:r>
      <w:r>
        <w:rPr>
          <w:rFonts w:eastAsia="仿宋"/>
          <w:color w:val="auto"/>
          <w:sz w:val="24"/>
          <w:highlight w:val="none"/>
        </w:rPr>
        <w:t>%。联合体中标的，其履约保证金以联合体各方或者联合体中牵头人的名义提交。</w:t>
      </w:r>
    </w:p>
    <w:p w14:paraId="75E24A4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3</w:t>
      </w:r>
      <w:r>
        <w:rPr>
          <w:rFonts w:ascii="宋体" w:hAnsi="宋体" w:eastAsia="仿宋"/>
          <w:color w:val="auto"/>
          <w:sz w:val="24"/>
          <w:highlight w:val="none"/>
        </w:rPr>
        <w:t>.2</w:t>
      </w:r>
      <w:r>
        <w:rPr>
          <w:rFonts w:hint="eastAsia" w:ascii="宋体" w:hAnsi="宋体" w:eastAsia="仿宋"/>
          <w:color w:val="auto"/>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7222F4F9">
      <w:pPr>
        <w:pStyle w:val="4"/>
        <w:adjustRightInd w:val="0"/>
        <w:ind w:firstLine="482" w:firstLineChars="200"/>
        <w:rPr>
          <w:rFonts w:eastAsia="仿宋"/>
          <w:color w:val="auto"/>
          <w:sz w:val="24"/>
          <w:highlight w:val="none"/>
          <w:lang w:eastAsia="zh-CN"/>
        </w:rPr>
      </w:pPr>
      <w:bookmarkStart w:id="620" w:name="_Toc333587894"/>
      <w:bookmarkStart w:id="621" w:name="_Toc458504857"/>
      <w:bookmarkStart w:id="622" w:name="_Toc455587258"/>
      <w:bookmarkStart w:id="623" w:name="_Toc333600724"/>
      <w:bookmarkStart w:id="624" w:name="_Toc371415959"/>
      <w:bookmarkStart w:id="625" w:name="_Toc333599700"/>
      <w:bookmarkStart w:id="626" w:name="_Toc342294755"/>
      <w:bookmarkStart w:id="627" w:name="_Toc362252688"/>
      <w:bookmarkStart w:id="628" w:name="_Toc455587074"/>
      <w:bookmarkStart w:id="629" w:name="_Toc338943741"/>
      <w:bookmarkStart w:id="630" w:name="_Toc179632588"/>
      <w:bookmarkStart w:id="631" w:name="_Toc349730882"/>
      <w:bookmarkStart w:id="632" w:name="_Toc338944646"/>
      <w:bookmarkStart w:id="633" w:name="_Toc445554732"/>
      <w:bookmarkStart w:id="634" w:name="_Toc342296203"/>
      <w:bookmarkStart w:id="635" w:name="_Toc466024539"/>
      <w:r>
        <w:rPr>
          <w:rFonts w:hint="eastAsia" w:eastAsia="仿宋"/>
          <w:color w:val="auto"/>
          <w:sz w:val="24"/>
          <w:highlight w:val="none"/>
          <w:lang w:eastAsia="zh-CN"/>
        </w:rPr>
        <w:t>7.</w:t>
      </w:r>
      <w:r>
        <w:rPr>
          <w:rFonts w:hint="eastAsia" w:eastAsia="仿宋"/>
          <w:color w:val="auto"/>
          <w:sz w:val="24"/>
          <w:highlight w:val="none"/>
          <w:lang w:val="en-US" w:eastAsia="zh-CN"/>
        </w:rPr>
        <w:t>4</w:t>
      </w:r>
      <w:r>
        <w:rPr>
          <w:rFonts w:hint="eastAsia" w:eastAsia="仿宋"/>
          <w:color w:val="auto"/>
          <w:sz w:val="24"/>
          <w:highlight w:val="none"/>
          <w:lang w:eastAsia="zh-CN"/>
        </w:rPr>
        <w:t xml:space="preserve"> 签订合同</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3F8D63C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4</w:t>
      </w:r>
      <w:r>
        <w:rPr>
          <w:rFonts w:ascii="宋体" w:hAnsi="宋体" w:eastAsia="仿宋"/>
          <w:color w:val="auto"/>
          <w:sz w:val="24"/>
          <w:highlight w:val="none"/>
        </w:rPr>
        <w:t>.1</w:t>
      </w:r>
      <w:r>
        <w:rPr>
          <w:rFonts w:hint="eastAsia" w:ascii="宋体" w:hAnsi="宋体" w:eastAsia="仿宋"/>
          <w:color w:val="auto"/>
          <w:sz w:val="24"/>
          <w:highlight w:val="none"/>
        </w:rPr>
        <w:t xml:space="preserve"> 除投标人须知前附表另有规定外，</w:t>
      </w:r>
      <w:r>
        <w:rPr>
          <w:rFonts w:eastAsia="仿宋"/>
          <w:color w:val="auto"/>
          <w:sz w:val="24"/>
          <w:highlight w:val="none"/>
        </w:rPr>
        <w:t>采购人和中标人应当在中标通知书发出之日起</w:t>
      </w:r>
      <w:r>
        <w:rPr>
          <w:rFonts w:hint="eastAsia" w:eastAsia="仿宋"/>
          <w:color w:val="auto"/>
          <w:sz w:val="24"/>
          <w:highlight w:val="none"/>
          <w:lang w:val="en-US" w:eastAsia="zh-CN"/>
        </w:rPr>
        <w:t>三十日内</w:t>
      </w:r>
      <w:r>
        <w:rPr>
          <w:rFonts w:eastAsia="仿宋"/>
          <w:color w:val="auto"/>
          <w:sz w:val="24"/>
          <w:highlight w:val="none"/>
        </w:rPr>
        <w:t>，根据招标文件和中标人的投标文件订立书面合同</w:t>
      </w:r>
      <w:r>
        <w:rPr>
          <w:rFonts w:hint="eastAsia" w:eastAsia="仿宋"/>
          <w:color w:val="auto"/>
          <w:sz w:val="24"/>
          <w:highlight w:val="none"/>
        </w:rPr>
        <w:t>，所签订的合同不得对招标文件确定的事项和中标人投标文件作实质性修改。</w:t>
      </w:r>
      <w:r>
        <w:rPr>
          <w:rFonts w:eastAsia="仿宋"/>
          <w:color w:val="auto"/>
          <w:sz w:val="24"/>
          <w:highlight w:val="none"/>
        </w:rPr>
        <w:t>中标人无正当理由</w:t>
      </w:r>
      <w:r>
        <w:rPr>
          <w:rFonts w:hint="eastAsia" w:eastAsia="仿宋"/>
          <w:color w:val="auto"/>
          <w:sz w:val="24"/>
          <w:highlight w:val="none"/>
        </w:rPr>
        <w:t>拒签</w:t>
      </w:r>
      <w:r>
        <w:rPr>
          <w:rFonts w:eastAsia="仿宋"/>
          <w:color w:val="auto"/>
          <w:sz w:val="24"/>
          <w:highlight w:val="none"/>
        </w:rPr>
        <w:t>合同，</w:t>
      </w:r>
      <w:r>
        <w:rPr>
          <w:rFonts w:hint="eastAsia" w:eastAsia="仿宋"/>
          <w:color w:val="auto"/>
          <w:sz w:val="24"/>
          <w:szCs w:val="24"/>
          <w:highlight w:val="none"/>
          <w:lang w:val="en-US" w:eastAsia="zh-CN"/>
        </w:rPr>
        <w:t>包括但不限于</w:t>
      </w:r>
      <w:r>
        <w:rPr>
          <w:rFonts w:eastAsia="仿宋"/>
          <w:color w:val="auto"/>
          <w:sz w:val="24"/>
          <w:highlight w:val="none"/>
        </w:rPr>
        <w:t>在签订合同时向采购人提出</w:t>
      </w:r>
      <w:r>
        <w:rPr>
          <w:rFonts w:hint="eastAsia" w:eastAsia="仿宋"/>
          <w:color w:val="auto"/>
          <w:sz w:val="24"/>
          <w:szCs w:val="24"/>
          <w:highlight w:val="none"/>
          <w:lang w:val="en-US" w:eastAsia="zh-CN"/>
        </w:rPr>
        <w:t>非法的</w:t>
      </w:r>
      <w:r>
        <w:rPr>
          <w:rFonts w:hint="eastAsia" w:eastAsia="仿宋"/>
          <w:color w:val="auto"/>
          <w:sz w:val="24"/>
          <w:highlight w:val="none"/>
        </w:rPr>
        <w:t>附加条件</w:t>
      </w:r>
      <w:r>
        <w:rPr>
          <w:rFonts w:eastAsia="仿宋"/>
          <w:color w:val="auto"/>
          <w:sz w:val="24"/>
          <w:highlight w:val="none"/>
        </w:rPr>
        <w:t>，其投标保证金不予退还；给采购人造成的损失超过投标保证金数额的，中标人还应当对超过部分予以赔偿。</w:t>
      </w:r>
    </w:p>
    <w:p w14:paraId="26B7084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4</w:t>
      </w:r>
      <w:r>
        <w:rPr>
          <w:rFonts w:ascii="宋体" w:hAnsi="宋体" w:eastAsia="仿宋"/>
          <w:color w:val="auto"/>
          <w:sz w:val="24"/>
          <w:highlight w:val="none"/>
        </w:rPr>
        <w:t>.2</w:t>
      </w:r>
      <w:r>
        <w:rPr>
          <w:rFonts w:hint="eastAsia" w:ascii="宋体" w:hAnsi="宋体" w:eastAsia="仿宋"/>
          <w:color w:val="auto"/>
          <w:sz w:val="24"/>
          <w:highlight w:val="none"/>
        </w:rPr>
        <w:t xml:space="preserve"> 因中标人原因未签订合同的，采购人可以按照评审报告推荐的中标候选人名单排序，确定下一候选人为中标人，也可以重新开展政府采购活动。</w:t>
      </w:r>
    </w:p>
    <w:p w14:paraId="00657DCC">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7.</w:t>
      </w:r>
      <w:r>
        <w:rPr>
          <w:rFonts w:hint="eastAsia" w:ascii="宋体" w:hAnsi="宋体" w:eastAsia="仿宋"/>
          <w:color w:val="auto"/>
          <w:sz w:val="24"/>
          <w:highlight w:val="none"/>
          <w:lang w:val="en-US" w:eastAsia="zh-CN"/>
        </w:rPr>
        <w:t>4</w:t>
      </w:r>
      <w:r>
        <w:rPr>
          <w:rFonts w:ascii="宋体" w:hAnsi="宋体" w:eastAsia="仿宋"/>
          <w:color w:val="auto"/>
          <w:sz w:val="24"/>
          <w:highlight w:val="none"/>
        </w:rPr>
        <w:t>.</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 xml:space="preserve"> </w:t>
      </w:r>
      <w:r>
        <w:rPr>
          <w:rFonts w:ascii="宋体" w:hAnsi="宋体" w:eastAsia="仿宋"/>
          <w:color w:val="auto"/>
          <w:sz w:val="24"/>
          <w:highlight w:val="none"/>
        </w:rPr>
        <w:t>联合体中标的，联合体各方应当共同与采购人签订合同，就中标项目向采购人承担连带责任。</w:t>
      </w:r>
    </w:p>
    <w:bookmarkEnd w:id="592"/>
    <w:bookmarkEnd w:id="593"/>
    <w:bookmarkEnd w:id="594"/>
    <w:bookmarkEnd w:id="595"/>
    <w:bookmarkEnd w:id="596"/>
    <w:bookmarkEnd w:id="597"/>
    <w:bookmarkEnd w:id="598"/>
    <w:bookmarkEnd w:id="599"/>
    <w:bookmarkEnd w:id="600"/>
    <w:bookmarkEnd w:id="601"/>
    <w:bookmarkEnd w:id="602"/>
    <w:bookmarkEnd w:id="603"/>
    <w:p w14:paraId="0E6C60E6">
      <w:pPr>
        <w:pStyle w:val="3"/>
        <w:rPr>
          <w:rStyle w:val="101"/>
          <w:rFonts w:hint="eastAsia" w:ascii="宋体" w:hAnsi="宋体" w:eastAsia="仿宋"/>
          <w:b/>
          <w:bCs/>
          <w:color w:val="auto"/>
          <w:sz w:val="24"/>
          <w:szCs w:val="24"/>
          <w:highlight w:val="none"/>
        </w:rPr>
      </w:pPr>
      <w:bookmarkStart w:id="636" w:name="_Toc455587259"/>
      <w:bookmarkStart w:id="637" w:name="_Toc458504860"/>
      <w:bookmarkStart w:id="638" w:name="_Toc455587075"/>
      <w:bookmarkStart w:id="639" w:name="_Toc466024542"/>
      <w:r>
        <w:rPr>
          <w:rStyle w:val="101"/>
          <w:rFonts w:hint="eastAsia" w:ascii="宋体" w:hAnsi="宋体" w:eastAsia="仿宋"/>
          <w:b/>
          <w:bCs/>
          <w:color w:val="auto"/>
          <w:sz w:val="24"/>
          <w:szCs w:val="24"/>
          <w:highlight w:val="none"/>
        </w:rPr>
        <w:t>8. 废标</w:t>
      </w:r>
      <w:bookmarkEnd w:id="636"/>
      <w:bookmarkEnd w:id="637"/>
      <w:bookmarkEnd w:id="638"/>
      <w:r>
        <w:rPr>
          <w:rStyle w:val="101"/>
          <w:rFonts w:hint="eastAsia" w:ascii="宋体" w:hAnsi="宋体" w:eastAsia="仿宋"/>
          <w:b/>
          <w:bCs/>
          <w:color w:val="auto"/>
          <w:sz w:val="24"/>
          <w:szCs w:val="24"/>
          <w:highlight w:val="none"/>
        </w:rPr>
        <w:t>、变更采购方式与终止招标</w:t>
      </w:r>
      <w:bookmarkEnd w:id="639"/>
    </w:p>
    <w:p w14:paraId="0C7086CA">
      <w:pPr>
        <w:pStyle w:val="4"/>
        <w:adjustRightInd w:val="0"/>
        <w:ind w:firstLine="482" w:firstLineChars="200"/>
        <w:rPr>
          <w:rFonts w:hint="eastAsia" w:eastAsia="仿宋"/>
          <w:color w:val="auto"/>
          <w:sz w:val="24"/>
          <w:highlight w:val="none"/>
          <w:lang w:eastAsia="zh-CN"/>
        </w:rPr>
      </w:pPr>
      <w:bookmarkStart w:id="640" w:name="_Toc466024543"/>
      <w:bookmarkStart w:id="641" w:name="_Toc458504861"/>
      <w:bookmarkStart w:id="642" w:name="_Toc455587260"/>
      <w:bookmarkStart w:id="643" w:name="_Toc455587076"/>
      <w:bookmarkStart w:id="644" w:name="_Toc342297662"/>
      <w:bookmarkStart w:id="645" w:name="_Toc144974540"/>
      <w:bookmarkStart w:id="646" w:name="_Toc342296205"/>
      <w:bookmarkStart w:id="647" w:name="_Toc371415961"/>
      <w:bookmarkStart w:id="648" w:name="_Toc338943743"/>
      <w:bookmarkStart w:id="649" w:name="_Toc445554734"/>
      <w:bookmarkStart w:id="650" w:name="_Toc179632590"/>
      <w:bookmarkStart w:id="651" w:name="_Toc333599702"/>
      <w:bookmarkStart w:id="652" w:name="_Toc342294757"/>
      <w:bookmarkStart w:id="653" w:name="_Toc152042348"/>
      <w:bookmarkStart w:id="654" w:name="_Toc333587896"/>
      <w:bookmarkStart w:id="655" w:name="_Toc333600726"/>
      <w:bookmarkStart w:id="656" w:name="_Toc338944648"/>
      <w:bookmarkStart w:id="657" w:name="_Toc152045572"/>
      <w:r>
        <w:rPr>
          <w:rFonts w:hint="eastAsia" w:eastAsia="仿宋"/>
          <w:color w:val="auto"/>
          <w:sz w:val="24"/>
          <w:highlight w:val="none"/>
          <w:lang w:eastAsia="zh-CN"/>
        </w:rPr>
        <w:t>8.1 废标</w:t>
      </w:r>
      <w:bookmarkEnd w:id="640"/>
      <w:bookmarkEnd w:id="641"/>
      <w:bookmarkEnd w:id="642"/>
      <w:bookmarkEnd w:id="643"/>
    </w:p>
    <w:p w14:paraId="07A4D3E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8.1.1 出现下列情形之一的，应予废标：</w:t>
      </w:r>
    </w:p>
    <w:p w14:paraId="3A6A5E0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（1）符合专业条件的投标人或者对招标文件作实质响应的投标人不足3家的；</w:t>
      </w:r>
    </w:p>
    <w:p w14:paraId="0926E1E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（2）出现影响采购公正的违法、违规行为的；</w:t>
      </w:r>
    </w:p>
    <w:p w14:paraId="3DD731C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（3）投标人的报价均超过了采购预算或最高限价，采购人不能支付的；</w:t>
      </w:r>
    </w:p>
    <w:p w14:paraId="2D377F2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（4）因重大变故，采购任务取消的。</w:t>
      </w:r>
    </w:p>
    <w:p w14:paraId="3D5208EC">
      <w:pPr>
        <w:pStyle w:val="4"/>
        <w:adjustRightInd w:val="0"/>
        <w:ind w:firstLine="482" w:firstLineChars="200"/>
        <w:rPr>
          <w:rFonts w:eastAsia="仿宋"/>
          <w:color w:val="auto"/>
          <w:sz w:val="24"/>
          <w:highlight w:val="none"/>
          <w:lang w:eastAsia="zh-CN"/>
        </w:rPr>
      </w:pPr>
      <w:bookmarkStart w:id="658" w:name="_Toc455587077"/>
      <w:bookmarkStart w:id="659" w:name="_Toc455587261"/>
      <w:bookmarkStart w:id="660" w:name="_Toc458504862"/>
      <w:bookmarkStart w:id="661" w:name="_Toc466024544"/>
      <w:r>
        <w:rPr>
          <w:rFonts w:hint="eastAsia" w:eastAsia="仿宋"/>
          <w:color w:val="auto"/>
          <w:sz w:val="24"/>
          <w:highlight w:val="none"/>
          <w:lang w:eastAsia="zh-CN"/>
        </w:rPr>
        <w:t>8.2</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rFonts w:hint="eastAsia" w:eastAsia="仿宋"/>
          <w:color w:val="auto"/>
          <w:sz w:val="24"/>
          <w:highlight w:val="none"/>
          <w:lang w:eastAsia="zh-CN"/>
        </w:rPr>
        <w:t xml:space="preserve"> 重新招标与变更采购方式</w:t>
      </w:r>
      <w:bookmarkEnd w:id="660"/>
      <w:bookmarkEnd w:id="661"/>
    </w:p>
    <w:p w14:paraId="649FD44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8.2.1 公开招标数额标准以上的采购项目，投标截止后投标人不足3家或者通过资格审查或符合性审查的投标人不足3家的，除采购任务取消情形外，按照以下方式处理：</w:t>
      </w:r>
    </w:p>
    <w:p w14:paraId="14CA00B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（1）招标文件存在不合理条款或者招标程序不符合规定的，采购人、采购代理机构改正后依法重新招标；</w:t>
      </w:r>
    </w:p>
    <w:p w14:paraId="33FECB9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（2）招标文件没有不合理条款、招标程序符合规定，需要采用其他采购方式采购的，采购人应当依法报财政部门批准。</w:t>
      </w:r>
    </w:p>
    <w:p w14:paraId="6B81165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14BD6BCE">
      <w:pPr>
        <w:pStyle w:val="4"/>
        <w:adjustRightInd w:val="0"/>
        <w:ind w:firstLine="482" w:firstLineChars="200"/>
        <w:rPr>
          <w:rFonts w:hint="eastAsia" w:eastAsia="仿宋"/>
          <w:color w:val="auto"/>
          <w:sz w:val="24"/>
          <w:highlight w:val="none"/>
          <w:lang w:eastAsia="zh-CN"/>
        </w:rPr>
      </w:pPr>
      <w:bookmarkStart w:id="662" w:name="_Toc445554736"/>
      <w:bookmarkStart w:id="663" w:name="_Toc455587078"/>
      <w:bookmarkStart w:id="664" w:name="_Toc455587262"/>
      <w:bookmarkStart w:id="665" w:name="_Toc458504863"/>
      <w:bookmarkStart w:id="666" w:name="_Toc466024545"/>
      <w:bookmarkStart w:id="667" w:name="_Toc338943745"/>
      <w:bookmarkStart w:id="668" w:name="_Toc333600728"/>
      <w:bookmarkStart w:id="669" w:name="_Toc152045574"/>
      <w:bookmarkStart w:id="670" w:name="_Toc342297664"/>
      <w:bookmarkStart w:id="671" w:name="_Toc179632592"/>
      <w:bookmarkStart w:id="672" w:name="_Toc144974542"/>
      <w:bookmarkStart w:id="673" w:name="_Toc333599704"/>
      <w:bookmarkStart w:id="674" w:name="_Toc342296207"/>
      <w:bookmarkStart w:id="675" w:name="_Toc338944650"/>
      <w:bookmarkStart w:id="676" w:name="_Toc342294759"/>
      <w:bookmarkStart w:id="677" w:name="_Toc152042350"/>
      <w:r>
        <w:rPr>
          <w:rFonts w:hint="eastAsia" w:eastAsia="仿宋"/>
          <w:color w:val="auto"/>
          <w:sz w:val="24"/>
          <w:highlight w:val="none"/>
          <w:lang w:eastAsia="zh-CN"/>
        </w:rPr>
        <w:t>8.3 终止招标</w:t>
      </w:r>
      <w:bookmarkEnd w:id="662"/>
      <w:bookmarkEnd w:id="663"/>
      <w:bookmarkEnd w:id="664"/>
      <w:bookmarkEnd w:id="665"/>
      <w:bookmarkEnd w:id="666"/>
    </w:p>
    <w:p w14:paraId="133D016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因不可抗力等原因，采购人终止招标的，将及时发布公告，或者以书面形式通知被邀请的或者已经获取招标文件的潜在投标人。</w:t>
      </w:r>
    </w:p>
    <w:bookmarkEnd w:id="667"/>
    <w:bookmarkEnd w:id="668"/>
    <w:bookmarkEnd w:id="669"/>
    <w:bookmarkEnd w:id="670"/>
    <w:bookmarkEnd w:id="671"/>
    <w:bookmarkEnd w:id="672"/>
    <w:bookmarkEnd w:id="673"/>
    <w:bookmarkEnd w:id="674"/>
    <w:bookmarkEnd w:id="675"/>
    <w:bookmarkEnd w:id="676"/>
    <w:bookmarkEnd w:id="677"/>
    <w:p w14:paraId="2075CF84">
      <w:pPr>
        <w:pStyle w:val="3"/>
        <w:rPr>
          <w:rStyle w:val="101"/>
          <w:rFonts w:hint="eastAsia" w:ascii="宋体" w:hAnsi="宋体" w:eastAsia="仿宋"/>
          <w:b/>
          <w:bCs/>
          <w:color w:val="auto"/>
          <w:sz w:val="24"/>
          <w:szCs w:val="24"/>
          <w:highlight w:val="none"/>
        </w:rPr>
      </w:pPr>
      <w:bookmarkStart w:id="678" w:name="_Toc458504864"/>
      <w:bookmarkStart w:id="679" w:name="_Toc445554737"/>
      <w:bookmarkStart w:id="680" w:name="_Toc466024546"/>
      <w:bookmarkStart w:id="681" w:name="_Toc455587263"/>
      <w:bookmarkStart w:id="682" w:name="_Toc455587079"/>
      <w:r>
        <w:rPr>
          <w:rStyle w:val="101"/>
          <w:rFonts w:hint="eastAsia" w:ascii="宋体" w:hAnsi="宋体" w:eastAsia="仿宋"/>
          <w:b/>
          <w:bCs/>
          <w:color w:val="auto"/>
          <w:sz w:val="24"/>
          <w:szCs w:val="24"/>
          <w:highlight w:val="none"/>
        </w:rPr>
        <w:t xml:space="preserve">9. </w:t>
      </w:r>
      <w:r>
        <w:rPr>
          <w:rStyle w:val="101"/>
          <w:rFonts w:hint="eastAsia" w:ascii="宋体" w:hAnsi="宋体" w:eastAsia="仿宋"/>
          <w:b/>
          <w:bCs/>
          <w:color w:val="auto"/>
          <w:sz w:val="24"/>
          <w:szCs w:val="24"/>
          <w:highlight w:val="none"/>
          <w:lang w:val="en-US"/>
        </w:rPr>
        <w:t>询问与</w:t>
      </w:r>
      <w:r>
        <w:rPr>
          <w:rStyle w:val="101"/>
          <w:rFonts w:hint="eastAsia" w:ascii="宋体" w:hAnsi="宋体" w:eastAsia="仿宋"/>
          <w:b/>
          <w:bCs/>
          <w:color w:val="auto"/>
          <w:sz w:val="24"/>
          <w:szCs w:val="24"/>
          <w:highlight w:val="none"/>
        </w:rPr>
        <w:t>质疑</w:t>
      </w:r>
    </w:p>
    <w:p w14:paraId="5D0A6B25">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val="en-US" w:eastAsia="zh-CN"/>
        </w:rPr>
        <w:t xml:space="preserve">9.1 </w:t>
      </w:r>
      <w:r>
        <w:rPr>
          <w:rFonts w:hint="eastAsia" w:eastAsia="仿宋"/>
          <w:color w:val="auto"/>
          <w:sz w:val="24"/>
          <w:highlight w:val="none"/>
          <w:lang w:eastAsia="zh-CN"/>
        </w:rPr>
        <w:t>询问</w:t>
      </w:r>
    </w:p>
    <w:p w14:paraId="25EB547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.1.1 投标人对政府采购活动事项有疑问的，可依法按投标人须知</w:t>
      </w:r>
      <w:r>
        <w:rPr>
          <w:rFonts w:hint="eastAsia" w:ascii="宋体" w:hAnsi="宋体" w:eastAsia="仿宋"/>
          <w:color w:val="auto"/>
          <w:sz w:val="24"/>
          <w:highlight w:val="none"/>
          <w:lang w:val="en-US" w:eastAsia="zh-CN"/>
        </w:rPr>
        <w:t>前附表</w:t>
      </w:r>
      <w:r>
        <w:rPr>
          <w:rFonts w:hint="eastAsia" w:ascii="宋体" w:hAnsi="宋体" w:eastAsia="仿宋"/>
          <w:color w:val="auto"/>
          <w:sz w:val="24"/>
          <w:highlight w:val="none"/>
        </w:rPr>
        <w:t>载明的</w:t>
      </w:r>
      <w:r>
        <w:rPr>
          <w:rFonts w:hint="eastAsia" w:ascii="宋体" w:hAnsi="宋体" w:eastAsia="仿宋"/>
          <w:color w:val="auto"/>
          <w:sz w:val="24"/>
          <w:highlight w:val="none"/>
          <w:lang w:val="en-US" w:eastAsia="zh-CN"/>
        </w:rPr>
        <w:t>时间提</w:t>
      </w:r>
      <w:r>
        <w:rPr>
          <w:rFonts w:hint="eastAsia" w:ascii="宋体" w:hAnsi="宋体" w:eastAsia="仿宋"/>
          <w:color w:val="auto"/>
          <w:sz w:val="24"/>
          <w:highlight w:val="none"/>
        </w:rPr>
        <w:t>出询问。</w:t>
      </w:r>
    </w:p>
    <w:p w14:paraId="2D55486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.1.2 采购人或采购代理机构对供应商依法</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出的询问，在3个工作日内作出答复，但答复的内容不得涉及商业秘密。</w:t>
      </w:r>
    </w:p>
    <w:p w14:paraId="6B21333A">
      <w:pPr>
        <w:widowControl/>
        <w:adjustRightInd w:val="0"/>
        <w:snapToGrid w:val="0"/>
        <w:spacing w:line="360" w:lineRule="auto"/>
        <w:ind w:firstLine="480" w:firstLineChars="200"/>
        <w:rPr>
          <w:rFonts w:hint="default"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9.1.3 除非采购人认为确有必要答复，否则，采购人有权拒绝回复投标人在本章第9.1.1项规定的时间后的询问。</w:t>
      </w:r>
    </w:p>
    <w:p w14:paraId="2DA961E0">
      <w:pPr>
        <w:pStyle w:val="4"/>
        <w:adjustRightInd w:val="0"/>
        <w:ind w:firstLine="482" w:firstLineChars="200"/>
        <w:rPr>
          <w:rFonts w:hint="default" w:ascii="宋体" w:hAnsi="宋体" w:eastAsia="仿宋" w:cs="Times New Roman"/>
          <w:b/>
          <w:bCs/>
          <w:color w:val="auto"/>
          <w:sz w:val="24"/>
          <w:highlight w:val="none"/>
          <w:lang w:val="en-US" w:eastAsia="zh-CN"/>
        </w:rPr>
      </w:pPr>
      <w:r>
        <w:rPr>
          <w:rFonts w:hint="eastAsia" w:ascii="宋体" w:hAnsi="宋体" w:eastAsia="仿宋" w:cs="Times New Roman"/>
          <w:b/>
          <w:bCs/>
          <w:color w:val="auto"/>
          <w:sz w:val="24"/>
          <w:highlight w:val="none"/>
          <w:lang w:val="en-US" w:eastAsia="zh-CN"/>
        </w:rPr>
        <w:t>9</w:t>
      </w:r>
      <w:r>
        <w:rPr>
          <w:rFonts w:hint="eastAsia" w:ascii="宋体" w:hAnsi="宋体" w:eastAsia="仿宋" w:cs="Times New Roman"/>
          <w:b/>
          <w:bCs/>
          <w:color w:val="auto"/>
          <w:sz w:val="24"/>
          <w:highlight w:val="none"/>
          <w:lang w:eastAsia="zh-CN"/>
        </w:rPr>
        <w:t>.</w:t>
      </w:r>
      <w:r>
        <w:rPr>
          <w:rFonts w:hint="eastAsia" w:ascii="宋体" w:hAnsi="宋体" w:eastAsia="仿宋" w:cs="Times New Roman"/>
          <w:b/>
          <w:bCs/>
          <w:color w:val="auto"/>
          <w:sz w:val="24"/>
          <w:highlight w:val="none"/>
          <w:lang w:val="en-US" w:eastAsia="zh-CN"/>
        </w:rPr>
        <w:t>2</w:t>
      </w:r>
      <w:r>
        <w:rPr>
          <w:rFonts w:hint="eastAsia" w:ascii="宋体" w:hAnsi="宋体" w:eastAsia="仿宋" w:cs="Times New Roman"/>
          <w:b/>
          <w:bCs/>
          <w:color w:val="auto"/>
          <w:sz w:val="24"/>
          <w:highlight w:val="none"/>
          <w:lang w:eastAsia="zh-CN"/>
        </w:rPr>
        <w:t xml:space="preserve"> 质疑</w:t>
      </w:r>
    </w:p>
    <w:p w14:paraId="4673DBB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.1 投标人认为</w:t>
      </w:r>
      <w:r>
        <w:rPr>
          <w:rFonts w:hint="eastAsia" w:ascii="宋体" w:hAnsi="宋体" w:eastAsia="仿宋"/>
          <w:color w:val="auto"/>
          <w:sz w:val="24"/>
          <w:highlight w:val="none"/>
          <w:lang w:eastAsia="zh-CN"/>
        </w:rPr>
        <w:t>招标文件</w:t>
      </w:r>
      <w:r>
        <w:rPr>
          <w:rFonts w:hint="eastAsia" w:ascii="宋体" w:hAnsi="宋体" w:eastAsia="仿宋"/>
          <w:color w:val="auto"/>
          <w:sz w:val="24"/>
          <w:highlight w:val="none"/>
        </w:rPr>
        <w:t>、采购过程、中标结果使自己的权益受到损害的，可以在投标人须知</w:t>
      </w:r>
      <w:r>
        <w:rPr>
          <w:rFonts w:hint="eastAsia" w:ascii="宋体" w:hAnsi="宋体" w:eastAsia="仿宋"/>
          <w:color w:val="auto"/>
          <w:sz w:val="24"/>
          <w:highlight w:val="none"/>
          <w:lang w:val="en-US" w:eastAsia="zh-CN"/>
        </w:rPr>
        <w:t>前附表</w:t>
      </w:r>
      <w:r>
        <w:rPr>
          <w:rFonts w:hint="eastAsia" w:ascii="宋体" w:hAnsi="宋体" w:eastAsia="仿宋"/>
          <w:color w:val="auto"/>
          <w:sz w:val="24"/>
          <w:highlight w:val="none"/>
        </w:rPr>
        <w:t>载明的</w:t>
      </w:r>
      <w:r>
        <w:rPr>
          <w:rFonts w:hint="eastAsia" w:ascii="宋体" w:hAnsi="宋体" w:eastAsia="仿宋"/>
          <w:color w:val="auto"/>
          <w:sz w:val="24"/>
          <w:highlight w:val="none"/>
          <w:lang w:val="en-US" w:eastAsia="zh-CN"/>
        </w:rPr>
        <w:t>时间</w:t>
      </w:r>
      <w:r>
        <w:rPr>
          <w:rFonts w:hint="eastAsia" w:ascii="宋体" w:hAnsi="宋体" w:eastAsia="仿宋"/>
          <w:color w:val="auto"/>
          <w:sz w:val="24"/>
          <w:highlight w:val="none"/>
        </w:rPr>
        <w:t>向采购人、采购代理机构</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出质疑</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逾期提出的，采购人、采购代理机构可不予受理</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30D1087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投标人应以书面形式</w:t>
      </w:r>
      <w:r>
        <w:rPr>
          <w:rFonts w:hint="eastAsia" w:ascii="宋体" w:hAnsi="宋体" w:eastAsia="仿宋"/>
          <w:color w:val="auto"/>
          <w:sz w:val="24"/>
          <w:highlight w:val="none"/>
        </w:rPr>
        <w:t>向采购人、采购代理机构</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出质疑</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质疑函须使用财政部制定的《政府采购供应商质疑函范本》</w:t>
      </w:r>
      <w:r>
        <w:rPr>
          <w:rFonts w:hint="eastAsia" w:ascii="宋体" w:hAnsi="宋体" w:eastAsia="仿宋"/>
          <w:color w:val="auto"/>
          <w:sz w:val="24"/>
          <w:highlight w:val="none"/>
          <w:lang w:val="en-US" w:eastAsia="zh-CN"/>
        </w:rPr>
        <w:t>格式</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详见本章附件二“政府采购供应商询问函和质疑函范本”</w:t>
      </w:r>
      <w:r>
        <w:rPr>
          <w:rFonts w:hint="eastAsia" w:ascii="宋体" w:hAnsi="宋体" w:eastAsia="仿宋"/>
          <w:color w:val="auto"/>
          <w:sz w:val="24"/>
          <w:highlight w:val="none"/>
        </w:rPr>
        <w:t>。质疑材料应当采用中文，有关材料是外文的，应当同时提供其中文译本。</w:t>
      </w:r>
    </w:p>
    <w:p w14:paraId="20C640F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 接收质疑的联系</w:t>
      </w:r>
      <w:r>
        <w:rPr>
          <w:rFonts w:hint="eastAsia" w:ascii="宋体" w:hAnsi="宋体" w:eastAsia="仿宋"/>
          <w:color w:val="auto"/>
          <w:sz w:val="24"/>
          <w:highlight w:val="none"/>
          <w:lang w:val="en-US" w:eastAsia="zh-CN"/>
        </w:rPr>
        <w:t>方式</w:t>
      </w:r>
      <w:r>
        <w:rPr>
          <w:rFonts w:hint="eastAsia" w:ascii="宋体" w:hAnsi="宋体" w:eastAsia="仿宋"/>
          <w:color w:val="auto"/>
          <w:sz w:val="24"/>
          <w:highlight w:val="none"/>
        </w:rPr>
        <w:t>见</w:t>
      </w:r>
      <w:r>
        <w:rPr>
          <w:rFonts w:hint="eastAsia" w:ascii="宋体" w:hAnsi="宋体" w:eastAsia="仿宋"/>
          <w:color w:val="auto"/>
          <w:sz w:val="24"/>
          <w:highlight w:val="none"/>
          <w:lang w:val="en-US" w:eastAsia="zh-CN"/>
        </w:rPr>
        <w:t>投标人须知前附表</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采购人、采购代理机构在收到质疑函后7个工作日内作出答复。</w:t>
      </w:r>
    </w:p>
    <w:p w14:paraId="767C2B3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 xml:space="preserve">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0A79465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4</w:t>
      </w:r>
      <w:r>
        <w:rPr>
          <w:rFonts w:hint="eastAsia" w:ascii="宋体" w:hAnsi="宋体" w:eastAsia="仿宋"/>
          <w:color w:val="auto"/>
          <w:sz w:val="24"/>
          <w:highlight w:val="none"/>
        </w:rPr>
        <w:t xml:space="preserve"> 投标人委托代理人进行质疑的，应当随质疑函同时</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A494F0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5</w:t>
      </w:r>
      <w:r>
        <w:rPr>
          <w:rFonts w:hint="eastAsia" w:ascii="宋体" w:hAnsi="宋体" w:eastAsia="仿宋"/>
          <w:color w:val="auto"/>
          <w:sz w:val="24"/>
          <w:highlight w:val="none"/>
        </w:rPr>
        <w:t xml:space="preserve"> 投标人应在法定质疑期内一次性</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出针对同一采购程序环节的质疑，法定质疑期内针对同一采购程序环节再次</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出的质疑，采购人、采购代理机构有权不予答复。质疑应当有具体的事项及根据，不得进行虚假、恶意质疑，扰乱政府采购活动正常的工作秩序。</w:t>
      </w:r>
    </w:p>
    <w:p w14:paraId="52CE4AD0">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9.</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 xml:space="preserve"> </w:t>
      </w:r>
      <w:r>
        <w:rPr>
          <w:rFonts w:eastAsia="仿宋"/>
          <w:color w:val="auto"/>
          <w:sz w:val="24"/>
          <w:highlight w:val="none"/>
        </w:rPr>
        <w:t>提出质疑的</w:t>
      </w:r>
      <w:r>
        <w:rPr>
          <w:rFonts w:hint="eastAsia" w:eastAsia="仿宋"/>
          <w:color w:val="auto"/>
          <w:sz w:val="24"/>
          <w:highlight w:val="none"/>
        </w:rPr>
        <w:t>投标人</w:t>
      </w:r>
      <w:r>
        <w:rPr>
          <w:rFonts w:eastAsia="仿宋"/>
          <w:color w:val="auto"/>
          <w:sz w:val="24"/>
          <w:highlight w:val="none"/>
        </w:rPr>
        <w:t>应当是参与所质疑项目采购活动的</w:t>
      </w:r>
      <w:r>
        <w:rPr>
          <w:rFonts w:hint="eastAsia" w:eastAsia="仿宋"/>
          <w:color w:val="auto"/>
          <w:sz w:val="24"/>
          <w:highlight w:val="none"/>
        </w:rPr>
        <w:t>投标人</w:t>
      </w:r>
      <w:r>
        <w:rPr>
          <w:rFonts w:eastAsia="仿宋"/>
          <w:color w:val="auto"/>
          <w:sz w:val="24"/>
          <w:highlight w:val="none"/>
        </w:rPr>
        <w:t>。潜在</w:t>
      </w:r>
      <w:r>
        <w:rPr>
          <w:rFonts w:hint="eastAsia" w:eastAsia="仿宋"/>
          <w:color w:val="auto"/>
          <w:sz w:val="24"/>
          <w:highlight w:val="none"/>
        </w:rPr>
        <w:t>投标人</w:t>
      </w:r>
      <w:r>
        <w:rPr>
          <w:rFonts w:eastAsia="仿宋"/>
          <w:color w:val="auto"/>
          <w:sz w:val="24"/>
          <w:highlight w:val="none"/>
        </w:rPr>
        <w:t>已依法获取其可质疑的</w:t>
      </w:r>
      <w:r>
        <w:rPr>
          <w:rFonts w:hint="eastAsia" w:eastAsia="仿宋"/>
          <w:color w:val="auto"/>
          <w:sz w:val="24"/>
          <w:highlight w:val="none"/>
        </w:rPr>
        <w:t>招标</w:t>
      </w:r>
      <w:r>
        <w:rPr>
          <w:rFonts w:eastAsia="仿宋"/>
          <w:color w:val="auto"/>
          <w:sz w:val="24"/>
          <w:highlight w:val="none"/>
        </w:rPr>
        <w:t>文件的，可以对</w:t>
      </w:r>
      <w:r>
        <w:rPr>
          <w:rFonts w:hint="eastAsia" w:eastAsia="仿宋"/>
          <w:color w:val="auto"/>
          <w:sz w:val="24"/>
          <w:highlight w:val="none"/>
        </w:rPr>
        <w:t>招标</w:t>
      </w:r>
      <w:r>
        <w:rPr>
          <w:rFonts w:eastAsia="仿宋"/>
          <w:color w:val="auto"/>
          <w:sz w:val="24"/>
          <w:highlight w:val="none"/>
        </w:rPr>
        <w:t>文件提出</w:t>
      </w:r>
      <w:r>
        <w:rPr>
          <w:rFonts w:hint="eastAsia" w:eastAsia="仿宋"/>
          <w:color w:val="auto"/>
          <w:sz w:val="24"/>
          <w:highlight w:val="none"/>
        </w:rPr>
        <w:t>质疑</w:t>
      </w:r>
      <w:r>
        <w:rPr>
          <w:rFonts w:eastAsia="仿宋"/>
          <w:color w:val="auto"/>
          <w:sz w:val="24"/>
          <w:highlight w:val="none"/>
        </w:rPr>
        <w:t>。</w:t>
      </w:r>
    </w:p>
    <w:p w14:paraId="4527234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w:t>
      </w:r>
      <w:r>
        <w:rPr>
          <w:rFonts w:hint="eastAsia" w:ascii="宋体" w:hAnsi="宋体" w:eastAsia="仿宋"/>
          <w:color w:val="auto"/>
          <w:sz w:val="24"/>
          <w:highlight w:val="none"/>
          <w:lang w:val="en-US" w:eastAsia="zh-CN"/>
        </w:rPr>
        <w:t>7</w:t>
      </w:r>
      <w:r>
        <w:rPr>
          <w:rFonts w:hint="eastAsia" w:ascii="宋体" w:hAnsi="宋体" w:eastAsia="仿宋"/>
          <w:color w:val="auto"/>
          <w:sz w:val="24"/>
          <w:highlight w:val="none"/>
        </w:rPr>
        <w:t xml:space="preserve"> 质疑材料存在以下情形的，</w:t>
      </w:r>
      <w:r>
        <w:rPr>
          <w:rFonts w:hint="eastAsia" w:ascii="宋体" w:hAnsi="宋体" w:eastAsia="仿宋"/>
          <w:color w:val="auto"/>
          <w:sz w:val="24"/>
          <w:highlight w:val="none"/>
          <w:lang w:val="en-US" w:eastAsia="zh-CN"/>
        </w:rPr>
        <w:t>采购人、</w:t>
      </w:r>
      <w:r>
        <w:rPr>
          <w:rFonts w:hint="eastAsia" w:ascii="宋体" w:hAnsi="宋体" w:eastAsia="仿宋"/>
          <w:color w:val="auto"/>
          <w:sz w:val="24"/>
          <w:highlight w:val="none"/>
        </w:rPr>
        <w:t>采购代理机构不予受理。</w:t>
      </w:r>
    </w:p>
    <w:p w14:paraId="771C41B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（1）提起质疑的主体不是参与该政府采购项目活动的供应商；</w:t>
      </w:r>
    </w:p>
    <w:p w14:paraId="52D8291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（2）提起质疑的时间超过规定时限的；</w:t>
      </w:r>
    </w:p>
    <w:p w14:paraId="0E51979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（3）质疑材料不完整的；</w:t>
      </w:r>
    </w:p>
    <w:p w14:paraId="6D6C4B0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（4）质疑事项含有主观猜测等内容且未提供充分有效线索、难以查证的；</w:t>
      </w:r>
    </w:p>
    <w:p w14:paraId="03E3959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（5）质疑</w:t>
      </w:r>
      <w:r>
        <w:rPr>
          <w:rFonts w:ascii="宋体" w:hAnsi="宋体" w:eastAsia="仿宋"/>
          <w:color w:val="auto"/>
          <w:sz w:val="24"/>
          <w:highlight w:val="none"/>
        </w:rPr>
        <w:t>事项缺乏事实依据，</w:t>
      </w:r>
      <w:r>
        <w:rPr>
          <w:rFonts w:hint="eastAsia" w:ascii="宋体" w:hAnsi="宋体" w:eastAsia="仿宋"/>
          <w:color w:val="auto"/>
          <w:sz w:val="24"/>
          <w:highlight w:val="none"/>
        </w:rPr>
        <w:t>质疑</w:t>
      </w:r>
      <w:r>
        <w:rPr>
          <w:rFonts w:ascii="宋体" w:hAnsi="宋体" w:eastAsia="仿宋"/>
          <w:color w:val="auto"/>
          <w:sz w:val="24"/>
          <w:highlight w:val="none"/>
        </w:rPr>
        <w:t>事项不成立</w:t>
      </w:r>
      <w:r>
        <w:rPr>
          <w:rFonts w:hint="eastAsia" w:ascii="宋体" w:hAnsi="宋体" w:eastAsia="仿宋"/>
          <w:color w:val="auto"/>
          <w:sz w:val="24"/>
          <w:highlight w:val="none"/>
        </w:rPr>
        <w:t>的；</w:t>
      </w:r>
    </w:p>
    <w:p w14:paraId="63A495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捏造事实或者提供虚假材料；</w:t>
      </w:r>
    </w:p>
    <w:p w14:paraId="75F2D5C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ascii="宋体" w:hAnsi="宋体" w:eastAsia="仿宋"/>
          <w:color w:val="auto"/>
          <w:sz w:val="24"/>
          <w:highlight w:val="none"/>
        </w:rPr>
        <w:t>以非法手段取得证明材料。</w:t>
      </w:r>
      <w:r>
        <w:rPr>
          <w:rFonts w:hint="eastAsia" w:ascii="宋体" w:hAnsi="宋体" w:eastAsia="仿宋"/>
          <w:color w:val="auto"/>
          <w:sz w:val="24"/>
          <w:highlight w:val="none"/>
        </w:rPr>
        <w:t>证明材料</w:t>
      </w:r>
      <w:r>
        <w:rPr>
          <w:rFonts w:ascii="宋体" w:hAnsi="宋体" w:eastAsia="仿宋"/>
          <w:color w:val="auto"/>
          <w:sz w:val="24"/>
          <w:highlight w:val="none"/>
        </w:rPr>
        <w:t>来源的合法性存在明显疑问，</w:t>
      </w:r>
      <w:r>
        <w:rPr>
          <w:rFonts w:hint="eastAsia" w:ascii="宋体" w:hAnsi="宋体" w:eastAsia="仿宋"/>
          <w:color w:val="auto"/>
          <w:sz w:val="24"/>
          <w:highlight w:val="none"/>
        </w:rPr>
        <w:t>质疑</w:t>
      </w:r>
      <w:r>
        <w:rPr>
          <w:rFonts w:ascii="宋体" w:hAnsi="宋体" w:eastAsia="仿宋"/>
          <w:color w:val="auto"/>
          <w:sz w:val="24"/>
          <w:highlight w:val="none"/>
        </w:rPr>
        <w:t>人无法证明其取得方式合法的，视为以非法手段取得证明材料</w:t>
      </w:r>
      <w:r>
        <w:rPr>
          <w:rFonts w:hint="eastAsia" w:ascii="宋体" w:hAnsi="宋体" w:eastAsia="仿宋"/>
          <w:color w:val="auto"/>
          <w:sz w:val="24"/>
          <w:highlight w:val="none"/>
        </w:rPr>
        <w:t>；</w:t>
      </w:r>
    </w:p>
    <w:p w14:paraId="3E6B60C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（8）对其他投标人的投标文件详细内容质疑，无法提供合法来源渠道的。</w:t>
      </w:r>
    </w:p>
    <w:p w14:paraId="35D2B3F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8</w:t>
      </w:r>
      <w:r>
        <w:rPr>
          <w:rFonts w:hint="eastAsia" w:ascii="宋体" w:hAnsi="宋体" w:eastAsia="仿宋"/>
          <w:color w:val="auto"/>
          <w:sz w:val="24"/>
          <w:highlight w:val="none"/>
        </w:rPr>
        <w:t xml:space="preserve"> 质疑人在答复期满前撤回质疑的，应由法定代表人或授权代表人签字确认。质疑人不得以同一理由再次提出质疑。</w:t>
      </w:r>
    </w:p>
    <w:p w14:paraId="57BD1A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 xml:space="preserve"> 因处理质疑发生的检验、检测、鉴定等费用，</w:t>
      </w:r>
      <w:r>
        <w:rPr>
          <w:rFonts w:ascii="宋体" w:hAnsi="宋体" w:eastAsia="仿宋"/>
          <w:color w:val="auto"/>
          <w:sz w:val="24"/>
          <w:highlight w:val="none"/>
        </w:rPr>
        <w:t>由提出申请的</w:t>
      </w:r>
      <w:r>
        <w:rPr>
          <w:rFonts w:hint="eastAsia" w:ascii="宋体" w:hAnsi="宋体" w:eastAsia="仿宋"/>
          <w:color w:val="auto"/>
          <w:sz w:val="24"/>
          <w:highlight w:val="none"/>
        </w:rPr>
        <w:t>投标人</w:t>
      </w:r>
      <w:r>
        <w:rPr>
          <w:rFonts w:ascii="宋体" w:hAnsi="宋体" w:eastAsia="仿宋"/>
          <w:color w:val="auto"/>
          <w:sz w:val="24"/>
          <w:highlight w:val="none"/>
        </w:rPr>
        <w:t>先行垫付。</w:t>
      </w:r>
      <w:r>
        <w:rPr>
          <w:rFonts w:hint="eastAsia" w:ascii="宋体" w:hAnsi="宋体" w:eastAsia="仿宋"/>
          <w:color w:val="auto"/>
          <w:sz w:val="24"/>
          <w:highlight w:val="none"/>
        </w:rPr>
        <w:t>质疑处理决定各方无异议</w:t>
      </w:r>
      <w:r>
        <w:rPr>
          <w:rFonts w:ascii="宋体" w:hAnsi="宋体" w:eastAsia="仿宋"/>
          <w:color w:val="auto"/>
          <w:sz w:val="24"/>
          <w:highlight w:val="none"/>
        </w:rPr>
        <w:t>后，按照</w:t>
      </w:r>
      <w:r>
        <w:rPr>
          <w:rFonts w:hint="eastAsia" w:ascii="宋体" w:hAnsi="宋体" w:eastAsia="仿宋"/>
          <w:color w:val="auto"/>
          <w:sz w:val="24"/>
          <w:highlight w:val="none"/>
        </w:rPr>
        <w:t>“</w:t>
      </w:r>
      <w:r>
        <w:rPr>
          <w:rFonts w:ascii="宋体" w:hAnsi="宋体" w:eastAsia="仿宋"/>
          <w:color w:val="auto"/>
          <w:sz w:val="24"/>
          <w:highlight w:val="none"/>
        </w:rPr>
        <w:t>谁过错谁负担</w:t>
      </w:r>
      <w:r>
        <w:rPr>
          <w:rFonts w:hint="eastAsia" w:ascii="宋体" w:hAnsi="宋体" w:eastAsia="仿宋"/>
          <w:color w:val="auto"/>
          <w:sz w:val="24"/>
          <w:highlight w:val="none"/>
        </w:rPr>
        <w:t>”</w:t>
      </w:r>
      <w:r>
        <w:rPr>
          <w:rFonts w:ascii="宋体" w:hAnsi="宋体" w:eastAsia="仿宋"/>
          <w:color w:val="auto"/>
          <w:sz w:val="24"/>
          <w:highlight w:val="none"/>
        </w:rPr>
        <w:t>的原则由承担责任的一方负担；双方都有责任的，由双方合理分担。</w:t>
      </w:r>
    </w:p>
    <w:p w14:paraId="3B04B63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10</w:t>
      </w:r>
      <w:r>
        <w:rPr>
          <w:rFonts w:hint="eastAsia" w:ascii="宋体" w:hAnsi="宋体" w:eastAsia="仿宋"/>
          <w:color w:val="auto"/>
          <w:sz w:val="24"/>
          <w:highlight w:val="none"/>
        </w:rPr>
        <w:t xml:space="preserve">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298DB91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（1）一年内三次以上</w:t>
      </w:r>
      <w:r>
        <w:rPr>
          <w:rFonts w:hint="eastAsia" w:ascii="宋体" w:hAnsi="宋体" w:eastAsia="仿宋"/>
          <w:color w:val="auto"/>
          <w:sz w:val="24"/>
          <w:highlight w:val="none"/>
          <w:lang w:val="en-US" w:eastAsia="zh-CN"/>
        </w:rPr>
        <w:t>投诉</w:t>
      </w:r>
      <w:r>
        <w:rPr>
          <w:rFonts w:hint="eastAsia" w:ascii="宋体" w:hAnsi="宋体" w:eastAsia="仿宋"/>
          <w:color w:val="auto"/>
          <w:sz w:val="24"/>
          <w:highlight w:val="none"/>
        </w:rPr>
        <w:t>均查无实据的；</w:t>
      </w:r>
    </w:p>
    <w:p w14:paraId="57B9B53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（2）捏造事实或者提供虚假质疑材料的；</w:t>
      </w:r>
    </w:p>
    <w:p w14:paraId="4A3E32A2">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以非法手段取</w:t>
      </w:r>
      <w:r>
        <w:rPr>
          <w:rFonts w:eastAsia="仿宋"/>
          <w:color w:val="auto"/>
          <w:sz w:val="24"/>
          <w:highlight w:val="none"/>
        </w:rPr>
        <w:t>得证明材料。</w:t>
      </w:r>
      <w:r>
        <w:rPr>
          <w:rFonts w:hint="eastAsia" w:eastAsia="仿宋"/>
          <w:color w:val="auto"/>
          <w:sz w:val="24"/>
          <w:highlight w:val="none"/>
        </w:rPr>
        <w:t>证明材料</w:t>
      </w:r>
      <w:r>
        <w:rPr>
          <w:rFonts w:eastAsia="仿宋"/>
          <w:color w:val="auto"/>
          <w:sz w:val="24"/>
          <w:highlight w:val="none"/>
        </w:rPr>
        <w:t>来源的合法性存在明显疑问，</w:t>
      </w:r>
      <w:r>
        <w:rPr>
          <w:rFonts w:hint="eastAsia" w:eastAsia="仿宋"/>
          <w:color w:val="auto"/>
          <w:sz w:val="24"/>
          <w:highlight w:val="none"/>
        </w:rPr>
        <w:t>质疑</w:t>
      </w:r>
      <w:r>
        <w:rPr>
          <w:rFonts w:eastAsia="仿宋"/>
          <w:color w:val="auto"/>
          <w:sz w:val="24"/>
          <w:highlight w:val="none"/>
        </w:rPr>
        <w:t>人无法证明其取得方式</w:t>
      </w:r>
      <w:r>
        <w:rPr>
          <w:rFonts w:ascii="宋体" w:hAnsi="宋体" w:eastAsia="仿宋"/>
          <w:color w:val="auto"/>
          <w:sz w:val="24"/>
          <w:highlight w:val="none"/>
        </w:rPr>
        <w:t>合法的，视为以非法手段取得证明材料</w:t>
      </w:r>
      <w:r>
        <w:rPr>
          <w:rFonts w:hint="eastAsia" w:ascii="宋体" w:hAnsi="宋体" w:eastAsia="仿宋"/>
          <w:color w:val="auto"/>
          <w:sz w:val="24"/>
          <w:highlight w:val="none"/>
        </w:rPr>
        <w:t>。</w:t>
      </w:r>
    </w:p>
    <w:p w14:paraId="506EC65D">
      <w:pPr>
        <w:pStyle w:val="3"/>
        <w:rPr>
          <w:rStyle w:val="101"/>
          <w:rFonts w:hint="eastAsia" w:ascii="宋体" w:hAnsi="宋体" w:eastAsia="仿宋"/>
          <w:b/>
          <w:bCs/>
          <w:color w:val="auto"/>
          <w:sz w:val="24"/>
          <w:szCs w:val="24"/>
          <w:highlight w:val="none"/>
        </w:rPr>
      </w:pPr>
      <w:r>
        <w:rPr>
          <w:rStyle w:val="101"/>
          <w:rFonts w:hint="eastAsia" w:ascii="宋体" w:hAnsi="宋体" w:eastAsia="仿宋"/>
          <w:b/>
          <w:bCs/>
          <w:color w:val="auto"/>
          <w:sz w:val="24"/>
          <w:szCs w:val="24"/>
          <w:highlight w:val="none"/>
        </w:rPr>
        <w:t>10. 纪律和监督</w:t>
      </w:r>
      <w:bookmarkEnd w:id="678"/>
      <w:bookmarkEnd w:id="679"/>
      <w:bookmarkEnd w:id="680"/>
      <w:bookmarkEnd w:id="681"/>
      <w:bookmarkEnd w:id="682"/>
    </w:p>
    <w:p w14:paraId="0FC62510">
      <w:pPr>
        <w:pStyle w:val="4"/>
        <w:adjustRightInd w:val="0"/>
        <w:ind w:firstLine="482" w:firstLineChars="200"/>
        <w:rPr>
          <w:rFonts w:eastAsia="仿宋"/>
          <w:color w:val="auto"/>
          <w:sz w:val="24"/>
          <w:highlight w:val="none"/>
          <w:lang w:eastAsia="zh-CN"/>
        </w:rPr>
      </w:pPr>
      <w:bookmarkStart w:id="683" w:name="_Toc338943746"/>
      <w:bookmarkStart w:id="684" w:name="_Toc458504865"/>
      <w:bookmarkStart w:id="685" w:name="_Toc466024547"/>
      <w:bookmarkStart w:id="686" w:name="_Toc371415965"/>
      <w:bookmarkStart w:id="687" w:name="_Toc455587264"/>
      <w:bookmarkStart w:id="688" w:name="_Toc445554738"/>
      <w:bookmarkStart w:id="689" w:name="_Toc342297665"/>
      <w:bookmarkStart w:id="690" w:name="_Toc342294760"/>
      <w:bookmarkStart w:id="691" w:name="_Toc144974543"/>
      <w:bookmarkStart w:id="692" w:name="_Toc179632593"/>
      <w:bookmarkStart w:id="693" w:name="_Toc338944651"/>
      <w:bookmarkStart w:id="694" w:name="_Toc333587899"/>
      <w:bookmarkStart w:id="695" w:name="_Toc333600729"/>
      <w:bookmarkStart w:id="696" w:name="_Toc455587080"/>
      <w:bookmarkStart w:id="697" w:name="_Toc342296208"/>
      <w:bookmarkStart w:id="698" w:name="_Toc152042351"/>
      <w:bookmarkStart w:id="699" w:name="_Toc152045575"/>
      <w:bookmarkStart w:id="700" w:name="_Toc333599705"/>
      <w:r>
        <w:rPr>
          <w:rFonts w:hint="eastAsia" w:eastAsia="仿宋"/>
          <w:color w:val="auto"/>
          <w:sz w:val="24"/>
          <w:highlight w:val="none"/>
          <w:lang w:eastAsia="zh-CN"/>
        </w:rPr>
        <w:t>10.1 对采购人的纪律要求</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2B742BC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采购人不得</w:t>
      </w:r>
      <w:r>
        <w:rPr>
          <w:rFonts w:hint="eastAsia" w:ascii="宋体" w:hAnsi="宋体" w:eastAsia="仿宋"/>
          <w:color w:val="auto"/>
          <w:sz w:val="24"/>
          <w:highlight w:val="none"/>
          <w:lang w:eastAsia="zh-CN"/>
        </w:rPr>
        <w:t>泄露</w:t>
      </w:r>
      <w:r>
        <w:rPr>
          <w:rFonts w:hint="eastAsia" w:ascii="宋体" w:hAnsi="宋体" w:eastAsia="仿宋"/>
          <w:color w:val="auto"/>
          <w:sz w:val="24"/>
          <w:highlight w:val="none"/>
        </w:rPr>
        <w:t>招标投标活动中应当保密的情况和资料，不得与投标人串通损害国家利益、社会公共利益或者他人合法权益。</w:t>
      </w:r>
    </w:p>
    <w:p w14:paraId="6B5699DC">
      <w:pPr>
        <w:pStyle w:val="4"/>
        <w:adjustRightInd w:val="0"/>
        <w:ind w:firstLine="482" w:firstLineChars="200"/>
        <w:rPr>
          <w:rFonts w:eastAsia="仿宋"/>
          <w:color w:val="auto"/>
          <w:sz w:val="24"/>
          <w:highlight w:val="none"/>
          <w:lang w:eastAsia="zh-CN"/>
        </w:rPr>
      </w:pPr>
      <w:bookmarkStart w:id="701" w:name="_Toc338944652"/>
      <w:bookmarkStart w:id="702" w:name="_Toc342297666"/>
      <w:bookmarkStart w:id="703" w:name="_Toc342296209"/>
      <w:bookmarkStart w:id="704" w:name="_Toc445554739"/>
      <w:bookmarkStart w:id="705" w:name="_Toc144974544"/>
      <w:bookmarkStart w:id="706" w:name="_Toc371415966"/>
      <w:bookmarkStart w:id="707" w:name="_Toc455587081"/>
      <w:bookmarkStart w:id="708" w:name="_Toc152045576"/>
      <w:bookmarkStart w:id="709" w:name="_Toc338943747"/>
      <w:bookmarkStart w:id="710" w:name="_Toc342294761"/>
      <w:bookmarkStart w:id="711" w:name="_Toc333599706"/>
      <w:bookmarkStart w:id="712" w:name="_Toc179632594"/>
      <w:bookmarkStart w:id="713" w:name="_Toc455587265"/>
      <w:bookmarkStart w:id="714" w:name="_Toc333600730"/>
      <w:bookmarkStart w:id="715" w:name="_Toc458504866"/>
      <w:bookmarkStart w:id="716" w:name="_Toc333587900"/>
      <w:bookmarkStart w:id="717" w:name="_Toc152042352"/>
      <w:bookmarkStart w:id="718" w:name="_Toc466024548"/>
      <w:r>
        <w:rPr>
          <w:rFonts w:hint="eastAsia" w:eastAsia="仿宋"/>
          <w:color w:val="auto"/>
          <w:sz w:val="24"/>
          <w:highlight w:val="none"/>
          <w:lang w:eastAsia="zh-CN"/>
        </w:rPr>
        <w:t>10.2 对投标人的纪律要求</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3799FA2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182387BF">
      <w:pPr>
        <w:pStyle w:val="3"/>
        <w:rPr>
          <w:rStyle w:val="101"/>
          <w:rFonts w:hint="eastAsia" w:ascii="宋体" w:hAnsi="宋体" w:eastAsia="仿宋"/>
          <w:b/>
          <w:bCs/>
          <w:color w:val="auto"/>
          <w:sz w:val="24"/>
          <w:szCs w:val="24"/>
          <w:highlight w:val="none"/>
        </w:rPr>
      </w:pPr>
      <w:bookmarkStart w:id="719" w:name="_Toc342296213"/>
      <w:bookmarkStart w:id="720" w:name="_Toc371415963"/>
      <w:bookmarkStart w:id="721" w:name="_Toc342294765"/>
      <w:bookmarkStart w:id="722" w:name="_Toc466024552"/>
      <w:bookmarkStart w:id="723" w:name="_Toc445554743"/>
      <w:bookmarkStart w:id="724" w:name="_Toc152042357"/>
      <w:bookmarkStart w:id="725" w:name="_Toc455587085"/>
      <w:bookmarkStart w:id="726" w:name="_Toc338943751"/>
      <w:bookmarkStart w:id="727" w:name="_Toc333599710"/>
      <w:bookmarkStart w:id="728" w:name="_Toc458504870"/>
      <w:bookmarkStart w:id="729" w:name="_Toc152045580"/>
      <w:bookmarkStart w:id="730" w:name="_Toc179632598"/>
      <w:bookmarkStart w:id="731" w:name="_Toc338944656"/>
      <w:bookmarkStart w:id="732" w:name="_Toc342297670"/>
      <w:bookmarkStart w:id="733" w:name="_Toc455587269"/>
      <w:bookmarkStart w:id="734" w:name="_Toc333600734"/>
      <w:bookmarkStart w:id="735" w:name="_Toc144974547"/>
      <w:r>
        <w:rPr>
          <w:rStyle w:val="101"/>
          <w:rFonts w:hint="eastAsia" w:ascii="宋体" w:hAnsi="宋体" w:eastAsia="仿宋"/>
          <w:b/>
          <w:bCs/>
          <w:color w:val="auto"/>
          <w:sz w:val="24"/>
          <w:szCs w:val="24"/>
          <w:highlight w:val="none"/>
        </w:rPr>
        <w:t>11. 政府采购政策</w:t>
      </w:r>
    </w:p>
    <w:p w14:paraId="22B2746A">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11.1 节能与环保</w:t>
      </w:r>
    </w:p>
    <w:p w14:paraId="75A31486">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272925A1">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6D09D958">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11.2 促进中小企业发展</w:t>
      </w:r>
    </w:p>
    <w:p w14:paraId="41A94CC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11.2.1根据《政府采购促进中小企业发展管理办法》（财库〔2020〕46号）规定，投标人提供的货物、工程或者服务符合下列情形的，享受本条规定的中小企业扶持政策：</w:t>
      </w:r>
    </w:p>
    <w:p w14:paraId="7E1AE5D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（1）在货物采购项目中，货物由中小企业制造，即货物由中小企业生产且使用该中小企业商号或者注册商标；</w:t>
      </w:r>
    </w:p>
    <w:p w14:paraId="079ADCB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（2）在工程采购项目中，工程由中小企业承建，即工程施工单位为中小企业；</w:t>
      </w:r>
    </w:p>
    <w:p w14:paraId="02E85AC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（3）在服务采购项目中，服务由中小企业承接，即提供服务的人员为中小企业依照《中华人民共和国劳动合同法》订立劳动合同的从业人员。</w:t>
      </w:r>
    </w:p>
    <w:p w14:paraId="2E0EEBF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在货物采购项目中，供应商提供的货物既有中小企业制造货物，也有大型企业制造货物的，不享受本条规定的中小企业扶持政策。</w:t>
      </w:r>
    </w:p>
    <w:p w14:paraId="55E556A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以联合体形式参加政府采购活动（如接受联合体投标时），联合体各方均为中小企业的，联合体视同中小企业。其中，联合体各方均为小微企业的，联合体视同小微企业。</w:t>
      </w:r>
    </w:p>
    <w:p w14:paraId="40DF4532">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中小企业应当在投标文件中提供招标文件规定格式的《中小企业声明函》，并对其真实性负责。</w:t>
      </w:r>
    </w:p>
    <w:p w14:paraId="4DE4B8C3">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w:t>
      </w:r>
      <w:r>
        <w:rPr>
          <w:rFonts w:hint="eastAsia" w:ascii="宋体" w:hAnsi="宋体" w:eastAsia="仿宋"/>
          <w:color w:val="auto"/>
          <w:sz w:val="24"/>
          <w:highlight w:val="none"/>
          <w:lang w:val="en-US" w:eastAsia="zh-CN" w:bidi="en-US"/>
        </w:rPr>
        <w:t>划型</w:t>
      </w:r>
      <w:r>
        <w:rPr>
          <w:rFonts w:hint="eastAsia" w:ascii="宋体" w:hAnsi="宋体" w:eastAsia="仿宋"/>
          <w:color w:val="auto"/>
          <w:sz w:val="24"/>
          <w:highlight w:val="none"/>
          <w:lang w:bidi="en-US"/>
        </w:rPr>
        <w:t>标准见工信部联企业〔2011〕300号</w:t>
      </w:r>
      <w:r>
        <w:rPr>
          <w:rFonts w:hint="eastAsia" w:ascii="宋体" w:hAnsi="宋体" w:eastAsia="仿宋"/>
          <w:color w:val="auto"/>
          <w:sz w:val="24"/>
          <w:highlight w:val="none"/>
          <w:lang w:val="en-US" w:eastAsia="zh-CN" w:bidi="en-US"/>
        </w:rPr>
        <w:t>文件</w:t>
      </w:r>
      <w:r>
        <w:rPr>
          <w:rFonts w:hint="eastAsia" w:ascii="宋体" w:hAnsi="宋体" w:eastAsia="仿宋"/>
          <w:color w:val="auto"/>
          <w:sz w:val="24"/>
          <w:highlight w:val="none"/>
          <w:lang w:bidi="en-US"/>
        </w:rPr>
        <w:t>。</w:t>
      </w:r>
    </w:p>
    <w:p w14:paraId="304A9E6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11.2.2投标人须知前附表第1.1.7项规定本项目属于专门面向中小企业（含中型、小型、微型企业，下同）采购的，投标人应符合本章第11.2.1项规定外，还应符合本项目的资格要求。</w:t>
      </w:r>
    </w:p>
    <w:p w14:paraId="29E273C4">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11.2.3</w:t>
      </w:r>
      <w:r>
        <w:rPr>
          <w:rFonts w:hint="eastAsia" w:ascii="宋体" w:hAnsi="宋体" w:eastAsia="仿宋"/>
          <w:color w:val="auto"/>
          <w:sz w:val="24"/>
          <w:highlight w:val="none"/>
        </w:rPr>
        <w:t>投标人须知前附表第1.1.7项规定</w:t>
      </w:r>
      <w:r>
        <w:rPr>
          <w:rFonts w:hint="eastAsia" w:ascii="宋体" w:hAnsi="宋体" w:eastAsia="仿宋"/>
          <w:color w:val="auto"/>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31921C6F">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3CADB7E1">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auto"/>
          <w:sz w:val="24"/>
          <w:highlight w:val="none"/>
        </w:rPr>
        <w:t>政府</w:t>
      </w:r>
      <w:r>
        <w:rPr>
          <w:rFonts w:hint="eastAsia" w:ascii="宋体" w:hAnsi="宋体" w:eastAsia="仿宋"/>
          <w:color w:val="auto"/>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3FC70D60">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11.2.6 监狱企业、残疾人福利性单位属于小微企业的，不重复享受中小企业价格评审优惠政策。</w:t>
      </w:r>
    </w:p>
    <w:p w14:paraId="63829532">
      <w:pPr>
        <w:widowControl/>
        <w:adjustRightInd w:val="0"/>
        <w:snapToGrid w:val="0"/>
        <w:spacing w:line="360" w:lineRule="auto"/>
        <w:ind w:firstLine="482" w:firstLineChars="200"/>
        <w:outlineLvl w:val="2"/>
        <w:rPr>
          <w:rFonts w:hint="eastAsia" w:ascii="宋体" w:hAnsi="宋体" w:eastAsia="仿宋" w:cs="Times New Roman"/>
          <w:b/>
          <w:bCs/>
          <w:color w:val="auto"/>
          <w:kern w:val="0"/>
          <w:sz w:val="24"/>
          <w:highlight w:val="none"/>
          <w:lang w:val="en-US" w:eastAsia="zh-CN" w:bidi="en-US"/>
        </w:rPr>
      </w:pPr>
      <w:r>
        <w:rPr>
          <w:rFonts w:hint="eastAsia" w:ascii="宋体" w:hAnsi="宋体" w:eastAsia="仿宋" w:cs="Times New Roman"/>
          <w:b/>
          <w:bCs/>
          <w:color w:val="auto"/>
          <w:kern w:val="0"/>
          <w:sz w:val="24"/>
          <w:highlight w:val="none"/>
          <w:lang w:val="en-US" w:eastAsia="zh-CN" w:bidi="en-US"/>
        </w:rPr>
        <w:t>11.3 需要执行的其他政府采购政策</w:t>
      </w:r>
    </w:p>
    <w:p w14:paraId="08304373">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val="en-US" w:eastAsia="zh-CN" w:bidi="en-US"/>
        </w:rPr>
        <w:t>需要执行的其他政府采购政策：见投标人须知前附表。</w:t>
      </w:r>
    </w:p>
    <w:p w14:paraId="069C6BCA">
      <w:pPr>
        <w:pStyle w:val="3"/>
        <w:rPr>
          <w:rStyle w:val="101"/>
          <w:rFonts w:hint="eastAsia" w:ascii="宋体" w:hAnsi="宋体" w:eastAsia="仿宋"/>
          <w:b/>
          <w:bCs/>
          <w:color w:val="auto"/>
          <w:sz w:val="24"/>
          <w:szCs w:val="24"/>
          <w:highlight w:val="none"/>
        </w:rPr>
      </w:pPr>
      <w:r>
        <w:rPr>
          <w:rStyle w:val="101"/>
          <w:rFonts w:hint="eastAsia" w:ascii="宋体" w:hAnsi="宋体" w:eastAsia="仿宋"/>
          <w:b/>
          <w:bCs/>
          <w:color w:val="auto"/>
          <w:sz w:val="24"/>
          <w:szCs w:val="24"/>
          <w:highlight w:val="none"/>
        </w:rPr>
        <w:t>12. 需要补充的其他内容</w:t>
      </w:r>
    </w:p>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2BA086F3">
      <w:pPr>
        <w:widowControl/>
        <w:adjustRightInd w:val="0"/>
        <w:snapToGrid w:val="0"/>
        <w:spacing w:line="360" w:lineRule="auto"/>
        <w:ind w:firstLine="480" w:firstLineChars="200"/>
        <w:rPr>
          <w:rFonts w:hint="eastAsia" w:eastAsia="仿宋"/>
          <w:color w:val="auto"/>
          <w:sz w:val="24"/>
          <w:highlight w:val="none"/>
          <w:lang w:bidi="en-US"/>
        </w:rPr>
      </w:pPr>
      <w:bookmarkStart w:id="736" w:name="_Toc455587271"/>
      <w:bookmarkStart w:id="737" w:name="_Toc445554745"/>
      <w:bookmarkStart w:id="738" w:name="_Toc455587087"/>
      <w:bookmarkStart w:id="739" w:name="_Toc466024554"/>
      <w:bookmarkStart w:id="740" w:name="_Toc458504872"/>
      <w:r>
        <w:rPr>
          <w:rFonts w:hint="eastAsia" w:eastAsia="仿宋"/>
          <w:color w:val="auto"/>
          <w:sz w:val="24"/>
          <w:highlight w:val="none"/>
          <w:lang w:bidi="en-US"/>
        </w:rPr>
        <w:t>需要补充的其他内容</w:t>
      </w:r>
      <w:bookmarkEnd w:id="736"/>
      <w:bookmarkEnd w:id="737"/>
      <w:bookmarkEnd w:id="738"/>
      <w:bookmarkEnd w:id="739"/>
      <w:bookmarkEnd w:id="740"/>
      <w:r>
        <w:rPr>
          <w:rFonts w:hint="eastAsia" w:eastAsia="仿宋"/>
          <w:color w:val="auto"/>
          <w:sz w:val="24"/>
          <w:highlight w:val="none"/>
          <w:lang w:bidi="en-US"/>
        </w:rPr>
        <w:t>：见投标人须知前附表。</w:t>
      </w:r>
    </w:p>
    <w:p w14:paraId="22137342">
      <w:pPr>
        <w:pStyle w:val="3"/>
        <w:bidi w:val="0"/>
        <w:jc w:val="center"/>
        <w:rPr>
          <w:rFonts w:eastAsia="黑体"/>
          <w:color w:val="auto"/>
          <w:highlight w:val="none"/>
        </w:rPr>
      </w:pPr>
      <w:r>
        <w:rPr>
          <w:rFonts w:ascii="宋体" w:hAnsi="宋体" w:eastAsia="仿宋"/>
          <w:color w:val="auto"/>
          <w:szCs w:val="21"/>
          <w:highlight w:val="none"/>
        </w:rPr>
        <w:br w:type="page"/>
      </w:r>
      <w:bookmarkStart w:id="741" w:name="_Toc24418"/>
      <w:bookmarkStart w:id="742" w:name="_Hlk44246314"/>
      <w:r>
        <w:rPr>
          <w:rFonts w:eastAsia="黑体"/>
          <w:color w:val="auto"/>
          <w:highlight w:val="none"/>
        </w:rPr>
        <w:t>附件</w:t>
      </w:r>
      <w:r>
        <w:rPr>
          <w:rFonts w:hint="eastAsia" w:eastAsia="黑体"/>
          <w:color w:val="auto"/>
          <w:highlight w:val="none"/>
          <w:lang w:val="en-US" w:eastAsia="zh-CN"/>
        </w:rPr>
        <w:t>一</w:t>
      </w:r>
      <w:r>
        <w:rPr>
          <w:rFonts w:eastAsia="黑体"/>
          <w:color w:val="auto"/>
          <w:highlight w:val="none"/>
        </w:rPr>
        <w:t>：</w:t>
      </w:r>
      <w:r>
        <w:rPr>
          <w:rFonts w:hint="eastAsia" w:eastAsia="黑体"/>
          <w:color w:val="auto"/>
          <w:highlight w:val="none"/>
        </w:rPr>
        <w:t>全流程电子招标采购</w:t>
      </w:r>
      <w:r>
        <w:rPr>
          <w:rFonts w:eastAsia="黑体"/>
          <w:color w:val="auto"/>
          <w:highlight w:val="none"/>
        </w:rPr>
        <w:t>具体要求</w:t>
      </w:r>
      <w:bookmarkEnd w:id="741"/>
    </w:p>
    <w:bookmarkEnd w:id="742"/>
    <w:p w14:paraId="17C5C993">
      <w:pPr>
        <w:spacing w:line="400" w:lineRule="exact"/>
        <w:ind w:firstLine="420" w:firstLineChars="200"/>
        <w:rPr>
          <w:rFonts w:ascii="黑体" w:hAnsi="黑体" w:eastAsia="黑体"/>
          <w:color w:val="auto"/>
          <w:szCs w:val="24"/>
          <w:highlight w:val="none"/>
        </w:rPr>
      </w:pPr>
      <w:r>
        <w:rPr>
          <w:rFonts w:hint="eastAsia" w:ascii="黑体" w:hAnsi="黑体" w:eastAsia="黑体"/>
          <w:color w:val="auto"/>
          <w:szCs w:val="24"/>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color w:val="auto"/>
          <w:szCs w:val="24"/>
          <w:highlight w:val="none"/>
        </w:rPr>
        <w:t>评标委员会</w:t>
      </w:r>
      <w:r>
        <w:rPr>
          <w:rFonts w:hint="eastAsia" w:ascii="黑体" w:hAnsi="黑体" w:eastAsia="黑体"/>
          <w:color w:val="auto"/>
          <w:szCs w:val="24"/>
          <w:highlight w:val="none"/>
        </w:rPr>
        <w:t>”按“评审小组”理解，“投标无效”按“响应文件无效”理解。</w:t>
      </w:r>
    </w:p>
    <w:p w14:paraId="00A42588">
      <w:pPr>
        <w:spacing w:line="400" w:lineRule="exact"/>
        <w:ind w:firstLine="420" w:firstLineChars="200"/>
        <w:rPr>
          <w:rFonts w:ascii="黑体" w:hAnsi="黑体" w:eastAsia="黑体"/>
          <w:color w:val="auto"/>
          <w:szCs w:val="24"/>
          <w:highlight w:val="none"/>
        </w:rPr>
      </w:pPr>
    </w:p>
    <w:p w14:paraId="5D66FE51">
      <w:pPr>
        <w:spacing w:line="400" w:lineRule="exact"/>
        <w:ind w:firstLine="420" w:firstLineChars="200"/>
        <w:rPr>
          <w:rFonts w:hint="eastAsia" w:ascii="黑体" w:hAnsi="黑体" w:eastAsia="黑体"/>
          <w:color w:val="auto"/>
          <w:szCs w:val="24"/>
          <w:highlight w:val="none"/>
        </w:rPr>
      </w:pPr>
      <w:r>
        <w:rPr>
          <w:rFonts w:hint="eastAsia" w:ascii="黑体" w:hAnsi="黑体" w:eastAsia="黑体"/>
          <w:color w:val="auto"/>
          <w:szCs w:val="24"/>
          <w:highlight w:val="none"/>
        </w:rPr>
        <w:t>一</w:t>
      </w:r>
      <w:r>
        <w:rPr>
          <w:rFonts w:ascii="黑体" w:hAnsi="黑体" w:eastAsia="黑体"/>
          <w:color w:val="auto"/>
          <w:szCs w:val="24"/>
          <w:highlight w:val="none"/>
        </w:rPr>
        <w:t>、</w:t>
      </w:r>
      <w:r>
        <w:rPr>
          <w:rFonts w:hint="eastAsia"/>
          <w:color w:val="auto"/>
          <w:highlight w:val="none"/>
        </w:rPr>
        <w:t>CA</w:t>
      </w:r>
      <w:r>
        <w:rPr>
          <w:rFonts w:hint="eastAsia" w:ascii="黑体" w:hAnsi="黑体" w:eastAsia="黑体"/>
          <w:color w:val="auto"/>
          <w:szCs w:val="24"/>
          <w:highlight w:val="none"/>
        </w:rPr>
        <w:t>证书办理和</w:t>
      </w:r>
      <w:r>
        <w:rPr>
          <w:rFonts w:ascii="黑体" w:hAnsi="黑体" w:eastAsia="黑体"/>
          <w:color w:val="auto"/>
          <w:szCs w:val="24"/>
          <w:highlight w:val="none"/>
        </w:rPr>
        <w:t>注意事项</w:t>
      </w:r>
    </w:p>
    <w:p w14:paraId="3892E01D">
      <w:pPr>
        <w:spacing w:line="400" w:lineRule="exact"/>
        <w:ind w:firstLine="420" w:firstLineChars="200"/>
        <w:rPr>
          <w:color w:val="auto"/>
          <w:highlight w:val="none"/>
        </w:rPr>
      </w:pPr>
      <w:r>
        <w:rPr>
          <w:rFonts w:ascii="宋体" w:hAnsi="宋体"/>
          <w:color w:val="auto"/>
          <w:szCs w:val="24"/>
          <w:highlight w:val="none"/>
        </w:rPr>
        <w:t>1.</w:t>
      </w:r>
      <w:r>
        <w:rPr>
          <w:rFonts w:hint="eastAsia" w:ascii="宋体" w:hAnsi="宋体"/>
          <w:color w:val="auto"/>
          <w:szCs w:val="24"/>
          <w:highlight w:val="none"/>
        </w:rPr>
        <w:t>本项目采用全流程电子招标采购方式，</w:t>
      </w:r>
      <w:r>
        <w:rPr>
          <w:rFonts w:hint="eastAsia"/>
          <w:color w:val="auto"/>
          <w:highlight w:val="none"/>
        </w:rPr>
        <w:t>潜在投标人应及时办理CA证书，用于对投标文件进行电子签章及加、解密。</w:t>
      </w:r>
    </w:p>
    <w:p w14:paraId="2D2E0A4D">
      <w:pPr>
        <w:spacing w:line="400" w:lineRule="exact"/>
        <w:ind w:firstLine="420" w:firstLineChars="200"/>
        <w:rPr>
          <w:bCs/>
          <w:color w:val="auto"/>
          <w:highlight w:val="none"/>
        </w:rPr>
      </w:pPr>
      <w:r>
        <w:rPr>
          <w:rFonts w:ascii="宋体" w:hAnsi="宋体"/>
          <w:color w:val="auto"/>
          <w:szCs w:val="24"/>
          <w:highlight w:val="none"/>
        </w:rPr>
        <w:t>2.</w:t>
      </w:r>
      <w:r>
        <w:rPr>
          <w:rFonts w:hint="eastAsia" w:ascii="宋体" w:hAnsi="宋体"/>
          <w:color w:val="auto"/>
          <w:szCs w:val="24"/>
          <w:highlight w:val="none"/>
        </w:rPr>
        <w:t>CA</w:t>
      </w:r>
      <w:r>
        <w:rPr>
          <w:rFonts w:hint="eastAsia"/>
          <w:color w:val="auto"/>
          <w:highlight w:val="none"/>
        </w:rPr>
        <w:t>证书</w:t>
      </w:r>
      <w:r>
        <w:rPr>
          <w:rFonts w:hint="eastAsia" w:ascii="宋体" w:hAnsi="宋体"/>
          <w:color w:val="auto"/>
          <w:szCs w:val="24"/>
          <w:highlight w:val="none"/>
        </w:rPr>
        <w:t>办理详见</w:t>
      </w:r>
      <w:r>
        <w:rPr>
          <w:rFonts w:hint="eastAsia"/>
          <w:bCs/>
          <w:color w:val="auto"/>
          <w:highlight w:val="none"/>
        </w:rPr>
        <w:t>《优质采平台CA数字证书办理说明》：</w:t>
      </w:r>
    </w:p>
    <w:p w14:paraId="6D222651">
      <w:pPr>
        <w:spacing w:line="400" w:lineRule="exact"/>
        <w:rPr>
          <w:rFonts w:hint="eastAsia"/>
          <w:b/>
          <w:bCs/>
          <w:color w:val="auto"/>
          <w:highlight w:val="none"/>
        </w:rPr>
      </w:pPr>
      <w:r>
        <w:rPr>
          <w:bCs/>
          <w:color w:val="auto"/>
          <w:highlight w:val="none"/>
          <w:u w:val="single"/>
        </w:rPr>
        <w:fldChar w:fldCharType="begin"/>
      </w:r>
      <w:r>
        <w:rPr>
          <w:bCs/>
          <w:color w:val="auto"/>
          <w:highlight w:val="none"/>
          <w:u w:val="single"/>
        </w:rPr>
        <w:instrText xml:space="preserve"> HYPERLINK "http://www.youzhicai.com/ActivityTopic/AdviceDetail/8f80a7ec-911f-4c4d-a123-f8849880f045" </w:instrText>
      </w:r>
      <w:r>
        <w:rPr>
          <w:bCs/>
          <w:color w:val="auto"/>
          <w:highlight w:val="none"/>
          <w:u w:val="single"/>
        </w:rPr>
        <w:fldChar w:fldCharType="separate"/>
      </w:r>
      <w:r>
        <w:rPr>
          <w:rStyle w:val="54"/>
          <w:bCs/>
          <w:color w:val="auto"/>
          <w:highlight w:val="none"/>
        </w:rPr>
        <w:t>http://www.youzhicai.com/ActivityTopic/AdviceDetail/8f80a7ec-911f-4c4d-a123-f</w:t>
      </w:r>
      <w:bookmarkStart w:id="743" w:name="_Hlt105085547"/>
      <w:bookmarkStart w:id="744" w:name="_Hlt105085548"/>
      <w:r>
        <w:rPr>
          <w:rStyle w:val="54"/>
          <w:bCs/>
          <w:color w:val="auto"/>
          <w:highlight w:val="none"/>
        </w:rPr>
        <w:t>8</w:t>
      </w:r>
      <w:bookmarkEnd w:id="743"/>
      <w:bookmarkEnd w:id="744"/>
      <w:r>
        <w:rPr>
          <w:rStyle w:val="54"/>
          <w:bCs/>
          <w:color w:val="auto"/>
          <w:highlight w:val="none"/>
        </w:rPr>
        <w:t>849880f045</w:t>
      </w:r>
      <w:r>
        <w:rPr>
          <w:bCs/>
          <w:color w:val="auto"/>
          <w:highlight w:val="none"/>
          <w:u w:val="single"/>
        </w:rPr>
        <w:fldChar w:fldCharType="end"/>
      </w:r>
      <w:r>
        <w:rPr>
          <w:bCs/>
          <w:color w:val="auto"/>
          <w:highlight w:val="none"/>
        </w:rPr>
        <w:t>。</w:t>
      </w:r>
    </w:p>
    <w:p w14:paraId="0779572D">
      <w:pPr>
        <w:spacing w:line="400" w:lineRule="exact"/>
        <w:ind w:firstLine="420" w:firstLineChars="200"/>
        <w:rPr>
          <w:color w:val="auto"/>
          <w:highlight w:val="none"/>
        </w:rPr>
      </w:pPr>
      <w:r>
        <w:rPr>
          <w:rFonts w:ascii="宋体" w:hAnsi="宋体"/>
          <w:color w:val="auto"/>
          <w:szCs w:val="24"/>
          <w:highlight w:val="none"/>
        </w:rPr>
        <w:t>3.</w:t>
      </w:r>
      <w:r>
        <w:rPr>
          <w:rFonts w:hint="eastAsia" w:ascii="宋体" w:hAnsi="宋体"/>
          <w:color w:val="auto"/>
          <w:szCs w:val="24"/>
          <w:highlight w:val="none"/>
        </w:rPr>
        <w:t>CA</w:t>
      </w:r>
      <w:r>
        <w:rPr>
          <w:rFonts w:hint="eastAsia"/>
          <w:color w:val="auto"/>
          <w:highlight w:val="none"/>
        </w:rPr>
        <w:t>证书</w:t>
      </w:r>
      <w:r>
        <w:rPr>
          <w:rFonts w:hint="eastAsia" w:ascii="宋体" w:hAnsi="宋体"/>
          <w:color w:val="auto"/>
          <w:szCs w:val="24"/>
          <w:highlight w:val="none"/>
        </w:rPr>
        <w:t>到期或即将到期，须在递交投标文件前办理续期。</w:t>
      </w:r>
    </w:p>
    <w:p w14:paraId="26B69A36">
      <w:pPr>
        <w:spacing w:line="400" w:lineRule="exact"/>
        <w:ind w:firstLine="420"/>
        <w:rPr>
          <w:color w:val="auto"/>
          <w:highlight w:val="none"/>
        </w:rPr>
      </w:pPr>
      <w:r>
        <w:rPr>
          <w:rFonts w:hint="eastAsia" w:ascii="宋体" w:hAnsi="宋体"/>
          <w:color w:val="auto"/>
          <w:szCs w:val="24"/>
          <w:highlight w:val="none"/>
        </w:rPr>
        <w:t>4</w:t>
      </w:r>
      <w:r>
        <w:rPr>
          <w:rFonts w:ascii="宋体" w:hAnsi="宋体"/>
          <w:color w:val="auto"/>
          <w:szCs w:val="24"/>
          <w:highlight w:val="none"/>
        </w:rPr>
        <w:t>.</w:t>
      </w:r>
      <w:r>
        <w:rPr>
          <w:rFonts w:hint="eastAsia" w:ascii="宋体" w:hAnsi="宋体"/>
          <w:color w:val="auto"/>
          <w:szCs w:val="24"/>
          <w:highlight w:val="none"/>
        </w:rPr>
        <w:t>CA锁</w:t>
      </w:r>
      <w:r>
        <w:rPr>
          <w:rFonts w:hint="eastAsia"/>
          <w:color w:val="auto"/>
          <w:highlight w:val="none"/>
        </w:rPr>
        <w:t>遗失、损坏等无法使用，须在递交投标文件前补办CA锁。</w:t>
      </w:r>
    </w:p>
    <w:p w14:paraId="21B4CC4D">
      <w:pPr>
        <w:spacing w:line="400" w:lineRule="exact"/>
        <w:ind w:firstLine="420"/>
        <w:rPr>
          <w:color w:val="auto"/>
          <w:highlight w:val="none"/>
        </w:rPr>
      </w:pPr>
      <w:r>
        <w:rPr>
          <w:rFonts w:ascii="宋体" w:hAnsi="宋体"/>
          <w:color w:val="auto"/>
          <w:szCs w:val="24"/>
          <w:highlight w:val="none"/>
        </w:rPr>
        <w:t>5.</w:t>
      </w:r>
      <w:r>
        <w:rPr>
          <w:rFonts w:hint="eastAsia" w:ascii="宋体" w:hAnsi="宋体"/>
          <w:color w:val="auto"/>
          <w:szCs w:val="24"/>
          <w:highlight w:val="none"/>
        </w:rPr>
        <w:t>企业</w:t>
      </w:r>
      <w:r>
        <w:rPr>
          <w:rFonts w:hint="eastAsia"/>
          <w:color w:val="auto"/>
          <w:highlight w:val="none"/>
        </w:rPr>
        <w:t>信息（包括但不限于企业名称和法定代表人信息）发生变更的，须在递交投标文件前变更CA证书。</w:t>
      </w:r>
    </w:p>
    <w:p w14:paraId="634A8C46">
      <w:pPr>
        <w:spacing w:line="400" w:lineRule="exact"/>
        <w:rPr>
          <w:rFonts w:ascii="宋体" w:hAnsi="宋体"/>
          <w:color w:val="auto"/>
          <w:szCs w:val="24"/>
          <w:highlight w:val="none"/>
        </w:rPr>
      </w:pPr>
      <w:r>
        <w:rPr>
          <w:rFonts w:ascii="宋体" w:hAnsi="宋体"/>
          <w:color w:val="auto"/>
          <w:szCs w:val="24"/>
          <w:highlight w:val="none"/>
        </w:rPr>
        <w:tab/>
      </w:r>
      <w:r>
        <w:rPr>
          <w:rFonts w:ascii="宋体" w:hAnsi="宋体"/>
          <w:color w:val="auto"/>
          <w:szCs w:val="24"/>
          <w:highlight w:val="none"/>
        </w:rPr>
        <w:t>6.</w:t>
      </w:r>
      <w:r>
        <w:rPr>
          <w:rFonts w:hint="eastAsia" w:ascii="宋体" w:hAnsi="宋体"/>
          <w:color w:val="auto"/>
          <w:szCs w:val="24"/>
          <w:highlight w:val="none"/>
        </w:rPr>
        <w:t>投标人由于</w:t>
      </w:r>
      <w:r>
        <w:rPr>
          <w:rFonts w:hint="eastAsia"/>
          <w:color w:val="auto"/>
          <w:highlight w:val="none"/>
        </w:rPr>
        <w:t>CA证书</w:t>
      </w:r>
      <w:r>
        <w:rPr>
          <w:rFonts w:hint="eastAsia" w:ascii="宋体" w:hAnsi="宋体"/>
          <w:color w:val="auto"/>
          <w:szCs w:val="24"/>
          <w:highlight w:val="none"/>
        </w:rPr>
        <w:t>遗失、损坏、更换、续期、企业信息变更等情况导致投标文件无法解密的，由投标人自行承担责任；</w:t>
      </w:r>
    </w:p>
    <w:p w14:paraId="050DB67A">
      <w:pPr>
        <w:spacing w:line="400" w:lineRule="exact"/>
        <w:ind w:firstLine="420" w:firstLineChars="200"/>
        <w:rPr>
          <w:rFonts w:ascii="宋体" w:hAnsi="宋体"/>
          <w:color w:val="auto"/>
          <w:szCs w:val="24"/>
          <w:highlight w:val="none"/>
        </w:rPr>
      </w:pPr>
      <w:r>
        <w:rPr>
          <w:rFonts w:ascii="宋体" w:hAnsi="宋体"/>
          <w:color w:val="auto"/>
          <w:szCs w:val="24"/>
          <w:highlight w:val="none"/>
        </w:rPr>
        <w:t>7.</w:t>
      </w:r>
      <w:r>
        <w:rPr>
          <w:rFonts w:hint="eastAsia" w:ascii="宋体" w:hAnsi="宋体"/>
          <w:color w:val="auto"/>
          <w:szCs w:val="24"/>
          <w:highlight w:val="none"/>
        </w:rPr>
        <w:t>加密和解密投标文件</w:t>
      </w:r>
      <w:r>
        <w:rPr>
          <w:rFonts w:hint="eastAsia"/>
          <w:color w:val="auto"/>
          <w:highlight w:val="none"/>
        </w:rPr>
        <w:t>必须使用同一个CA证书</w:t>
      </w:r>
      <w:r>
        <w:rPr>
          <w:rFonts w:hint="eastAsia" w:ascii="宋体" w:hAnsi="宋体"/>
          <w:color w:val="auto"/>
          <w:szCs w:val="24"/>
          <w:highlight w:val="none"/>
        </w:rPr>
        <w:t>。</w:t>
      </w:r>
    </w:p>
    <w:p w14:paraId="3399C630">
      <w:pPr>
        <w:spacing w:line="400" w:lineRule="exact"/>
        <w:ind w:firstLine="420" w:firstLineChars="200"/>
        <w:rPr>
          <w:rFonts w:ascii="黑体" w:hAnsi="黑体" w:eastAsia="黑体"/>
          <w:color w:val="auto"/>
          <w:szCs w:val="24"/>
          <w:highlight w:val="none"/>
        </w:rPr>
      </w:pPr>
      <w:r>
        <w:rPr>
          <w:rFonts w:hint="eastAsia" w:ascii="黑体" w:hAnsi="黑体" w:eastAsia="黑体"/>
          <w:color w:val="auto"/>
          <w:szCs w:val="24"/>
          <w:highlight w:val="none"/>
        </w:rPr>
        <w:t>二</w:t>
      </w:r>
      <w:r>
        <w:rPr>
          <w:rFonts w:ascii="黑体" w:hAnsi="黑体" w:eastAsia="黑体"/>
          <w:color w:val="auto"/>
          <w:szCs w:val="24"/>
          <w:highlight w:val="none"/>
        </w:rPr>
        <w:t>、制作、签章、加密、上传电子投标文件</w:t>
      </w:r>
    </w:p>
    <w:p w14:paraId="5ABE9429">
      <w:pPr>
        <w:spacing w:line="400" w:lineRule="exact"/>
        <w:ind w:firstLine="420" w:firstLineChars="200"/>
        <w:rPr>
          <w:rStyle w:val="54"/>
          <w:color w:val="auto"/>
          <w:highlight w:val="none"/>
        </w:rPr>
      </w:pPr>
      <w:r>
        <w:rPr>
          <w:rFonts w:ascii="宋体" w:hAnsi="宋体"/>
          <w:color w:val="auto"/>
          <w:szCs w:val="24"/>
          <w:highlight w:val="none"/>
        </w:rPr>
        <w:t>8.</w:t>
      </w:r>
      <w:r>
        <w:rPr>
          <w:rFonts w:hint="eastAsia" w:ascii="宋体" w:hAnsi="宋体"/>
          <w:color w:val="auto"/>
          <w:szCs w:val="24"/>
          <w:highlight w:val="none"/>
        </w:rPr>
        <w:t>本项目采用全流程电子化招标采购方式，潜在</w:t>
      </w:r>
      <w:r>
        <w:rPr>
          <w:rFonts w:hint="eastAsia"/>
          <w:color w:val="auto"/>
          <w:highlight w:val="none"/>
        </w:rPr>
        <w:t>投标人需使用</w:t>
      </w:r>
      <w:r>
        <w:rPr>
          <w:rFonts w:hint="eastAsia" w:ascii="宋体" w:hAnsi="宋体"/>
          <w:color w:val="auto"/>
          <w:szCs w:val="24"/>
          <w:highlight w:val="none"/>
        </w:rPr>
        <w:t>“</w:t>
      </w:r>
      <w:r>
        <w:rPr>
          <w:rFonts w:ascii="宋体" w:hAnsi="宋体"/>
          <w:color w:val="auto"/>
          <w:szCs w:val="24"/>
          <w:highlight w:val="none"/>
        </w:rPr>
        <w:t>优质采投标工具</w:t>
      </w:r>
      <w:r>
        <w:rPr>
          <w:rFonts w:hint="eastAsia" w:ascii="宋体" w:hAnsi="宋体"/>
          <w:color w:val="auto"/>
          <w:szCs w:val="24"/>
          <w:highlight w:val="none"/>
        </w:rPr>
        <w:t>客户端”（以下简称“投标工具”）制作</w:t>
      </w:r>
      <w:r>
        <w:rPr>
          <w:color w:val="auto"/>
          <w:highlight w:val="none"/>
        </w:rPr>
        <w:t>电子投标文件</w:t>
      </w:r>
      <w:r>
        <w:rPr>
          <w:rFonts w:hint="eastAsia"/>
          <w:color w:val="auto"/>
          <w:highlight w:val="none"/>
        </w:rPr>
        <w:t>，</w:t>
      </w:r>
      <w:r>
        <w:rPr>
          <w:rFonts w:hint="eastAsia" w:ascii="宋体" w:hAnsi="宋体"/>
          <w:color w:val="auto"/>
          <w:szCs w:val="24"/>
          <w:highlight w:val="none"/>
        </w:rPr>
        <w:t>投标工具及操作说明下载地址：</w:t>
      </w:r>
      <w:r>
        <w:rPr>
          <w:rStyle w:val="54"/>
          <w:rFonts w:hint="eastAsia"/>
          <w:color w:val="auto"/>
          <w:highlight w:val="none"/>
        </w:rPr>
        <w:fldChar w:fldCharType="begin"/>
      </w:r>
      <w:r>
        <w:rPr>
          <w:rStyle w:val="54"/>
          <w:rFonts w:hint="eastAsia"/>
          <w:color w:val="auto"/>
          <w:highlight w:val="none"/>
        </w:rPr>
        <w:instrText xml:space="preserve"> HYPERLINK "https://toolcdn.youzhicai.com/tools/BidderTools.zip" </w:instrText>
      </w:r>
      <w:r>
        <w:rPr>
          <w:rStyle w:val="54"/>
          <w:rFonts w:hint="eastAsia"/>
          <w:color w:val="auto"/>
          <w:highlight w:val="none"/>
        </w:rPr>
        <w:fldChar w:fldCharType="separate"/>
      </w:r>
      <w:r>
        <w:rPr>
          <w:rStyle w:val="54"/>
          <w:rFonts w:hint="eastAsia"/>
          <w:color w:val="auto"/>
          <w:highlight w:val="none"/>
        </w:rPr>
        <w:t>https://toolcdn.youzhicai.com/tools/BidderTools.zip</w:t>
      </w:r>
      <w:r>
        <w:rPr>
          <w:rStyle w:val="54"/>
          <w:rFonts w:hint="eastAsia"/>
          <w:color w:val="auto"/>
          <w:highlight w:val="none"/>
        </w:rPr>
        <w:fldChar w:fldCharType="end"/>
      </w:r>
      <w:r>
        <w:rPr>
          <w:rStyle w:val="54"/>
          <w:rFonts w:hint="eastAsia"/>
          <w:color w:val="auto"/>
          <w:highlight w:val="none"/>
        </w:rPr>
        <w:t>。</w:t>
      </w:r>
    </w:p>
    <w:p w14:paraId="5047C33A">
      <w:pPr>
        <w:spacing w:line="400" w:lineRule="exact"/>
        <w:ind w:firstLine="420" w:firstLineChars="200"/>
        <w:rPr>
          <w:rStyle w:val="54"/>
          <w:color w:val="auto"/>
          <w:highlight w:val="none"/>
          <w:u w:val="none"/>
        </w:rPr>
      </w:pPr>
      <w:r>
        <w:rPr>
          <w:rStyle w:val="54"/>
          <w:color w:val="auto"/>
          <w:highlight w:val="none"/>
          <w:u w:val="none"/>
        </w:rPr>
        <w:tab/>
      </w:r>
      <w:r>
        <w:rPr>
          <w:rStyle w:val="54"/>
          <w:color w:val="auto"/>
          <w:highlight w:val="none"/>
          <w:u w:val="none"/>
        </w:rPr>
        <w:t>8.1.投标工具建议在window7或windows10操作系统下使用；</w:t>
      </w:r>
    </w:p>
    <w:p w14:paraId="3B0467F4">
      <w:pPr>
        <w:spacing w:line="400" w:lineRule="exact"/>
        <w:ind w:firstLine="420" w:firstLineChars="200"/>
        <w:rPr>
          <w:rFonts w:hint="eastAsia"/>
          <w:bCs/>
          <w:color w:val="auto"/>
          <w:sz w:val="18"/>
          <w:highlight w:val="none"/>
        </w:rPr>
      </w:pPr>
      <w:r>
        <w:rPr>
          <w:rStyle w:val="54"/>
          <w:color w:val="auto"/>
          <w:highlight w:val="none"/>
          <w:u w:val="none"/>
        </w:rPr>
        <w:tab/>
      </w:r>
      <w:r>
        <w:rPr>
          <w:rStyle w:val="54"/>
          <w:color w:val="auto"/>
          <w:highlight w:val="none"/>
          <w:u w:val="none"/>
        </w:rPr>
        <w:t>8.2.电子投标文件编制建议使用</w:t>
      </w:r>
      <w:r>
        <w:rPr>
          <w:color w:val="auto"/>
          <w:highlight w:val="none"/>
        </w:rPr>
        <w:t>office2010版本。</w:t>
      </w:r>
    </w:p>
    <w:p w14:paraId="7031680A">
      <w:pPr>
        <w:wordWrap w:val="0"/>
        <w:spacing w:line="400" w:lineRule="exact"/>
        <w:rPr>
          <w:bCs/>
          <w:color w:val="auto"/>
          <w:highlight w:val="none"/>
          <w:u w:val="single"/>
        </w:rPr>
      </w:pPr>
      <w:r>
        <w:rPr>
          <w:rFonts w:ascii="宋体" w:hAnsi="宋体"/>
          <w:color w:val="auto"/>
          <w:szCs w:val="24"/>
          <w:highlight w:val="none"/>
        </w:rPr>
        <w:tab/>
      </w:r>
      <w:r>
        <w:rPr>
          <w:rFonts w:hint="eastAsia" w:ascii="宋体" w:hAnsi="宋体"/>
          <w:color w:val="auto"/>
          <w:szCs w:val="24"/>
          <w:highlight w:val="none"/>
        </w:rPr>
        <w:t>9</w:t>
      </w:r>
      <w:r>
        <w:rPr>
          <w:rFonts w:ascii="宋体" w:hAnsi="宋体"/>
          <w:color w:val="auto"/>
          <w:szCs w:val="24"/>
          <w:highlight w:val="none"/>
        </w:rPr>
        <w:t>.</w:t>
      </w:r>
      <w:r>
        <w:rPr>
          <w:rFonts w:hint="eastAsia"/>
          <w:color w:val="auto"/>
          <w:highlight w:val="none"/>
        </w:rPr>
        <w:t>潜在投标人制作电子投标文件后，需在</w:t>
      </w:r>
      <w:r>
        <w:rPr>
          <w:rFonts w:hint="eastAsia" w:ascii="宋体" w:hAnsi="宋体"/>
          <w:color w:val="auto"/>
          <w:szCs w:val="24"/>
          <w:highlight w:val="none"/>
        </w:rPr>
        <w:t>投标工具</w:t>
      </w:r>
      <w:r>
        <w:rPr>
          <w:rFonts w:hint="eastAsia"/>
          <w:color w:val="auto"/>
          <w:highlight w:val="none"/>
        </w:rPr>
        <w:t>对</w:t>
      </w:r>
      <w:r>
        <w:rPr>
          <w:color w:val="auto"/>
          <w:highlight w:val="none"/>
        </w:rPr>
        <w:t>电子</w:t>
      </w:r>
      <w:r>
        <w:rPr>
          <w:rFonts w:hint="eastAsia"/>
          <w:color w:val="auto"/>
          <w:highlight w:val="none"/>
        </w:rPr>
        <w:t>投标文件进行电子签章（项目有特殊说明的除外），并使用CA</w:t>
      </w:r>
      <w:r>
        <w:rPr>
          <w:rFonts w:hint="eastAsia" w:ascii="宋体" w:hAnsi="宋体"/>
          <w:color w:val="auto"/>
          <w:szCs w:val="24"/>
          <w:highlight w:val="none"/>
        </w:rPr>
        <w:t>证书进行</w:t>
      </w:r>
      <w:r>
        <w:rPr>
          <w:rFonts w:hint="eastAsia"/>
          <w:color w:val="auto"/>
          <w:highlight w:val="none"/>
        </w:rPr>
        <w:t>加密。在</w:t>
      </w:r>
      <w:r>
        <w:rPr>
          <w:rFonts w:hint="eastAsia" w:ascii="宋体" w:hAnsi="宋体"/>
          <w:color w:val="auto"/>
          <w:szCs w:val="24"/>
          <w:highlight w:val="none"/>
        </w:rPr>
        <w:t>投标工具使用</w:t>
      </w:r>
      <w:r>
        <w:rPr>
          <w:rFonts w:ascii="宋体" w:hAnsi="宋体"/>
          <w:color w:val="auto"/>
          <w:szCs w:val="24"/>
          <w:highlight w:val="none"/>
        </w:rPr>
        <w:t>CA证书</w:t>
      </w:r>
      <w:r>
        <w:rPr>
          <w:rFonts w:hint="eastAsia"/>
          <w:color w:val="auto"/>
          <w:highlight w:val="none"/>
        </w:rPr>
        <w:t>时需安装“优质采数字证书助手”</w:t>
      </w:r>
      <w:r>
        <w:rPr>
          <w:rFonts w:hint="eastAsia" w:ascii="宋体" w:hAnsi="宋体"/>
          <w:color w:val="auto"/>
          <w:szCs w:val="24"/>
          <w:highlight w:val="none"/>
        </w:rPr>
        <w:t xml:space="preserve"> （即数字证书驱动）</w:t>
      </w:r>
      <w:r>
        <w:rPr>
          <w:rFonts w:hint="eastAsia"/>
          <w:color w:val="auto"/>
          <w:highlight w:val="none"/>
        </w:rPr>
        <w:t>，下载地址：</w:t>
      </w:r>
      <w:r>
        <w:rPr>
          <w:rStyle w:val="54"/>
          <w:rFonts w:hint="eastAsia"/>
          <w:color w:val="auto"/>
          <w:highlight w:val="none"/>
        </w:rPr>
        <w:fldChar w:fldCharType="begin"/>
      </w:r>
      <w:r>
        <w:rPr>
          <w:rStyle w:val="54"/>
          <w:rFonts w:hint="eastAsia"/>
          <w:color w:val="auto"/>
          <w:highlight w:val="none"/>
        </w:rPr>
        <w:instrText xml:space="preserve"> HYPERLINK "https://toolcdn.youzhicai.com/ca.zip" </w:instrText>
      </w:r>
      <w:r>
        <w:rPr>
          <w:rStyle w:val="54"/>
          <w:rFonts w:hint="eastAsia"/>
          <w:color w:val="auto"/>
          <w:highlight w:val="none"/>
        </w:rPr>
        <w:fldChar w:fldCharType="separate"/>
      </w:r>
      <w:r>
        <w:rPr>
          <w:rStyle w:val="54"/>
          <w:rFonts w:hint="eastAsia"/>
          <w:color w:val="auto"/>
          <w:highlight w:val="none"/>
        </w:rPr>
        <w:t>https://toolcdn.youzhicai.com/ca.zip</w:t>
      </w:r>
      <w:r>
        <w:rPr>
          <w:rStyle w:val="54"/>
          <w:rFonts w:hint="eastAsia"/>
          <w:color w:val="auto"/>
          <w:highlight w:val="none"/>
        </w:rPr>
        <w:fldChar w:fldCharType="end"/>
      </w:r>
      <w:r>
        <w:rPr>
          <w:rStyle w:val="54"/>
          <w:rFonts w:hint="eastAsia"/>
          <w:color w:val="auto"/>
          <w:highlight w:val="none"/>
        </w:rPr>
        <w:t>。</w:t>
      </w:r>
    </w:p>
    <w:p w14:paraId="51D349DC">
      <w:pPr>
        <w:wordWrap w:val="0"/>
        <w:spacing w:line="400" w:lineRule="exact"/>
        <w:rPr>
          <w:rFonts w:ascii="宋体" w:hAnsi="宋体"/>
          <w:color w:val="auto"/>
          <w:szCs w:val="24"/>
          <w:highlight w:val="none"/>
        </w:rPr>
      </w:pPr>
      <w:r>
        <w:rPr>
          <w:color w:val="auto"/>
          <w:highlight w:val="none"/>
        </w:rPr>
        <w:tab/>
      </w:r>
      <w:r>
        <w:rPr>
          <w:rFonts w:ascii="宋体" w:hAnsi="宋体"/>
          <w:color w:val="auto"/>
          <w:szCs w:val="24"/>
          <w:highlight w:val="none"/>
        </w:rPr>
        <w:t>10.</w:t>
      </w:r>
      <w:r>
        <w:rPr>
          <w:rFonts w:hint="eastAsia" w:ascii="宋体" w:hAnsi="宋体"/>
          <w:color w:val="auto"/>
          <w:szCs w:val="24"/>
          <w:highlight w:val="none"/>
        </w:rPr>
        <w:t>潜在投标人完成制作、签章、加密投标文件后，需在</w:t>
      </w:r>
      <w:r>
        <w:rPr>
          <w:rFonts w:hint="eastAsia"/>
          <w:color w:val="auto"/>
          <w:highlight w:val="none"/>
        </w:rPr>
        <w:t>招标文件规定的投标截止时间前在</w:t>
      </w:r>
      <w:r>
        <w:rPr>
          <w:rFonts w:hint="eastAsia" w:ascii="宋体" w:hAnsi="宋体"/>
          <w:color w:val="auto"/>
          <w:szCs w:val="24"/>
          <w:highlight w:val="none"/>
        </w:rPr>
        <w:t>投标工具</w:t>
      </w:r>
      <w:r>
        <w:rPr>
          <w:rFonts w:hint="eastAsia"/>
          <w:color w:val="auto"/>
          <w:highlight w:val="none"/>
        </w:rPr>
        <w:t>完成上传。</w:t>
      </w:r>
      <w:r>
        <w:rPr>
          <w:rFonts w:hint="eastAsia" w:ascii="宋体" w:hAnsi="宋体"/>
          <w:color w:val="auto"/>
          <w:szCs w:val="24"/>
          <w:highlight w:val="none"/>
        </w:rPr>
        <w:t>投标截止时间以优质采云采购平台（</w:t>
      </w:r>
      <w:r>
        <w:rPr>
          <w:rFonts w:ascii="宋体" w:hAnsi="宋体"/>
          <w:color w:val="auto"/>
          <w:szCs w:val="24"/>
          <w:highlight w:val="none"/>
        </w:rPr>
        <w:t>www.youzhicai.com</w:t>
      </w:r>
      <w:r>
        <w:rPr>
          <w:rFonts w:hint="eastAsia" w:ascii="宋体" w:hAnsi="宋体"/>
          <w:color w:val="auto"/>
          <w:szCs w:val="24"/>
          <w:highlight w:val="none"/>
        </w:rPr>
        <w:t>）系统的时间为准，如未在投标截止时间前完成电子投标文件上传，系统将自动关闭上传通道。潜在投标人未完成电子投标文件上传的，视为没有递交投标文件。</w:t>
      </w:r>
    </w:p>
    <w:p w14:paraId="32A172F3">
      <w:pPr>
        <w:wordWrap w:val="0"/>
        <w:spacing w:line="400" w:lineRule="exact"/>
        <w:ind w:firstLine="420"/>
        <w:rPr>
          <w:rFonts w:ascii="宋体" w:hAnsi="宋体"/>
          <w:color w:val="auto"/>
          <w:szCs w:val="24"/>
          <w:highlight w:val="none"/>
        </w:rPr>
      </w:pPr>
      <w:r>
        <w:rPr>
          <w:rFonts w:hint="eastAsia" w:ascii="宋体" w:hAnsi="宋体"/>
          <w:color w:val="auto"/>
          <w:szCs w:val="24"/>
          <w:highlight w:val="none"/>
        </w:rPr>
        <w:t>1</w:t>
      </w:r>
      <w:r>
        <w:rPr>
          <w:rFonts w:ascii="宋体" w:hAnsi="宋体"/>
          <w:color w:val="auto"/>
          <w:szCs w:val="24"/>
          <w:highlight w:val="none"/>
        </w:rPr>
        <w:t>1.</w:t>
      </w:r>
      <w:r>
        <w:rPr>
          <w:rFonts w:hint="eastAsia" w:ascii="宋体" w:hAnsi="宋体"/>
          <w:color w:val="auto"/>
          <w:szCs w:val="24"/>
          <w:highlight w:val="none"/>
        </w:rPr>
        <w:t>潜在投标人在投标文件递交截止时间前，可以对其所递交的电子投标文件进行撤回，修改后重新上传。</w:t>
      </w:r>
    </w:p>
    <w:p w14:paraId="7E73D096">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1</w:t>
      </w:r>
      <w:r>
        <w:rPr>
          <w:rFonts w:ascii="宋体" w:hAnsi="宋体"/>
          <w:color w:val="auto"/>
          <w:szCs w:val="24"/>
          <w:highlight w:val="none"/>
        </w:rPr>
        <w:t>2.</w:t>
      </w:r>
      <w:r>
        <w:rPr>
          <w:rFonts w:hint="eastAsia" w:ascii="宋体" w:hAnsi="宋体"/>
          <w:color w:val="auto"/>
          <w:szCs w:val="24"/>
          <w:highlight w:val="none"/>
        </w:rPr>
        <w:t>潜在投标人在制作、签章、加密、上传电子投标文件过程中，若存在技术操作问题，请及时联系优质采云采购平台客服人员，客服电话：</w:t>
      </w:r>
      <w:r>
        <w:rPr>
          <w:rFonts w:ascii="宋体" w:hAnsi="宋体"/>
          <w:color w:val="auto"/>
          <w:szCs w:val="24"/>
          <w:highlight w:val="none"/>
        </w:rPr>
        <w:t>400-0099-555</w:t>
      </w:r>
      <w:r>
        <w:rPr>
          <w:rFonts w:hint="eastAsia" w:ascii="宋体" w:hAnsi="宋体"/>
          <w:color w:val="auto"/>
          <w:szCs w:val="24"/>
          <w:highlight w:val="none"/>
        </w:rPr>
        <w:t>，</w:t>
      </w:r>
      <w:r>
        <w:rPr>
          <w:rFonts w:ascii="宋体" w:hAnsi="宋体"/>
          <w:color w:val="auto"/>
          <w:szCs w:val="24"/>
          <w:highlight w:val="none"/>
        </w:rPr>
        <w:t>0551-62220164</w:t>
      </w:r>
      <w:r>
        <w:rPr>
          <w:rFonts w:hint="eastAsia" w:ascii="宋体" w:hAnsi="宋体"/>
          <w:color w:val="auto"/>
          <w:szCs w:val="24"/>
          <w:highlight w:val="none"/>
        </w:rPr>
        <w:t>。</w:t>
      </w:r>
    </w:p>
    <w:p w14:paraId="4BE16CF4">
      <w:pPr>
        <w:spacing w:line="400" w:lineRule="exact"/>
        <w:ind w:firstLine="420" w:firstLineChars="200"/>
        <w:rPr>
          <w:rFonts w:ascii="黑体" w:hAnsi="黑体" w:eastAsia="黑体"/>
          <w:color w:val="auto"/>
          <w:szCs w:val="24"/>
          <w:highlight w:val="none"/>
        </w:rPr>
      </w:pPr>
      <w:r>
        <w:rPr>
          <w:rFonts w:hint="eastAsia" w:ascii="黑体" w:hAnsi="黑体" w:eastAsia="黑体"/>
          <w:color w:val="auto"/>
          <w:szCs w:val="24"/>
          <w:highlight w:val="none"/>
        </w:rPr>
        <w:t>三</w:t>
      </w:r>
      <w:r>
        <w:rPr>
          <w:rFonts w:ascii="黑体" w:hAnsi="黑体" w:eastAsia="黑体"/>
          <w:color w:val="auto"/>
          <w:szCs w:val="24"/>
          <w:highlight w:val="none"/>
        </w:rPr>
        <w:t>、</w:t>
      </w:r>
      <w:r>
        <w:rPr>
          <w:rFonts w:hint="eastAsia" w:ascii="黑体" w:hAnsi="黑体" w:eastAsia="黑体"/>
          <w:color w:val="auto"/>
          <w:szCs w:val="24"/>
          <w:highlight w:val="none"/>
        </w:rPr>
        <w:t>开标</w:t>
      </w:r>
      <w:r>
        <w:rPr>
          <w:rFonts w:ascii="黑体" w:hAnsi="黑体" w:eastAsia="黑体"/>
          <w:color w:val="auto"/>
          <w:szCs w:val="24"/>
          <w:highlight w:val="none"/>
        </w:rPr>
        <w:t>和解密</w:t>
      </w:r>
    </w:p>
    <w:p w14:paraId="75F22421">
      <w:pPr>
        <w:spacing w:line="400" w:lineRule="exact"/>
        <w:ind w:firstLine="420" w:firstLineChars="200"/>
        <w:rPr>
          <w:rFonts w:ascii="宋体" w:hAnsi="宋体"/>
          <w:color w:val="auto"/>
          <w:szCs w:val="24"/>
          <w:highlight w:val="none"/>
        </w:rPr>
      </w:pPr>
      <w:r>
        <w:rPr>
          <w:rFonts w:ascii="宋体" w:hAnsi="宋体"/>
          <w:color w:val="auto"/>
          <w:szCs w:val="24"/>
          <w:highlight w:val="none"/>
        </w:rPr>
        <w:t>13.</w:t>
      </w:r>
      <w:r>
        <w:rPr>
          <w:rFonts w:hint="eastAsia" w:ascii="宋体" w:hAnsi="宋体"/>
          <w:color w:val="auto"/>
          <w:szCs w:val="24"/>
          <w:highlight w:val="none"/>
        </w:rPr>
        <w:t>招标人或招标代理机构工作人员（以下简称工作人员）根据有关规定登录系统组织开标。投标文件递交截止时间后由投标人使用</w:t>
      </w:r>
      <w:r>
        <w:rPr>
          <w:rFonts w:hint="eastAsia"/>
          <w:color w:val="auto"/>
          <w:highlight w:val="none"/>
        </w:rPr>
        <w:t>CA证书</w:t>
      </w:r>
      <w:r>
        <w:rPr>
          <w:rFonts w:hint="eastAsia" w:ascii="宋体" w:hAnsi="宋体"/>
          <w:color w:val="auto"/>
          <w:szCs w:val="24"/>
          <w:highlight w:val="none"/>
        </w:rPr>
        <w:t>解密投标文件，工作人员导入已解密投标文件并公布开标结果。</w:t>
      </w:r>
    </w:p>
    <w:p w14:paraId="54BA7600">
      <w:pPr>
        <w:spacing w:line="400" w:lineRule="exact"/>
        <w:ind w:firstLine="420" w:firstLineChars="200"/>
        <w:rPr>
          <w:rFonts w:ascii="宋体" w:hAnsi="宋体"/>
          <w:color w:val="auto"/>
          <w:szCs w:val="24"/>
          <w:highlight w:val="none"/>
        </w:rPr>
      </w:pPr>
      <w:r>
        <w:rPr>
          <w:rFonts w:ascii="宋体" w:hAnsi="宋体"/>
          <w:color w:val="auto"/>
          <w:szCs w:val="24"/>
          <w:highlight w:val="none"/>
        </w:rPr>
        <w:t>14.</w:t>
      </w:r>
      <w:r>
        <w:rPr>
          <w:rFonts w:hint="eastAsia" w:ascii="宋体" w:hAnsi="宋体"/>
          <w:color w:val="auto"/>
          <w:szCs w:val="24"/>
          <w:highlight w:val="none"/>
        </w:rPr>
        <w:t>投标文件可远程解密，投标人无需到达开标现场。招标文件“投标人须知”中另有规定的，从其规定。</w:t>
      </w:r>
    </w:p>
    <w:p w14:paraId="6CC4132B">
      <w:pPr>
        <w:spacing w:line="400" w:lineRule="exact"/>
        <w:ind w:firstLine="420" w:firstLineChars="200"/>
        <w:rPr>
          <w:rFonts w:ascii="宋体" w:hAnsi="宋体"/>
          <w:color w:val="auto"/>
          <w:szCs w:val="24"/>
          <w:highlight w:val="none"/>
        </w:rPr>
      </w:pPr>
      <w:r>
        <w:rPr>
          <w:rFonts w:ascii="宋体" w:hAnsi="宋体"/>
          <w:color w:val="auto"/>
          <w:szCs w:val="24"/>
          <w:highlight w:val="none"/>
        </w:rPr>
        <w:t>15.</w:t>
      </w:r>
      <w:r>
        <w:rPr>
          <w:rFonts w:hint="eastAsia" w:ascii="宋体" w:hAnsi="宋体"/>
          <w:color w:val="auto"/>
          <w:szCs w:val="24"/>
          <w:highlight w:val="none"/>
        </w:rPr>
        <w:t>潜在投标人须按照招标文件的要求在投标文件递交截止时间前登录投标工具并保持在线，关注开标互动大厅消息直到项目评审结束。</w:t>
      </w:r>
    </w:p>
    <w:p w14:paraId="33B705AD">
      <w:pPr>
        <w:spacing w:line="400" w:lineRule="exact"/>
        <w:ind w:firstLine="420" w:firstLineChars="200"/>
        <w:rPr>
          <w:rFonts w:ascii="宋体" w:hAnsi="宋体"/>
          <w:color w:val="auto"/>
          <w:szCs w:val="24"/>
          <w:highlight w:val="none"/>
        </w:rPr>
      </w:pPr>
      <w:r>
        <w:rPr>
          <w:rFonts w:ascii="宋体" w:hAnsi="宋体"/>
          <w:color w:val="auto"/>
          <w:szCs w:val="24"/>
          <w:highlight w:val="none"/>
        </w:rPr>
        <w:t>16.</w:t>
      </w:r>
      <w:r>
        <w:rPr>
          <w:rFonts w:hint="eastAsia" w:ascii="宋体" w:hAnsi="宋体"/>
          <w:color w:val="auto"/>
          <w:szCs w:val="24"/>
          <w:highlight w:val="none"/>
        </w:rPr>
        <w:t>投标文件解密时限为投标文件递交截止时间后</w:t>
      </w:r>
      <w:r>
        <w:rPr>
          <w:rFonts w:ascii="宋体" w:hAnsi="宋体"/>
          <w:color w:val="auto"/>
          <w:szCs w:val="24"/>
          <w:highlight w:val="none"/>
        </w:rPr>
        <w:t>30</w:t>
      </w:r>
      <w:r>
        <w:rPr>
          <w:rFonts w:hint="eastAsia" w:ascii="宋体" w:hAnsi="宋体"/>
          <w:color w:val="auto"/>
          <w:szCs w:val="24"/>
          <w:highlight w:val="none"/>
        </w:rPr>
        <w:t>分钟（招标文件</w:t>
      </w:r>
      <w:r>
        <w:rPr>
          <w:rFonts w:ascii="宋体" w:hAnsi="宋体"/>
          <w:color w:val="auto"/>
          <w:szCs w:val="24"/>
          <w:highlight w:val="none"/>
        </w:rPr>
        <w:t>“</w:t>
      </w:r>
      <w:r>
        <w:rPr>
          <w:rFonts w:hint="eastAsia" w:ascii="宋体" w:hAnsi="宋体"/>
          <w:color w:val="auto"/>
          <w:szCs w:val="24"/>
          <w:highlight w:val="none"/>
        </w:rPr>
        <w:t>投标人须知</w:t>
      </w:r>
      <w:r>
        <w:rPr>
          <w:rFonts w:ascii="宋体" w:hAnsi="宋体"/>
          <w:color w:val="auto"/>
          <w:szCs w:val="24"/>
          <w:highlight w:val="none"/>
        </w:rPr>
        <w:t>”</w:t>
      </w:r>
      <w:r>
        <w:rPr>
          <w:rFonts w:hint="eastAsia" w:ascii="宋体" w:hAnsi="宋体"/>
          <w:color w:val="auto"/>
          <w:szCs w:val="24"/>
          <w:highlight w:val="none"/>
        </w:rPr>
        <w:t>中另有规定的，从其规定）。潜在投标人须在投标文件解密时限内完成投标文件解密，未能成功解密的视为放弃投标。招标文件</w:t>
      </w:r>
      <w:r>
        <w:rPr>
          <w:rFonts w:ascii="宋体" w:hAnsi="宋体"/>
          <w:color w:val="auto"/>
          <w:szCs w:val="24"/>
          <w:highlight w:val="none"/>
        </w:rPr>
        <w:t>“</w:t>
      </w:r>
      <w:r>
        <w:rPr>
          <w:rFonts w:hint="eastAsia" w:ascii="宋体" w:hAnsi="宋体"/>
          <w:color w:val="auto"/>
          <w:szCs w:val="24"/>
          <w:highlight w:val="none"/>
        </w:rPr>
        <w:t>投标人须知</w:t>
      </w:r>
      <w:r>
        <w:rPr>
          <w:rFonts w:ascii="宋体" w:hAnsi="宋体"/>
          <w:color w:val="auto"/>
          <w:szCs w:val="24"/>
          <w:highlight w:val="none"/>
        </w:rPr>
        <w:t>”</w:t>
      </w:r>
      <w:r>
        <w:rPr>
          <w:rFonts w:hint="eastAsia" w:ascii="宋体" w:hAnsi="宋体"/>
          <w:color w:val="auto"/>
          <w:szCs w:val="24"/>
          <w:highlight w:val="none"/>
        </w:rPr>
        <w:t>中对投标文件解密设有线下补救方案的，执行该补救方案。</w:t>
      </w:r>
    </w:p>
    <w:p w14:paraId="137376B8">
      <w:pPr>
        <w:spacing w:line="400" w:lineRule="exact"/>
        <w:ind w:firstLine="420" w:firstLineChars="200"/>
        <w:rPr>
          <w:rFonts w:ascii="黑体" w:hAnsi="黑体" w:eastAsia="黑体"/>
          <w:color w:val="auto"/>
          <w:szCs w:val="24"/>
          <w:highlight w:val="none"/>
        </w:rPr>
      </w:pPr>
      <w:r>
        <w:rPr>
          <w:rFonts w:hint="eastAsia" w:ascii="黑体" w:hAnsi="黑体" w:eastAsia="黑体"/>
          <w:color w:val="auto"/>
          <w:szCs w:val="24"/>
          <w:highlight w:val="none"/>
        </w:rPr>
        <w:t>四</w:t>
      </w:r>
      <w:r>
        <w:rPr>
          <w:rFonts w:ascii="黑体" w:hAnsi="黑体" w:eastAsia="黑体"/>
          <w:color w:val="auto"/>
          <w:szCs w:val="24"/>
          <w:highlight w:val="none"/>
        </w:rPr>
        <w:t>、</w:t>
      </w:r>
      <w:r>
        <w:rPr>
          <w:rFonts w:hint="eastAsia" w:ascii="黑体" w:hAnsi="黑体" w:eastAsia="黑体"/>
          <w:color w:val="auto"/>
          <w:szCs w:val="24"/>
          <w:highlight w:val="none"/>
        </w:rPr>
        <w:t>评标</w:t>
      </w:r>
      <w:r>
        <w:rPr>
          <w:rFonts w:ascii="黑体" w:hAnsi="黑体" w:eastAsia="黑体"/>
          <w:color w:val="auto"/>
          <w:szCs w:val="24"/>
          <w:highlight w:val="none"/>
        </w:rPr>
        <w:t>和询标</w:t>
      </w:r>
    </w:p>
    <w:p w14:paraId="0A74B3EA">
      <w:pPr>
        <w:spacing w:line="400" w:lineRule="exact"/>
        <w:ind w:firstLine="420" w:firstLineChars="200"/>
        <w:rPr>
          <w:rFonts w:ascii="宋体" w:hAnsi="宋体"/>
          <w:color w:val="auto"/>
          <w:szCs w:val="24"/>
          <w:highlight w:val="none"/>
        </w:rPr>
      </w:pPr>
      <w:r>
        <w:rPr>
          <w:rFonts w:ascii="宋体" w:hAnsi="宋体"/>
          <w:color w:val="auto"/>
          <w:szCs w:val="24"/>
          <w:highlight w:val="none"/>
        </w:rPr>
        <w:t>17.</w:t>
      </w:r>
      <w:r>
        <w:rPr>
          <w:rFonts w:hint="eastAsia" w:ascii="宋体" w:hAnsi="宋体"/>
          <w:color w:val="auto"/>
          <w:szCs w:val="24"/>
          <w:highlight w:val="none"/>
        </w:rPr>
        <w:t>评标委员会通过优质采电子评标工具将需要澄清、说明或补正的内容以询标函的形式发送给投标人，投标人</w:t>
      </w:r>
      <w:r>
        <w:rPr>
          <w:rFonts w:ascii="宋体" w:hAnsi="宋体"/>
          <w:color w:val="auto"/>
          <w:szCs w:val="24"/>
          <w:highlight w:val="none"/>
        </w:rPr>
        <w:t>/</w:t>
      </w:r>
      <w:r>
        <w:rPr>
          <w:rFonts w:hint="eastAsia" w:ascii="宋体" w:hAnsi="宋体"/>
          <w:color w:val="auto"/>
          <w:szCs w:val="24"/>
          <w:highlight w:val="none"/>
        </w:rPr>
        <w:t>供应商应登录投标工具并保持在线状态，以便及时接收评标委员会可能发出的询标函，并在询标函载明的时间内回复，若投标人未及时回复，视为放弃澄清。</w:t>
      </w:r>
    </w:p>
    <w:p w14:paraId="18784E85">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五、异常情形</w:t>
      </w:r>
    </w:p>
    <w:p w14:paraId="6407BF88">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1</w:t>
      </w:r>
      <w:r>
        <w:rPr>
          <w:rFonts w:ascii="宋体" w:hAnsi="宋体"/>
          <w:color w:val="auto"/>
          <w:szCs w:val="24"/>
          <w:highlight w:val="none"/>
        </w:rPr>
        <w:t>8</w:t>
      </w:r>
      <w:r>
        <w:rPr>
          <w:rFonts w:hint="eastAsia" w:ascii="宋体" w:hAnsi="宋体"/>
          <w:color w:val="auto"/>
          <w:szCs w:val="24"/>
          <w:highlight w:val="none"/>
        </w:rPr>
        <w:t>.出现下列情形导致电子交易系统无法正常运行，影响招投标过程的公平、公正和信息安全，经第三方机构认定后，各方当事人免责：</w:t>
      </w:r>
    </w:p>
    <w:p w14:paraId="44AE46FF">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(1)网络、服务器、数据库发生故障造成无法访问或使用的；</w:t>
      </w:r>
    </w:p>
    <w:p w14:paraId="32AD6850">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(2)电力系统发生故障导致电子服务系统或电子交易系统无法运行；</w:t>
      </w:r>
    </w:p>
    <w:p w14:paraId="08DEBE04">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(3)出现网络攻击、病毒入侵以及电子服务系统或电子交易系统安全漏洞导致无法正常提供服务的；</w:t>
      </w:r>
    </w:p>
    <w:p w14:paraId="6037F9F9">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(4)其他无法保证招投标过程公平、公正和信息安全的情形。</w:t>
      </w:r>
    </w:p>
    <w:p w14:paraId="648683F5">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六、异常情形处理</w:t>
      </w:r>
    </w:p>
    <w:p w14:paraId="1B157B33">
      <w:pPr>
        <w:spacing w:line="400" w:lineRule="exact"/>
        <w:ind w:firstLine="420" w:firstLineChars="200"/>
        <w:rPr>
          <w:color w:val="auto"/>
          <w:highlight w:val="none"/>
        </w:rPr>
      </w:pPr>
      <w:r>
        <w:rPr>
          <w:rFonts w:hint="eastAsia"/>
          <w:color w:val="auto"/>
          <w:highlight w:val="none"/>
        </w:rPr>
        <w:t>1</w:t>
      </w:r>
      <w:r>
        <w:rPr>
          <w:color w:val="auto"/>
          <w:highlight w:val="none"/>
        </w:rPr>
        <w:t>9</w:t>
      </w:r>
      <w:r>
        <w:rPr>
          <w:rFonts w:hint="eastAsia"/>
          <w:color w:val="auto"/>
          <w:highlight w:val="none"/>
        </w:rPr>
        <w:t>.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2833F2FE">
      <w:pPr>
        <w:spacing w:line="400" w:lineRule="exact"/>
        <w:ind w:firstLine="420" w:firstLineChars="200"/>
        <w:rPr>
          <w:color w:val="auto"/>
          <w:highlight w:val="none"/>
        </w:rPr>
      </w:pPr>
      <w:r>
        <w:rPr>
          <w:rFonts w:hint="eastAsia"/>
          <w:color w:val="auto"/>
          <w:highlight w:val="none"/>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3E87FECE">
      <w:pPr>
        <w:spacing w:line="400" w:lineRule="exact"/>
        <w:ind w:firstLine="420" w:firstLineChars="200"/>
        <w:rPr>
          <w:color w:val="auto"/>
          <w:highlight w:val="none"/>
        </w:rPr>
      </w:pPr>
      <w:r>
        <w:rPr>
          <w:rFonts w:hint="eastAsia"/>
          <w:color w:val="auto"/>
          <w:highlight w:val="none"/>
        </w:rPr>
        <w:t>（2）项目恢复，导致项目中止的情形消除后，招标人或代理机构应当尽快恢复招投标程序，向投标人发出恢复交易通知，并发布公布；已发出延长中止期限通知的，按通知执行。</w:t>
      </w:r>
    </w:p>
    <w:p w14:paraId="16DF77EC">
      <w:pPr>
        <w:widowControl/>
        <w:adjustRightInd w:val="0"/>
        <w:snapToGrid w:val="0"/>
        <w:spacing w:line="360" w:lineRule="auto"/>
        <w:ind w:firstLine="420" w:firstLineChars="200"/>
        <w:rPr>
          <w:rFonts w:hint="eastAsia" w:ascii="宋体" w:hAnsi="宋体" w:eastAsia="仿宋"/>
          <w:color w:val="auto"/>
          <w:szCs w:val="21"/>
          <w:highlight w:val="none"/>
        </w:rPr>
      </w:pPr>
    </w:p>
    <w:p w14:paraId="40C10A39">
      <w:pPr>
        <w:numPr>
          <w:ilvl w:val="0"/>
          <w:numId w:val="0"/>
        </w:numPr>
        <w:spacing w:line="360" w:lineRule="auto"/>
        <w:jc w:val="center"/>
        <w:outlineLvl w:val="1"/>
        <w:rPr>
          <w:rFonts w:hint="eastAsia" w:ascii="Cambria" w:hAnsi="Cambria" w:eastAsia="黑体" w:cs="Times New Roman"/>
          <w:b/>
          <w:bCs/>
          <w:color w:val="auto"/>
          <w:kern w:val="2"/>
          <w:sz w:val="32"/>
          <w:szCs w:val="32"/>
          <w:highlight w:val="none"/>
          <w:lang w:val="en-US" w:eastAsia="zh-CN" w:bidi="ar-SA"/>
        </w:rPr>
      </w:pPr>
      <w:r>
        <w:rPr>
          <w:rFonts w:hint="eastAsia" w:ascii="宋体" w:hAnsi="宋体" w:eastAsia="仿宋"/>
          <w:color w:val="auto"/>
          <w:szCs w:val="21"/>
          <w:highlight w:val="none"/>
        </w:rPr>
        <w:br w:type="page"/>
      </w:r>
      <w:r>
        <w:rPr>
          <w:rFonts w:ascii="Cambria" w:hAnsi="Cambria" w:eastAsia="黑体" w:cs="Times New Roman"/>
          <w:b/>
          <w:bCs/>
          <w:color w:val="auto"/>
          <w:kern w:val="2"/>
          <w:sz w:val="32"/>
          <w:szCs w:val="32"/>
          <w:highlight w:val="none"/>
          <w:lang w:val="en-US" w:eastAsia="zh-CN" w:bidi="ar-SA"/>
        </w:rPr>
        <w:t>附件</w:t>
      </w:r>
      <w:r>
        <w:rPr>
          <w:rFonts w:hint="eastAsia" w:ascii="Cambria" w:hAnsi="Cambria" w:eastAsia="黑体" w:cs="Times New Roman"/>
          <w:b/>
          <w:bCs/>
          <w:color w:val="auto"/>
          <w:kern w:val="2"/>
          <w:sz w:val="32"/>
          <w:szCs w:val="32"/>
          <w:highlight w:val="none"/>
          <w:lang w:val="en-US" w:eastAsia="zh-CN" w:bidi="ar-SA"/>
        </w:rPr>
        <w:t>二</w:t>
      </w:r>
      <w:r>
        <w:rPr>
          <w:rFonts w:ascii="Cambria" w:hAnsi="Cambria" w:eastAsia="黑体" w:cs="Times New Roman"/>
          <w:b/>
          <w:bCs/>
          <w:color w:val="auto"/>
          <w:kern w:val="2"/>
          <w:sz w:val="32"/>
          <w:szCs w:val="32"/>
          <w:highlight w:val="none"/>
          <w:lang w:val="en-US" w:eastAsia="zh-CN" w:bidi="ar-SA"/>
        </w:rPr>
        <w:t>：</w:t>
      </w:r>
      <w:r>
        <w:rPr>
          <w:rFonts w:hint="eastAsia" w:ascii="Cambria" w:hAnsi="Cambria" w:eastAsia="黑体" w:cs="Times New Roman"/>
          <w:b/>
          <w:bCs/>
          <w:color w:val="auto"/>
          <w:kern w:val="2"/>
          <w:sz w:val="32"/>
          <w:szCs w:val="32"/>
          <w:highlight w:val="none"/>
          <w:lang w:val="en-US" w:eastAsia="zh-CN" w:bidi="ar-SA"/>
        </w:rPr>
        <w:t>政府采购供应商询问函和质疑函范本</w:t>
      </w:r>
    </w:p>
    <w:p w14:paraId="38C53BC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32"/>
          <w:szCs w:val="44"/>
          <w:highlight w:val="none"/>
          <w:lang w:val="en-US" w:eastAsia="zh-CN"/>
        </w:rPr>
      </w:pPr>
      <w:r>
        <w:rPr>
          <w:rFonts w:hint="eastAsia" w:ascii="仿宋" w:hAnsi="仿宋" w:eastAsia="仿宋" w:cs="仿宋"/>
          <w:b/>
          <w:bCs/>
          <w:color w:val="auto"/>
          <w:sz w:val="32"/>
          <w:szCs w:val="44"/>
          <w:highlight w:val="none"/>
        </w:rPr>
        <w:t>询问函</w:t>
      </w:r>
      <w:r>
        <w:rPr>
          <w:rFonts w:hint="eastAsia" w:ascii="仿宋" w:hAnsi="仿宋" w:eastAsia="仿宋" w:cs="仿宋"/>
          <w:b/>
          <w:bCs/>
          <w:color w:val="auto"/>
          <w:sz w:val="32"/>
          <w:szCs w:val="44"/>
          <w:highlight w:val="none"/>
          <w:lang w:val="en-US" w:eastAsia="zh-CN"/>
        </w:rPr>
        <w:t>范本</w:t>
      </w:r>
    </w:p>
    <w:p w14:paraId="609286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outlineLvl w:val="9"/>
        <w:rPr>
          <w:rFonts w:hint="eastAsia" w:ascii="仿宋" w:hAnsi="仿宋" w:eastAsia="仿宋" w:cs="仿宋"/>
          <w:b/>
          <w:bCs/>
          <w:color w:val="auto"/>
          <w:sz w:val="32"/>
          <w:szCs w:val="44"/>
          <w:highlight w:val="none"/>
          <w:lang w:val="en-US" w:eastAsia="zh-CN"/>
        </w:rPr>
      </w:pPr>
      <w:r>
        <w:rPr>
          <w:rFonts w:hint="eastAsia" w:ascii="宋体" w:hAnsi="宋体" w:eastAsia="宋体" w:cs="仿宋"/>
          <w:i/>
          <w:iCs/>
          <w:color w:val="auto"/>
          <w:sz w:val="24"/>
          <w:szCs w:val="24"/>
          <w:highlight w:val="none"/>
          <w:lang w:val="en-US" w:eastAsia="zh-CN"/>
        </w:rPr>
        <w:t>（如为对采购文件或采购程序的询问或疑问，请按询问函范本或电子交易系统中网上询问格式附件进行提交）</w:t>
      </w:r>
    </w:p>
    <w:p w14:paraId="7A3B6424">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某采购单位、某</w:t>
      </w:r>
      <w:r>
        <w:rPr>
          <w:rFonts w:hint="eastAsia" w:ascii="仿宋" w:hAnsi="仿宋" w:eastAsia="仿宋" w:cs="仿宋"/>
          <w:color w:val="auto"/>
          <w:sz w:val="24"/>
          <w:szCs w:val="24"/>
          <w:highlight w:val="none"/>
        </w:rPr>
        <w:t>代理机构：</w:t>
      </w:r>
    </w:p>
    <w:p w14:paraId="146149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w:t>
      </w:r>
      <w:r>
        <w:rPr>
          <w:rFonts w:hint="eastAsia" w:ascii="仿宋" w:hAnsi="仿宋" w:eastAsia="仿宋" w:cs="仿宋"/>
          <w:color w:val="auto"/>
          <w:sz w:val="24"/>
          <w:szCs w:val="24"/>
          <w:highlight w:val="none"/>
          <w:lang w:val="en-US" w:eastAsia="zh-CN"/>
        </w:rPr>
        <w:t>拟</w:t>
      </w:r>
      <w:r>
        <w:rPr>
          <w:rFonts w:hint="eastAsia" w:ascii="仿宋" w:hAnsi="仿宋" w:eastAsia="仿宋" w:cs="仿宋"/>
          <w:color w:val="auto"/>
          <w:sz w:val="24"/>
          <w:szCs w:val="24"/>
          <w:highlight w:val="none"/>
        </w:rPr>
        <w:t>参与</w:t>
      </w:r>
      <w:r>
        <w:rPr>
          <w:rFonts w:hint="eastAsia" w:ascii="仿宋" w:hAnsi="仿宋" w:eastAsia="仿宋" w:cs="仿宋"/>
          <w:color w:val="auto"/>
          <w:sz w:val="24"/>
          <w:szCs w:val="24"/>
          <w:highlight w:val="none"/>
          <w:lang w:val="en-US" w:eastAsia="zh-CN"/>
        </w:rPr>
        <w:t>某</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某</w:t>
      </w:r>
      <w:r>
        <w:rPr>
          <w:rFonts w:hint="eastAsia" w:ascii="仿宋" w:hAnsi="仿宋" w:eastAsia="仿宋" w:cs="仿宋"/>
          <w:color w:val="auto"/>
          <w:sz w:val="24"/>
          <w:szCs w:val="24"/>
          <w:highlight w:val="none"/>
        </w:rPr>
        <w:t>编号)的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活动，现有以下内容(或条款)存在疑问(或无法理解)，特提出询问。</w:t>
      </w:r>
    </w:p>
    <w:p w14:paraId="09F3E8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一、(事项一)</w:t>
      </w:r>
    </w:p>
    <w:p w14:paraId="717850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内容</w:t>
      </w:r>
      <w:r>
        <w:rPr>
          <w:rFonts w:hint="eastAsia" w:ascii="仿宋" w:hAnsi="仿宋" w:eastAsia="仿宋" w:cs="仿宋"/>
          <w:color w:val="auto"/>
          <w:sz w:val="24"/>
          <w:szCs w:val="24"/>
          <w:highlight w:val="none"/>
        </w:rPr>
        <w:t>或条款)</w:t>
      </w:r>
    </w:p>
    <w:p w14:paraId="22DE66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(说明疑问或无法理解原因)</w:t>
      </w:r>
    </w:p>
    <w:p w14:paraId="26BEDD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(建议)</w:t>
      </w:r>
    </w:p>
    <w:p w14:paraId="18EF3B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二、(事项二)</w:t>
      </w:r>
    </w:p>
    <w:p w14:paraId="17487A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5CEB77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随附相关证明材料如下： </w:t>
      </w:r>
    </w:p>
    <w:p w14:paraId="2B208A3F">
      <w:pPr>
        <w:spacing w:line="360" w:lineRule="auto"/>
        <w:ind w:firstLine="4228" w:firstLineChars="1762"/>
        <w:jc w:val="both"/>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联 系 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D0BEB85">
      <w:pPr>
        <w:spacing w:line="360" w:lineRule="auto"/>
        <w:ind w:firstLine="4228" w:firstLineChars="1762"/>
        <w:jc w:val="both"/>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联系电话</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3B6203A">
      <w:pPr>
        <w:tabs>
          <w:tab w:val="left" w:pos="630"/>
        </w:tabs>
        <w:spacing w:line="360" w:lineRule="auto"/>
        <w:ind w:firstLine="4228" w:firstLineChars="1762"/>
        <w:jc w:val="both"/>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5FDDFEAC">
      <w:pPr>
        <w:outlineLvl w:val="9"/>
        <w:rPr>
          <w:rFonts w:ascii="宋体" w:hAnsi="宋体" w:eastAsia="宋体"/>
          <w:b/>
          <w:color w:val="auto"/>
          <w:sz w:val="52"/>
          <w:highlight w:val="none"/>
        </w:rPr>
      </w:pPr>
      <w:r>
        <w:rPr>
          <w:rFonts w:hint="eastAsia" w:ascii="仿宋" w:hAnsi="仿宋" w:eastAsia="仿宋" w:cs="仿宋"/>
          <w:b/>
          <w:bCs/>
          <w:color w:val="auto"/>
          <w:sz w:val="32"/>
          <w:szCs w:val="44"/>
          <w:highlight w:val="none"/>
        </w:rPr>
        <w:br w:type="page"/>
      </w:r>
    </w:p>
    <w:p w14:paraId="23FCFDA7">
      <w:pPr>
        <w:jc w:val="center"/>
        <w:outlineLvl w:val="9"/>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8ADCC62">
      <w:pPr>
        <w:adjustRightInd w:val="0"/>
        <w:snapToGrid w:val="0"/>
        <w:spacing w:before="312" w:beforeLines="100"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13DBA820">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14:paraId="2920D74A">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24443D7D">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114635BF">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70BD21AA">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5CDFDC44">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34008A56">
      <w:pPr>
        <w:adjustRightInd w:val="0"/>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7189389A">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100CBD2C">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7A965450">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r>
        <w:rPr>
          <w:rFonts w:hint="eastAsia" w:ascii="仿宋" w:hAnsi="仿宋" w:eastAsia="仿宋" w:cs="仿宋"/>
          <w:color w:val="auto"/>
          <w:sz w:val="24"/>
          <w:szCs w:val="24"/>
          <w:highlight w:val="none"/>
          <w:u w:val="dotted"/>
        </w:rPr>
        <w:t xml:space="preserve"> </w:t>
      </w:r>
    </w:p>
    <w:p w14:paraId="0C08A813">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14:paraId="3C9D924A">
      <w:pPr>
        <w:adjustRightInd w:val="0"/>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三、质疑事项具体内容</w:t>
      </w:r>
    </w:p>
    <w:p w14:paraId="49157FAD">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p>
    <w:p w14:paraId="2460AB19">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2D0AC202">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0075D729">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35346726">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14BFDD1F">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55180C2D">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E737116">
      <w:pPr>
        <w:adjustRightInd w:val="0"/>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四、与质疑事项相关的质疑请求</w:t>
      </w:r>
    </w:p>
    <w:p w14:paraId="2B94C314">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1F39129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0956D4C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0BF159EE">
      <w:pPr>
        <w:widowControl/>
        <w:jc w:val="left"/>
        <w:outlineLvl w:val="9"/>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228136E">
      <w:pPr>
        <w:outlineLvl w:val="9"/>
        <w:rPr>
          <w:rFonts w:hint="eastAsia" w:ascii="仿宋" w:hAnsi="仿宋" w:eastAsia="仿宋" w:cs="仿宋"/>
          <w:b/>
          <w:color w:val="auto"/>
          <w:sz w:val="28"/>
          <w:szCs w:val="32"/>
          <w:highlight w:val="none"/>
        </w:rPr>
      </w:pPr>
      <w:bookmarkStart w:id="745" w:name="_Toc11441"/>
      <w:r>
        <w:rPr>
          <w:rFonts w:hint="eastAsia" w:ascii="仿宋" w:hAnsi="仿宋" w:eastAsia="仿宋" w:cs="仿宋"/>
          <w:b/>
          <w:color w:val="auto"/>
          <w:sz w:val="28"/>
          <w:szCs w:val="32"/>
          <w:highlight w:val="none"/>
        </w:rPr>
        <w:t>质疑函制作说明：</w:t>
      </w:r>
      <w:bookmarkEnd w:id="745"/>
    </w:p>
    <w:p w14:paraId="1F43DA15">
      <w:pPr>
        <w:spacing w:line="360" w:lineRule="auto"/>
        <w:ind w:firstLine="43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1E59DC01">
      <w:pPr>
        <w:spacing w:line="360" w:lineRule="auto"/>
        <w:ind w:firstLine="43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w:t>
      </w:r>
      <w:r>
        <w:rPr>
          <w:rFonts w:hint="eastAsia" w:ascii="仿宋" w:hAnsi="仿宋" w:eastAsia="仿宋" w:cs="仿宋"/>
          <w:color w:val="auto"/>
          <w:sz w:val="24"/>
          <w:highlight w:val="none"/>
          <w:lang w:val="en-US" w:eastAsia="zh-CN"/>
        </w:rPr>
        <w:t>授权代表</w:t>
      </w:r>
      <w:r>
        <w:rPr>
          <w:rFonts w:hint="eastAsia" w:ascii="仿宋" w:hAnsi="仿宋" w:eastAsia="仿宋" w:cs="仿宋"/>
          <w:color w:val="auto"/>
          <w:sz w:val="24"/>
          <w:highlight w:val="none"/>
        </w:rPr>
        <w:t>进行质疑的，质疑函应按要求列明“授权代表”的有关内容，并在附件中提交由质疑供应商签署的授权委托书。授权委托书应载明</w:t>
      </w:r>
      <w:r>
        <w:rPr>
          <w:rFonts w:hint="eastAsia" w:ascii="仿宋" w:hAnsi="仿宋" w:eastAsia="仿宋" w:cs="仿宋"/>
          <w:color w:val="auto"/>
          <w:sz w:val="24"/>
          <w:highlight w:val="none"/>
          <w:lang w:val="en-US" w:eastAsia="zh-CN"/>
        </w:rPr>
        <w:t>授权代表</w:t>
      </w:r>
      <w:r>
        <w:rPr>
          <w:rFonts w:hint="eastAsia" w:ascii="仿宋" w:hAnsi="仿宋" w:eastAsia="仿宋" w:cs="仿宋"/>
          <w:color w:val="auto"/>
          <w:sz w:val="24"/>
          <w:highlight w:val="none"/>
        </w:rPr>
        <w:t>的姓名或者名称、代理事项、具体权限、期限和相关事项。</w:t>
      </w:r>
    </w:p>
    <w:p w14:paraId="072EB207">
      <w:pPr>
        <w:spacing w:line="360" w:lineRule="auto"/>
        <w:ind w:firstLine="43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w:t>
      </w:r>
      <w:r>
        <w:rPr>
          <w:rFonts w:hint="eastAsia" w:ascii="仿宋" w:hAnsi="仿宋" w:eastAsia="仿宋" w:cs="仿宋"/>
          <w:color w:val="auto"/>
          <w:sz w:val="24"/>
          <w:highlight w:val="none"/>
          <w:lang w:val="en-US" w:eastAsia="zh-CN"/>
        </w:rPr>
        <w:t>采购包</w:t>
      </w:r>
      <w:r>
        <w:rPr>
          <w:rFonts w:hint="eastAsia" w:ascii="仿宋" w:hAnsi="仿宋" w:eastAsia="仿宋" w:cs="仿宋"/>
          <w:color w:val="auto"/>
          <w:sz w:val="24"/>
          <w:highlight w:val="none"/>
        </w:rPr>
        <w:t>进行质疑，质疑函中应列明具体包号。</w:t>
      </w:r>
    </w:p>
    <w:p w14:paraId="78E76614">
      <w:pPr>
        <w:spacing w:line="360" w:lineRule="auto"/>
        <w:ind w:firstLine="43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1CAD3F02">
      <w:pPr>
        <w:spacing w:line="360" w:lineRule="auto"/>
        <w:ind w:firstLine="43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5B30F417">
      <w:pPr>
        <w:spacing w:line="360" w:lineRule="auto"/>
        <w:ind w:firstLine="435"/>
        <w:outlineLvl w:val="9"/>
        <w:rPr>
          <w:rFonts w:hint="eastAsia" w:ascii="宋体" w:hAnsi="宋体" w:cs="宋体"/>
          <w:color w:val="auto"/>
          <w:szCs w:val="28"/>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主要负责人</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其授权代表签字或者盖</w:t>
      </w:r>
      <w:r>
        <w:rPr>
          <w:rFonts w:hint="eastAsia" w:ascii="仿宋" w:hAnsi="仿宋" w:eastAsia="仿宋" w:cs="仿宋"/>
          <w:color w:val="auto"/>
          <w:sz w:val="24"/>
          <w:highlight w:val="none"/>
          <w:lang w:val="en-US" w:eastAsia="zh-CN"/>
        </w:rPr>
        <w:t>签字</w:t>
      </w:r>
      <w:r>
        <w:rPr>
          <w:rFonts w:hint="eastAsia" w:ascii="仿宋" w:hAnsi="仿宋" w:eastAsia="仿宋" w:cs="仿宋"/>
          <w:color w:val="auto"/>
          <w:sz w:val="24"/>
          <w:highlight w:val="none"/>
        </w:rPr>
        <w:t>章，并加盖公章。</w:t>
      </w:r>
    </w:p>
    <w:p w14:paraId="76E7F09E">
      <w:pPr>
        <w:widowControl/>
        <w:adjustRightInd w:val="0"/>
        <w:snapToGrid w:val="0"/>
        <w:spacing w:line="360" w:lineRule="auto"/>
        <w:ind w:firstLine="420" w:firstLineChars="200"/>
        <w:rPr>
          <w:rFonts w:hint="eastAsia" w:ascii="宋体" w:hAnsi="宋体" w:eastAsia="仿宋"/>
          <w:color w:val="auto"/>
          <w:szCs w:val="21"/>
          <w:highlight w:val="none"/>
        </w:rPr>
      </w:pPr>
    </w:p>
    <w:p w14:paraId="0EE8661F">
      <w:pPr>
        <w:widowControl/>
        <w:adjustRightInd w:val="0"/>
        <w:snapToGrid w:val="0"/>
        <w:spacing w:line="360" w:lineRule="auto"/>
        <w:ind w:firstLine="420" w:firstLineChars="200"/>
        <w:rPr>
          <w:rFonts w:hint="eastAsia" w:ascii="宋体" w:hAnsi="宋体" w:eastAsia="仿宋"/>
          <w:color w:val="auto"/>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86A2D58">
      <w:pPr>
        <w:pStyle w:val="2"/>
        <w:widowControl/>
        <w:snapToGrid w:val="0"/>
        <w:spacing w:before="0" w:after="0" w:line="360" w:lineRule="auto"/>
        <w:jc w:val="center"/>
        <w:rPr>
          <w:rFonts w:hint="eastAsia" w:ascii="宋体" w:hAnsi="宋体" w:eastAsia="仿宋"/>
          <w:color w:val="auto"/>
          <w:highlight w:val="none"/>
        </w:rPr>
      </w:pPr>
      <w:bookmarkStart w:id="746" w:name="_Toc466024555"/>
      <w:bookmarkStart w:id="747" w:name="_Toc445554746"/>
      <w:bookmarkStart w:id="748" w:name="_Toc24366"/>
      <w:bookmarkStart w:id="749" w:name="_Toc342297699"/>
      <w:bookmarkStart w:id="750" w:name="_Toc342296242"/>
      <w:bookmarkStart w:id="751" w:name="_Toc241459648"/>
      <w:bookmarkStart w:id="752" w:name="_Toc342296244"/>
      <w:bookmarkStart w:id="753" w:name="_Toc144974565"/>
      <w:bookmarkStart w:id="754" w:name="_Toc179632616"/>
      <w:bookmarkStart w:id="755" w:name="_Toc152045598"/>
      <w:bookmarkStart w:id="756" w:name="_Toc152042375"/>
      <w:bookmarkStart w:id="757" w:name="_Toc342297701"/>
      <w:r>
        <w:rPr>
          <w:rFonts w:hint="eastAsia" w:ascii="宋体" w:hAnsi="宋体" w:eastAsia="仿宋"/>
          <w:color w:val="auto"/>
          <w:highlight w:val="none"/>
        </w:rPr>
        <w:t>第三章  采购需求</w:t>
      </w:r>
      <w:bookmarkEnd w:id="746"/>
      <w:bookmarkEnd w:id="747"/>
      <w:bookmarkEnd w:id="748"/>
    </w:p>
    <w:p w14:paraId="07B42B20">
      <w:pPr>
        <w:pStyle w:val="3"/>
        <w:rPr>
          <w:rStyle w:val="101"/>
          <w:rFonts w:hint="default" w:ascii="宋体" w:hAnsi="宋体" w:eastAsia="仿宋"/>
          <w:b/>
          <w:bCs/>
          <w:color w:val="auto"/>
          <w:sz w:val="24"/>
          <w:szCs w:val="24"/>
          <w:highlight w:val="none"/>
          <w:lang w:val="en-US"/>
        </w:rPr>
      </w:pPr>
      <w:bookmarkStart w:id="758" w:name="_Toc466024556"/>
      <w:bookmarkStart w:id="759" w:name="_Toc455587273"/>
      <w:bookmarkStart w:id="760" w:name="_Toc455587089"/>
      <w:bookmarkStart w:id="761" w:name="_Toc445554747"/>
      <w:r>
        <w:rPr>
          <w:rStyle w:val="101"/>
          <w:rFonts w:hint="eastAsia" w:ascii="宋体" w:hAnsi="宋体" w:eastAsia="仿宋"/>
          <w:b/>
          <w:bCs/>
          <w:color w:val="auto"/>
          <w:sz w:val="24"/>
          <w:szCs w:val="24"/>
          <w:highlight w:val="none"/>
        </w:rPr>
        <w:t xml:space="preserve">1. </w:t>
      </w:r>
      <w:bookmarkEnd w:id="758"/>
      <w:bookmarkEnd w:id="759"/>
      <w:bookmarkEnd w:id="760"/>
      <w:r>
        <w:rPr>
          <w:rStyle w:val="101"/>
          <w:rFonts w:hint="eastAsia" w:ascii="宋体" w:hAnsi="宋体" w:eastAsia="仿宋"/>
          <w:b/>
          <w:bCs/>
          <w:color w:val="auto"/>
          <w:sz w:val="24"/>
          <w:szCs w:val="24"/>
          <w:highlight w:val="none"/>
          <w:lang w:val="en-US"/>
        </w:rPr>
        <w:t>总体说明</w:t>
      </w:r>
    </w:p>
    <w:p w14:paraId="000B1FD1">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所提出的</w:t>
      </w:r>
      <w:r>
        <w:rPr>
          <w:rFonts w:hint="eastAsia" w:ascii="宋体" w:hAnsi="宋体" w:eastAsia="仿宋"/>
          <w:color w:val="auto"/>
          <w:sz w:val="24"/>
          <w:highlight w:val="none"/>
          <w:lang w:val="en-US" w:eastAsia="zh-CN"/>
        </w:rPr>
        <w:t>技术</w:t>
      </w:r>
      <w:r>
        <w:rPr>
          <w:rFonts w:hint="eastAsia" w:ascii="宋体" w:hAnsi="宋体" w:eastAsia="仿宋"/>
          <w:color w:val="auto"/>
          <w:sz w:val="24"/>
          <w:highlight w:val="none"/>
        </w:rPr>
        <w:t>要求是对本次招标</w:t>
      </w:r>
      <w:r>
        <w:rPr>
          <w:rFonts w:hint="eastAsia" w:ascii="宋体" w:hAnsi="宋体" w:eastAsia="仿宋"/>
          <w:color w:val="auto"/>
          <w:sz w:val="24"/>
          <w:highlight w:val="none"/>
          <w:lang w:val="en-US" w:eastAsia="zh-CN"/>
        </w:rPr>
        <w:t>服务</w:t>
      </w:r>
      <w:r>
        <w:rPr>
          <w:rFonts w:hint="eastAsia" w:ascii="宋体" w:hAnsi="宋体" w:eastAsia="仿宋"/>
          <w:color w:val="auto"/>
          <w:sz w:val="24"/>
          <w:highlight w:val="none"/>
        </w:rPr>
        <w:t>的基本要求，并未涉及所有技术细节，也未充分引述有关标准、规范的全部条款。投标人应保证其提供的</w:t>
      </w:r>
      <w:r>
        <w:rPr>
          <w:rFonts w:hint="eastAsia" w:ascii="宋体" w:hAnsi="宋体" w:eastAsia="仿宋"/>
          <w:color w:val="auto"/>
          <w:sz w:val="24"/>
          <w:highlight w:val="none"/>
          <w:lang w:val="en-US" w:eastAsia="zh-CN"/>
        </w:rPr>
        <w:t>服务</w:t>
      </w:r>
      <w:r>
        <w:rPr>
          <w:rFonts w:hint="eastAsia" w:ascii="宋体" w:hAnsi="宋体" w:eastAsia="仿宋"/>
          <w:color w:val="auto"/>
          <w:sz w:val="24"/>
          <w:highlight w:val="none"/>
        </w:rPr>
        <w:t>除了满足本技术要求外，还应符合中国国家、行业、地方或</w:t>
      </w:r>
      <w:r>
        <w:rPr>
          <w:rFonts w:hint="eastAsia" w:ascii="仿宋" w:hAnsi="仿宋" w:eastAsia="仿宋" w:cs="仿宋"/>
          <w:color w:val="auto"/>
          <w:sz w:val="24"/>
          <w:highlight w:val="none"/>
        </w:rPr>
        <w:t>服务提供商</w:t>
      </w:r>
      <w:r>
        <w:rPr>
          <w:rFonts w:hint="eastAsia" w:ascii="宋体" w:hAnsi="宋体" w:eastAsia="仿宋"/>
          <w:color w:val="auto"/>
          <w:sz w:val="24"/>
          <w:highlight w:val="none"/>
        </w:rPr>
        <w:t>所在国的有关</w:t>
      </w:r>
      <w:r>
        <w:rPr>
          <w:rFonts w:hint="eastAsia" w:ascii="宋体" w:hAnsi="宋体" w:eastAsia="仿宋"/>
          <w:color w:val="auto"/>
          <w:sz w:val="24"/>
          <w:highlight w:val="none"/>
          <w:lang w:val="en-US" w:eastAsia="zh-CN"/>
        </w:rPr>
        <w:t>强制性</w:t>
      </w:r>
      <w:r>
        <w:rPr>
          <w:rFonts w:hint="eastAsia" w:ascii="宋体" w:hAnsi="宋体" w:eastAsia="仿宋"/>
          <w:color w:val="auto"/>
          <w:sz w:val="24"/>
          <w:highlight w:val="none"/>
        </w:rPr>
        <w:t>标准、规范。当上述标准、规范的有关规定之间存在差异时，应以要求高的为准。</w:t>
      </w:r>
    </w:p>
    <w:p w14:paraId="724B305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中提及的工艺、材料、设备的标准及品牌或型号（如有）仅起说明作用，并没有强制性。投标人在投标中可以用替代工艺、材料、设备的标准及品牌或型号，但这种替代须实质上满足、等同或优于本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技术要求，同时须提供相关证明材料，否则可能被评标委员会认定为负偏离。</w:t>
      </w:r>
    </w:p>
    <w:p w14:paraId="47D49813">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中所列的具体参数或参数范围，均理解为采购人可接受的最低要求。</w:t>
      </w:r>
    </w:p>
    <w:p w14:paraId="4822F4A7">
      <w:pPr>
        <w:widowControl/>
        <w:tabs>
          <w:tab w:val="left" w:pos="1406"/>
        </w:tabs>
        <w:snapToGrid w:val="0"/>
        <w:spacing w:line="360" w:lineRule="auto"/>
        <w:ind w:firstLine="480" w:firstLineChars="200"/>
        <w:rPr>
          <w:rFonts w:hint="eastAsia" w:ascii="宋体" w:hAnsi="宋体" w:eastAsia="仿宋"/>
          <w:color w:val="auto"/>
          <w:sz w:val="24"/>
          <w:highlight w:val="none"/>
          <w:lang w:val="en-US" w:eastAsia="zh-CN"/>
        </w:rPr>
      </w:pPr>
      <w:r>
        <w:rPr>
          <w:rFonts w:hint="eastAsia" w:ascii="宋体" w:hAnsi="宋体" w:eastAsia="仿宋"/>
          <w:color w:val="auto"/>
          <w:sz w:val="24"/>
          <w:highlight w:val="none"/>
        </w:rPr>
        <w:t xml:space="preserve">1.4 </w:t>
      </w:r>
      <w:r>
        <w:rPr>
          <w:rFonts w:hint="eastAsia" w:ascii="宋体" w:hAnsi="宋体" w:eastAsia="仿宋"/>
          <w:color w:val="auto"/>
          <w:sz w:val="24"/>
          <w:highlight w:val="none"/>
          <w:lang w:val="en-US" w:eastAsia="zh-CN"/>
        </w:rPr>
        <w:t>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07B2ADE">
      <w:pPr>
        <w:pStyle w:val="3"/>
        <w:rPr>
          <w:rFonts w:hint="eastAsia" w:ascii="宋体" w:hAnsi="宋体" w:eastAsia="仿宋"/>
          <w:color w:val="auto"/>
          <w:sz w:val="24"/>
          <w:highlight w:val="none"/>
          <w:lang w:val="en-US" w:eastAsia="zh-CN"/>
        </w:rPr>
      </w:pPr>
      <w:r>
        <w:rPr>
          <w:rFonts w:hint="default" w:ascii="宋体" w:hAnsi="宋体" w:eastAsia="仿宋"/>
          <w:color w:val="auto"/>
          <w:sz w:val="24"/>
          <w:highlight w:val="none"/>
          <w:lang w:val="en-US" w:eastAsia="zh-CN"/>
        </w:rPr>
        <w:t xml:space="preserve">2. </w:t>
      </w:r>
      <w:r>
        <w:rPr>
          <w:rFonts w:hint="eastAsia" w:ascii="宋体" w:hAnsi="宋体" w:eastAsia="仿宋"/>
          <w:color w:val="auto"/>
          <w:sz w:val="24"/>
          <w:highlight w:val="none"/>
          <w:lang w:val="en-US" w:eastAsia="zh-CN"/>
        </w:rPr>
        <w:t>项目概况</w:t>
      </w:r>
    </w:p>
    <w:p w14:paraId="3D9D5A6C">
      <w:pPr>
        <w:widowControl/>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实施目标</w:t>
      </w:r>
    </w:p>
    <w:p w14:paraId="6A7442D1">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本项目通过采用投资型合同能源管理方式，推进</w:t>
      </w:r>
      <w:r>
        <w:rPr>
          <w:rFonts w:hint="eastAsia" w:ascii="仿宋" w:hAnsi="仿宋" w:eastAsia="仿宋" w:cs="仿宋"/>
          <w:bCs/>
          <w:color w:val="auto"/>
          <w:sz w:val="24"/>
          <w:szCs w:val="24"/>
          <w:highlight w:val="none"/>
          <w:lang w:val="en-US" w:eastAsia="zh-CN"/>
        </w:rPr>
        <w:t>安徽医科大学第一附属医院长江路门诊</w:t>
      </w:r>
      <w:r>
        <w:rPr>
          <w:rFonts w:hint="eastAsia" w:ascii="仿宋" w:hAnsi="仿宋" w:eastAsia="仿宋" w:cs="仿宋"/>
          <w:bCs/>
          <w:color w:val="auto"/>
          <w:sz w:val="24"/>
          <w:szCs w:val="24"/>
          <w:highlight w:val="none"/>
        </w:rPr>
        <w:t>中央空调系统节能改造，进一步提升</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能源综合利用水平，实现能源利用高效化、清洁化，逐步降低综合能耗。中标人按照招标人要求为</w:t>
      </w:r>
      <w:r>
        <w:rPr>
          <w:rFonts w:hint="eastAsia" w:ascii="仿宋" w:hAnsi="仿宋" w:eastAsia="仿宋" w:cs="仿宋"/>
          <w:bCs/>
          <w:color w:val="auto"/>
          <w:sz w:val="24"/>
          <w:szCs w:val="24"/>
          <w:highlight w:val="none"/>
          <w:lang w:val="en-US" w:eastAsia="zh-CN"/>
        </w:rPr>
        <w:t>安徽医科大学第一附属医院长江路门诊</w:t>
      </w:r>
      <w:r>
        <w:rPr>
          <w:rFonts w:hint="eastAsia" w:ascii="仿宋" w:hAnsi="仿宋" w:eastAsia="仿宋" w:cs="仿宋"/>
          <w:bCs/>
          <w:color w:val="auto"/>
          <w:sz w:val="24"/>
          <w:szCs w:val="24"/>
          <w:highlight w:val="none"/>
        </w:rPr>
        <w:t>中央空调系统提供节能改造、运维管理等服务。</w:t>
      </w:r>
    </w:p>
    <w:p w14:paraId="23C2B329">
      <w:pPr>
        <w:widowControl/>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系统概况</w:t>
      </w:r>
    </w:p>
    <w:p w14:paraId="307B5EF8">
      <w:pPr>
        <w:widowControl/>
        <w:spacing w:line="360" w:lineRule="auto"/>
        <w:ind w:firstLine="480" w:firstLineChars="200"/>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安徽省医科大学第一附属医院</w:t>
      </w:r>
      <w:r>
        <w:rPr>
          <w:rFonts w:hint="eastAsia" w:ascii="仿宋" w:hAnsi="仿宋" w:eastAsia="仿宋" w:cs="仿宋"/>
          <w:bCs/>
          <w:color w:val="auto"/>
          <w:sz w:val="24"/>
          <w:szCs w:val="24"/>
          <w:highlight w:val="none"/>
          <w:lang w:val="en-US" w:eastAsia="zh-CN"/>
        </w:rPr>
        <w:t>长江路</w:t>
      </w:r>
      <w:r>
        <w:rPr>
          <w:rFonts w:hint="eastAsia" w:ascii="仿宋" w:hAnsi="仿宋" w:eastAsia="仿宋" w:cs="仿宋"/>
          <w:bCs/>
          <w:color w:val="auto"/>
          <w:sz w:val="24"/>
          <w:szCs w:val="24"/>
          <w:highlight w:val="none"/>
        </w:rPr>
        <w:t>门诊位于安徽省合肥市庐阳区长江中路309号，项目建筑面积1.7万平米，1998年投入使用。项目采用两台远大蒸汽溴化锂机组承担医院全年的空调需求。</w:t>
      </w:r>
      <w:r>
        <w:rPr>
          <w:rFonts w:hint="eastAsia" w:ascii="仿宋" w:hAnsi="仿宋" w:eastAsia="仿宋" w:cs="仿宋"/>
          <w:bCs/>
          <w:color w:val="auto"/>
          <w:sz w:val="24"/>
          <w:szCs w:val="24"/>
          <w:highlight w:val="none"/>
          <w:lang w:val="en-US" w:eastAsia="zh-CN"/>
        </w:rPr>
        <w:t>近年</w:t>
      </w:r>
      <w:r>
        <w:rPr>
          <w:rFonts w:hint="eastAsia" w:ascii="仿宋" w:hAnsi="仿宋" w:eastAsia="仿宋" w:cs="仿宋"/>
          <w:bCs/>
          <w:color w:val="auto"/>
          <w:sz w:val="24"/>
          <w:szCs w:val="24"/>
          <w:highlight w:val="none"/>
        </w:rPr>
        <w:t>随着蒸汽价格的上涨，</w:t>
      </w:r>
      <w:r>
        <w:rPr>
          <w:rFonts w:hint="eastAsia" w:ascii="仿宋" w:hAnsi="仿宋" w:eastAsia="仿宋" w:cs="仿宋"/>
          <w:bCs/>
          <w:color w:val="auto"/>
          <w:sz w:val="24"/>
          <w:szCs w:val="24"/>
          <w:highlight w:val="none"/>
          <w:lang w:val="en-US" w:eastAsia="zh-CN"/>
        </w:rPr>
        <w:t>部分设备及管网老化导致</w:t>
      </w:r>
      <w:r>
        <w:rPr>
          <w:rFonts w:hint="eastAsia" w:ascii="仿宋" w:hAnsi="仿宋" w:eastAsia="仿宋" w:cs="仿宋"/>
          <w:bCs/>
          <w:color w:val="auto"/>
          <w:sz w:val="24"/>
          <w:szCs w:val="24"/>
          <w:highlight w:val="none"/>
        </w:rPr>
        <w:t>空调能耗费用逐年增加</w:t>
      </w:r>
      <w:r>
        <w:rPr>
          <w:rFonts w:hint="eastAsia" w:ascii="仿宋" w:hAnsi="仿宋" w:eastAsia="仿宋" w:cs="仿宋"/>
          <w:bCs/>
          <w:color w:val="auto"/>
          <w:sz w:val="24"/>
          <w:szCs w:val="24"/>
          <w:highlight w:val="none"/>
          <w:lang w:eastAsia="zh-CN"/>
        </w:rPr>
        <w:t>。</w:t>
      </w:r>
    </w:p>
    <w:p w14:paraId="53EEB474">
      <w:pPr>
        <w:widowControl/>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主要设备清单</w:t>
      </w:r>
    </w:p>
    <w:tbl>
      <w:tblPr>
        <w:tblStyle w:val="46"/>
        <w:tblW w:w="46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76"/>
        <w:gridCol w:w="774"/>
        <w:gridCol w:w="4473"/>
        <w:gridCol w:w="1296"/>
      </w:tblGrid>
      <w:tr w14:paraId="2DCC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noWrap w:val="0"/>
            <w:vAlign w:val="center"/>
          </w:tcPr>
          <w:p w14:paraId="075A4D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olor w:val="auto"/>
                <w:spacing w:val="0"/>
                <w:kern w:val="0"/>
                <w:sz w:val="24"/>
                <w:szCs w:val="24"/>
                <w:highlight w:val="none"/>
                <w:shd w:val="clear" w:color="auto" w:fill="FFFFFF"/>
                <w:vertAlign w:val="baseline"/>
                <w:lang w:val="en-US" w:eastAsia="zh-CN" w:bidi="ar"/>
              </w:rPr>
              <w:t>N</w:t>
            </w: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o</w:t>
            </w:r>
          </w:p>
        </w:tc>
        <w:tc>
          <w:tcPr>
            <w:tcW w:w="1077" w:type="pct"/>
            <w:noWrap w:val="0"/>
            <w:vAlign w:val="center"/>
          </w:tcPr>
          <w:p w14:paraId="30049C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类型</w:t>
            </w:r>
          </w:p>
        </w:tc>
        <w:tc>
          <w:tcPr>
            <w:tcW w:w="422" w:type="pct"/>
            <w:noWrap w:val="0"/>
            <w:vAlign w:val="center"/>
          </w:tcPr>
          <w:p w14:paraId="5404F2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数量</w:t>
            </w:r>
          </w:p>
        </w:tc>
        <w:tc>
          <w:tcPr>
            <w:tcW w:w="2439" w:type="pct"/>
            <w:noWrap w:val="0"/>
            <w:vAlign w:val="center"/>
          </w:tcPr>
          <w:p w14:paraId="35613B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具体参数</w:t>
            </w:r>
          </w:p>
        </w:tc>
        <w:tc>
          <w:tcPr>
            <w:tcW w:w="706" w:type="pct"/>
            <w:noWrap w:val="0"/>
            <w:vAlign w:val="center"/>
          </w:tcPr>
          <w:p w14:paraId="48F80E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年份</w:t>
            </w:r>
          </w:p>
        </w:tc>
      </w:tr>
      <w:tr w14:paraId="789F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noWrap w:val="0"/>
            <w:vAlign w:val="center"/>
          </w:tcPr>
          <w:p w14:paraId="36062F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1</w:t>
            </w:r>
          </w:p>
        </w:tc>
        <w:tc>
          <w:tcPr>
            <w:tcW w:w="1077" w:type="pct"/>
            <w:noWrap w:val="0"/>
            <w:vAlign w:val="center"/>
          </w:tcPr>
          <w:p w14:paraId="6D4B17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rPr>
              <w:t>远大蒸汽溴化锂</w:t>
            </w:r>
          </w:p>
        </w:tc>
        <w:tc>
          <w:tcPr>
            <w:tcW w:w="422" w:type="pct"/>
            <w:noWrap w:val="0"/>
            <w:vAlign w:val="center"/>
          </w:tcPr>
          <w:p w14:paraId="709962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2</w:t>
            </w:r>
          </w:p>
        </w:tc>
        <w:tc>
          <w:tcPr>
            <w:tcW w:w="2439" w:type="pct"/>
            <w:noWrap w:val="0"/>
            <w:vAlign w:val="center"/>
          </w:tcPr>
          <w:p w14:paraId="129751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bidi="ar"/>
              </w:rPr>
              <w:t>制冷量1163kw，型号：BS100VI0.6，</w:t>
            </w:r>
          </w:p>
        </w:tc>
        <w:tc>
          <w:tcPr>
            <w:tcW w:w="706" w:type="pct"/>
            <w:noWrap w:val="0"/>
            <w:vAlign w:val="center"/>
          </w:tcPr>
          <w:p w14:paraId="33B8A8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1997.08</w:t>
            </w:r>
          </w:p>
        </w:tc>
      </w:tr>
      <w:tr w14:paraId="79A9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noWrap w:val="0"/>
            <w:vAlign w:val="center"/>
          </w:tcPr>
          <w:p w14:paraId="622B8C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2</w:t>
            </w:r>
          </w:p>
        </w:tc>
        <w:tc>
          <w:tcPr>
            <w:tcW w:w="1077" w:type="pct"/>
            <w:noWrap w:val="0"/>
            <w:vAlign w:val="center"/>
          </w:tcPr>
          <w:p w14:paraId="2132D9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bidi="ar"/>
              </w:rPr>
              <w:t>南方冷温泵</w:t>
            </w:r>
          </w:p>
        </w:tc>
        <w:tc>
          <w:tcPr>
            <w:tcW w:w="422" w:type="pct"/>
            <w:noWrap w:val="0"/>
            <w:vAlign w:val="center"/>
          </w:tcPr>
          <w:p w14:paraId="39DABB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4</w:t>
            </w:r>
          </w:p>
        </w:tc>
        <w:tc>
          <w:tcPr>
            <w:tcW w:w="2439" w:type="pct"/>
            <w:noWrap w:val="0"/>
            <w:vAlign w:val="center"/>
          </w:tcPr>
          <w:p w14:paraId="1C4A46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bidi="ar"/>
              </w:rPr>
              <w:t>功率15kw，流量150</w:t>
            </w:r>
            <w:r>
              <w:rPr>
                <w:rFonts w:hint="eastAsia" w:ascii="仿宋" w:hAnsi="仿宋" w:eastAsia="仿宋" w:cs="仿宋"/>
                <w:color w:val="auto"/>
                <w:sz w:val="24"/>
                <w:szCs w:val="24"/>
                <w:highlight w:val="none"/>
                <w:vertAlign w:val="baseline"/>
                <w:lang w:val="en-US" w:eastAsia="zh-CN"/>
              </w:rPr>
              <w:t>m</w:t>
            </w:r>
            <w:r>
              <w:rPr>
                <w:rFonts w:hint="eastAsia" w:ascii="仿宋" w:hAnsi="仿宋" w:eastAsia="仿宋" w:cs="仿宋"/>
                <w:color w:val="auto"/>
                <w:sz w:val="24"/>
                <w:szCs w:val="24"/>
                <w:highlight w:val="none"/>
                <w:vertAlign w:val="superscript"/>
                <w:lang w:val="en-US" w:eastAsia="zh-CN"/>
              </w:rPr>
              <w:t>3</w:t>
            </w:r>
            <w:r>
              <w:rPr>
                <w:rFonts w:hint="eastAsia" w:ascii="仿宋" w:hAnsi="仿宋" w:eastAsia="仿宋" w:cs="仿宋"/>
                <w:color w:val="auto"/>
                <w:sz w:val="24"/>
                <w:szCs w:val="24"/>
                <w:highlight w:val="none"/>
                <w:vertAlign w:val="baseline"/>
                <w:lang w:val="en-US" w:eastAsia="zh-CN"/>
              </w:rPr>
              <w:t>/h</w:t>
            </w:r>
            <w:r>
              <w:rPr>
                <w:rFonts w:hint="eastAsia" w:ascii="仿宋" w:hAnsi="仿宋" w:eastAsia="仿宋" w:cs="仿宋"/>
                <w:color w:val="auto"/>
                <w:kern w:val="2"/>
                <w:sz w:val="24"/>
                <w:szCs w:val="24"/>
                <w:highlight w:val="none"/>
                <w:lang w:val="en-US" w:eastAsia="zh-CN" w:bidi="ar"/>
              </w:rPr>
              <w:t>，扬程28m</w:t>
            </w:r>
          </w:p>
        </w:tc>
        <w:tc>
          <w:tcPr>
            <w:tcW w:w="706" w:type="pct"/>
            <w:noWrap w:val="0"/>
            <w:vAlign w:val="center"/>
          </w:tcPr>
          <w:p w14:paraId="4A2473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2017.03</w:t>
            </w:r>
          </w:p>
        </w:tc>
      </w:tr>
      <w:tr w14:paraId="3AAC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noWrap w:val="0"/>
            <w:vAlign w:val="center"/>
          </w:tcPr>
          <w:p w14:paraId="431C9B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3</w:t>
            </w:r>
          </w:p>
        </w:tc>
        <w:tc>
          <w:tcPr>
            <w:tcW w:w="1077" w:type="pct"/>
            <w:noWrap w:val="0"/>
            <w:vAlign w:val="center"/>
          </w:tcPr>
          <w:p w14:paraId="7EB97B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bidi="ar"/>
              </w:rPr>
              <w:t>南方冷却泵</w:t>
            </w:r>
          </w:p>
        </w:tc>
        <w:tc>
          <w:tcPr>
            <w:tcW w:w="422" w:type="pct"/>
            <w:noWrap w:val="0"/>
            <w:vAlign w:val="center"/>
          </w:tcPr>
          <w:p w14:paraId="2C5881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4</w:t>
            </w:r>
          </w:p>
        </w:tc>
        <w:tc>
          <w:tcPr>
            <w:tcW w:w="2439" w:type="pct"/>
            <w:noWrap w:val="0"/>
            <w:vAlign w:val="center"/>
          </w:tcPr>
          <w:p w14:paraId="1B50C3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bidi="ar"/>
              </w:rPr>
              <w:t>功率15kw，流量100</w:t>
            </w:r>
            <w:r>
              <w:rPr>
                <w:rFonts w:hint="eastAsia" w:ascii="仿宋" w:hAnsi="仿宋" w:eastAsia="仿宋" w:cs="仿宋"/>
                <w:color w:val="auto"/>
                <w:sz w:val="24"/>
                <w:szCs w:val="24"/>
                <w:highlight w:val="none"/>
                <w:vertAlign w:val="baseline"/>
                <w:lang w:val="en-US" w:eastAsia="zh-CN"/>
              </w:rPr>
              <w:t>m</w:t>
            </w:r>
            <w:r>
              <w:rPr>
                <w:rFonts w:hint="eastAsia" w:ascii="仿宋" w:hAnsi="仿宋" w:eastAsia="仿宋" w:cs="仿宋"/>
                <w:color w:val="auto"/>
                <w:sz w:val="24"/>
                <w:szCs w:val="24"/>
                <w:highlight w:val="none"/>
                <w:vertAlign w:val="superscript"/>
                <w:lang w:val="en-US" w:eastAsia="zh-CN"/>
              </w:rPr>
              <w:t>3</w:t>
            </w:r>
            <w:r>
              <w:rPr>
                <w:rFonts w:hint="eastAsia" w:ascii="仿宋" w:hAnsi="仿宋" w:eastAsia="仿宋" w:cs="仿宋"/>
                <w:color w:val="auto"/>
                <w:sz w:val="24"/>
                <w:szCs w:val="24"/>
                <w:highlight w:val="none"/>
                <w:vertAlign w:val="baseline"/>
                <w:lang w:val="en-US" w:eastAsia="zh-CN"/>
              </w:rPr>
              <w:t>/h</w:t>
            </w:r>
            <w:r>
              <w:rPr>
                <w:rFonts w:hint="eastAsia" w:ascii="仿宋" w:hAnsi="仿宋" w:eastAsia="仿宋" w:cs="仿宋"/>
                <w:color w:val="auto"/>
                <w:kern w:val="2"/>
                <w:sz w:val="24"/>
                <w:szCs w:val="24"/>
                <w:highlight w:val="none"/>
                <w:lang w:val="en-US" w:eastAsia="zh-CN" w:bidi="ar"/>
              </w:rPr>
              <w:t>，扬程19m</w:t>
            </w:r>
          </w:p>
        </w:tc>
        <w:tc>
          <w:tcPr>
            <w:tcW w:w="706" w:type="pct"/>
            <w:noWrap w:val="0"/>
            <w:vAlign w:val="center"/>
          </w:tcPr>
          <w:p w14:paraId="692EBB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2017.03</w:t>
            </w:r>
          </w:p>
        </w:tc>
      </w:tr>
      <w:tr w14:paraId="5A85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noWrap w:val="0"/>
            <w:vAlign w:val="center"/>
          </w:tcPr>
          <w:p w14:paraId="30F668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4</w:t>
            </w:r>
          </w:p>
        </w:tc>
        <w:tc>
          <w:tcPr>
            <w:tcW w:w="1077" w:type="pct"/>
            <w:noWrap w:val="0"/>
            <w:vAlign w:val="center"/>
          </w:tcPr>
          <w:p w14:paraId="064425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冷却塔</w:t>
            </w:r>
          </w:p>
        </w:tc>
        <w:tc>
          <w:tcPr>
            <w:tcW w:w="422" w:type="pct"/>
            <w:noWrap w:val="0"/>
            <w:vAlign w:val="center"/>
          </w:tcPr>
          <w:p w14:paraId="008FA5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2</w:t>
            </w:r>
          </w:p>
        </w:tc>
        <w:tc>
          <w:tcPr>
            <w:tcW w:w="2439" w:type="pct"/>
            <w:noWrap w:val="0"/>
            <w:vAlign w:val="center"/>
          </w:tcPr>
          <w:p w14:paraId="251030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流量400m</w:t>
            </w:r>
            <w:r>
              <w:rPr>
                <w:rFonts w:hint="eastAsia" w:ascii="仿宋" w:hAnsi="仿宋" w:eastAsia="仿宋" w:cs="仿宋"/>
                <w:b w:val="0"/>
                <w:bCs w:val="0"/>
                <w:i w:val="0"/>
                <w:iCs w:val="0"/>
                <w:caps w:val="0"/>
                <w:color w:val="auto"/>
                <w:spacing w:val="0"/>
                <w:kern w:val="0"/>
                <w:sz w:val="24"/>
                <w:szCs w:val="24"/>
                <w:highlight w:val="none"/>
                <w:shd w:val="clear" w:color="auto" w:fill="FFFFFF"/>
                <w:vertAlign w:val="superscript"/>
                <w:lang w:val="en-US" w:eastAsia="zh-CN" w:bidi="ar"/>
              </w:rPr>
              <w:t>3</w:t>
            </w: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/h</w:t>
            </w:r>
          </w:p>
        </w:tc>
        <w:tc>
          <w:tcPr>
            <w:tcW w:w="706" w:type="pct"/>
            <w:noWrap w:val="0"/>
            <w:vAlign w:val="center"/>
          </w:tcPr>
          <w:p w14:paraId="406FD2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p>
        </w:tc>
      </w:tr>
    </w:tbl>
    <w:p w14:paraId="7918B404">
      <w:pPr>
        <w:rPr>
          <w:rFonts w:hint="default"/>
          <w:color w:val="auto"/>
          <w:highlight w:val="none"/>
          <w:lang w:val="en-US" w:eastAsia="zh-CN"/>
        </w:rPr>
      </w:pPr>
    </w:p>
    <w:p w14:paraId="70AB1CF3">
      <w:pPr>
        <w:pStyle w:val="3"/>
        <w:rPr>
          <w:rFonts w:hint="default"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3</w:t>
      </w:r>
      <w:r>
        <w:rPr>
          <w:rFonts w:hint="default" w:ascii="宋体" w:hAnsi="宋体" w:eastAsia="仿宋"/>
          <w:color w:val="auto"/>
          <w:sz w:val="24"/>
          <w:highlight w:val="none"/>
          <w:lang w:val="en-US" w:eastAsia="zh-CN"/>
        </w:rPr>
        <w:t>. 商务要求</w:t>
      </w:r>
    </w:p>
    <w:p w14:paraId="2CE07C03">
      <w:pPr>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除非有特别说明，本条为实质性要求。</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2043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01FBB5A2">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kern w:val="2"/>
                <w:sz w:val="24"/>
                <w:szCs w:val="24"/>
                <w:highlight w:val="none"/>
                <w:lang w:val="en-US" w:eastAsia="zh-CN" w:bidi="ar-SA"/>
              </w:rPr>
              <w:t>交付（实施）的时间（期限）</w:t>
            </w:r>
          </w:p>
        </w:tc>
        <w:tc>
          <w:tcPr>
            <w:tcW w:w="7479" w:type="dxa"/>
            <w:noWrap w:val="0"/>
            <w:vAlign w:val="top"/>
          </w:tcPr>
          <w:p w14:paraId="29E505F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合同能源管理服务10年。</w:t>
            </w:r>
          </w:p>
          <w:p w14:paraId="1F76DC26">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7C4EE44E">
            <w:pPr>
              <w:pStyle w:val="87"/>
              <w:keepNext w:val="0"/>
              <w:keepLines w:val="0"/>
              <w:suppressLineNumbers w:val="0"/>
              <w:spacing w:before="0" w:beforeAutospacing="0" w:after="0" w:afterAutospacing="0"/>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w:t>
            </w:r>
            <w:r>
              <w:rPr>
                <w:rFonts w:hint="eastAsia" w:ascii="楷体" w:hAnsi="楷体" w:eastAsia="仿宋" w:cs="Calibri"/>
                <w:color w:val="auto"/>
                <w:sz w:val="24"/>
                <w:highlight w:val="none"/>
                <w:lang w:val="en-US" w:eastAsia="zh-CN"/>
              </w:rPr>
              <w:t xml:space="preserve"> </w:t>
            </w:r>
            <w:r>
              <w:rPr>
                <w:rFonts w:hint="eastAsia" w:ascii="楷体" w:hAnsi="楷体" w:eastAsia="仿宋" w:cs="Calibri"/>
                <w:color w:val="auto"/>
                <w:sz w:val="24"/>
                <w:highlight w:val="none"/>
              </w:rPr>
              <w:t>□接受：</w:t>
            </w:r>
          </w:p>
          <w:p w14:paraId="65B0AE4F">
            <w:pPr>
              <w:pStyle w:val="87"/>
              <w:keepNext w:val="0"/>
              <w:keepLines w:val="0"/>
              <w:suppressLineNumbers w:val="0"/>
              <w:spacing w:before="0" w:beforeAutospacing="0" w:after="0" w:afterAutospacing="0"/>
              <w:ind w:left="0" w:right="0" w:firstLine="2160" w:firstLineChars="900"/>
              <w:rPr>
                <w:rFonts w:hint="eastAsia" w:ascii="宋体" w:hAnsi="宋体" w:eastAsia="仿宋" w:cs="Times New Roman"/>
                <w:color w:val="auto"/>
                <w:sz w:val="24"/>
                <w:highlight w:val="none"/>
                <w:vertAlign w:val="baseline"/>
                <w:lang w:val="en-US" w:eastAsia="zh-CN"/>
              </w:rPr>
            </w:pPr>
            <w:r>
              <w:rPr>
                <w:rFonts w:hint="eastAsia" w:ascii="楷体" w:hAnsi="楷体" w:eastAsia="仿宋" w:cs="Calibri"/>
                <w:color w:val="auto"/>
                <w:sz w:val="24"/>
                <w:highlight w:val="none"/>
              </w:rPr>
              <w:t>允许偏离的幅度：</w:t>
            </w:r>
            <w:r>
              <w:rPr>
                <w:rFonts w:hint="eastAsia" w:ascii="楷体" w:hAnsi="楷体" w:eastAsia="仿宋" w:cs="Calibri"/>
                <w:color w:val="auto"/>
                <w:sz w:val="24"/>
                <w:highlight w:val="none"/>
                <w:lang w:val="en-US" w:eastAsia="zh-CN"/>
              </w:rPr>
              <w:t>/</w:t>
            </w:r>
          </w:p>
        </w:tc>
      </w:tr>
      <w:tr w14:paraId="2919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1E7252D9">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kern w:val="2"/>
                <w:sz w:val="24"/>
                <w:szCs w:val="24"/>
                <w:highlight w:val="none"/>
                <w:lang w:val="en-US" w:eastAsia="zh-CN" w:bidi="ar-SA"/>
              </w:rPr>
              <w:t>交付（实施）的地点（范围）</w:t>
            </w:r>
          </w:p>
        </w:tc>
        <w:tc>
          <w:tcPr>
            <w:tcW w:w="7479" w:type="dxa"/>
            <w:noWrap w:val="0"/>
            <w:vAlign w:val="top"/>
          </w:tcPr>
          <w:p w14:paraId="5565C40C">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宋体" w:hAnsi="宋体" w:eastAsia="仿宋" w:cs="Times New Roman"/>
                <w:color w:val="auto"/>
                <w:sz w:val="24"/>
                <w:highlight w:val="none"/>
                <w:vertAlign w:val="baseline"/>
                <w:lang w:val="en-US" w:eastAsia="zh-CN"/>
              </w:rPr>
            </w:pPr>
            <w:r>
              <w:rPr>
                <w:rFonts w:hint="default" w:ascii="宋体" w:hAnsi="宋体" w:eastAsia="仿宋" w:cs="Times New Roman"/>
                <w:color w:val="auto"/>
                <w:sz w:val="24"/>
                <w:highlight w:val="none"/>
                <w:vertAlign w:val="baseline"/>
                <w:lang w:val="en-US" w:eastAsia="zh-CN"/>
              </w:rPr>
              <w:t>合肥市，招标人指定地点。</w:t>
            </w:r>
          </w:p>
        </w:tc>
      </w:tr>
      <w:tr w14:paraId="77BF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9B12171">
            <w:pPr>
              <w:pStyle w:val="87"/>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sz w:val="24"/>
                <w:highlight w:val="none"/>
                <w:vertAlign w:val="baseline"/>
                <w:lang w:val="en-US" w:eastAsia="zh-CN"/>
              </w:rPr>
              <w:t>付款方式</w:t>
            </w:r>
          </w:p>
        </w:tc>
        <w:tc>
          <w:tcPr>
            <w:tcW w:w="7479" w:type="dxa"/>
            <w:noWrap w:val="0"/>
            <w:vAlign w:val="top"/>
          </w:tcPr>
          <w:p w14:paraId="4A9F67AA">
            <w:pPr>
              <w:pStyle w:val="16"/>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仿宋" w:hAnsi="仿宋" w:eastAsia="仿宋" w:cs="仿宋"/>
                <w:color w:val="auto"/>
                <w:sz w:val="24"/>
                <w:szCs w:val="24"/>
                <w:highlight w:val="none"/>
              </w:rPr>
              <w:t>合同期内，招标人按照合同约定</w:t>
            </w:r>
            <w:r>
              <w:rPr>
                <w:rFonts w:hint="eastAsia" w:ascii="仿宋" w:hAnsi="仿宋" w:eastAsia="仿宋" w:cs="仿宋"/>
                <w:color w:val="auto"/>
                <w:sz w:val="24"/>
                <w:szCs w:val="24"/>
                <w:highlight w:val="none"/>
                <w:lang w:val="en-US" w:eastAsia="zh-CN"/>
              </w:rPr>
              <w:t>每半年（6个月为一个周期）</w:t>
            </w:r>
            <w:r>
              <w:rPr>
                <w:rFonts w:hint="eastAsia" w:ascii="仿宋" w:hAnsi="仿宋" w:eastAsia="仿宋" w:cs="仿宋"/>
                <w:color w:val="auto"/>
                <w:sz w:val="24"/>
                <w:szCs w:val="24"/>
                <w:highlight w:val="none"/>
              </w:rPr>
              <w:t>支付</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能源</w:t>
            </w:r>
            <w:r>
              <w:rPr>
                <w:rFonts w:hint="eastAsia" w:ascii="仿宋" w:hAnsi="仿宋" w:eastAsia="仿宋" w:cs="仿宋"/>
                <w:color w:val="auto"/>
                <w:sz w:val="24"/>
                <w:szCs w:val="24"/>
                <w:highlight w:val="none"/>
                <w:lang w:val="en-US" w:eastAsia="zh-CN"/>
              </w:rPr>
              <w:t>管理服务</w:t>
            </w:r>
            <w:r>
              <w:rPr>
                <w:rFonts w:hint="eastAsia" w:ascii="仿宋" w:hAnsi="仿宋" w:eastAsia="仿宋" w:cs="仿宋"/>
                <w:color w:val="auto"/>
                <w:sz w:val="24"/>
                <w:szCs w:val="24"/>
                <w:highlight w:val="none"/>
              </w:rPr>
              <w:t>费用。</w:t>
            </w:r>
            <w:r>
              <w:rPr>
                <w:rFonts w:hint="eastAsia" w:ascii="仿宋" w:hAnsi="仿宋" w:eastAsia="仿宋" w:cs="仿宋"/>
                <w:color w:val="auto"/>
                <w:sz w:val="24"/>
                <w:szCs w:val="24"/>
                <w:highlight w:val="none"/>
                <w:lang w:val="en-US" w:eastAsia="zh-CN"/>
              </w:rPr>
              <w:t>项目正式运营后，</w:t>
            </w:r>
            <w:r>
              <w:rPr>
                <w:rFonts w:hint="eastAsia" w:ascii="仿宋" w:hAnsi="仿宋" w:eastAsia="仿宋" w:cs="仿宋"/>
                <w:color w:val="auto"/>
                <w:sz w:val="24"/>
                <w:szCs w:val="24"/>
                <w:highlight w:val="none"/>
              </w:rPr>
              <w:t>中标人</w:t>
            </w:r>
            <w:r>
              <w:rPr>
                <w:rFonts w:hint="eastAsia" w:ascii="仿宋" w:hAnsi="仿宋" w:eastAsia="仿宋" w:cs="仿宋"/>
                <w:color w:val="auto"/>
                <w:sz w:val="24"/>
                <w:szCs w:val="24"/>
                <w:highlight w:val="none"/>
                <w:lang w:val="en-US" w:eastAsia="zh-CN"/>
              </w:rPr>
              <w:t>每周期服务结束后</w:t>
            </w:r>
            <w:r>
              <w:rPr>
                <w:rFonts w:hint="eastAsia" w:ascii="仿宋" w:hAnsi="仿宋" w:eastAsia="仿宋" w:cs="仿宋"/>
                <w:color w:val="auto"/>
                <w:sz w:val="24"/>
                <w:szCs w:val="24"/>
                <w:highlight w:val="none"/>
              </w:rPr>
              <w:t>10个工作日内向招标人提供合法税务发票，招标人在收到中标人合法税务发票后按财务流程以银行转账的方式向中标人指定账户按时支付。</w:t>
            </w:r>
          </w:p>
          <w:p w14:paraId="3EECD252">
            <w:pPr>
              <w:keepNext w:val="0"/>
              <w:keepLines w:val="0"/>
              <w:suppressLineNumbers w:val="0"/>
              <w:spacing w:before="0" w:beforeAutospacing="0" w:after="0" w:afterAutospacing="0"/>
              <w:ind w:left="0" w:right="0"/>
              <w:rPr>
                <w:rFonts w:hint="default" w:ascii="Calibri" w:hAnsi="Calibri" w:cs="Times New Roman"/>
                <w:color w:val="auto"/>
                <w:highlight w:val="none"/>
              </w:rPr>
            </w:pPr>
          </w:p>
          <w:p w14:paraId="6B19C749">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5172903A">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5191853">
            <w:pPr>
              <w:keepNext w:val="0"/>
              <w:keepLines w:val="0"/>
              <w:widowControl/>
              <w:suppressLineNumbers w:val="0"/>
              <w:adjustRightInd w:val="0"/>
              <w:snapToGrid w:val="0"/>
              <w:spacing w:before="0" w:beforeAutospacing="0" w:after="0" w:afterAutospacing="0" w:line="288" w:lineRule="auto"/>
              <w:ind w:left="0" w:right="0" w:firstLine="1920" w:firstLineChars="800"/>
              <w:rPr>
                <w:rFonts w:hint="eastAsia" w:ascii="宋体" w:hAnsi="宋体" w:eastAsia="仿宋" w:cs="Times New Roman"/>
                <w:color w:val="auto"/>
                <w:sz w:val="24"/>
                <w:highlight w:val="none"/>
                <w:vertAlign w:val="baseline"/>
                <w:lang w:val="en-US" w:eastAsia="zh-CN"/>
              </w:rPr>
            </w:pPr>
            <w:r>
              <w:rPr>
                <w:rFonts w:hint="eastAsia" w:ascii="楷体" w:hAnsi="楷体" w:eastAsia="仿宋" w:cs="Calibri"/>
                <w:color w:val="auto"/>
                <w:sz w:val="24"/>
                <w:highlight w:val="none"/>
              </w:rPr>
              <w:t>允许偏离的幅度</w:t>
            </w:r>
            <w:r>
              <w:rPr>
                <w:rFonts w:hint="eastAsia" w:ascii="楷体" w:hAnsi="楷体" w:eastAsia="仿宋" w:cs="Calibri"/>
                <w:color w:val="auto"/>
                <w:sz w:val="24"/>
                <w:highlight w:val="none"/>
                <w:lang w:val="en-US" w:eastAsia="zh-CN"/>
              </w:rPr>
              <w:t>/</w:t>
            </w:r>
          </w:p>
        </w:tc>
      </w:tr>
      <w:tr w14:paraId="618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66CD7557">
            <w:pPr>
              <w:pStyle w:val="17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仿宋" w:cs="Times New Roman"/>
                <w:color w:val="auto"/>
                <w:sz w:val="24"/>
                <w:highlight w:val="none"/>
                <w:vertAlign w:val="baseline"/>
                <w:lang w:val="en-US" w:eastAsia="zh-CN"/>
              </w:rPr>
            </w:pPr>
            <w:r>
              <w:rPr>
                <w:rFonts w:hint="eastAsia" w:ascii="宋体" w:hAnsi="宋体" w:eastAsia="仿宋" w:cs="Calibri"/>
                <w:b w:val="0"/>
                <w:bCs w:val="0"/>
                <w:color w:val="auto"/>
                <w:kern w:val="2"/>
                <w:sz w:val="24"/>
                <w:szCs w:val="24"/>
                <w:highlight w:val="none"/>
                <w:lang w:val="en-US" w:eastAsia="zh-CN" w:bidi="ar-SA"/>
              </w:rPr>
              <w:t>本项目采购标的所属行业</w:t>
            </w:r>
          </w:p>
        </w:tc>
        <w:tc>
          <w:tcPr>
            <w:tcW w:w="7479" w:type="dxa"/>
            <w:noWrap w:val="0"/>
            <w:vAlign w:val="center"/>
          </w:tcPr>
          <w:p w14:paraId="4DCB4991">
            <w:pPr>
              <w:keepNext w:val="0"/>
              <w:keepLines w:val="0"/>
              <w:suppressLineNumbers w:val="0"/>
              <w:spacing w:before="0" w:beforeAutospacing="0" w:after="0" w:afterAutospacing="0"/>
              <w:ind w:left="0" w:right="0"/>
              <w:rPr>
                <w:rFonts w:hint="default" w:ascii="宋体" w:hAnsi="宋体" w:eastAsia="仿宋" w:cs="Times New Roman"/>
                <w:color w:val="auto"/>
                <w:sz w:val="24"/>
                <w:highlight w:val="none"/>
                <w:vertAlign w:val="baseline"/>
                <w:lang w:val="en-US" w:eastAsia="zh-CN"/>
              </w:rPr>
            </w:pPr>
            <w:r>
              <w:rPr>
                <w:rFonts w:hint="eastAsia" w:ascii="宋体" w:hAnsi="宋体" w:eastAsia="仿宋" w:cs="Calibri"/>
                <w:color w:val="auto"/>
                <w:sz w:val="24"/>
                <w:highlight w:val="none"/>
                <w:lang w:val="en-US" w:eastAsia="zh-CN"/>
              </w:rPr>
              <w:t xml:space="preserve">所属行业：其他未列明行业 </w:t>
            </w:r>
          </w:p>
        </w:tc>
      </w:tr>
    </w:tbl>
    <w:p w14:paraId="521E0D7E">
      <w:pPr>
        <w:pStyle w:val="87"/>
        <w:rPr>
          <w:rFonts w:hint="default" w:ascii="宋体" w:hAnsi="宋体" w:eastAsia="仿宋"/>
          <w:color w:val="auto"/>
          <w:sz w:val="24"/>
          <w:highlight w:val="none"/>
          <w:lang w:val="en-US" w:eastAsia="zh-CN"/>
        </w:rPr>
      </w:pPr>
    </w:p>
    <w:bookmarkEnd w:id="761"/>
    <w:p w14:paraId="76D8CB96">
      <w:pPr>
        <w:pStyle w:val="3"/>
        <w:rPr>
          <w:rStyle w:val="101"/>
          <w:rFonts w:hint="eastAsia" w:ascii="宋体" w:hAnsi="宋体" w:eastAsia="仿宋"/>
          <w:b/>
          <w:bCs/>
          <w:color w:val="auto"/>
          <w:sz w:val="24"/>
          <w:szCs w:val="24"/>
          <w:highlight w:val="none"/>
        </w:rPr>
      </w:pPr>
      <w:bookmarkStart w:id="762" w:name="_Toc455587091"/>
      <w:bookmarkStart w:id="763" w:name="_Toc455587275"/>
      <w:bookmarkStart w:id="764" w:name="_Toc445554749"/>
      <w:bookmarkStart w:id="765" w:name="_Toc466024558"/>
      <w:r>
        <w:rPr>
          <w:rStyle w:val="101"/>
          <w:rFonts w:hint="eastAsia" w:ascii="宋体" w:hAnsi="宋体" w:eastAsia="仿宋"/>
          <w:b/>
          <w:bCs/>
          <w:color w:val="auto"/>
          <w:sz w:val="24"/>
          <w:szCs w:val="24"/>
          <w:highlight w:val="none"/>
          <w:lang w:val="en-US"/>
        </w:rPr>
        <w:t>4</w:t>
      </w:r>
      <w:r>
        <w:rPr>
          <w:rStyle w:val="101"/>
          <w:rFonts w:hint="eastAsia" w:ascii="宋体" w:hAnsi="宋体" w:eastAsia="仿宋"/>
          <w:b/>
          <w:bCs/>
          <w:color w:val="auto"/>
          <w:sz w:val="24"/>
          <w:szCs w:val="24"/>
          <w:highlight w:val="none"/>
        </w:rPr>
        <w:t>. 技术要求</w:t>
      </w:r>
      <w:bookmarkEnd w:id="762"/>
      <w:bookmarkEnd w:id="763"/>
      <w:bookmarkEnd w:id="764"/>
      <w:bookmarkEnd w:id="765"/>
    </w:p>
    <w:p w14:paraId="27DE1202">
      <w:pPr>
        <w:pStyle w:val="23"/>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lang w:val="en-US" w:eastAsia="zh-CN"/>
        </w:rPr>
        <w:t>4</w:t>
      </w:r>
      <w:r>
        <w:rPr>
          <w:rFonts w:hint="eastAsia" w:hAnsi="宋体" w:eastAsia="仿宋"/>
          <w:b/>
          <w:bCs/>
          <w:color w:val="auto"/>
          <w:sz w:val="24"/>
          <w:szCs w:val="24"/>
          <w:highlight w:val="none"/>
        </w:rPr>
        <w:t>.1标识符号</w:t>
      </w:r>
    </w:p>
    <w:tbl>
      <w:tblPr>
        <w:tblStyle w:val="4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530"/>
        <w:gridCol w:w="6185"/>
      </w:tblGrid>
      <w:tr w14:paraId="7E48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42B507C9">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标识</w:t>
            </w:r>
            <w:r>
              <w:rPr>
                <w:rFonts w:hint="eastAsia" w:ascii="仿宋" w:hAnsi="仿宋" w:eastAsia="仿宋" w:cs="仿宋"/>
                <w:b/>
                <w:color w:val="auto"/>
                <w:sz w:val="24"/>
                <w:highlight w:val="none"/>
              </w:rPr>
              <w:t>类型</w:t>
            </w:r>
          </w:p>
        </w:tc>
        <w:tc>
          <w:tcPr>
            <w:tcW w:w="785" w:type="pct"/>
            <w:noWrap w:val="0"/>
            <w:vAlign w:val="center"/>
          </w:tcPr>
          <w:p w14:paraId="0C970980">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标识符号</w:t>
            </w:r>
          </w:p>
        </w:tc>
        <w:tc>
          <w:tcPr>
            <w:tcW w:w="3173" w:type="pct"/>
            <w:noWrap w:val="0"/>
            <w:vAlign w:val="center"/>
          </w:tcPr>
          <w:p w14:paraId="7BB32D0F">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标识符号含义</w:t>
            </w:r>
          </w:p>
        </w:tc>
      </w:tr>
      <w:tr w14:paraId="0747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017F46F9">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实质性参数</w:t>
            </w:r>
          </w:p>
        </w:tc>
        <w:tc>
          <w:tcPr>
            <w:tcW w:w="785" w:type="pct"/>
            <w:noWrap w:val="0"/>
            <w:vAlign w:val="center"/>
          </w:tcPr>
          <w:p w14:paraId="68A791D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w:t>
            </w:r>
          </w:p>
        </w:tc>
        <w:tc>
          <w:tcPr>
            <w:tcW w:w="3173" w:type="pct"/>
            <w:noWrap w:val="0"/>
            <w:vAlign w:val="center"/>
          </w:tcPr>
          <w:p w14:paraId="32325D0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负偏离或未响应视为实质性不响应招标文件要求</w:t>
            </w:r>
          </w:p>
        </w:tc>
      </w:tr>
      <w:tr w14:paraId="50C6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427E34B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重要参数</w:t>
            </w:r>
          </w:p>
        </w:tc>
        <w:tc>
          <w:tcPr>
            <w:tcW w:w="785" w:type="pct"/>
            <w:noWrap w:val="0"/>
            <w:vAlign w:val="center"/>
          </w:tcPr>
          <w:p w14:paraId="3F4BBEBC">
            <w:pPr>
              <w:keepNext w:val="0"/>
              <w:keepLines w:val="0"/>
              <w:suppressLineNumbers w:val="0"/>
              <w:spacing w:before="0" w:beforeAutospacing="0" w:after="0" w:afterAutospacing="0" w:line="240" w:lineRule="auto"/>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highlight w:val="none"/>
              </w:rPr>
              <w:t>●</w:t>
            </w:r>
          </w:p>
        </w:tc>
        <w:tc>
          <w:tcPr>
            <w:tcW w:w="3173" w:type="pct"/>
            <w:noWrap w:val="0"/>
            <w:vAlign w:val="center"/>
          </w:tcPr>
          <w:p w14:paraId="5588B51A">
            <w:pPr>
              <w:keepNext w:val="0"/>
              <w:keepLines w:val="0"/>
              <w:suppressLineNumbers w:val="0"/>
              <w:spacing w:before="0" w:beforeAutospacing="0" w:after="0" w:afterAutospacing="0" w:line="240" w:lineRule="auto"/>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评分项</w:t>
            </w:r>
          </w:p>
        </w:tc>
      </w:tr>
      <w:tr w14:paraId="70A3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7C3F58F8">
            <w:pPr>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注：</w:t>
            </w:r>
          </w:p>
          <w:p w14:paraId="7E7B42D5">
            <w:pPr>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（1）标识</w:t>
            </w:r>
            <w:r>
              <w:rPr>
                <w:rFonts w:hint="eastAsia" w:ascii="仿宋" w:hAnsi="仿宋" w:eastAsia="仿宋" w:cs="仿宋"/>
                <w:color w:val="auto"/>
                <w:sz w:val="22"/>
                <w:szCs w:val="22"/>
                <w:highlight w:val="none"/>
              </w:rPr>
              <w:t>条款</w:t>
            </w:r>
            <w:r>
              <w:rPr>
                <w:rFonts w:hint="eastAsia" w:ascii="仿宋" w:hAnsi="仿宋" w:eastAsia="仿宋" w:cs="仿宋"/>
                <w:color w:val="auto"/>
                <w:sz w:val="22"/>
                <w:szCs w:val="22"/>
                <w:highlight w:val="none"/>
                <w:lang w:val="en-US" w:eastAsia="zh-CN"/>
              </w:rPr>
              <w:t>中</w:t>
            </w:r>
            <w:r>
              <w:rPr>
                <w:rFonts w:hint="eastAsia" w:ascii="仿宋" w:hAnsi="仿宋" w:eastAsia="仿宋" w:cs="仿宋"/>
                <w:color w:val="auto"/>
                <w:sz w:val="22"/>
                <w:szCs w:val="22"/>
                <w:highlight w:val="none"/>
              </w:rPr>
              <w:t>如包含多</w:t>
            </w:r>
            <w:r>
              <w:rPr>
                <w:rFonts w:hint="eastAsia" w:ascii="仿宋" w:hAnsi="仿宋" w:eastAsia="仿宋" w:cs="仿宋"/>
                <w:color w:val="auto"/>
                <w:sz w:val="22"/>
                <w:szCs w:val="22"/>
                <w:highlight w:val="none"/>
                <w:lang w:val="en-US" w:eastAsia="zh-CN"/>
              </w:rPr>
              <w:t>条</w:t>
            </w:r>
            <w:r>
              <w:rPr>
                <w:rFonts w:hint="eastAsia" w:ascii="仿宋" w:hAnsi="仿宋" w:eastAsia="仿宋" w:cs="仿宋"/>
                <w:color w:val="auto"/>
                <w:sz w:val="22"/>
                <w:szCs w:val="22"/>
                <w:highlight w:val="none"/>
              </w:rPr>
              <w:t>子项技术参数</w:t>
            </w:r>
            <w:r>
              <w:rPr>
                <w:rFonts w:hint="eastAsia" w:ascii="仿宋" w:hAnsi="仿宋" w:eastAsia="仿宋" w:cs="仿宋"/>
                <w:color w:val="auto"/>
                <w:sz w:val="22"/>
                <w:szCs w:val="22"/>
                <w:highlight w:val="none"/>
                <w:lang w:val="en-US" w:eastAsia="zh-CN"/>
              </w:rPr>
              <w:t>或要求</w:t>
            </w:r>
            <w:r>
              <w:rPr>
                <w:rFonts w:hint="eastAsia" w:ascii="仿宋" w:hAnsi="仿宋" w:eastAsia="仿宋" w:cs="仿宋"/>
                <w:color w:val="auto"/>
                <w:sz w:val="22"/>
                <w:szCs w:val="22"/>
                <w:highlight w:val="none"/>
              </w:rPr>
              <w:t>，则需满足或优于该标识条款内所有子项技术参数</w:t>
            </w:r>
            <w:r>
              <w:rPr>
                <w:rFonts w:hint="eastAsia" w:ascii="仿宋" w:hAnsi="仿宋" w:eastAsia="仿宋" w:cs="仿宋"/>
                <w:color w:val="auto"/>
                <w:sz w:val="22"/>
                <w:szCs w:val="22"/>
                <w:highlight w:val="none"/>
                <w:lang w:val="en-US" w:eastAsia="zh-CN"/>
              </w:rPr>
              <w:t>或要求</w:t>
            </w:r>
            <w:r>
              <w:rPr>
                <w:rFonts w:hint="eastAsia" w:ascii="仿宋" w:hAnsi="仿宋" w:eastAsia="仿宋" w:cs="仿宋"/>
                <w:color w:val="auto"/>
                <w:sz w:val="22"/>
                <w:szCs w:val="22"/>
                <w:highlight w:val="none"/>
              </w:rPr>
              <w:t>方能得分。</w:t>
            </w:r>
          </w:p>
          <w:p w14:paraId="680030F3">
            <w:pPr>
              <w:keepNext w:val="0"/>
              <w:keepLines w:val="0"/>
              <w:suppressLineNumbers w:val="0"/>
              <w:spacing w:before="0" w:beforeAutospacing="0" w:after="0" w:afterAutospacing="0" w:line="240" w:lineRule="auto"/>
              <w:ind w:left="0" w:right="0"/>
              <w:jc w:val="left"/>
              <w:rPr>
                <w:rFonts w:hint="eastAsia" w:ascii="仿宋" w:hAnsi="仿宋" w:eastAsia="宋体" w:cs="仿宋"/>
                <w:color w:val="auto"/>
                <w:sz w:val="24"/>
                <w:highlight w:val="none"/>
                <w:lang w:val="en-US"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须</w:t>
            </w:r>
            <w:r>
              <w:rPr>
                <w:rFonts w:hint="eastAsia" w:ascii="仿宋" w:hAnsi="仿宋" w:eastAsia="仿宋" w:cs="仿宋"/>
                <w:color w:val="auto"/>
                <w:sz w:val="22"/>
                <w:szCs w:val="22"/>
                <w:highlight w:val="none"/>
              </w:rPr>
              <w:t>按照第六章投标</w:t>
            </w:r>
            <w:r>
              <w:rPr>
                <w:rFonts w:hint="eastAsia" w:ascii="仿宋" w:hAnsi="仿宋" w:eastAsia="仿宋" w:cs="仿宋"/>
                <w:color w:val="auto"/>
                <w:sz w:val="22"/>
                <w:szCs w:val="22"/>
                <w:highlight w:val="none"/>
                <w:lang w:val="en-US" w:eastAsia="zh-CN"/>
              </w:rPr>
              <w:t>文件</w:t>
            </w:r>
            <w:r>
              <w:rPr>
                <w:rFonts w:hint="eastAsia" w:ascii="仿宋" w:hAnsi="仿宋" w:eastAsia="仿宋" w:cs="仿宋"/>
                <w:color w:val="auto"/>
                <w:sz w:val="22"/>
                <w:szCs w:val="22"/>
                <w:highlight w:val="none"/>
              </w:rPr>
              <w:t>格式</w:t>
            </w:r>
            <w:r>
              <w:rPr>
                <w:rFonts w:hint="eastAsia" w:ascii="仿宋" w:hAnsi="仿宋" w:eastAsia="仿宋" w:cs="仿宋"/>
                <w:color w:val="auto"/>
                <w:sz w:val="22"/>
                <w:szCs w:val="22"/>
                <w:highlight w:val="none"/>
                <w:lang w:val="en-US" w:eastAsia="zh-CN"/>
              </w:rPr>
              <w:t>十</w:t>
            </w:r>
            <w:r>
              <w:rPr>
                <w:rFonts w:hint="eastAsia" w:ascii="仿宋" w:hAnsi="仿宋" w:eastAsia="仿宋" w:cs="仿宋"/>
                <w:color w:val="auto"/>
                <w:sz w:val="22"/>
                <w:szCs w:val="22"/>
                <w:highlight w:val="none"/>
              </w:rPr>
              <w:t>，提供技术</w:t>
            </w:r>
            <w:r>
              <w:rPr>
                <w:rFonts w:hint="eastAsia" w:ascii="仿宋" w:hAnsi="仿宋" w:eastAsia="仿宋" w:cs="仿宋"/>
                <w:color w:val="auto"/>
                <w:sz w:val="22"/>
                <w:szCs w:val="22"/>
                <w:highlight w:val="none"/>
                <w:lang w:val="en-US" w:eastAsia="zh-CN"/>
              </w:rPr>
              <w:t>要求</w:t>
            </w:r>
            <w:r>
              <w:rPr>
                <w:rFonts w:hint="eastAsia" w:ascii="仿宋" w:hAnsi="仿宋" w:eastAsia="仿宋" w:cs="仿宋"/>
                <w:color w:val="auto"/>
                <w:sz w:val="22"/>
                <w:szCs w:val="22"/>
                <w:highlight w:val="none"/>
              </w:rPr>
              <w:t>偏离表</w:t>
            </w:r>
            <w:r>
              <w:rPr>
                <w:rFonts w:hint="eastAsia" w:ascii="仿宋" w:hAnsi="仿宋" w:eastAsia="仿宋" w:cs="仿宋"/>
                <w:color w:val="auto"/>
                <w:sz w:val="22"/>
                <w:szCs w:val="22"/>
                <w:highlight w:val="none"/>
                <w:lang w:eastAsia="zh-CN"/>
              </w:rPr>
              <w:t>。</w:t>
            </w:r>
          </w:p>
        </w:tc>
      </w:tr>
    </w:tbl>
    <w:p w14:paraId="6A77C6F9">
      <w:pPr>
        <w:pStyle w:val="23"/>
        <w:widowControl/>
        <w:snapToGrid w:val="0"/>
        <w:spacing w:line="360" w:lineRule="auto"/>
        <w:ind w:firstLine="480" w:firstLineChars="200"/>
        <w:rPr>
          <w:rFonts w:hint="eastAsia" w:hAnsi="宋体" w:eastAsia="仿宋"/>
          <w:color w:val="auto"/>
          <w:sz w:val="24"/>
          <w:szCs w:val="24"/>
          <w:highlight w:val="none"/>
        </w:rPr>
      </w:pPr>
    </w:p>
    <w:p w14:paraId="096E56C7">
      <w:pPr>
        <w:pStyle w:val="23"/>
        <w:widowControl/>
        <w:snapToGrid w:val="0"/>
        <w:spacing w:line="360" w:lineRule="auto"/>
        <w:ind w:firstLine="482" w:firstLineChars="200"/>
        <w:outlineLvl w:val="2"/>
        <w:rPr>
          <w:rFonts w:hint="eastAsia" w:eastAsia="仿宋"/>
          <w:b/>
          <w:bCs/>
          <w:color w:val="auto"/>
          <w:sz w:val="24"/>
          <w:highlight w:val="none"/>
        </w:rPr>
      </w:pPr>
      <w:r>
        <w:rPr>
          <w:rFonts w:hint="eastAsia" w:hAnsi="宋体" w:eastAsia="仿宋"/>
          <w:b/>
          <w:bCs/>
          <w:color w:val="auto"/>
          <w:sz w:val="24"/>
          <w:szCs w:val="24"/>
          <w:highlight w:val="none"/>
          <w:lang w:val="en-US" w:eastAsia="zh-CN"/>
        </w:rPr>
        <w:t>4</w:t>
      </w:r>
      <w:r>
        <w:rPr>
          <w:rFonts w:hint="eastAsia" w:hAnsi="宋体" w:eastAsia="仿宋"/>
          <w:b/>
          <w:bCs/>
          <w:color w:val="auto"/>
          <w:sz w:val="24"/>
          <w:szCs w:val="24"/>
          <w:highlight w:val="none"/>
        </w:rPr>
        <w:t>.2</w:t>
      </w:r>
      <w:r>
        <w:rPr>
          <w:rFonts w:hint="eastAsia" w:ascii="仿宋" w:hAnsi="仿宋" w:eastAsia="仿宋" w:cs="仿宋"/>
          <w:b/>
          <w:color w:val="auto"/>
          <w:sz w:val="24"/>
          <w:szCs w:val="24"/>
          <w:highlight w:val="none"/>
        </w:rPr>
        <w:t>项目服务</w:t>
      </w:r>
      <w:r>
        <w:rPr>
          <w:rFonts w:hint="eastAsia" w:ascii="仿宋" w:hAnsi="仿宋" w:eastAsia="仿宋" w:cs="仿宋"/>
          <w:b/>
          <w:color w:val="auto"/>
          <w:sz w:val="24"/>
          <w:szCs w:val="24"/>
          <w:highlight w:val="none"/>
          <w:lang w:val="en-US" w:eastAsia="zh-CN"/>
        </w:rPr>
        <w:t>要求</w:t>
      </w:r>
    </w:p>
    <w:p w14:paraId="0F2E7987">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（一）合同能源管理费合计不超过1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0.00万元</w:t>
      </w:r>
      <w:r>
        <w:rPr>
          <w:rFonts w:hint="eastAsia" w:ascii="仿宋" w:hAnsi="仿宋" w:eastAsia="仿宋" w:cs="仿宋"/>
          <w:bCs/>
          <w:color w:val="auto"/>
          <w:sz w:val="24"/>
          <w:szCs w:val="24"/>
          <w:highlight w:val="none"/>
          <w:lang w:val="en-US" w:eastAsia="zh-CN"/>
        </w:rPr>
        <w:t>/年</w:t>
      </w:r>
      <w:r>
        <w:rPr>
          <w:rFonts w:hint="eastAsia" w:ascii="仿宋" w:hAnsi="仿宋" w:eastAsia="仿宋" w:cs="仿宋"/>
          <w:bCs/>
          <w:color w:val="auto"/>
          <w:sz w:val="24"/>
          <w:szCs w:val="24"/>
          <w:highlight w:val="none"/>
        </w:rPr>
        <w:t>；建设期不超过6个月，运营期10年。</w:t>
      </w:r>
    </w:p>
    <w:p w14:paraId="5CB51F81">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（二）项目服务内容</w:t>
      </w:r>
    </w:p>
    <w:p w14:paraId="1F4C63D2">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1.负责招标范围内的中央空调系统设备供应（制冷、采暖）及运维管理，包含空调机房内电、</w:t>
      </w:r>
      <w:r>
        <w:rPr>
          <w:rFonts w:hint="eastAsia" w:ascii="仿宋" w:hAnsi="仿宋" w:eastAsia="仿宋" w:cs="仿宋"/>
          <w:bCs/>
          <w:color w:val="auto"/>
          <w:sz w:val="24"/>
          <w:szCs w:val="24"/>
          <w:highlight w:val="none"/>
          <w:lang w:val="en-US" w:eastAsia="zh-CN"/>
        </w:rPr>
        <w:t>蒸汽</w:t>
      </w:r>
      <w:r>
        <w:rPr>
          <w:rFonts w:hint="eastAsia" w:ascii="仿宋" w:hAnsi="仿宋" w:eastAsia="仿宋" w:cs="仿宋"/>
          <w:bCs/>
          <w:color w:val="auto"/>
          <w:sz w:val="24"/>
          <w:szCs w:val="24"/>
          <w:highlight w:val="none"/>
        </w:rPr>
        <w:t>费用</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以及特种设备（中央空调主机蒸发器、冷凝器，分汽缸，热力管道）检测费用。</w:t>
      </w:r>
    </w:p>
    <w:p w14:paraId="2B9914E3">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2.负责中央空调系统设备的改造升级，包括新增空调主机系统及工程安装等，新投入设备建设期自签订合同之日起6个月。</w:t>
      </w:r>
    </w:p>
    <w:p w14:paraId="19AF6EFC">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3.负责中央空调机房内原有和新增空调系统设备、电气控制柜、中央空调系统及末端设备日常值班操作、维护（修）保养及安保。</w:t>
      </w:r>
    </w:p>
    <w:p w14:paraId="1A23B231">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4.负责空调系统冷却水、冷温水的水质处理、保养维护。</w:t>
      </w:r>
    </w:p>
    <w:p w14:paraId="54030B4C">
      <w:pPr>
        <w:widowControl/>
        <w:spacing w:line="360" w:lineRule="auto"/>
        <w:ind w:firstLine="480" w:firstLineChars="200"/>
        <w:jc w:val="left"/>
        <w:rPr>
          <w:rFonts w:hint="eastAsia" w:ascii="仿宋" w:hAnsi="仿宋" w:eastAsia="仿宋" w:cs="仿宋"/>
          <w:bCs/>
          <w:strike/>
          <w:color w:val="auto"/>
          <w:sz w:val="24"/>
          <w:szCs w:val="24"/>
          <w:highlight w:val="none"/>
        </w:rPr>
      </w:pPr>
      <w:r>
        <w:rPr>
          <w:rFonts w:hint="eastAsia" w:ascii="仿宋" w:hAnsi="仿宋" w:eastAsia="仿宋" w:cs="仿宋"/>
          <w:bCs/>
          <w:color w:val="auto"/>
          <w:sz w:val="24"/>
          <w:szCs w:val="24"/>
          <w:highlight w:val="none"/>
        </w:rPr>
        <w:t>5.负责中央空调末端与管道维护保养（包含空调末端清洗），负责冷却塔、新风系统的操作维护（修）保养及安保</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整体管道更换安装由甲方负责。</w:t>
      </w:r>
    </w:p>
    <w:p w14:paraId="65195C24">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.负责承担合同期内本项目新投资设备</w:t>
      </w:r>
      <w:r>
        <w:rPr>
          <w:rFonts w:hint="eastAsia" w:ascii="仿宋" w:hAnsi="仿宋" w:eastAsia="仿宋" w:cs="仿宋"/>
          <w:bCs/>
          <w:color w:val="auto"/>
          <w:sz w:val="24"/>
          <w:szCs w:val="24"/>
          <w:highlight w:val="none"/>
          <w:lang w:val="en-US" w:eastAsia="zh-CN"/>
        </w:rPr>
        <w:t>维修、维护</w:t>
      </w:r>
      <w:r>
        <w:rPr>
          <w:rFonts w:hint="eastAsia" w:ascii="仿宋" w:hAnsi="仿宋" w:eastAsia="仿宋" w:cs="仿宋"/>
          <w:bCs/>
          <w:color w:val="auto"/>
          <w:sz w:val="24"/>
          <w:szCs w:val="24"/>
          <w:highlight w:val="none"/>
        </w:rPr>
        <w:t>材料费。</w:t>
      </w:r>
    </w:p>
    <w:p w14:paraId="59FB388B">
      <w:pPr>
        <w:widowControl/>
        <w:spacing w:line="360" w:lineRule="auto"/>
        <w:ind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.满足招标人日常管理要求，现场派驻人员须保证</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小时，每年365天不低于</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人现场值班，派驻总人数投标人自行确定。（常驻现场的人员需要有制冷设备维修工或低压电工相关证书证件等）。</w:t>
      </w:r>
    </w:p>
    <w:p w14:paraId="2E743129">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.合同服务类型：全投资合同能源管理，中标方负责项目设备设施投资安装及运维。</w:t>
      </w:r>
    </w:p>
    <w:p w14:paraId="3D9FC81A">
      <w:pPr>
        <w:widowControl/>
        <w:spacing w:line="360" w:lineRule="auto"/>
        <w:ind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.合同期满后，投标人投资的所有设备归招标人所有。</w:t>
      </w:r>
    </w:p>
    <w:p w14:paraId="6B4E865D">
      <w:pPr>
        <w:widowControl/>
        <w:spacing w:line="360" w:lineRule="auto"/>
        <w:ind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0</w:t>
      </w:r>
      <w:r>
        <w:rPr>
          <w:rFonts w:hint="eastAsia" w:ascii="仿宋" w:hAnsi="仿宋" w:eastAsia="仿宋" w:cs="仿宋"/>
          <w:b w:val="0"/>
          <w:bCs/>
          <w:color w:val="auto"/>
          <w:sz w:val="24"/>
          <w:szCs w:val="24"/>
          <w:highlight w:val="none"/>
        </w:rPr>
        <w:t>.项目建设期产生的所有费用均包含在投标报价中，投标人自行考虑，招标人不再另行支付。项目建设竣工合格后，进入运营期。</w:t>
      </w:r>
    </w:p>
    <w:p w14:paraId="721B7DA2">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）合作期间中央空调运营管理要求</w:t>
      </w:r>
    </w:p>
    <w:p w14:paraId="64E88D8F">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1.中标人投资承包整个中央空调系统运营，包含机房内设备设施、末端设备等运行、保养、维修等，负责空调系统水质管理、运营人员配备等。项目正式运营后，以</w:t>
      </w:r>
      <w:r>
        <w:rPr>
          <w:rFonts w:hint="eastAsia" w:ascii="仿宋" w:hAnsi="仿宋" w:eastAsia="仿宋" w:cs="仿宋"/>
          <w:bCs/>
          <w:color w:val="auto"/>
          <w:sz w:val="24"/>
          <w:szCs w:val="24"/>
          <w:highlight w:val="none"/>
          <w:lang w:val="en-US" w:eastAsia="zh-CN"/>
        </w:rPr>
        <w:t>半年</w:t>
      </w:r>
      <w:r>
        <w:rPr>
          <w:rFonts w:hint="eastAsia" w:ascii="仿宋" w:hAnsi="仿宋" w:eastAsia="仿宋" w:cs="仿宋"/>
          <w:bCs/>
          <w:color w:val="auto"/>
          <w:sz w:val="24"/>
          <w:szCs w:val="24"/>
          <w:highlight w:val="none"/>
        </w:rPr>
        <w:t>为一个周期甲乙双方进行费用结算。运营期间</w:t>
      </w:r>
      <w:r>
        <w:rPr>
          <w:rFonts w:hint="eastAsia" w:ascii="仿宋" w:hAnsi="仿宋" w:eastAsia="仿宋" w:cs="仿宋"/>
          <w:bCs/>
          <w:color w:val="auto"/>
          <w:sz w:val="24"/>
          <w:szCs w:val="24"/>
          <w:highlight w:val="none"/>
          <w:lang w:val="en-US" w:eastAsia="zh-CN"/>
        </w:rPr>
        <w:t>机房</w:t>
      </w:r>
      <w:r>
        <w:rPr>
          <w:rFonts w:hint="eastAsia" w:ascii="仿宋" w:hAnsi="仿宋" w:eastAsia="仿宋" w:cs="仿宋"/>
          <w:bCs/>
          <w:color w:val="auto"/>
          <w:sz w:val="24"/>
          <w:szCs w:val="24"/>
          <w:highlight w:val="none"/>
        </w:rPr>
        <w:t>设备消耗的电、</w:t>
      </w:r>
      <w:r>
        <w:rPr>
          <w:rFonts w:hint="eastAsia" w:ascii="仿宋" w:hAnsi="仿宋" w:eastAsia="仿宋" w:cs="仿宋"/>
          <w:bCs/>
          <w:color w:val="auto"/>
          <w:sz w:val="24"/>
          <w:szCs w:val="24"/>
          <w:highlight w:val="none"/>
          <w:lang w:val="en-US" w:eastAsia="zh-CN"/>
        </w:rPr>
        <w:t>蒸汽</w:t>
      </w:r>
      <w:r>
        <w:rPr>
          <w:rFonts w:hint="eastAsia" w:ascii="仿宋" w:hAnsi="仿宋" w:eastAsia="仿宋" w:cs="仿宋"/>
          <w:bCs/>
          <w:color w:val="auto"/>
          <w:sz w:val="24"/>
          <w:szCs w:val="24"/>
          <w:highlight w:val="none"/>
        </w:rPr>
        <w:t>能源费用按期造表据实向甲方缴纳</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电、蒸汽费用采用抵扣方式从能源管理服务费中扣除</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，能耗单价计费基准为：电费0.7</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元/kwh；</w:t>
      </w:r>
      <w:r>
        <w:rPr>
          <w:rFonts w:hint="eastAsia" w:ascii="仿宋" w:hAnsi="仿宋" w:eastAsia="仿宋" w:cs="仿宋"/>
          <w:bCs/>
          <w:color w:val="auto"/>
          <w:sz w:val="24"/>
          <w:szCs w:val="24"/>
          <w:highlight w:val="none"/>
          <w:lang w:val="en-US" w:eastAsia="zh-CN"/>
        </w:rPr>
        <w:t>蒸汽</w:t>
      </w:r>
      <w:r>
        <w:rPr>
          <w:rFonts w:hint="eastAsia" w:ascii="仿宋" w:hAnsi="仿宋" w:eastAsia="仿宋" w:cs="仿宋"/>
          <w:bCs/>
          <w:color w:val="auto"/>
          <w:sz w:val="24"/>
          <w:szCs w:val="24"/>
          <w:highlight w:val="none"/>
        </w:rPr>
        <w:t>费</w:t>
      </w:r>
      <w:r>
        <w:rPr>
          <w:rFonts w:hint="eastAsia" w:ascii="仿宋" w:hAnsi="仿宋" w:eastAsia="仿宋" w:cs="仿宋"/>
          <w:bCs/>
          <w:color w:val="auto"/>
          <w:sz w:val="24"/>
          <w:szCs w:val="24"/>
          <w:highlight w:val="none"/>
          <w:lang w:val="en-US" w:eastAsia="zh-CN"/>
        </w:rPr>
        <w:t>294</w:t>
      </w:r>
      <w:r>
        <w:rPr>
          <w:rFonts w:hint="eastAsia" w:ascii="仿宋" w:hAnsi="仿宋" w:eastAsia="仿宋" w:cs="仿宋"/>
          <w:bCs/>
          <w:color w:val="auto"/>
          <w:sz w:val="24"/>
          <w:szCs w:val="24"/>
          <w:highlight w:val="none"/>
        </w:rPr>
        <w:t>元/</w:t>
      </w:r>
      <w:r>
        <w:rPr>
          <w:rFonts w:hint="eastAsia" w:ascii="仿宋" w:hAnsi="仿宋" w:eastAsia="仿宋" w:cs="仿宋"/>
          <w:bCs/>
          <w:color w:val="auto"/>
          <w:sz w:val="24"/>
          <w:szCs w:val="24"/>
          <w:highlight w:val="none"/>
          <w:lang w:val="en-US" w:eastAsia="zh-CN"/>
        </w:rPr>
        <w:t>吨</w:t>
      </w:r>
      <w:r>
        <w:rPr>
          <w:rFonts w:hint="eastAsia" w:ascii="仿宋" w:hAnsi="仿宋" w:eastAsia="仿宋" w:cs="仿宋"/>
          <w:bCs/>
          <w:color w:val="auto"/>
          <w:sz w:val="24"/>
          <w:szCs w:val="24"/>
          <w:highlight w:val="none"/>
        </w:rPr>
        <w:t>。</w:t>
      </w:r>
    </w:p>
    <w:p w14:paraId="502D74C8">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2.空调运营：</w:t>
      </w:r>
    </w:p>
    <w:p w14:paraId="498395BA">
      <w:pPr>
        <w:widowControl/>
        <w:spacing w:line="360" w:lineRule="auto"/>
        <w:ind w:firstLine="480" w:firstLineChars="200"/>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①供冷时间：5 月1</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日～10 月 1</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 xml:space="preserve"> 日（按 1</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0 天计）</w:t>
      </w:r>
    </w:p>
    <w:p w14:paraId="159CEA39">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供冷条件：最高气温连续 5 天&gt;</w:t>
      </w:r>
      <w:r>
        <w:rPr>
          <w:rFonts w:hint="eastAsia" w:ascii="仿宋" w:hAnsi="仿宋" w:eastAsia="仿宋" w:cs="仿宋"/>
          <w:bCs/>
          <w:color w:val="auto"/>
          <w:sz w:val="24"/>
          <w:szCs w:val="24"/>
          <w:highlight w:val="none"/>
          <w:lang w:val="en-US" w:eastAsia="zh-CN"/>
        </w:rPr>
        <w:t>25</w:t>
      </w:r>
      <w:r>
        <w:rPr>
          <w:rFonts w:hint="eastAsia" w:ascii="仿宋" w:hAnsi="仿宋" w:eastAsia="仿宋" w:cs="仿宋"/>
          <w:bCs/>
          <w:color w:val="auto"/>
          <w:sz w:val="24"/>
          <w:szCs w:val="24"/>
          <w:highlight w:val="none"/>
        </w:rPr>
        <w:t>℃或 2 天&gt;</w:t>
      </w:r>
      <w:r>
        <w:rPr>
          <w:rFonts w:hint="eastAsia" w:ascii="仿宋" w:hAnsi="仿宋" w:eastAsia="仿宋" w:cs="仿宋"/>
          <w:bCs/>
          <w:color w:val="auto"/>
          <w:sz w:val="24"/>
          <w:szCs w:val="24"/>
          <w:highlight w:val="none"/>
          <w:lang w:val="en-US" w:eastAsia="zh-CN"/>
        </w:rPr>
        <w:t>28</w:t>
      </w:r>
      <w:r>
        <w:rPr>
          <w:rFonts w:hint="eastAsia" w:ascii="仿宋" w:hAnsi="仿宋" w:eastAsia="仿宋" w:cs="仿宋"/>
          <w:bCs/>
          <w:color w:val="auto"/>
          <w:sz w:val="24"/>
          <w:szCs w:val="24"/>
          <w:highlight w:val="none"/>
        </w:rPr>
        <w:t>℃或当天&gt;</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rPr>
        <w:t>℃开始制冷；</w:t>
      </w:r>
    </w:p>
    <w:p w14:paraId="3AD1E0D0">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最高气温连续 5 天&lt;2</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℃或 2 天&lt;2</w:t>
      </w:r>
      <w:r>
        <w:rPr>
          <w:rFonts w:hint="eastAsia" w:ascii="仿宋" w:hAnsi="仿宋" w:eastAsia="仿宋" w:cs="仿宋"/>
          <w:bCs/>
          <w:color w:val="auto"/>
          <w:sz w:val="24"/>
          <w:szCs w:val="24"/>
          <w:highlight w:val="none"/>
          <w:lang w:val="en-US" w:eastAsia="zh-CN"/>
        </w:rPr>
        <w:t>0</w:t>
      </w:r>
      <w:r>
        <w:rPr>
          <w:rFonts w:hint="eastAsia" w:ascii="仿宋" w:hAnsi="仿宋" w:eastAsia="仿宋" w:cs="仿宋"/>
          <w:bCs/>
          <w:color w:val="auto"/>
          <w:sz w:val="24"/>
          <w:szCs w:val="24"/>
          <w:highlight w:val="none"/>
        </w:rPr>
        <w:t>℃或当天&lt;</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rPr>
        <w:t>℃停止制冷；</w:t>
      </w:r>
    </w:p>
    <w:p w14:paraId="74FE658D">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制冷运营时间之外因</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运营需要或特殊高温天气遵循</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管理。</w:t>
      </w:r>
    </w:p>
    <w:p w14:paraId="5A99D553">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②供暖时间：11 月 1</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 xml:space="preserve"> 日～次年 3 月 </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 xml:space="preserve"> 日（按 1</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0 天计）</w:t>
      </w:r>
    </w:p>
    <w:p w14:paraId="7A510F18">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供暖条件：最低气温连续 5 天＜15℃或 2 天&lt;13℃或当天&lt;10℃开始供暖；</w:t>
      </w:r>
    </w:p>
    <w:p w14:paraId="102E0C11">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最低气温连续 5 天＞15℃或 2 天&gt;17℃或当天&gt;20℃停止供暖；</w:t>
      </w:r>
    </w:p>
    <w:p w14:paraId="391CD580">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供暖运营时间之外因</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运营需要或特殊低温天气遵循</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管理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合同能源管理费不变。</w:t>
      </w:r>
    </w:p>
    <w:p w14:paraId="2D2670BD">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③空调制冷或供暖标准：制冷季室内平均温度 </w:t>
      </w:r>
      <w:r>
        <w:rPr>
          <w:rFonts w:hint="eastAsia" w:ascii="仿宋" w:hAnsi="仿宋" w:eastAsia="仿宋" w:cs="仿宋"/>
          <w:bCs/>
          <w:color w:val="auto"/>
          <w:sz w:val="24"/>
          <w:szCs w:val="24"/>
          <w:highlight w:val="none"/>
          <w:lang w:val="en-US" w:eastAsia="zh-CN"/>
        </w:rPr>
        <w:t>24</w:t>
      </w:r>
      <w:r>
        <w:rPr>
          <w:rFonts w:hint="eastAsia" w:ascii="仿宋" w:hAnsi="仿宋" w:eastAsia="仿宋" w:cs="仿宋"/>
          <w:bCs/>
          <w:color w:val="auto"/>
          <w:sz w:val="24"/>
          <w:szCs w:val="24"/>
          <w:highlight w:val="none"/>
        </w:rPr>
        <w:t xml:space="preserve">℃±2℃； 供暖季室内平均温度 </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℃±2℃。</w:t>
      </w:r>
    </w:p>
    <w:p w14:paraId="53F3AA4A">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3.运维管理：</w:t>
      </w:r>
    </w:p>
    <w:p w14:paraId="25E59D6A">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（1）合同期内，</w:t>
      </w:r>
      <w:r>
        <w:rPr>
          <w:rFonts w:hint="eastAsia" w:ascii="仿宋" w:hAnsi="仿宋" w:eastAsia="仿宋" w:cs="仿宋"/>
          <w:bCs/>
          <w:color w:val="auto"/>
          <w:sz w:val="24"/>
          <w:szCs w:val="24"/>
          <w:highlight w:val="none"/>
          <w:lang w:val="en-US" w:eastAsia="zh-CN"/>
        </w:rPr>
        <w:t>门诊大楼</w:t>
      </w:r>
      <w:r>
        <w:rPr>
          <w:rFonts w:hint="eastAsia" w:ascii="仿宋" w:hAnsi="仿宋" w:eastAsia="仿宋" w:cs="仿宋"/>
          <w:bCs/>
          <w:color w:val="auto"/>
          <w:sz w:val="24"/>
          <w:szCs w:val="24"/>
          <w:highlight w:val="none"/>
        </w:rPr>
        <w:t>中央空调系统（含末端）的运行、维护、安全、稳定及保养由中标人负责，并服从招标人监管，原空调主机设备在合同期内须保持设备完好，随时开机运行，中标人应与原设备主机厂家签订服务维保合同，也可由招标人代为签订费用从中标价中扣除。</w:t>
      </w:r>
    </w:p>
    <w:p w14:paraId="726DEB67">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（2）中标人应制定完备的中央空调运行管理章程，配备足够的技术人员。</w:t>
      </w:r>
    </w:p>
    <w:p w14:paraId="7EEE9D7C">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（3）按照招标人的空调需求开始向</w:t>
      </w:r>
      <w:r>
        <w:rPr>
          <w:rFonts w:hint="eastAsia" w:ascii="仿宋" w:hAnsi="仿宋" w:eastAsia="仿宋" w:cs="仿宋"/>
          <w:bCs/>
          <w:color w:val="auto"/>
          <w:sz w:val="24"/>
          <w:szCs w:val="24"/>
          <w:highlight w:val="none"/>
          <w:lang w:val="en-US" w:eastAsia="zh-CN"/>
        </w:rPr>
        <w:t>门诊大楼</w:t>
      </w:r>
      <w:r>
        <w:rPr>
          <w:rFonts w:hint="eastAsia" w:ascii="仿宋" w:hAnsi="仿宋" w:eastAsia="仿宋" w:cs="仿宋"/>
          <w:bCs/>
          <w:color w:val="auto"/>
          <w:sz w:val="24"/>
          <w:szCs w:val="24"/>
          <w:highlight w:val="none"/>
        </w:rPr>
        <w:t>供能，供能期间发生的能耗费由中标人负责向招标人缴纳，同时开始向</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收取合同管理费用，双方分别开具相应的发票。</w:t>
      </w:r>
    </w:p>
    <w:p w14:paraId="77C7012F">
      <w:pPr>
        <w:widowControl/>
        <w:spacing w:line="360" w:lineRule="auto"/>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（4）合同期内，为确保中央空调不间断供应，在寿命期内持续保持机组的能源效率和负荷能力，遇到紧急情况时，中标人技术人员应 2 小时内解决问题。</w:t>
      </w:r>
    </w:p>
    <w:p w14:paraId="5138F399">
      <w:pPr>
        <w:pStyle w:val="23"/>
        <w:widowControl/>
        <w:snapToGrid w:val="0"/>
        <w:spacing w:line="360" w:lineRule="auto"/>
        <w:ind w:firstLine="480" w:firstLineChars="200"/>
        <w:rPr>
          <w:rFonts w:hint="eastAsia" w:eastAsia="仿宋"/>
          <w:color w:val="auto"/>
          <w:sz w:val="24"/>
          <w:highlight w:val="none"/>
        </w:rPr>
      </w:pPr>
    </w:p>
    <w:p w14:paraId="3522FC2B">
      <w:pPr>
        <w:pStyle w:val="23"/>
        <w:widowControl/>
        <w:snapToGrid w:val="0"/>
        <w:spacing w:line="360" w:lineRule="auto"/>
        <w:ind w:firstLine="482" w:firstLineChars="200"/>
        <w:outlineLvl w:val="2"/>
        <w:rPr>
          <w:rFonts w:hint="eastAsia" w:ascii="宋体" w:hAnsi="宋体" w:eastAsia="仿宋" w:cs="Times New Roman"/>
          <w:b/>
          <w:bCs/>
          <w:color w:val="auto"/>
          <w:sz w:val="24"/>
          <w:szCs w:val="24"/>
          <w:highlight w:val="none"/>
          <w:lang w:val="en-US" w:eastAsia="zh-CN"/>
        </w:rPr>
      </w:pPr>
      <w:r>
        <w:rPr>
          <w:rFonts w:hint="eastAsia" w:ascii="宋体" w:hAnsi="宋体" w:eastAsia="仿宋" w:cs="Times New Roman"/>
          <w:b/>
          <w:bCs/>
          <w:color w:val="auto"/>
          <w:sz w:val="24"/>
          <w:szCs w:val="24"/>
          <w:highlight w:val="none"/>
          <w:lang w:val="en-US" w:eastAsia="zh-CN"/>
        </w:rPr>
        <w:t>4.3</w:t>
      </w:r>
      <w:r>
        <w:rPr>
          <w:rFonts w:hint="eastAsia" w:ascii="仿宋" w:hAnsi="仿宋" w:eastAsia="仿宋" w:cs="仿宋"/>
          <w:b/>
          <w:color w:val="auto"/>
          <w:kern w:val="44"/>
          <w:sz w:val="24"/>
          <w:szCs w:val="24"/>
          <w:highlight w:val="none"/>
          <w:lang w:val="en-US" w:eastAsia="zh-CN"/>
        </w:rPr>
        <w:t>改造</w:t>
      </w:r>
      <w:r>
        <w:rPr>
          <w:rFonts w:hint="eastAsia" w:ascii="仿宋" w:hAnsi="仿宋" w:eastAsia="仿宋" w:cs="仿宋"/>
          <w:b/>
          <w:color w:val="auto"/>
          <w:kern w:val="44"/>
          <w:sz w:val="24"/>
          <w:szCs w:val="24"/>
          <w:highlight w:val="none"/>
        </w:rPr>
        <w:t>建设内容及要求</w:t>
      </w:r>
    </w:p>
    <w:p w14:paraId="39E91973">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rPr>
        <w:t>）中央空调暖通系统改造要求</w:t>
      </w:r>
    </w:p>
    <w:p w14:paraId="52056760">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1.原有空调系统主机升级改造，增加一台磁悬浮空调（制冷量不低于1045KW或装机功率满足</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运营需要）主机与现有空调系统并联。空调主机设备能效须为国家一级能效（新国标），须与输配系统及冷却塔联动控制，实现一键开机功能。</w:t>
      </w:r>
    </w:p>
    <w:p w14:paraId="78B79FB3">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2.采暖系统：</w:t>
      </w:r>
      <w:r>
        <w:rPr>
          <w:rFonts w:hint="eastAsia" w:ascii="仿宋" w:hAnsi="仿宋" w:eastAsia="仿宋" w:cs="仿宋"/>
          <w:bCs/>
          <w:color w:val="auto"/>
          <w:sz w:val="24"/>
          <w:szCs w:val="24"/>
          <w:highlight w:val="none"/>
          <w:lang w:val="en-US" w:eastAsia="zh-CN"/>
        </w:rPr>
        <w:t>拆除原有蒸汽汽水换热器，新增一台换热量1200KW高效换热汽水换热器</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设备入口增加蒸汽电动阀</w:t>
      </w:r>
      <w:r>
        <w:rPr>
          <w:rFonts w:hint="eastAsia" w:ascii="仿宋" w:hAnsi="仿宋" w:eastAsia="仿宋" w:cs="仿宋"/>
          <w:bCs/>
          <w:color w:val="auto"/>
          <w:sz w:val="24"/>
          <w:szCs w:val="24"/>
          <w:highlight w:val="none"/>
        </w:rPr>
        <w:t>。</w:t>
      </w:r>
    </w:p>
    <w:p w14:paraId="75A040B7">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.机房控制系统升级：原有</w:t>
      </w:r>
      <w:r>
        <w:rPr>
          <w:rFonts w:hint="eastAsia" w:ascii="仿宋" w:hAnsi="仿宋" w:eastAsia="仿宋" w:cs="仿宋"/>
          <w:bCs/>
          <w:color w:val="auto"/>
          <w:sz w:val="24"/>
          <w:szCs w:val="24"/>
          <w:highlight w:val="none"/>
          <w:lang w:val="en-US" w:eastAsia="zh-CN"/>
        </w:rPr>
        <w:t>蒸汽溴化锂机组</w:t>
      </w:r>
      <w:r>
        <w:rPr>
          <w:rFonts w:hint="eastAsia" w:ascii="仿宋" w:hAnsi="仿宋" w:eastAsia="仿宋" w:cs="仿宋"/>
          <w:bCs/>
          <w:color w:val="auto"/>
          <w:sz w:val="24"/>
          <w:szCs w:val="24"/>
          <w:highlight w:val="none"/>
        </w:rPr>
        <w:t>、水泵、冷却塔控制联动并升级，提升自动化程度。</w:t>
      </w:r>
    </w:p>
    <w:p w14:paraId="764972B5">
      <w:pPr>
        <w:widowControl/>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4.末端改造；更换末端楼层空调主管道层阀，首次更换空调盘管约50台，每年视现场情况需要更换。</w:t>
      </w:r>
    </w:p>
    <w:p w14:paraId="3310EC7E">
      <w:pPr>
        <w:spacing w:line="360" w:lineRule="auto"/>
        <w:ind w:firstLine="48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5.电气施工：增加2根YJV22-4*120+1*70电缆（若制冷主机设备功率偏大，由中标人重新校核，须满足设备正常运行）及桥架，原有配电房接至制冷机房，以及配套配电柜或控制柜。</w:t>
      </w:r>
    </w:p>
    <w:p w14:paraId="6E3D2003">
      <w:pPr>
        <w:widowControl/>
        <w:spacing w:line="360" w:lineRule="auto"/>
        <w:ind w:firstLine="480" w:firstLineChars="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kern w:val="2"/>
          <w:sz w:val="24"/>
          <w:szCs w:val="24"/>
          <w:highlight w:val="none"/>
          <w:lang w:val="en-US" w:eastAsia="zh-CN"/>
        </w:rPr>
        <w:t>空调机房改造：原有机房墙面、地面、制度、看板改造，建设标准化机房。</w:t>
      </w:r>
    </w:p>
    <w:p w14:paraId="2D053F22">
      <w:pPr>
        <w:widowControl/>
        <w:spacing w:line="360" w:lineRule="auto"/>
        <w:ind w:firstLine="480" w:firstLineChars="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7.冷冻、冷却水泵的维护保养。</w:t>
      </w:r>
    </w:p>
    <w:p w14:paraId="7AE02CA0">
      <w:pPr>
        <w:widowControl/>
        <w:spacing w:line="360" w:lineRule="auto"/>
        <w:ind w:firstLine="480" w:firstLineChars="0"/>
        <w:jc w:val="left"/>
        <w:rPr>
          <w:rFonts w:hint="default"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8.原有两台溴化锂主机设备改造内容包括：（1）一号机溴化锂溶液进行再生；（2）一号机吸收喷淋、冷剂喷淋进行更换；（3）一号机整机进行清洗；（4）一/二号机密封件更换。</w:t>
      </w:r>
    </w:p>
    <w:p w14:paraId="5C1018D4">
      <w:pPr>
        <w:widowControl/>
        <w:spacing w:line="360" w:lineRule="auto"/>
        <w:ind w:firstLine="480" w:firstLineChars="200"/>
        <w:jc w:val="left"/>
        <w:rPr>
          <w:rFonts w:hint="eastAsia" w:ascii="仿宋" w:hAnsi="仿宋" w:eastAsia="仿宋" w:cs="仿宋"/>
          <w:b/>
          <w:bCs/>
          <w:snapToGrid w:val="0"/>
          <w:color w:val="auto"/>
          <w:kern w:val="0"/>
          <w:sz w:val="24"/>
          <w:szCs w:val="24"/>
          <w:highlight w:val="none"/>
        </w:rPr>
      </w:pPr>
      <w:r>
        <w:rPr>
          <w:rFonts w:hint="eastAsia" w:ascii="仿宋" w:hAnsi="仿宋" w:eastAsia="仿宋" w:cs="仿宋"/>
          <w:bCs/>
          <w:color w:val="auto"/>
          <w:sz w:val="24"/>
          <w:szCs w:val="24"/>
          <w:highlight w:val="none"/>
        </w:rPr>
        <w:t>以上中央空调暖通系统改造设备数量、参数见改造设备清单。</w:t>
      </w:r>
    </w:p>
    <w:p w14:paraId="02BD905C">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）中央空调暖通系统改造安装要求</w:t>
      </w:r>
    </w:p>
    <w:p w14:paraId="287414A3">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1.工程安装：包括但不限于所有设备的运输、吊装、安装、调试、地下室配电房至新设备电缆</w:t>
      </w:r>
      <w:r>
        <w:rPr>
          <w:rFonts w:hint="eastAsia" w:ascii="仿宋" w:hAnsi="仿宋" w:eastAsia="仿宋" w:cs="仿宋"/>
          <w:bCs/>
          <w:color w:val="auto"/>
          <w:sz w:val="24"/>
          <w:szCs w:val="24"/>
          <w:highlight w:val="none"/>
          <w:lang w:val="en-US" w:eastAsia="zh-CN"/>
        </w:rPr>
        <w:t>桥架</w:t>
      </w:r>
      <w:r>
        <w:rPr>
          <w:rFonts w:hint="eastAsia" w:ascii="仿宋" w:hAnsi="仿宋" w:eastAsia="仿宋" w:cs="仿宋"/>
          <w:bCs/>
          <w:color w:val="auto"/>
          <w:sz w:val="24"/>
          <w:szCs w:val="24"/>
          <w:highlight w:val="none"/>
        </w:rPr>
        <w:t>及施工、设备之间与</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原管道安装和对接等。</w:t>
      </w:r>
    </w:p>
    <w:p w14:paraId="6672505C">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2.新增的中央空调控制系统需与原有中央空调控制系统进行对接，同时满足新空调系统的联动变频需求，另外原有管道涉及到的节能设备需要移至新管道系统。</w:t>
      </w:r>
    </w:p>
    <w:p w14:paraId="76FD82CD">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3.合同期内，中标人投资设备必须满足招标参数要求并保证</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正常使用。</w:t>
      </w:r>
    </w:p>
    <w:p w14:paraId="15470A03">
      <w:pPr>
        <w:pStyle w:val="23"/>
        <w:widowControl/>
        <w:snapToGrid w:val="0"/>
        <w:spacing w:line="360" w:lineRule="auto"/>
        <w:ind w:firstLine="482" w:firstLineChars="200"/>
        <w:outlineLvl w:val="9"/>
        <w:rPr>
          <w:rFonts w:hint="eastAsia" w:ascii="宋体" w:hAnsi="宋体" w:eastAsia="仿宋" w:cs="Times New Roman"/>
          <w:b/>
          <w:bCs/>
          <w:color w:val="auto"/>
          <w:sz w:val="24"/>
          <w:szCs w:val="24"/>
          <w:highlight w:val="none"/>
          <w:lang w:val="en-US" w:eastAsia="zh-CN"/>
        </w:rPr>
      </w:pPr>
    </w:p>
    <w:p w14:paraId="58E41CE1">
      <w:pPr>
        <w:pStyle w:val="23"/>
        <w:widowControl/>
        <w:snapToGrid w:val="0"/>
        <w:spacing w:line="360" w:lineRule="auto"/>
        <w:ind w:firstLine="482" w:firstLineChars="200"/>
        <w:outlineLvl w:val="2"/>
        <w:rPr>
          <w:rFonts w:hint="eastAsia" w:ascii="宋体" w:hAnsi="宋体" w:eastAsia="仿宋" w:cs="Times New Roman"/>
          <w:b/>
          <w:bCs/>
          <w:color w:val="auto"/>
          <w:sz w:val="24"/>
          <w:szCs w:val="24"/>
          <w:highlight w:val="none"/>
          <w:lang w:val="en-US" w:eastAsia="zh-CN"/>
        </w:rPr>
      </w:pPr>
      <w:bookmarkStart w:id="766" w:name="_Toc526265691"/>
      <w:bookmarkStart w:id="767" w:name="_Toc493432670"/>
      <w:bookmarkStart w:id="768" w:name="_Toc493440807"/>
      <w:bookmarkStart w:id="769" w:name="_Toc512544434"/>
      <w:bookmarkStart w:id="770" w:name="_Toc515539872"/>
      <w:bookmarkStart w:id="771" w:name="_Toc525819967"/>
      <w:bookmarkStart w:id="772" w:name="_Toc517011814"/>
      <w:bookmarkStart w:id="773" w:name="_Toc512611689"/>
      <w:bookmarkStart w:id="774" w:name="_Toc493440975"/>
      <w:r>
        <w:rPr>
          <w:rFonts w:hint="eastAsia" w:ascii="宋体" w:hAnsi="宋体" w:eastAsia="仿宋" w:cs="Times New Roman"/>
          <w:b/>
          <w:bCs/>
          <w:color w:val="auto"/>
          <w:sz w:val="24"/>
          <w:szCs w:val="24"/>
          <w:highlight w:val="none"/>
          <w:lang w:val="en-US" w:eastAsia="zh-CN"/>
        </w:rPr>
        <w:t xml:space="preserve">4.4 </w:t>
      </w:r>
      <w:bookmarkEnd w:id="766"/>
      <w:bookmarkEnd w:id="767"/>
      <w:bookmarkEnd w:id="768"/>
      <w:bookmarkEnd w:id="769"/>
      <w:bookmarkEnd w:id="770"/>
      <w:bookmarkEnd w:id="771"/>
      <w:bookmarkEnd w:id="772"/>
      <w:bookmarkEnd w:id="773"/>
      <w:bookmarkEnd w:id="774"/>
      <w:r>
        <w:rPr>
          <w:rFonts w:hint="eastAsia" w:ascii="仿宋" w:hAnsi="仿宋" w:eastAsia="仿宋" w:cs="仿宋"/>
          <w:b/>
          <w:bCs w:val="0"/>
          <w:color w:val="auto"/>
          <w:kern w:val="44"/>
          <w:sz w:val="24"/>
          <w:szCs w:val="24"/>
          <w:highlight w:val="none"/>
          <w:lang w:val="en-US" w:eastAsia="zh-CN"/>
        </w:rPr>
        <w:t>改造清单及要求</w:t>
      </w:r>
    </w:p>
    <w:p w14:paraId="2E1A21BD">
      <w:pPr>
        <w:pBdr>
          <w:top w:val="none" w:color="auto" w:sz="0" w:space="1"/>
          <w:left w:val="none" w:color="auto" w:sz="0" w:space="4"/>
          <w:bottom w:val="none" w:color="auto" w:sz="0" w:space="1"/>
          <w:right w:val="none" w:color="auto" w:sz="0" w:space="4"/>
        </w:pBd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（一）改造设备清单</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须</w:t>
      </w:r>
      <w:r>
        <w:rPr>
          <w:rFonts w:hint="eastAsia" w:ascii="仿宋" w:hAnsi="仿宋" w:eastAsia="仿宋" w:cs="仿宋"/>
          <w:b/>
          <w:bCs/>
          <w:color w:val="auto"/>
          <w:sz w:val="24"/>
          <w:szCs w:val="24"/>
          <w:highlight w:val="none"/>
        </w:rPr>
        <w:t>完全响应以下表格中列出的参数和数量等，可以采用承诺的方式满足或优于招标文件的要求，格式自拟，并加盖投标单位公章）</w:t>
      </w:r>
      <w:r>
        <w:rPr>
          <w:rFonts w:hint="eastAsia" w:ascii="仿宋" w:hAnsi="仿宋" w:eastAsia="仿宋" w:cs="仿宋"/>
          <w:color w:val="auto"/>
          <w:sz w:val="24"/>
          <w:szCs w:val="24"/>
          <w:highlight w:val="none"/>
        </w:rPr>
        <w:t>：</w:t>
      </w:r>
    </w:p>
    <w:tbl>
      <w:tblPr>
        <w:tblStyle w:val="45"/>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803"/>
        <w:gridCol w:w="2124"/>
        <w:gridCol w:w="792"/>
        <w:gridCol w:w="843"/>
        <w:gridCol w:w="2161"/>
        <w:gridCol w:w="1461"/>
      </w:tblGrid>
      <w:tr w14:paraId="0BF1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72" w:type="pct"/>
            <w:noWrap w:val="0"/>
            <w:vAlign w:val="center"/>
          </w:tcPr>
          <w:p w14:paraId="7C5D147E">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908" w:type="pct"/>
            <w:noWrap w:val="0"/>
            <w:vAlign w:val="center"/>
          </w:tcPr>
          <w:p w14:paraId="3E36B468">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1070" w:type="pct"/>
            <w:noWrap w:val="0"/>
            <w:vAlign w:val="center"/>
          </w:tcPr>
          <w:p w14:paraId="28D12E73">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w:t>
            </w:r>
          </w:p>
        </w:tc>
        <w:tc>
          <w:tcPr>
            <w:tcW w:w="399" w:type="pct"/>
            <w:noWrap w:val="0"/>
            <w:vAlign w:val="center"/>
          </w:tcPr>
          <w:p w14:paraId="0414D852">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424" w:type="pct"/>
            <w:noWrap w:val="0"/>
            <w:vAlign w:val="center"/>
          </w:tcPr>
          <w:p w14:paraId="7CE75D87">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w:t>
            </w:r>
          </w:p>
        </w:tc>
        <w:tc>
          <w:tcPr>
            <w:tcW w:w="1088" w:type="pct"/>
            <w:noWrap w:val="0"/>
            <w:vAlign w:val="center"/>
          </w:tcPr>
          <w:p w14:paraId="3E3A9B66">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推荐品牌</w:t>
            </w:r>
          </w:p>
        </w:tc>
        <w:tc>
          <w:tcPr>
            <w:tcW w:w="736" w:type="pct"/>
            <w:noWrap w:val="0"/>
            <w:vAlign w:val="center"/>
          </w:tcPr>
          <w:p w14:paraId="14D06D97">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0D90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2" w:type="pct"/>
            <w:noWrap w:val="0"/>
            <w:vAlign w:val="center"/>
          </w:tcPr>
          <w:p w14:paraId="6D2D125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8" w:type="pct"/>
            <w:noWrap w:val="0"/>
            <w:vAlign w:val="center"/>
          </w:tcPr>
          <w:p w14:paraId="5227E580">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磁悬浮变频离心式冷水机组</w:t>
            </w:r>
          </w:p>
        </w:tc>
        <w:tc>
          <w:tcPr>
            <w:tcW w:w="1070" w:type="pct"/>
            <w:noWrap w:val="0"/>
            <w:vAlign w:val="center"/>
          </w:tcPr>
          <w:p w14:paraId="5AF602B9">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单台制冷量不低于1045KW</w:t>
            </w:r>
          </w:p>
        </w:tc>
        <w:tc>
          <w:tcPr>
            <w:tcW w:w="399" w:type="pct"/>
            <w:noWrap w:val="0"/>
            <w:vAlign w:val="center"/>
          </w:tcPr>
          <w:p w14:paraId="3EF8713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24" w:type="pct"/>
            <w:noWrap w:val="0"/>
            <w:vAlign w:val="center"/>
          </w:tcPr>
          <w:p w14:paraId="3BA04C9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088" w:type="pct"/>
            <w:noWrap w:val="0"/>
            <w:vAlign w:val="center"/>
          </w:tcPr>
          <w:p w14:paraId="6162693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远大、日立、</w:t>
            </w:r>
            <w:r>
              <w:rPr>
                <w:rFonts w:hint="eastAsia" w:ascii="仿宋" w:hAnsi="仿宋" w:eastAsia="仿宋" w:cs="仿宋"/>
                <w:color w:val="auto"/>
                <w:sz w:val="24"/>
                <w:szCs w:val="24"/>
                <w:highlight w:val="none"/>
                <w:lang w:val="en-US" w:eastAsia="zh-CN"/>
              </w:rPr>
              <w:t>开利</w:t>
            </w:r>
          </w:p>
        </w:tc>
        <w:tc>
          <w:tcPr>
            <w:tcW w:w="736" w:type="pct"/>
            <w:vMerge w:val="restart"/>
            <w:noWrap w:val="0"/>
            <w:vAlign w:val="center"/>
          </w:tcPr>
          <w:p w14:paraId="0ACCA14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建议投标单位自行到现场勘察。</w:t>
            </w:r>
          </w:p>
        </w:tc>
      </w:tr>
      <w:tr w14:paraId="602F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2" w:type="pct"/>
            <w:noWrap w:val="0"/>
            <w:vAlign w:val="center"/>
          </w:tcPr>
          <w:p w14:paraId="7A6FAB7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8" w:type="pct"/>
            <w:noWrap w:val="0"/>
            <w:vAlign w:val="center"/>
          </w:tcPr>
          <w:p w14:paraId="339D0992">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汽水换热器</w:t>
            </w:r>
          </w:p>
        </w:tc>
        <w:tc>
          <w:tcPr>
            <w:tcW w:w="1070" w:type="pct"/>
            <w:noWrap w:val="0"/>
            <w:vAlign w:val="center"/>
          </w:tcPr>
          <w:p w14:paraId="23C51C07">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换</w:t>
            </w:r>
            <w:r>
              <w:rPr>
                <w:rFonts w:hint="eastAsia" w:ascii="仿宋" w:hAnsi="仿宋" w:eastAsia="仿宋" w:cs="仿宋"/>
                <w:color w:val="auto"/>
                <w:sz w:val="24"/>
                <w:szCs w:val="24"/>
                <w:highlight w:val="none"/>
              </w:rPr>
              <w:t>热量：不低于</w:t>
            </w:r>
            <w:r>
              <w:rPr>
                <w:rFonts w:hint="eastAsia" w:ascii="仿宋" w:hAnsi="仿宋" w:eastAsia="仿宋" w:cs="仿宋"/>
                <w:color w:val="auto"/>
                <w:sz w:val="24"/>
                <w:szCs w:val="24"/>
                <w:highlight w:val="none"/>
                <w:lang w:val="en-US" w:eastAsia="zh-CN"/>
              </w:rPr>
              <w:t>120</w:t>
            </w:r>
            <w:r>
              <w:rPr>
                <w:rFonts w:hint="eastAsia" w:ascii="仿宋" w:hAnsi="仿宋" w:eastAsia="仿宋" w:cs="仿宋"/>
                <w:color w:val="auto"/>
                <w:sz w:val="24"/>
                <w:szCs w:val="24"/>
                <w:highlight w:val="none"/>
              </w:rPr>
              <w:t>0KW</w:t>
            </w:r>
          </w:p>
        </w:tc>
        <w:tc>
          <w:tcPr>
            <w:tcW w:w="399" w:type="pct"/>
            <w:noWrap w:val="0"/>
            <w:vAlign w:val="center"/>
          </w:tcPr>
          <w:p w14:paraId="53E17B6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424" w:type="pct"/>
            <w:noWrap w:val="0"/>
            <w:vAlign w:val="center"/>
          </w:tcPr>
          <w:p w14:paraId="792AC33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088" w:type="pct"/>
            <w:noWrap w:val="0"/>
            <w:vAlign w:val="center"/>
          </w:tcPr>
          <w:p w14:paraId="62E02F0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阿法拉伐、平电、丹弗斯</w:t>
            </w:r>
          </w:p>
        </w:tc>
        <w:tc>
          <w:tcPr>
            <w:tcW w:w="736" w:type="pct"/>
            <w:vMerge w:val="continue"/>
            <w:noWrap w:val="0"/>
            <w:vAlign w:val="center"/>
          </w:tcPr>
          <w:p w14:paraId="3E87134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0ACE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2" w:type="pct"/>
            <w:noWrap w:val="0"/>
            <w:vAlign w:val="center"/>
          </w:tcPr>
          <w:p w14:paraId="28542A80">
            <w:pPr>
              <w:keepNext w:val="0"/>
              <w:keepLines w:val="0"/>
              <w:suppressLineNumbers w:val="0"/>
              <w:spacing w:before="0" w:beforeAutospacing="0" w:after="0" w:afterAutospacing="0"/>
              <w:ind w:left="0" w:right="0"/>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3</w:t>
            </w:r>
          </w:p>
        </w:tc>
        <w:tc>
          <w:tcPr>
            <w:tcW w:w="908" w:type="pct"/>
            <w:noWrap w:val="0"/>
            <w:vAlign w:val="center"/>
          </w:tcPr>
          <w:p w14:paraId="555C6A55">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风机盘管</w:t>
            </w:r>
          </w:p>
        </w:tc>
        <w:tc>
          <w:tcPr>
            <w:tcW w:w="1070" w:type="pct"/>
            <w:noWrap w:val="0"/>
            <w:vAlign w:val="center"/>
          </w:tcPr>
          <w:p w14:paraId="393180EE">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末端盘管情况确定</w:t>
            </w:r>
          </w:p>
        </w:tc>
        <w:tc>
          <w:tcPr>
            <w:tcW w:w="399" w:type="pct"/>
            <w:noWrap w:val="0"/>
            <w:vAlign w:val="center"/>
          </w:tcPr>
          <w:p w14:paraId="7A543B7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424" w:type="pct"/>
            <w:noWrap w:val="0"/>
            <w:vAlign w:val="center"/>
          </w:tcPr>
          <w:p w14:paraId="362C7B4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088" w:type="pct"/>
            <w:noWrap w:val="0"/>
            <w:vAlign w:val="center"/>
          </w:tcPr>
          <w:p w14:paraId="4A703150">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麦克维尔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约克</w:t>
            </w:r>
            <w:r>
              <w:rPr>
                <w:rFonts w:hint="eastAsia" w:ascii="仿宋" w:hAnsi="仿宋" w:eastAsia="仿宋" w:cs="仿宋"/>
                <w:color w:val="auto"/>
                <w:sz w:val="24"/>
                <w:szCs w:val="24"/>
                <w:highlight w:val="none"/>
              </w:rPr>
              <w:t>、开利</w:t>
            </w:r>
          </w:p>
        </w:tc>
        <w:tc>
          <w:tcPr>
            <w:tcW w:w="736" w:type="pct"/>
            <w:vMerge w:val="continue"/>
            <w:noWrap w:val="0"/>
            <w:vAlign w:val="center"/>
          </w:tcPr>
          <w:p w14:paraId="5A0E7CB9">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23E8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72" w:type="pct"/>
            <w:noWrap w:val="0"/>
            <w:vAlign w:val="center"/>
          </w:tcPr>
          <w:p w14:paraId="6D85105F">
            <w:pPr>
              <w:keepNext w:val="0"/>
              <w:keepLines w:val="0"/>
              <w:suppressLineNumbers w:val="0"/>
              <w:spacing w:before="0" w:beforeAutospacing="0" w:after="0" w:afterAutospacing="0"/>
              <w:ind w:left="0" w:right="0"/>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4</w:t>
            </w:r>
          </w:p>
        </w:tc>
        <w:tc>
          <w:tcPr>
            <w:tcW w:w="908" w:type="pct"/>
            <w:noWrap w:val="0"/>
            <w:vAlign w:val="center"/>
          </w:tcPr>
          <w:p w14:paraId="005B8593">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电气改造</w:t>
            </w:r>
          </w:p>
        </w:tc>
        <w:tc>
          <w:tcPr>
            <w:tcW w:w="1070" w:type="pct"/>
            <w:noWrap w:val="0"/>
            <w:vAlign w:val="center"/>
          </w:tcPr>
          <w:p w14:paraId="65871DFE">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电缆、</w:t>
            </w:r>
            <w:r>
              <w:rPr>
                <w:rFonts w:hint="eastAsia" w:ascii="仿宋" w:hAnsi="仿宋" w:eastAsia="仿宋" w:cs="仿宋"/>
                <w:color w:val="auto"/>
                <w:sz w:val="24"/>
                <w:szCs w:val="24"/>
                <w:highlight w:val="none"/>
                <w:lang w:val="en-US" w:eastAsia="zh-CN"/>
              </w:rPr>
              <w:t>桥架</w:t>
            </w:r>
            <w:r>
              <w:rPr>
                <w:rFonts w:hint="eastAsia" w:ascii="仿宋" w:hAnsi="仿宋" w:eastAsia="仿宋" w:cs="仿宋"/>
                <w:color w:val="auto"/>
                <w:sz w:val="24"/>
                <w:szCs w:val="24"/>
                <w:highlight w:val="none"/>
              </w:rPr>
              <w:t>控制柜</w:t>
            </w:r>
          </w:p>
        </w:tc>
        <w:tc>
          <w:tcPr>
            <w:tcW w:w="399" w:type="pct"/>
            <w:noWrap w:val="0"/>
            <w:vAlign w:val="center"/>
          </w:tcPr>
          <w:p w14:paraId="4F5E35C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24" w:type="pct"/>
            <w:noWrap w:val="0"/>
            <w:vAlign w:val="center"/>
          </w:tcPr>
          <w:p w14:paraId="5483FC2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w:t>
            </w:r>
          </w:p>
        </w:tc>
        <w:tc>
          <w:tcPr>
            <w:tcW w:w="1088" w:type="pct"/>
            <w:noWrap w:val="0"/>
            <w:vAlign w:val="center"/>
          </w:tcPr>
          <w:p w14:paraId="42C2AB4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电缆：上上、远东、太平洋</w:t>
            </w:r>
          </w:p>
          <w:p w14:paraId="74C6CA92">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配电柜：ABB、施耐德、西门子</w:t>
            </w:r>
          </w:p>
        </w:tc>
        <w:tc>
          <w:tcPr>
            <w:tcW w:w="736" w:type="pct"/>
            <w:vMerge w:val="continue"/>
            <w:noWrap w:val="0"/>
            <w:vAlign w:val="center"/>
          </w:tcPr>
          <w:p w14:paraId="76CB2CF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15A8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72" w:type="pct"/>
            <w:noWrap w:val="0"/>
            <w:vAlign w:val="center"/>
          </w:tcPr>
          <w:p w14:paraId="5CC934D5">
            <w:pPr>
              <w:keepNext w:val="0"/>
              <w:keepLines w:val="0"/>
              <w:suppressLineNumbers w:val="0"/>
              <w:spacing w:before="0" w:beforeAutospacing="0" w:after="0" w:afterAutospacing="0"/>
              <w:ind w:left="0" w:right="0"/>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5</w:t>
            </w:r>
          </w:p>
        </w:tc>
        <w:tc>
          <w:tcPr>
            <w:tcW w:w="908" w:type="pct"/>
            <w:noWrap w:val="0"/>
            <w:vAlign w:val="center"/>
          </w:tcPr>
          <w:p w14:paraId="6C97E9EF">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标准化机房建设</w:t>
            </w:r>
          </w:p>
        </w:tc>
        <w:tc>
          <w:tcPr>
            <w:tcW w:w="1070" w:type="pct"/>
            <w:noWrap w:val="0"/>
            <w:vAlign w:val="center"/>
          </w:tcPr>
          <w:p w14:paraId="56FAF115">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墙面</w:t>
            </w:r>
            <w:r>
              <w:rPr>
                <w:rFonts w:hint="eastAsia" w:ascii="仿宋" w:hAnsi="仿宋" w:eastAsia="仿宋" w:cs="仿宋"/>
                <w:color w:val="auto"/>
                <w:sz w:val="24"/>
                <w:szCs w:val="24"/>
                <w:highlight w:val="none"/>
                <w:lang w:val="en-US" w:eastAsia="zh-CN"/>
              </w:rPr>
              <w:t>地面</w:t>
            </w:r>
            <w:r>
              <w:rPr>
                <w:rFonts w:hint="eastAsia" w:ascii="仿宋" w:hAnsi="仿宋" w:eastAsia="仿宋" w:cs="仿宋"/>
                <w:color w:val="auto"/>
                <w:sz w:val="24"/>
                <w:szCs w:val="24"/>
                <w:highlight w:val="none"/>
              </w:rPr>
              <w:t>亮化、标识标牌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标准化制度看板</w:t>
            </w:r>
          </w:p>
        </w:tc>
        <w:tc>
          <w:tcPr>
            <w:tcW w:w="399" w:type="pct"/>
            <w:noWrap w:val="0"/>
            <w:vAlign w:val="center"/>
          </w:tcPr>
          <w:p w14:paraId="7DCC56D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24" w:type="pct"/>
            <w:noWrap w:val="0"/>
            <w:vAlign w:val="center"/>
          </w:tcPr>
          <w:p w14:paraId="643A05C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w:t>
            </w:r>
          </w:p>
        </w:tc>
        <w:tc>
          <w:tcPr>
            <w:tcW w:w="1088" w:type="pct"/>
            <w:noWrap w:val="0"/>
            <w:vAlign w:val="center"/>
          </w:tcPr>
          <w:p w14:paraId="32B3C39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满足技术要求</w:t>
            </w:r>
          </w:p>
        </w:tc>
        <w:tc>
          <w:tcPr>
            <w:tcW w:w="736" w:type="pct"/>
            <w:vMerge w:val="continue"/>
            <w:noWrap w:val="0"/>
            <w:vAlign w:val="center"/>
          </w:tcPr>
          <w:p w14:paraId="5E34223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0CBA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72" w:type="pct"/>
            <w:noWrap w:val="0"/>
            <w:vAlign w:val="center"/>
          </w:tcPr>
          <w:p w14:paraId="5E4E3B7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908" w:type="pct"/>
            <w:noWrap w:val="0"/>
            <w:vAlign w:val="center"/>
          </w:tcPr>
          <w:p w14:paraId="664F0205">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系统升级</w:t>
            </w:r>
          </w:p>
        </w:tc>
        <w:tc>
          <w:tcPr>
            <w:tcW w:w="1070" w:type="pct"/>
            <w:noWrap w:val="0"/>
            <w:vAlign w:val="center"/>
          </w:tcPr>
          <w:p w14:paraId="272F49E5">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原有保留蒸汽机控制系统升级（含溴化锂溶液的溶液再生），主机、水泵、冷却塔系统联控，机房安防</w:t>
            </w:r>
          </w:p>
        </w:tc>
        <w:tc>
          <w:tcPr>
            <w:tcW w:w="399" w:type="pct"/>
            <w:noWrap w:val="0"/>
            <w:vAlign w:val="center"/>
          </w:tcPr>
          <w:p w14:paraId="6DC81B1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24" w:type="pct"/>
            <w:noWrap w:val="0"/>
            <w:vAlign w:val="center"/>
          </w:tcPr>
          <w:p w14:paraId="46187C9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w:t>
            </w:r>
          </w:p>
        </w:tc>
        <w:tc>
          <w:tcPr>
            <w:tcW w:w="1088" w:type="pct"/>
            <w:noWrap w:val="0"/>
            <w:vAlign w:val="center"/>
          </w:tcPr>
          <w:p w14:paraId="43ED1BA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满足技术要求</w:t>
            </w:r>
          </w:p>
        </w:tc>
        <w:tc>
          <w:tcPr>
            <w:tcW w:w="736" w:type="pct"/>
            <w:vMerge w:val="continue"/>
            <w:noWrap w:val="0"/>
            <w:vAlign w:val="center"/>
          </w:tcPr>
          <w:p w14:paraId="7B99B70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bl>
    <w:p w14:paraId="0C813EFB">
      <w:pPr>
        <w:widowControl/>
        <w:spacing w:before="143" w:beforeLines="50"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对于招标人参考品牌的材料、设备，投标人可选用参考品牌或不低于参考品牌技术性能指标的其他品牌；采用其他品牌的应在投标文件中注明并提供相关技术性能指标、业绩等供评标委员会评审，未在投标文件中注明且未提供相关技术性能指标、业绩，或经评标委员会评审未通过的，中标后只能从招标人参考品牌中进行选择，合同价格不予调整。</w:t>
      </w:r>
    </w:p>
    <w:p w14:paraId="067C6DF2">
      <w:pPr>
        <w:widowControl/>
        <w:spacing w:before="143" w:beforeLines="50" w:line="360" w:lineRule="auto"/>
        <w:ind w:firstLine="420" w:firstLineChars="200"/>
        <w:jc w:val="left"/>
        <w:rPr>
          <w:rFonts w:hint="eastAsia"/>
          <w:color w:val="auto"/>
          <w:highlight w:val="none"/>
          <w:lang w:val="en-US" w:eastAsia="zh-CN"/>
        </w:rPr>
      </w:pPr>
    </w:p>
    <w:p w14:paraId="1193B653">
      <w:pPr>
        <w:widowControl/>
        <w:spacing w:before="143" w:beforeLines="50"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（二）改造设备具体技术要求</w:t>
      </w:r>
    </w:p>
    <w:p w14:paraId="508930FE">
      <w:pPr>
        <w:widowControl/>
        <w:spacing w:line="360" w:lineRule="auto"/>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磁悬浮离心式冷水机组核心设备参数</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519"/>
        <w:gridCol w:w="5103"/>
      </w:tblGrid>
      <w:tr w14:paraId="732A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F5300CC">
            <w:pPr>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设备名称         </w:t>
            </w:r>
          </w:p>
        </w:tc>
        <w:tc>
          <w:tcPr>
            <w:tcW w:w="2588" w:type="pct"/>
            <w:noWrap w:val="0"/>
            <w:vAlign w:val="center"/>
          </w:tcPr>
          <w:p w14:paraId="3EB76A3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磁悬浮变频离心式冷水机组</w:t>
            </w:r>
          </w:p>
        </w:tc>
      </w:tr>
      <w:tr w14:paraId="08F0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EA41781">
            <w:pPr>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2588" w:type="pct"/>
            <w:noWrap w:val="0"/>
            <w:vAlign w:val="center"/>
          </w:tcPr>
          <w:p w14:paraId="77B0AE5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1台</w:t>
            </w:r>
          </w:p>
        </w:tc>
      </w:tr>
      <w:tr w14:paraId="6AF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3" w:type="pct"/>
            <w:noWrap w:val="0"/>
            <w:vAlign w:val="center"/>
          </w:tcPr>
          <w:p w14:paraId="5FA81997">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制冷量</w:t>
            </w:r>
          </w:p>
        </w:tc>
        <w:tc>
          <w:tcPr>
            <w:tcW w:w="1278" w:type="pct"/>
            <w:noWrap w:val="0"/>
            <w:vAlign w:val="center"/>
          </w:tcPr>
          <w:p w14:paraId="39DBCF1C">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kW</w:t>
            </w:r>
          </w:p>
        </w:tc>
        <w:tc>
          <w:tcPr>
            <w:tcW w:w="2588" w:type="pct"/>
            <w:noWrap w:val="0"/>
            <w:vAlign w:val="top"/>
          </w:tcPr>
          <w:p w14:paraId="63A751C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≥1045</w:t>
            </w:r>
          </w:p>
        </w:tc>
      </w:tr>
      <w:tr w14:paraId="4EF0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411" w:type="pct"/>
            <w:gridSpan w:val="2"/>
            <w:noWrap w:val="0"/>
            <w:vAlign w:val="center"/>
          </w:tcPr>
          <w:p w14:paraId="65284203">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压缩机</w:t>
            </w:r>
          </w:p>
        </w:tc>
        <w:tc>
          <w:tcPr>
            <w:tcW w:w="2588" w:type="pct"/>
            <w:noWrap w:val="0"/>
            <w:vAlign w:val="top"/>
          </w:tcPr>
          <w:p w14:paraId="4A440E6D">
            <w:pPr>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磁悬浮轴承、变频离心式、无油运行</w:t>
            </w:r>
            <w:r>
              <w:rPr>
                <w:rFonts w:hint="eastAsia" w:ascii="仿宋" w:hAnsi="仿宋" w:eastAsia="仿宋" w:cs="仿宋"/>
                <w:color w:val="auto"/>
                <w:kern w:val="0"/>
                <w:sz w:val="24"/>
                <w:szCs w:val="24"/>
                <w:highlight w:val="none"/>
              </w:rPr>
              <w:t>压缩机≥2个，提供厂家承诺书加盖制造商公章</w:t>
            </w:r>
          </w:p>
        </w:tc>
      </w:tr>
      <w:tr w14:paraId="2B96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11" w:type="pct"/>
            <w:gridSpan w:val="2"/>
            <w:noWrap w:val="0"/>
            <w:vAlign w:val="center"/>
          </w:tcPr>
          <w:p w14:paraId="1A085F2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压缩机控制系统</w:t>
            </w:r>
          </w:p>
        </w:tc>
        <w:tc>
          <w:tcPr>
            <w:tcW w:w="2588" w:type="pct"/>
            <w:noWrap w:val="0"/>
            <w:vAlign w:val="top"/>
          </w:tcPr>
          <w:p w14:paraId="415119E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多台压缩机共用冷凝器和蒸发器</w:t>
            </w:r>
          </w:p>
        </w:tc>
      </w:tr>
      <w:tr w14:paraId="4828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7BD21FE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COP</w:t>
            </w:r>
          </w:p>
        </w:tc>
        <w:tc>
          <w:tcPr>
            <w:tcW w:w="2588" w:type="pct"/>
            <w:noWrap w:val="0"/>
            <w:vAlign w:val="top"/>
          </w:tcPr>
          <w:p w14:paraId="6431726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w:t>
            </w:r>
          </w:p>
        </w:tc>
      </w:tr>
      <w:tr w14:paraId="0E0F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6BBF95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IPLV（GB）</w:t>
            </w:r>
          </w:p>
        </w:tc>
        <w:tc>
          <w:tcPr>
            <w:tcW w:w="2588" w:type="pct"/>
            <w:noWrap w:val="0"/>
            <w:vAlign w:val="top"/>
          </w:tcPr>
          <w:p w14:paraId="06F2A75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w:t>
            </w:r>
          </w:p>
        </w:tc>
      </w:tr>
      <w:tr w14:paraId="3F52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3" w:type="pct"/>
            <w:noWrap w:val="0"/>
            <w:vAlign w:val="center"/>
          </w:tcPr>
          <w:p w14:paraId="1A33948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蒸发器</w:t>
            </w:r>
          </w:p>
        </w:tc>
        <w:tc>
          <w:tcPr>
            <w:tcW w:w="1278" w:type="pct"/>
            <w:noWrap w:val="0"/>
            <w:vAlign w:val="center"/>
          </w:tcPr>
          <w:p w14:paraId="1661777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压力损失kPa</w:t>
            </w:r>
          </w:p>
        </w:tc>
        <w:tc>
          <w:tcPr>
            <w:tcW w:w="2588" w:type="pct"/>
            <w:noWrap w:val="0"/>
            <w:vAlign w:val="top"/>
          </w:tcPr>
          <w:p w14:paraId="429A267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w:t>
            </w:r>
          </w:p>
        </w:tc>
      </w:tr>
      <w:tr w14:paraId="62F9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3" w:type="pct"/>
            <w:noWrap w:val="0"/>
            <w:vAlign w:val="center"/>
          </w:tcPr>
          <w:p w14:paraId="0C57475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冷凝器</w:t>
            </w:r>
          </w:p>
        </w:tc>
        <w:tc>
          <w:tcPr>
            <w:tcW w:w="1278" w:type="pct"/>
            <w:noWrap w:val="0"/>
            <w:vAlign w:val="center"/>
          </w:tcPr>
          <w:p w14:paraId="3906E3B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压力损失kPa</w:t>
            </w:r>
          </w:p>
        </w:tc>
        <w:tc>
          <w:tcPr>
            <w:tcW w:w="2588" w:type="pct"/>
            <w:noWrap w:val="0"/>
            <w:vAlign w:val="top"/>
          </w:tcPr>
          <w:p w14:paraId="6EA2413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w:t>
            </w:r>
          </w:p>
        </w:tc>
      </w:tr>
      <w:tr w14:paraId="55C0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1" w:type="pct"/>
            <w:gridSpan w:val="2"/>
            <w:noWrap w:val="0"/>
            <w:vAlign w:val="center"/>
          </w:tcPr>
          <w:p w14:paraId="7738748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输入功率      kW</w:t>
            </w:r>
          </w:p>
        </w:tc>
        <w:tc>
          <w:tcPr>
            <w:tcW w:w="2588" w:type="pct"/>
            <w:noWrap w:val="0"/>
            <w:vAlign w:val="top"/>
          </w:tcPr>
          <w:p w14:paraId="3FB450D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w:t>
            </w:r>
          </w:p>
        </w:tc>
      </w:tr>
      <w:tr w14:paraId="081B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530E56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冷水承压      MPa</w:t>
            </w:r>
          </w:p>
        </w:tc>
        <w:tc>
          <w:tcPr>
            <w:tcW w:w="2588" w:type="pct"/>
            <w:noWrap w:val="0"/>
            <w:vAlign w:val="center"/>
          </w:tcPr>
          <w:p w14:paraId="37BBC64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r>
      <w:tr w14:paraId="2EA7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7C50F10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冷却水承压    MPa</w:t>
            </w:r>
          </w:p>
        </w:tc>
        <w:tc>
          <w:tcPr>
            <w:tcW w:w="2588" w:type="pct"/>
            <w:noWrap w:val="0"/>
            <w:vAlign w:val="center"/>
          </w:tcPr>
          <w:p w14:paraId="72483C9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r>
      <w:tr w14:paraId="5923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1BDCA3F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负荷调节范围</w:t>
            </w:r>
          </w:p>
        </w:tc>
        <w:tc>
          <w:tcPr>
            <w:tcW w:w="2588" w:type="pct"/>
            <w:noWrap w:val="0"/>
            <w:vAlign w:val="center"/>
          </w:tcPr>
          <w:p w14:paraId="3AF658F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10～100%</w:t>
            </w:r>
          </w:p>
        </w:tc>
      </w:tr>
      <w:tr w14:paraId="3CF0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411" w:type="pct"/>
            <w:gridSpan w:val="2"/>
            <w:noWrap w:val="0"/>
            <w:vAlign w:val="center"/>
          </w:tcPr>
          <w:p w14:paraId="4A88988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冷水允许最低出水温度</w:t>
            </w:r>
          </w:p>
        </w:tc>
        <w:tc>
          <w:tcPr>
            <w:tcW w:w="2588" w:type="pct"/>
            <w:noWrap w:val="0"/>
            <w:vAlign w:val="center"/>
          </w:tcPr>
          <w:p w14:paraId="442BC58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r>
      <w:tr w14:paraId="3BBC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411" w:type="pct"/>
            <w:gridSpan w:val="2"/>
            <w:noWrap w:val="0"/>
            <w:vAlign w:val="center"/>
          </w:tcPr>
          <w:p w14:paraId="7206B0F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能效要求</w:t>
            </w:r>
          </w:p>
        </w:tc>
        <w:tc>
          <w:tcPr>
            <w:tcW w:w="2588" w:type="pct"/>
            <w:noWrap w:val="0"/>
            <w:vAlign w:val="center"/>
          </w:tcPr>
          <w:p w14:paraId="4417164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一级能效</w:t>
            </w:r>
          </w:p>
        </w:tc>
      </w:tr>
      <w:tr w14:paraId="24CE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78F4029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联网监控</w:t>
            </w:r>
          </w:p>
        </w:tc>
        <w:tc>
          <w:tcPr>
            <w:tcW w:w="2588" w:type="pct"/>
            <w:noWrap w:val="0"/>
            <w:vAlign w:val="center"/>
          </w:tcPr>
          <w:p w14:paraId="3222B75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实现远程联网监控</w:t>
            </w:r>
          </w:p>
        </w:tc>
      </w:tr>
      <w:tr w14:paraId="2CF2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7E1051B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设计使用寿命</w:t>
            </w:r>
          </w:p>
        </w:tc>
        <w:tc>
          <w:tcPr>
            <w:tcW w:w="2588" w:type="pct"/>
            <w:noWrap w:val="0"/>
            <w:vAlign w:val="center"/>
          </w:tcPr>
          <w:p w14:paraId="56E8900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≥30年</w:t>
            </w:r>
          </w:p>
        </w:tc>
      </w:tr>
      <w:tr w14:paraId="323C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F31087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节能产品认证</w:t>
            </w:r>
          </w:p>
        </w:tc>
        <w:tc>
          <w:tcPr>
            <w:tcW w:w="2588" w:type="pct"/>
            <w:noWrap w:val="0"/>
            <w:vAlign w:val="center"/>
          </w:tcPr>
          <w:p w14:paraId="5E4A37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具有中国节能产品认证证书</w:t>
            </w:r>
          </w:p>
        </w:tc>
      </w:tr>
      <w:tr w14:paraId="6403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62A0B6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机组运行噪音</w:t>
            </w:r>
          </w:p>
        </w:tc>
        <w:tc>
          <w:tcPr>
            <w:tcW w:w="2588" w:type="pct"/>
            <w:noWrap w:val="0"/>
            <w:vAlign w:val="center"/>
          </w:tcPr>
          <w:p w14:paraId="3495684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≤65dB（A）</w:t>
            </w:r>
          </w:p>
        </w:tc>
      </w:tr>
      <w:tr w14:paraId="5EB0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411" w:type="pct"/>
            <w:gridSpan w:val="2"/>
            <w:noWrap w:val="0"/>
            <w:vAlign w:val="center"/>
          </w:tcPr>
          <w:p w14:paraId="49FA2BD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换热管材</w:t>
            </w:r>
          </w:p>
        </w:tc>
        <w:tc>
          <w:tcPr>
            <w:tcW w:w="2588" w:type="pct"/>
            <w:noWrap w:val="0"/>
            <w:vAlign w:val="center"/>
          </w:tcPr>
          <w:p w14:paraId="43EC14AB">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冷凝器：铜管（厚度≥1.0mm）</w:t>
            </w:r>
          </w:p>
          <w:p w14:paraId="53220BE3">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蒸发器：铜管（厚度≥1.0mm）</w:t>
            </w:r>
          </w:p>
          <w:p w14:paraId="0E95294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提供厂家承诺书</w:t>
            </w:r>
            <w:r>
              <w:rPr>
                <w:rFonts w:hint="eastAsia" w:ascii="仿宋" w:hAnsi="仿宋" w:eastAsia="仿宋" w:cs="仿宋"/>
                <w:b/>
                <w:bCs/>
                <w:color w:val="auto"/>
                <w:sz w:val="24"/>
                <w:szCs w:val="24"/>
                <w:highlight w:val="none"/>
                <w:lang w:val="en-US" w:eastAsia="zh-CN"/>
              </w:rPr>
              <w:t>并</w:t>
            </w:r>
            <w:r>
              <w:rPr>
                <w:rFonts w:hint="eastAsia" w:ascii="仿宋" w:hAnsi="仿宋" w:eastAsia="仿宋" w:cs="仿宋"/>
                <w:b/>
                <w:bCs/>
                <w:color w:val="auto"/>
                <w:sz w:val="24"/>
                <w:szCs w:val="24"/>
                <w:highlight w:val="none"/>
              </w:rPr>
              <w:t>加盖制造商公章</w:t>
            </w:r>
          </w:p>
        </w:tc>
      </w:tr>
      <w:tr w14:paraId="037D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411" w:type="pct"/>
            <w:gridSpan w:val="2"/>
            <w:noWrap w:val="0"/>
            <w:vAlign w:val="center"/>
          </w:tcPr>
          <w:p w14:paraId="6775A8A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显示器</w:t>
            </w:r>
          </w:p>
        </w:tc>
        <w:tc>
          <w:tcPr>
            <w:tcW w:w="2588" w:type="pct"/>
            <w:noWrap w:val="0"/>
            <w:vAlign w:val="center"/>
          </w:tcPr>
          <w:p w14:paraId="18E65A61">
            <w:pPr>
              <w:keepNext w:val="0"/>
              <w:keepLines w:val="0"/>
              <w:suppressLineNumbers w:val="0"/>
              <w:snapToGrid w:val="0"/>
              <w:spacing w:before="0" w:beforeAutospacing="0" w:after="0" w:afterAutospacing="0"/>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彩色触摸屏中文显示 尺寸≥15寸</w:t>
            </w:r>
          </w:p>
          <w:p w14:paraId="3F41A28D">
            <w:pPr>
              <w:keepNext w:val="0"/>
              <w:keepLines w:val="0"/>
              <w:widowControl/>
              <w:suppressLineNumbers w:val="0"/>
              <w:spacing w:before="0" w:beforeAutospacing="0" w:after="0" w:afterAutospacing="0"/>
              <w:ind w:left="0" w:right="0"/>
              <w:jc w:val="left"/>
              <w:rPr>
                <w:rFonts w:hint="default" w:ascii="Calibri" w:hAnsi="Calibri" w:cs="Times New Roman"/>
                <w:color w:val="auto"/>
                <w:highlight w:val="none"/>
              </w:rPr>
            </w:pPr>
            <w:r>
              <w:rPr>
                <w:rFonts w:hint="eastAsia" w:ascii="仿宋" w:hAnsi="仿宋" w:eastAsia="仿宋" w:cs="仿宋"/>
                <w:b/>
                <w:bCs/>
                <w:color w:val="auto"/>
                <w:sz w:val="24"/>
                <w:szCs w:val="24"/>
                <w:highlight w:val="none"/>
              </w:rPr>
              <w:t>可选择多语言文字显示、全触摸操作</w:t>
            </w:r>
          </w:p>
          <w:p w14:paraId="7654353A">
            <w:pPr>
              <w:keepNext w:val="0"/>
              <w:keepLines w:val="0"/>
              <w:widowControl/>
              <w:suppressLineNumbers w:val="0"/>
              <w:spacing w:before="0" w:beforeAutospacing="0" w:after="0" w:afterAutospacing="0"/>
              <w:ind w:left="0" w:right="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（1）具备主机动态能效显示（制冷COP）</w:t>
            </w:r>
          </w:p>
          <w:p w14:paraId="6774862B">
            <w:pPr>
              <w:keepNext w:val="0"/>
              <w:keepLines w:val="0"/>
              <w:widowControl/>
              <w:suppressLineNumbers w:val="0"/>
              <w:spacing w:before="0" w:beforeAutospacing="0" w:after="0" w:afterAutospacing="0"/>
              <w:ind w:left="0" w:right="0"/>
              <w:jc w:val="left"/>
              <w:rPr>
                <w:rFonts w:hint="eastAsia" w:ascii="Calibri" w:hAnsi="Calibri" w:cs="Times New Roman"/>
                <w:color w:val="auto"/>
                <w:highlight w:val="none"/>
              </w:rPr>
            </w:pPr>
            <w:r>
              <w:rPr>
                <w:rFonts w:hint="eastAsia" w:ascii="仿宋" w:hAnsi="仿宋" w:eastAsia="仿宋" w:cs="仿宋"/>
                <w:b/>
                <w:bCs/>
                <w:color w:val="auto"/>
                <w:sz w:val="24"/>
                <w:szCs w:val="24"/>
                <w:highlight w:val="none"/>
              </w:rPr>
              <w:t>（2）具备易损易耗件剩余寿命倒计时界面截图，倒计时信息可直观读取。</w:t>
            </w:r>
          </w:p>
        </w:tc>
      </w:tr>
    </w:tbl>
    <w:p w14:paraId="099E3218">
      <w:pPr>
        <w:pStyle w:val="23"/>
        <w:widowControl/>
        <w:snapToGrid w:val="0"/>
        <w:spacing w:line="360" w:lineRule="auto"/>
        <w:outlineLvl w:val="9"/>
        <w:rPr>
          <w:rFonts w:hint="default" w:ascii="宋体" w:hAnsi="宋体" w:eastAsia="仿宋" w:cs="Times New Roman"/>
          <w:b/>
          <w:bCs/>
          <w:color w:val="auto"/>
          <w:sz w:val="24"/>
          <w:szCs w:val="24"/>
          <w:highlight w:val="none"/>
          <w:lang w:val="en-US" w:eastAsia="zh-CN"/>
        </w:rPr>
      </w:pPr>
    </w:p>
    <w:p w14:paraId="606C87EB">
      <w:pPr>
        <w:keepNext/>
        <w:keepLines/>
        <w:numPr>
          <w:ilvl w:val="0"/>
          <w:numId w:val="0"/>
        </w:numPr>
        <w:spacing w:before="100" w:after="100" w:line="360" w:lineRule="auto"/>
        <w:outlineLvl w:val="0"/>
        <w:rPr>
          <w:rFonts w:hint="eastAsia" w:ascii="仿宋" w:hAnsi="仿宋" w:eastAsia="仿宋" w:cs="仿宋"/>
          <w:b/>
          <w:bCs/>
          <w:color w:val="auto"/>
          <w:kern w:val="44"/>
          <w:sz w:val="24"/>
          <w:szCs w:val="24"/>
          <w:highlight w:val="none"/>
          <w:lang w:eastAsia="zh-CN"/>
        </w:rPr>
      </w:pPr>
      <w:r>
        <w:rPr>
          <w:rFonts w:hint="eastAsia" w:ascii="宋体" w:hAnsi="宋体" w:eastAsia="仿宋"/>
          <w:b/>
          <w:bCs/>
          <w:color w:val="auto"/>
          <w:sz w:val="24"/>
          <w:szCs w:val="24"/>
          <w:highlight w:val="none"/>
          <w:lang w:val="en-US" w:eastAsia="zh-CN"/>
        </w:rPr>
        <w:t>5</w:t>
      </w:r>
      <w:r>
        <w:rPr>
          <w:rFonts w:hint="eastAsia" w:ascii="宋体" w:hAnsi="宋体" w:eastAsia="仿宋"/>
          <w:b/>
          <w:bCs/>
          <w:color w:val="auto"/>
          <w:sz w:val="24"/>
          <w:szCs w:val="24"/>
          <w:highlight w:val="none"/>
        </w:rPr>
        <w:t>. 采购人的其他要求</w:t>
      </w:r>
      <w:r>
        <w:rPr>
          <w:rFonts w:hint="eastAsia" w:ascii="仿宋" w:hAnsi="仿宋" w:eastAsia="仿宋" w:cs="仿宋"/>
          <w:b/>
          <w:bCs/>
          <w:color w:val="auto"/>
          <w:kern w:val="44"/>
          <w:sz w:val="24"/>
          <w:szCs w:val="24"/>
          <w:highlight w:val="none"/>
          <w:lang w:eastAsia="zh-CN"/>
        </w:rPr>
        <w:t>（</w:t>
      </w:r>
      <w:r>
        <w:rPr>
          <w:rFonts w:hint="eastAsia" w:ascii="仿宋" w:hAnsi="仿宋" w:eastAsia="仿宋" w:cs="仿宋"/>
          <w:b/>
          <w:bCs/>
          <w:color w:val="auto"/>
          <w:kern w:val="44"/>
          <w:sz w:val="24"/>
          <w:szCs w:val="24"/>
          <w:highlight w:val="none"/>
          <w:lang w:val="en-US" w:eastAsia="zh-CN"/>
        </w:rPr>
        <w:t>提供承诺函，格式自拟</w:t>
      </w:r>
      <w:r>
        <w:rPr>
          <w:rFonts w:hint="eastAsia" w:ascii="仿宋" w:hAnsi="仿宋" w:eastAsia="仿宋" w:cs="仿宋"/>
          <w:b/>
          <w:bCs/>
          <w:color w:val="auto"/>
          <w:kern w:val="44"/>
          <w:sz w:val="24"/>
          <w:szCs w:val="24"/>
          <w:highlight w:val="none"/>
          <w:lang w:eastAsia="zh-CN"/>
        </w:rPr>
        <w:t>）</w:t>
      </w:r>
    </w:p>
    <w:p w14:paraId="3EEF22F6">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（1）中标人作为投资主体，</w:t>
      </w:r>
      <w:r>
        <w:rPr>
          <w:rFonts w:hint="eastAsia" w:ascii="仿宋" w:hAnsi="仿宋" w:eastAsia="仿宋" w:cs="仿宋"/>
          <w:b w:val="0"/>
          <w:bCs w:val="0"/>
          <w:color w:val="auto"/>
          <w:sz w:val="24"/>
          <w:szCs w:val="24"/>
          <w:highlight w:val="none"/>
          <w:lang w:val="en-US" w:eastAsia="zh-CN"/>
        </w:rPr>
        <w:t>本次改造节能率不低于10%，奖补资金64万元已到医院账户，后期若因中标人节能率未达到或因施工等节能验收未通过导致奖补资金收回，此收回资金64万元由中标人承担，并从合同能源管理费中扣除。</w:t>
      </w:r>
    </w:p>
    <w:p w14:paraId="3455A45F">
      <w:pPr>
        <w:pStyle w:val="3"/>
        <w:ind w:firstLine="480" w:firstLineChars="200"/>
        <w:rPr>
          <w:rFonts w:hint="eastAsia" w:ascii="宋体" w:hAnsi="宋体" w:eastAsia="仿宋"/>
          <w:color w:val="auto"/>
          <w:sz w:val="24"/>
          <w:szCs w:val="24"/>
          <w:highlight w:val="none"/>
        </w:rPr>
      </w:pP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rPr>
        <w:t>）中标人在合同期限内仅拥有中标人所投资设备的产权</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合同期满后中标人将所投设备的产权移交给招标人，中标人应保证项目设备资产正常运行，项目设备资产的所有权移交时，应同时移交本项目继续运行所必需的资料。如该项目设备资产的继续使用涉及第三方的服务，该服务的费用由招标人承担</w:t>
      </w:r>
      <w:r>
        <w:rPr>
          <w:rFonts w:hint="eastAsia" w:ascii="仿宋" w:hAnsi="仿宋" w:eastAsia="仿宋" w:cs="仿宋"/>
          <w:b w:val="0"/>
          <w:bCs w:val="0"/>
          <w:color w:val="auto"/>
          <w:sz w:val="24"/>
          <w:szCs w:val="24"/>
          <w:highlight w:val="none"/>
        </w:rPr>
        <w:t>。</w:t>
      </w:r>
    </w:p>
    <w:p w14:paraId="3D3C7D05">
      <w:pPr>
        <w:widowControl/>
        <w:rPr>
          <w:rFonts w:hint="eastAsia" w:eastAsia="仿宋"/>
          <w:color w:val="auto"/>
          <w:highlight w:val="none"/>
        </w:rPr>
      </w:pPr>
    </w:p>
    <w:p w14:paraId="3AE7B637">
      <w:pPr>
        <w:widowControl/>
        <w:rPr>
          <w:rFonts w:hint="eastAsia" w:eastAsia="仿宋"/>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B104C14">
      <w:pPr>
        <w:pStyle w:val="2"/>
        <w:widowControl/>
        <w:spacing w:before="0" w:after="0" w:line="240" w:lineRule="auto"/>
        <w:jc w:val="center"/>
        <w:rPr>
          <w:rFonts w:hint="eastAsia" w:ascii="宋体" w:hAnsi="宋体" w:eastAsia="仿宋"/>
          <w:color w:val="auto"/>
          <w:highlight w:val="none"/>
        </w:rPr>
      </w:pPr>
      <w:bookmarkStart w:id="775" w:name="_Toc9357"/>
      <w:bookmarkStart w:id="776" w:name="_Toc445554765"/>
      <w:bookmarkStart w:id="777" w:name="_Toc466024564"/>
      <w:r>
        <w:rPr>
          <w:rFonts w:hint="eastAsia" w:ascii="宋体" w:hAnsi="宋体" w:eastAsia="仿宋"/>
          <w:color w:val="auto"/>
          <w:highlight w:val="none"/>
        </w:rPr>
        <w:t>第四章  资格审查和评标办法（综合评分法）</w:t>
      </w:r>
      <w:bookmarkEnd w:id="775"/>
    </w:p>
    <w:bookmarkEnd w:id="749"/>
    <w:bookmarkEnd w:id="750"/>
    <w:bookmarkEnd w:id="751"/>
    <w:bookmarkEnd w:id="752"/>
    <w:bookmarkEnd w:id="753"/>
    <w:bookmarkEnd w:id="754"/>
    <w:bookmarkEnd w:id="755"/>
    <w:bookmarkEnd w:id="756"/>
    <w:bookmarkEnd w:id="757"/>
    <w:bookmarkEnd w:id="776"/>
    <w:bookmarkEnd w:id="777"/>
    <w:p w14:paraId="49C0D49B">
      <w:pPr>
        <w:pStyle w:val="3"/>
        <w:jc w:val="center"/>
        <w:rPr>
          <w:rFonts w:hint="eastAsia" w:eastAsia="仿宋"/>
          <w:color w:val="auto"/>
          <w:highlight w:val="none"/>
        </w:rPr>
      </w:pPr>
      <w:r>
        <w:rPr>
          <w:rFonts w:hint="eastAsia" w:eastAsia="仿宋"/>
          <w:color w:val="auto"/>
          <w:highlight w:val="none"/>
        </w:rPr>
        <w:t>第一节  资格审查</w:t>
      </w:r>
    </w:p>
    <w:p w14:paraId="1B27FC51">
      <w:pPr>
        <w:spacing w:line="360" w:lineRule="auto"/>
        <w:jc w:val="center"/>
        <w:rPr>
          <w:rFonts w:hint="eastAsia" w:eastAsia="仿宋"/>
          <w:b/>
          <w:color w:val="auto"/>
          <w:sz w:val="28"/>
          <w:szCs w:val="28"/>
          <w:highlight w:val="none"/>
        </w:rPr>
      </w:pPr>
      <w:r>
        <w:rPr>
          <w:rFonts w:hint="eastAsia" w:eastAsia="仿宋"/>
          <w:b/>
          <w:color w:val="auto"/>
          <w:sz w:val="28"/>
          <w:szCs w:val="28"/>
          <w:highlight w:val="none"/>
        </w:rPr>
        <w:t>资格审查办法前附表</w:t>
      </w:r>
    </w:p>
    <w:p w14:paraId="24151012">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本《资格审查办法前附表》是对本节《资格审查》的具体补充和修改，如有不一致，以本《资格审查办法前附表》为准。</w:t>
      </w:r>
    </w:p>
    <w:tbl>
      <w:tblPr>
        <w:tblStyle w:val="45"/>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00"/>
        <w:gridCol w:w="4800"/>
        <w:gridCol w:w="2500"/>
      </w:tblGrid>
      <w:tr w14:paraId="0527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381D2005">
            <w:pPr>
              <w:keepNext w:val="0"/>
              <w:keepLines w:val="0"/>
              <w:suppressLineNumbers w:val="0"/>
              <w:adjustRightInd w:val="0"/>
              <w:snapToGrid w:val="0"/>
              <w:spacing w:before="0" w:beforeAutospacing="0" w:after="0" w:afterAutospacing="0" w:line="240" w:lineRule="auto"/>
              <w:ind w:left="0" w:right="-10"/>
              <w:jc w:val="center"/>
              <w:rPr>
                <w:rFonts w:hint="eastAsia" w:ascii="宋体" w:hAnsi="宋体" w:eastAsia="宋体" w:cs="Times New Roman"/>
                <w:color w:val="auto"/>
                <w:sz w:val="24"/>
                <w:highlight w:val="none"/>
                <w:lang w:eastAsia="zh-CN"/>
              </w:rPr>
            </w:pPr>
            <w:r>
              <w:rPr>
                <w:rFonts w:hint="eastAsia" w:ascii="宋体" w:hAnsi="宋体" w:eastAsia="宋体" w:cs="Times New Roman"/>
                <w:b/>
                <w:color w:val="auto"/>
                <w:sz w:val="24"/>
                <w:szCs w:val="22"/>
                <w:highlight w:val="none"/>
              </w:rPr>
              <w:t>资格审查办法前附表</w:t>
            </w:r>
          </w:p>
        </w:tc>
      </w:tr>
      <w:tr w14:paraId="6E4D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5193B74">
            <w:pPr>
              <w:keepNext w:val="0"/>
              <w:keepLines w:val="0"/>
              <w:suppressLineNumbers w:val="0"/>
              <w:adjustRightInd w:val="0"/>
              <w:snapToGrid w:val="0"/>
              <w:spacing w:before="0" w:beforeAutospacing="0" w:after="0" w:afterAutospacing="0" w:line="240" w:lineRule="auto"/>
              <w:ind w:left="0" w:right="-1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序号</w:t>
            </w:r>
          </w:p>
        </w:tc>
        <w:tc>
          <w:tcPr>
            <w:tcW w:w="997" w:type="pct"/>
            <w:tcBorders>
              <w:bottom w:val="single" w:color="auto" w:sz="4" w:space="0"/>
            </w:tcBorders>
            <w:noWrap w:val="0"/>
            <w:vAlign w:val="center"/>
          </w:tcPr>
          <w:p w14:paraId="6101A7EB">
            <w:pPr>
              <w:pStyle w:val="176"/>
              <w:keepNext w:val="0"/>
              <w:keepLines w:val="0"/>
              <w:suppressLineNumbers w:val="0"/>
              <w:pBdr>
                <w:bottom w:val="none" w:color="auto" w:sz="0" w:space="0"/>
              </w:pBdr>
              <w:tabs>
                <w:tab w:val="clear" w:pos="4153"/>
                <w:tab w:val="clear" w:pos="8306"/>
              </w:tabs>
              <w:snapToGrid w:val="0"/>
              <w:spacing w:before="0" w:beforeAutospacing="0" w:after="0" w:afterAutospacing="0" w:line="240" w:lineRule="auto"/>
              <w:ind w:left="0" w:right="-10"/>
              <w:textAlignment w:val="auto"/>
              <w:rPr>
                <w:rFonts w:hint="default" w:ascii="宋体" w:hAnsi="宋体" w:eastAsia="宋体" w:cs="Times New Roman"/>
                <w:color w:val="auto"/>
                <w:kern w:val="2"/>
                <w:szCs w:val="24"/>
                <w:highlight w:val="none"/>
              </w:rPr>
            </w:pPr>
            <w:r>
              <w:rPr>
                <w:rFonts w:hint="eastAsia" w:ascii="宋体" w:hAnsi="宋体" w:eastAsia="宋体" w:cs="Times New Roman"/>
                <w:color w:val="auto"/>
                <w:kern w:val="2"/>
                <w:szCs w:val="24"/>
                <w:highlight w:val="none"/>
                <w:lang w:val="en-US" w:eastAsia="zh-CN"/>
              </w:rPr>
              <w:t>审查因素</w:t>
            </w:r>
          </w:p>
        </w:tc>
        <w:tc>
          <w:tcPr>
            <w:tcW w:w="2393" w:type="pct"/>
            <w:tcBorders>
              <w:bottom w:val="single" w:color="auto" w:sz="4" w:space="0"/>
            </w:tcBorders>
            <w:noWrap w:val="0"/>
            <w:vAlign w:val="center"/>
          </w:tcPr>
          <w:p w14:paraId="115D083B">
            <w:pPr>
              <w:keepNext w:val="0"/>
              <w:keepLines w:val="0"/>
              <w:suppressLineNumbers w:val="0"/>
              <w:adjustRightInd w:val="0"/>
              <w:snapToGrid w:val="0"/>
              <w:spacing w:before="0" w:beforeAutospacing="0" w:after="0" w:afterAutospacing="0" w:line="240" w:lineRule="auto"/>
              <w:ind w:left="0" w:right="-1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审查</w:t>
            </w:r>
            <w:r>
              <w:rPr>
                <w:rFonts w:hint="eastAsia" w:ascii="宋体" w:hAnsi="宋体" w:eastAsia="宋体" w:cs="Times New Roman"/>
                <w:color w:val="auto"/>
                <w:sz w:val="24"/>
                <w:highlight w:val="none"/>
              </w:rPr>
              <w:t>标准</w:t>
            </w:r>
          </w:p>
        </w:tc>
        <w:tc>
          <w:tcPr>
            <w:tcW w:w="1246" w:type="pct"/>
            <w:tcBorders>
              <w:bottom w:val="single" w:color="auto" w:sz="4" w:space="0"/>
            </w:tcBorders>
            <w:noWrap w:val="0"/>
            <w:vAlign w:val="center"/>
          </w:tcPr>
          <w:p w14:paraId="657B9CDE">
            <w:pPr>
              <w:keepNext w:val="0"/>
              <w:keepLines w:val="0"/>
              <w:suppressLineNumbers w:val="0"/>
              <w:adjustRightInd w:val="0"/>
              <w:snapToGrid w:val="0"/>
              <w:spacing w:before="0" w:beforeAutospacing="0" w:after="0" w:afterAutospacing="0" w:line="240" w:lineRule="auto"/>
              <w:ind w:left="0" w:right="-1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格式及材料要求</w:t>
            </w:r>
          </w:p>
        </w:tc>
      </w:tr>
      <w:tr w14:paraId="382C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2" w:type="pct"/>
            <w:tcBorders>
              <w:bottom w:val="single" w:color="auto" w:sz="4" w:space="0"/>
            </w:tcBorders>
            <w:noWrap w:val="0"/>
            <w:vAlign w:val="center"/>
          </w:tcPr>
          <w:p w14:paraId="1E4E2F3D">
            <w:pPr>
              <w:keepNext w:val="0"/>
              <w:keepLines w:val="0"/>
              <w:suppressLineNumbers w:val="0"/>
              <w:adjustRightInd w:val="0"/>
              <w:snapToGrid w:val="0"/>
              <w:spacing w:before="0" w:beforeAutospacing="0" w:after="0" w:afterAutospacing="0" w:line="240" w:lineRule="auto"/>
              <w:ind w:left="0" w:right="-1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997" w:type="pct"/>
            <w:tcBorders>
              <w:bottom w:val="single" w:color="auto" w:sz="4" w:space="0"/>
            </w:tcBorders>
            <w:noWrap w:val="0"/>
            <w:vAlign w:val="center"/>
          </w:tcPr>
          <w:p w14:paraId="10BA88BD">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营业执照等证明</w:t>
            </w:r>
            <w:r>
              <w:rPr>
                <w:rFonts w:hint="eastAsia" w:ascii="宋体" w:hAnsi="宋体" w:eastAsia="仿宋" w:cs="Times New Roman"/>
                <w:color w:val="auto"/>
                <w:sz w:val="24"/>
                <w:highlight w:val="none"/>
                <w:lang w:val="en-US" w:eastAsia="zh-CN"/>
              </w:rPr>
              <w:t>材料</w:t>
            </w:r>
          </w:p>
        </w:tc>
        <w:tc>
          <w:tcPr>
            <w:tcW w:w="2393" w:type="pct"/>
            <w:tcBorders>
              <w:bottom w:val="single" w:color="auto" w:sz="4" w:space="0"/>
            </w:tcBorders>
            <w:noWrap w:val="0"/>
            <w:vAlign w:val="center"/>
          </w:tcPr>
          <w:p w14:paraId="705735D5">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投标人</w:t>
            </w:r>
            <w:r>
              <w:rPr>
                <w:rFonts w:hint="eastAsia" w:ascii="仿宋" w:hAnsi="仿宋" w:eastAsia="仿宋" w:cs="仿宋"/>
                <w:color w:val="auto"/>
                <w:sz w:val="24"/>
                <w:szCs w:val="28"/>
                <w:highlight w:val="none"/>
              </w:rPr>
              <w:t>为企业</w:t>
            </w:r>
            <w:r>
              <w:rPr>
                <w:rFonts w:hint="eastAsia" w:ascii="仿宋" w:hAnsi="仿宋" w:eastAsia="仿宋" w:cs="仿宋"/>
                <w:color w:val="auto"/>
                <w:sz w:val="24"/>
                <w:szCs w:val="28"/>
                <w:highlight w:val="none"/>
                <w:lang w:eastAsia="zh-CN"/>
              </w:rPr>
              <w:t>（</w:t>
            </w:r>
            <w:r>
              <w:rPr>
                <w:rFonts w:hint="eastAsia" w:ascii="仿宋" w:hAnsi="仿宋" w:eastAsia="仿宋" w:cs="仿宋"/>
                <w:color w:val="auto"/>
                <w:sz w:val="24"/>
                <w:szCs w:val="28"/>
                <w:highlight w:val="none"/>
                <w:lang w:val="en-US" w:eastAsia="zh-CN"/>
              </w:rPr>
              <w:t>包括公司、合伙企业、个人独资企业</w:t>
            </w:r>
            <w:r>
              <w:rPr>
                <w:rFonts w:hint="eastAsia" w:ascii="仿宋" w:hAnsi="仿宋" w:eastAsia="仿宋" w:cs="仿宋"/>
                <w:color w:val="auto"/>
                <w:sz w:val="24"/>
                <w:szCs w:val="28"/>
                <w:highlight w:val="none"/>
                <w:lang w:eastAsia="zh-CN"/>
              </w:rPr>
              <w:t>）</w:t>
            </w:r>
            <w:r>
              <w:rPr>
                <w:rFonts w:hint="eastAsia" w:ascii="仿宋" w:hAnsi="仿宋" w:eastAsia="仿宋" w:cs="仿宋"/>
                <w:color w:val="auto"/>
                <w:sz w:val="24"/>
                <w:szCs w:val="28"/>
                <w:highlight w:val="none"/>
              </w:rPr>
              <w:t>的，提供有效的营业执照；</w:t>
            </w:r>
          </w:p>
          <w:p w14:paraId="40373D0A">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投标人</w:t>
            </w:r>
            <w:r>
              <w:rPr>
                <w:rFonts w:hint="eastAsia" w:ascii="仿宋" w:hAnsi="仿宋" w:eastAsia="仿宋" w:cs="仿宋"/>
                <w:color w:val="auto"/>
                <w:sz w:val="24"/>
                <w:szCs w:val="28"/>
                <w:highlight w:val="none"/>
              </w:rPr>
              <w:t>为事业单位的，提供有效的事业单位法人证书；</w:t>
            </w:r>
          </w:p>
          <w:p w14:paraId="2363A55F">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投标人</w:t>
            </w:r>
            <w:r>
              <w:rPr>
                <w:rFonts w:hint="eastAsia" w:ascii="仿宋" w:hAnsi="仿宋" w:eastAsia="仿宋" w:cs="仿宋"/>
                <w:color w:val="auto"/>
                <w:sz w:val="24"/>
                <w:szCs w:val="28"/>
                <w:highlight w:val="none"/>
              </w:rPr>
              <w:t>为社会团体的，提供有效的社会团体法人登记证书；</w:t>
            </w:r>
          </w:p>
          <w:p w14:paraId="30D31E66">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投标人</w:t>
            </w:r>
            <w:r>
              <w:rPr>
                <w:rFonts w:hint="eastAsia" w:ascii="仿宋" w:hAnsi="仿宋" w:eastAsia="仿宋" w:cs="仿宋"/>
                <w:color w:val="auto"/>
                <w:sz w:val="24"/>
                <w:szCs w:val="28"/>
                <w:highlight w:val="none"/>
              </w:rPr>
              <w:t>为个体工商户的，提供有效的营业执照；</w:t>
            </w:r>
          </w:p>
          <w:p w14:paraId="4AEECD79">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投标人</w:t>
            </w:r>
            <w:r>
              <w:rPr>
                <w:rFonts w:hint="eastAsia" w:ascii="仿宋" w:hAnsi="仿宋" w:eastAsia="仿宋" w:cs="仿宋"/>
                <w:color w:val="auto"/>
                <w:sz w:val="24"/>
                <w:szCs w:val="28"/>
                <w:highlight w:val="none"/>
              </w:rPr>
              <w:t>为</w:t>
            </w:r>
            <w:r>
              <w:rPr>
                <w:rFonts w:hint="eastAsia" w:ascii="仿宋" w:hAnsi="仿宋" w:eastAsia="仿宋" w:cs="仿宋"/>
                <w:color w:val="auto"/>
                <w:sz w:val="24"/>
                <w:szCs w:val="28"/>
                <w:highlight w:val="none"/>
                <w:lang w:val="en-US" w:eastAsia="zh-CN"/>
              </w:rPr>
              <w:t>不具法人资格的</w:t>
            </w:r>
            <w:r>
              <w:rPr>
                <w:rFonts w:hint="eastAsia" w:ascii="仿宋" w:hAnsi="仿宋" w:eastAsia="仿宋" w:cs="仿宋"/>
                <w:color w:val="auto"/>
                <w:sz w:val="24"/>
                <w:szCs w:val="28"/>
                <w:highlight w:val="none"/>
              </w:rPr>
              <w:t>专业服务机构的，提供有效的执业许可证等证明材料；</w:t>
            </w:r>
          </w:p>
          <w:p w14:paraId="30BDCFCC">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投标人</w:t>
            </w:r>
            <w:r>
              <w:rPr>
                <w:rFonts w:hint="eastAsia" w:ascii="仿宋" w:hAnsi="仿宋" w:eastAsia="仿宋" w:cs="仿宋"/>
                <w:color w:val="auto"/>
                <w:sz w:val="24"/>
                <w:szCs w:val="28"/>
                <w:highlight w:val="none"/>
              </w:rPr>
              <w:t>为自然人的，提供有效的自然人身份证</w:t>
            </w:r>
            <w:r>
              <w:rPr>
                <w:rFonts w:hint="eastAsia" w:ascii="仿宋" w:hAnsi="仿宋" w:eastAsia="仿宋" w:cs="仿宋"/>
                <w:color w:val="auto"/>
                <w:sz w:val="24"/>
                <w:szCs w:val="28"/>
                <w:highlight w:val="none"/>
                <w:lang w:val="en-US" w:eastAsia="zh-CN"/>
              </w:rPr>
              <w:t>明</w:t>
            </w:r>
            <w:r>
              <w:rPr>
                <w:rFonts w:hint="eastAsia" w:ascii="仿宋" w:hAnsi="仿宋" w:eastAsia="仿宋" w:cs="仿宋"/>
                <w:color w:val="auto"/>
                <w:sz w:val="24"/>
                <w:szCs w:val="28"/>
                <w:highlight w:val="none"/>
              </w:rPr>
              <w:t>；</w:t>
            </w:r>
          </w:p>
          <w:p w14:paraId="2A9ABD05">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其他</w:t>
            </w:r>
            <w:r>
              <w:rPr>
                <w:rFonts w:hint="eastAsia" w:ascii="仿宋" w:hAnsi="仿宋" w:eastAsia="仿宋" w:cs="仿宋"/>
                <w:color w:val="auto"/>
                <w:sz w:val="24"/>
                <w:szCs w:val="28"/>
                <w:highlight w:val="none"/>
                <w:lang w:val="en-US" w:eastAsia="zh-CN"/>
              </w:rPr>
              <w:t>投标人</w:t>
            </w:r>
            <w:r>
              <w:rPr>
                <w:rFonts w:hint="eastAsia" w:ascii="仿宋" w:hAnsi="仿宋" w:eastAsia="仿宋" w:cs="仿宋"/>
                <w:color w:val="auto"/>
                <w:sz w:val="24"/>
                <w:szCs w:val="28"/>
                <w:highlight w:val="none"/>
              </w:rPr>
              <w:t>应按照有关法律、法规和规章规定，提供有效的相应</w:t>
            </w:r>
            <w:r>
              <w:rPr>
                <w:rFonts w:hint="eastAsia" w:ascii="仿宋" w:hAnsi="仿宋" w:eastAsia="仿宋" w:cs="仿宋"/>
                <w:color w:val="auto"/>
                <w:sz w:val="24"/>
                <w:szCs w:val="28"/>
                <w:highlight w:val="none"/>
                <w:lang w:val="en-US" w:eastAsia="zh-CN"/>
              </w:rPr>
              <w:t>证明材料</w:t>
            </w:r>
            <w:r>
              <w:rPr>
                <w:rFonts w:hint="eastAsia" w:ascii="仿宋" w:hAnsi="仿宋" w:eastAsia="仿宋" w:cs="仿宋"/>
                <w:color w:val="auto"/>
                <w:sz w:val="24"/>
                <w:szCs w:val="28"/>
                <w:highlight w:val="none"/>
              </w:rPr>
              <w:t>。</w:t>
            </w:r>
          </w:p>
          <w:p w14:paraId="6AB86F92">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b w:val="0"/>
                <w:bCs w:val="0"/>
                <w:color w:val="auto"/>
                <w:kern w:val="2"/>
                <w:sz w:val="24"/>
                <w:szCs w:val="28"/>
                <w:highlight w:val="none"/>
                <w:lang w:val="en-US" w:eastAsia="zh-CN" w:bidi="ar-SA"/>
              </w:rPr>
              <w:t>供应商为分支机构的，还应提供授权书或证明授权其独立开展业务的证明材料。</w:t>
            </w:r>
          </w:p>
        </w:tc>
        <w:tc>
          <w:tcPr>
            <w:tcW w:w="1246" w:type="pct"/>
            <w:noWrap w:val="0"/>
            <w:vAlign w:val="center"/>
          </w:tcPr>
          <w:p w14:paraId="6D388478">
            <w:pPr>
              <w:keepNext w:val="0"/>
              <w:keepLines w:val="0"/>
              <w:suppressLineNumbers w:val="0"/>
              <w:spacing w:before="0" w:beforeAutospacing="0" w:after="50" w:afterAutospacing="0" w:line="240" w:lineRule="auto"/>
              <w:ind w:left="0" w:right="-10"/>
              <w:jc w:val="left"/>
              <w:rPr>
                <w:rFonts w:hint="eastAsia" w:ascii="宋体" w:hAnsi="宋体" w:eastAsia="宋体" w:cs="Times New Roman"/>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或电子证照</w:t>
            </w:r>
            <w:r>
              <w:rPr>
                <w:rFonts w:hint="eastAsia" w:ascii="仿宋" w:hAnsi="仿宋" w:eastAsia="仿宋" w:cs="仿宋"/>
                <w:color w:val="auto"/>
                <w:sz w:val="24"/>
                <w:highlight w:val="none"/>
                <w:lang w:eastAsia="zh-CN"/>
              </w:rPr>
              <w:t>，</w:t>
            </w:r>
            <w:r>
              <w:rPr>
                <w:rFonts w:hint="eastAsia" w:ascii="宋体" w:hAnsi="宋体" w:eastAsia="仿宋" w:cs="Times New Roman"/>
                <w:color w:val="auto"/>
                <w:sz w:val="24"/>
                <w:highlight w:val="none"/>
              </w:rPr>
              <w:t>详见第六章投标文件格式</w:t>
            </w:r>
            <w:r>
              <w:rPr>
                <w:rFonts w:hint="eastAsia" w:ascii="宋体" w:hAnsi="宋体" w:eastAsia="仿宋" w:cs="Times New Roman"/>
                <w:color w:val="auto"/>
                <w:sz w:val="24"/>
                <w:szCs w:val="24"/>
                <w:highlight w:val="none"/>
                <w:lang w:val="en-US" w:eastAsia="zh-CN"/>
              </w:rPr>
              <w:t>九（一）</w:t>
            </w:r>
          </w:p>
        </w:tc>
      </w:tr>
      <w:tr w14:paraId="4DA4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79E21E55">
            <w:pPr>
              <w:keepNext w:val="0"/>
              <w:keepLines w:val="0"/>
              <w:suppressLineNumbers w:val="0"/>
              <w:adjustRightInd w:val="0"/>
              <w:snapToGrid w:val="0"/>
              <w:spacing w:before="0" w:beforeAutospacing="0" w:after="0" w:afterAutospacing="0" w:line="240" w:lineRule="auto"/>
              <w:ind w:left="0" w:right="-1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2</w:t>
            </w:r>
          </w:p>
        </w:tc>
        <w:tc>
          <w:tcPr>
            <w:tcW w:w="997" w:type="pct"/>
            <w:tcBorders>
              <w:bottom w:val="single" w:color="auto" w:sz="4" w:space="0"/>
            </w:tcBorders>
            <w:noWrap w:val="0"/>
            <w:vAlign w:val="center"/>
          </w:tcPr>
          <w:p w14:paraId="2829077B">
            <w:pPr>
              <w:keepNext w:val="0"/>
              <w:keepLines w:val="0"/>
              <w:suppressLineNumbers w:val="0"/>
              <w:spacing w:before="0" w:beforeAutospacing="0" w:after="50" w:afterAutospacing="0" w:line="240" w:lineRule="auto"/>
              <w:ind w:left="0" w:right="-10"/>
              <w:jc w:val="center"/>
              <w:rPr>
                <w:rFonts w:hint="default" w:ascii="宋体" w:hAnsi="宋体" w:eastAsia="宋体" w:cs="Times New Roman"/>
                <w:color w:val="auto"/>
                <w:sz w:val="24"/>
                <w:szCs w:val="28"/>
                <w:highlight w:val="none"/>
                <w:lang w:val="en-US" w:eastAsia="zh-CN"/>
              </w:rPr>
            </w:pPr>
            <w:r>
              <w:rPr>
                <w:rFonts w:hint="eastAsia" w:ascii="宋体" w:hAnsi="宋体" w:eastAsia="仿宋" w:cs="Times New Roman"/>
                <w:color w:val="auto"/>
                <w:sz w:val="24"/>
                <w:szCs w:val="24"/>
                <w:highlight w:val="none"/>
                <w:lang w:val="en-US" w:eastAsia="zh-CN"/>
              </w:rPr>
              <w:t>信用状况</w:t>
            </w:r>
          </w:p>
        </w:tc>
        <w:tc>
          <w:tcPr>
            <w:tcW w:w="2393" w:type="pct"/>
            <w:tcBorders>
              <w:bottom w:val="single" w:color="auto" w:sz="4" w:space="0"/>
            </w:tcBorders>
            <w:noWrap w:val="0"/>
            <w:vAlign w:val="center"/>
          </w:tcPr>
          <w:p w14:paraId="4ECD4C46">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szCs w:val="24"/>
                <w:highlight w:val="none"/>
              </w:rPr>
            </w:pPr>
            <w:r>
              <w:rPr>
                <w:rFonts w:hint="eastAsia" w:ascii="宋体" w:hAnsi="宋体" w:eastAsia="仿宋" w:cs="Times New Roman"/>
                <w:color w:val="auto"/>
                <w:kern w:val="0"/>
                <w:sz w:val="24"/>
                <w:highlight w:val="none"/>
              </w:rPr>
              <w:t>符合第二章“投标人须知”正文第</w:t>
            </w:r>
            <w:r>
              <w:rPr>
                <w:rFonts w:hint="eastAsia" w:ascii="宋体" w:hAnsi="宋体" w:eastAsia="仿宋" w:cs="Times New Roman"/>
                <w:color w:val="auto"/>
                <w:kern w:val="0"/>
                <w:sz w:val="24"/>
                <w:highlight w:val="none"/>
                <w:lang w:eastAsia="zh-CN"/>
              </w:rPr>
              <w:t>1</w:t>
            </w:r>
            <w:r>
              <w:rPr>
                <w:rFonts w:hint="eastAsia" w:ascii="宋体" w:hAnsi="宋体" w:eastAsia="仿宋" w:cs="Times New Roman"/>
                <w:color w:val="auto"/>
                <w:kern w:val="0"/>
                <w:sz w:val="24"/>
                <w:highlight w:val="none"/>
                <w:lang w:val="en-US" w:eastAsia="zh-CN"/>
              </w:rPr>
              <w:t>.3.3项要求，</w:t>
            </w:r>
            <w:r>
              <w:rPr>
                <w:rFonts w:hint="eastAsia" w:ascii="宋体" w:hAnsi="宋体" w:eastAsia="仿宋" w:cs="Times New Roman"/>
                <w:color w:val="auto"/>
                <w:sz w:val="24"/>
                <w:szCs w:val="24"/>
                <w:highlight w:val="none"/>
              </w:rPr>
              <w:t>信用状况只依据下述查询平台（网址）发布的信息：</w:t>
            </w:r>
          </w:p>
          <w:p w14:paraId="3121DB63">
            <w:pPr>
              <w:pStyle w:val="150"/>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宋体" w:hAnsi="宋体" w:eastAsia="仿宋" w:cs="Times New Roman"/>
                <w:color w:val="auto"/>
                <w:sz w:val="24"/>
                <w:szCs w:val="24"/>
                <w:highlight w:val="none"/>
              </w:rPr>
              <w:t>（</w:t>
            </w:r>
            <w:r>
              <w:rPr>
                <w:rFonts w:hint="default" w:ascii="Calibri" w:hAnsi="Calibri" w:eastAsia="仿宋" w:cs="Times New Roman"/>
                <w:color w:val="auto"/>
                <w:sz w:val="24"/>
                <w:szCs w:val="24"/>
                <w:highlight w:val="none"/>
              </w:rPr>
              <w:t>1</w:t>
            </w:r>
            <w:r>
              <w:rPr>
                <w:rFonts w:hint="eastAsia" w:ascii="宋体" w:hAnsi="宋体" w:eastAsia="仿宋" w:cs="Times New Roman"/>
                <w:color w:val="auto"/>
                <w:sz w:val="24"/>
                <w:szCs w:val="24"/>
                <w:highlight w:val="none"/>
              </w:rPr>
              <w:t>）信用中国</w:t>
            </w:r>
            <w:r>
              <w:rPr>
                <w:rFonts w:hint="default" w:ascii="Calibri" w:hAnsi="Calibri" w:eastAsia="仿宋" w:cs="Times New Roman"/>
                <w:color w:val="auto"/>
                <w:sz w:val="24"/>
                <w:szCs w:val="24"/>
                <w:highlight w:val="none"/>
              </w:rPr>
              <w:t>网站</w:t>
            </w:r>
          </w:p>
          <w:p w14:paraId="11413CC6">
            <w:pPr>
              <w:pStyle w:val="150"/>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（www.creditchina.gov.cn）；</w:t>
            </w:r>
          </w:p>
          <w:p w14:paraId="1E134081">
            <w:pPr>
              <w:pStyle w:val="150"/>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（2）中国执行信息公开网</w:t>
            </w:r>
          </w:p>
          <w:p w14:paraId="6F49E75C">
            <w:pPr>
              <w:pStyle w:val="150"/>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（http://zxgk.court.gov.cn/）</w:t>
            </w:r>
            <w:r>
              <w:rPr>
                <w:rFonts w:hint="eastAsia" w:ascii="Calibri" w:hAnsi="Calibri" w:eastAsia="仿宋" w:cs="Times New Roman"/>
                <w:color w:val="auto"/>
                <w:sz w:val="24"/>
                <w:szCs w:val="24"/>
                <w:highlight w:val="none"/>
              </w:rPr>
              <w:t>；</w:t>
            </w:r>
          </w:p>
          <w:p w14:paraId="02035B4F">
            <w:pPr>
              <w:pStyle w:val="150"/>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Calibri" w:hAnsi="Calibri" w:eastAsia="仿宋" w:cs="Times New Roman"/>
                <w:color w:val="auto"/>
                <w:sz w:val="24"/>
                <w:szCs w:val="24"/>
                <w:highlight w:val="none"/>
              </w:rPr>
              <w:t>（3）</w:t>
            </w:r>
            <w:r>
              <w:rPr>
                <w:rFonts w:hint="default" w:ascii="Calibri" w:hAnsi="Calibri" w:eastAsia="仿宋" w:cs="Times New Roman"/>
                <w:color w:val="auto"/>
                <w:sz w:val="24"/>
                <w:szCs w:val="24"/>
                <w:highlight w:val="none"/>
              </w:rPr>
              <w:t>中国政府采购网</w:t>
            </w:r>
          </w:p>
          <w:p w14:paraId="49FEFBE2">
            <w:pPr>
              <w:pStyle w:val="150"/>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（http://www.ccgp.gov.cn/）</w:t>
            </w:r>
            <w:r>
              <w:rPr>
                <w:rFonts w:hint="eastAsia" w:ascii="Calibri" w:hAnsi="Calibri" w:eastAsia="仿宋" w:cs="Times New Roman"/>
                <w:color w:val="auto"/>
                <w:sz w:val="24"/>
                <w:szCs w:val="24"/>
                <w:highlight w:val="none"/>
              </w:rPr>
              <w:t>；</w:t>
            </w:r>
          </w:p>
          <w:p w14:paraId="27553BA6">
            <w:pPr>
              <w:pStyle w:val="150"/>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（4）国家企业信用信息公示系统</w:t>
            </w:r>
          </w:p>
          <w:p w14:paraId="2CD7945E">
            <w:pPr>
              <w:pStyle w:val="4"/>
              <w:suppressLineNumbers w:val="0"/>
              <w:spacing w:before="0" w:beforeAutospacing="0" w:after="0" w:afterAutospacing="0" w:line="240" w:lineRule="auto"/>
              <w:ind w:left="0" w:right="0"/>
              <w:rPr>
                <w:rFonts w:hint="default" w:cs="Times New Roman"/>
                <w:color w:val="auto"/>
                <w:highlight w:val="none"/>
              </w:rPr>
            </w:pPr>
            <w:r>
              <w:rPr>
                <w:rFonts w:hint="default" w:ascii="Times New Roman" w:hAnsi="Times New Roman" w:eastAsia="仿宋" w:cs="Times New Roman"/>
                <w:b w:val="0"/>
                <w:bCs w:val="0"/>
                <w:color w:val="auto"/>
                <w:sz w:val="24"/>
                <w:szCs w:val="24"/>
                <w:highlight w:val="none"/>
                <w:lang w:eastAsia="zh-CN" w:bidi="ar-SA"/>
              </w:rPr>
              <w:t>（http://www.gsxt.gov.cn/）</w:t>
            </w:r>
            <w:r>
              <w:rPr>
                <w:rFonts w:hint="eastAsia" w:ascii="Times New Roman" w:hAnsi="Times New Roman" w:eastAsia="仿宋" w:cs="Times New Roman"/>
                <w:b w:val="0"/>
                <w:bCs w:val="0"/>
                <w:color w:val="auto"/>
                <w:sz w:val="24"/>
                <w:szCs w:val="24"/>
                <w:highlight w:val="none"/>
                <w:lang w:eastAsia="zh-CN" w:bidi="ar-SA"/>
              </w:rPr>
              <w:t>。</w:t>
            </w:r>
          </w:p>
        </w:tc>
        <w:tc>
          <w:tcPr>
            <w:tcW w:w="1246" w:type="pct"/>
            <w:tcBorders>
              <w:bottom w:val="single" w:color="auto" w:sz="4" w:space="0"/>
            </w:tcBorders>
            <w:noWrap w:val="0"/>
            <w:vAlign w:val="center"/>
          </w:tcPr>
          <w:p w14:paraId="1C2B75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仿宋" w:cs="宋体"/>
                <w:color w:val="auto"/>
                <w:sz w:val="24"/>
                <w:highlight w:val="none"/>
              </w:rPr>
            </w:pPr>
            <w:r>
              <w:rPr>
                <w:rFonts w:hint="eastAsia" w:ascii="宋体" w:hAnsi="宋体" w:eastAsia="仿宋" w:cs="宋体"/>
                <w:color w:val="auto"/>
                <w:sz w:val="24"/>
                <w:highlight w:val="none"/>
              </w:rPr>
              <w:t>采购人或采购代理机构查询，并留存查询记录</w:t>
            </w:r>
          </w:p>
          <w:p w14:paraId="67AB30A0">
            <w:pPr>
              <w:keepNext w:val="0"/>
              <w:keepLines w:val="0"/>
              <w:suppressLineNumbers w:val="0"/>
              <w:adjustRightInd w:val="0"/>
              <w:snapToGrid w:val="0"/>
              <w:spacing w:before="0" w:beforeAutospacing="0" w:after="0" w:afterAutospacing="0" w:line="240" w:lineRule="auto"/>
              <w:ind w:left="0" w:right="-10"/>
              <w:jc w:val="left"/>
              <w:rPr>
                <w:rFonts w:hint="eastAsia" w:ascii="宋体" w:hAnsi="宋体" w:eastAsia="宋体" w:cs="Times New Roman"/>
                <w:color w:val="auto"/>
                <w:sz w:val="24"/>
                <w:highlight w:val="none"/>
                <w:lang w:val="en-US" w:eastAsia="zh-CN"/>
              </w:rPr>
            </w:pPr>
          </w:p>
        </w:tc>
      </w:tr>
      <w:tr w14:paraId="1EEF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B9CE5D6">
            <w:pPr>
              <w:keepNext w:val="0"/>
              <w:keepLines w:val="0"/>
              <w:suppressLineNumbers w:val="0"/>
              <w:adjustRightInd w:val="0"/>
              <w:snapToGrid w:val="0"/>
              <w:spacing w:before="0" w:beforeAutospacing="0" w:after="0" w:afterAutospacing="0" w:line="240" w:lineRule="auto"/>
              <w:ind w:left="0" w:right="-1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3</w:t>
            </w:r>
          </w:p>
        </w:tc>
        <w:tc>
          <w:tcPr>
            <w:tcW w:w="997" w:type="pct"/>
            <w:tcBorders>
              <w:bottom w:val="single" w:color="auto" w:sz="4" w:space="0"/>
            </w:tcBorders>
            <w:noWrap w:val="0"/>
            <w:vAlign w:val="center"/>
          </w:tcPr>
          <w:p w14:paraId="6A9E99DC">
            <w:pPr>
              <w:keepNext w:val="0"/>
              <w:keepLines w:val="0"/>
              <w:suppressLineNumbers w:val="0"/>
              <w:spacing w:before="0" w:beforeAutospacing="0" w:after="50" w:afterAutospacing="0" w:line="240" w:lineRule="auto"/>
              <w:ind w:left="0" w:right="-10"/>
              <w:jc w:val="center"/>
              <w:rPr>
                <w:rFonts w:hint="default" w:ascii="宋体" w:hAnsi="宋体" w:eastAsia="宋体" w:cs="Times New Roman"/>
                <w:color w:val="auto"/>
                <w:sz w:val="24"/>
                <w:szCs w:val="18"/>
                <w:highlight w:val="none"/>
              </w:rPr>
            </w:pPr>
            <w:r>
              <w:rPr>
                <w:rFonts w:hint="eastAsia" w:ascii="宋体" w:hAnsi="宋体" w:eastAsia="仿宋" w:cs="Times New Roman"/>
                <w:color w:val="auto"/>
                <w:sz w:val="24"/>
                <w:szCs w:val="24"/>
                <w:highlight w:val="none"/>
              </w:rPr>
              <w:t>政府采购供应商资格承诺函</w:t>
            </w:r>
          </w:p>
        </w:tc>
        <w:tc>
          <w:tcPr>
            <w:tcW w:w="2393" w:type="pct"/>
            <w:tcBorders>
              <w:bottom w:val="single" w:color="auto" w:sz="4" w:space="0"/>
            </w:tcBorders>
            <w:noWrap w:val="0"/>
            <w:vAlign w:val="center"/>
          </w:tcPr>
          <w:p w14:paraId="2F824FE2">
            <w:pPr>
              <w:keepNext w:val="0"/>
              <w:keepLines w:val="0"/>
              <w:suppressLineNumbers w:val="0"/>
              <w:spacing w:before="0" w:beforeAutospacing="0" w:after="50" w:afterAutospacing="0" w:line="240" w:lineRule="auto"/>
              <w:ind w:left="0" w:right="-10"/>
              <w:jc w:val="center"/>
              <w:rPr>
                <w:rFonts w:hint="default" w:ascii="宋体" w:hAnsi="宋体" w:eastAsia="宋体" w:cs="Times New Roman"/>
                <w:color w:val="auto"/>
                <w:sz w:val="24"/>
                <w:szCs w:val="28"/>
                <w:highlight w:val="none"/>
              </w:rPr>
            </w:pPr>
            <w:r>
              <w:rPr>
                <w:rFonts w:hint="eastAsia" w:ascii="宋体" w:hAnsi="宋体" w:eastAsia="仿宋" w:cs="Times New Roman"/>
                <w:color w:val="auto"/>
                <w:sz w:val="24"/>
                <w:szCs w:val="24"/>
                <w:highlight w:val="none"/>
              </w:rPr>
              <w:t>格式、填写要求符合招标文件规定并加盖投标人电子签章</w:t>
            </w:r>
          </w:p>
        </w:tc>
        <w:tc>
          <w:tcPr>
            <w:tcW w:w="1246" w:type="pct"/>
            <w:tcBorders>
              <w:bottom w:val="single" w:color="auto" w:sz="4" w:space="0"/>
            </w:tcBorders>
            <w:noWrap w:val="0"/>
            <w:vAlign w:val="center"/>
          </w:tcPr>
          <w:p w14:paraId="45739DB6">
            <w:pPr>
              <w:keepNext w:val="0"/>
              <w:keepLines w:val="0"/>
              <w:suppressLineNumbers w:val="0"/>
              <w:adjustRightInd w:val="0"/>
              <w:snapToGrid w:val="0"/>
              <w:spacing w:before="0" w:beforeAutospacing="0" w:after="0" w:afterAutospacing="0" w:line="240" w:lineRule="auto"/>
              <w:ind w:left="0" w:right="-10"/>
              <w:jc w:val="left"/>
              <w:rPr>
                <w:rFonts w:hint="eastAsia" w:ascii="宋体" w:hAnsi="宋体" w:eastAsia="宋体" w:cs="Times New Roman"/>
                <w:color w:val="auto"/>
                <w:sz w:val="24"/>
                <w:highlight w:val="none"/>
                <w:lang w:eastAsia="zh-CN"/>
              </w:rPr>
            </w:pPr>
            <w:r>
              <w:rPr>
                <w:rFonts w:hint="eastAsia" w:ascii="宋体" w:hAnsi="宋体" w:eastAsia="仿宋" w:cs="Times New Roman"/>
                <w:color w:val="auto"/>
                <w:sz w:val="24"/>
                <w:highlight w:val="none"/>
              </w:rPr>
              <w:t>详见第六章投标文件格式</w:t>
            </w:r>
            <w:r>
              <w:rPr>
                <w:rFonts w:hint="eastAsia" w:ascii="宋体" w:hAnsi="宋体" w:eastAsia="仿宋" w:cs="Times New Roman"/>
                <w:color w:val="auto"/>
                <w:sz w:val="24"/>
                <w:highlight w:val="none"/>
                <w:lang w:val="en-US" w:eastAsia="zh-CN"/>
              </w:rPr>
              <w:t>九（二）</w:t>
            </w:r>
          </w:p>
        </w:tc>
      </w:tr>
      <w:tr w14:paraId="673B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0C375C90">
            <w:pPr>
              <w:keepNext w:val="0"/>
              <w:keepLines w:val="0"/>
              <w:suppressLineNumbers w:val="0"/>
              <w:adjustRightInd w:val="0"/>
              <w:snapToGrid w:val="0"/>
              <w:spacing w:before="0" w:beforeAutospacing="0" w:after="0" w:afterAutospacing="0" w:line="240" w:lineRule="auto"/>
              <w:ind w:left="0" w:right="-1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4</w:t>
            </w:r>
          </w:p>
        </w:tc>
        <w:tc>
          <w:tcPr>
            <w:tcW w:w="997" w:type="pct"/>
            <w:tcBorders>
              <w:bottom w:val="single" w:color="auto" w:sz="4" w:space="0"/>
            </w:tcBorders>
            <w:noWrap w:val="0"/>
            <w:vAlign w:val="center"/>
          </w:tcPr>
          <w:p w14:paraId="3B80F50B">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中小企业声明函</w:t>
            </w:r>
          </w:p>
          <w:p w14:paraId="67392B45">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w:t>
            </w:r>
            <w:r>
              <w:rPr>
                <w:rFonts w:hint="eastAsia" w:ascii="宋体" w:hAnsi="宋体" w:eastAsia="仿宋" w:cs="Times New Roman"/>
                <w:i w:val="0"/>
                <w:color w:val="auto"/>
                <w:sz w:val="24"/>
                <w:szCs w:val="24"/>
                <w:highlight w:val="none"/>
              </w:rPr>
              <w:t>专门面向中小企业采购项目</w:t>
            </w:r>
            <w:r>
              <w:rPr>
                <w:rFonts w:hint="eastAsia" w:ascii="宋体" w:hAnsi="宋体" w:eastAsia="仿宋" w:cs="Times New Roman"/>
                <w:i w:val="0"/>
                <w:color w:val="auto"/>
                <w:sz w:val="24"/>
                <w:szCs w:val="24"/>
                <w:highlight w:val="none"/>
                <w:lang w:val="en-US" w:eastAsia="zh-CN"/>
              </w:rPr>
              <w:t>/采购包</w:t>
            </w:r>
            <w:r>
              <w:rPr>
                <w:rFonts w:hint="eastAsia" w:ascii="宋体" w:hAnsi="宋体" w:eastAsia="仿宋" w:cs="Times New Roman"/>
                <w:i w:val="0"/>
                <w:color w:val="auto"/>
                <w:sz w:val="24"/>
                <w:szCs w:val="24"/>
                <w:highlight w:val="none"/>
              </w:rPr>
              <w:t>适用</w:t>
            </w:r>
            <w:r>
              <w:rPr>
                <w:rFonts w:hint="eastAsia" w:ascii="宋体" w:hAnsi="宋体" w:eastAsia="仿宋" w:cs="Times New Roman"/>
                <w:color w:val="auto"/>
                <w:sz w:val="24"/>
                <w:szCs w:val="24"/>
                <w:highlight w:val="none"/>
              </w:rPr>
              <w:t>）</w:t>
            </w:r>
          </w:p>
        </w:tc>
        <w:tc>
          <w:tcPr>
            <w:tcW w:w="2393" w:type="pct"/>
            <w:tcBorders>
              <w:bottom w:val="single" w:color="auto" w:sz="4" w:space="0"/>
            </w:tcBorders>
            <w:noWrap w:val="0"/>
            <w:vAlign w:val="center"/>
          </w:tcPr>
          <w:p w14:paraId="3EDC5AB0">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符合</w:t>
            </w:r>
            <w:r>
              <w:rPr>
                <w:rFonts w:hint="eastAsia" w:ascii="宋体" w:hAnsi="宋体" w:eastAsia="仿宋" w:cs="Times New Roman"/>
                <w:color w:val="auto"/>
                <w:sz w:val="24"/>
                <w:szCs w:val="24"/>
                <w:highlight w:val="none"/>
                <w:lang w:val="en-US" w:eastAsia="zh-CN"/>
              </w:rPr>
              <w:t>招标公告</w:t>
            </w:r>
            <w:r>
              <w:rPr>
                <w:rFonts w:hint="eastAsia" w:ascii="宋体" w:hAnsi="宋体" w:eastAsia="仿宋" w:cs="Times New Roman"/>
                <w:color w:val="auto"/>
                <w:sz w:val="24"/>
                <w:szCs w:val="24"/>
                <w:highlight w:val="none"/>
              </w:rPr>
              <w:t>中落实政府采购政策需满足的资格要求</w:t>
            </w:r>
          </w:p>
        </w:tc>
        <w:tc>
          <w:tcPr>
            <w:tcW w:w="1246" w:type="pct"/>
            <w:tcBorders>
              <w:bottom w:val="single" w:color="auto" w:sz="4" w:space="0"/>
            </w:tcBorders>
            <w:noWrap w:val="0"/>
            <w:vAlign w:val="center"/>
          </w:tcPr>
          <w:p w14:paraId="010872C4">
            <w:pPr>
              <w:keepNext w:val="0"/>
              <w:keepLines w:val="0"/>
              <w:suppressLineNumbers w:val="0"/>
              <w:adjustRightInd/>
              <w:snapToGrid/>
              <w:spacing w:before="0" w:beforeAutospacing="0" w:after="50" w:afterAutospacing="0" w:line="240" w:lineRule="auto"/>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w:t>
            </w:r>
            <w:r>
              <w:rPr>
                <w:rFonts w:hint="eastAsia" w:ascii="宋体" w:hAnsi="宋体" w:eastAsia="仿宋" w:cs="Times New Roman"/>
                <w:color w:val="auto"/>
                <w:sz w:val="24"/>
                <w:szCs w:val="24"/>
                <w:highlight w:val="none"/>
                <w:lang w:val="en-US" w:eastAsia="zh-CN"/>
              </w:rPr>
              <w:t>五</w:t>
            </w:r>
          </w:p>
        </w:tc>
      </w:tr>
      <w:tr w14:paraId="40E8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Merge w:val="restart"/>
            <w:tcBorders>
              <w:bottom w:val="single" w:color="auto" w:sz="4" w:space="0"/>
            </w:tcBorders>
            <w:noWrap w:val="0"/>
            <w:vAlign w:val="center"/>
          </w:tcPr>
          <w:p w14:paraId="38186B12">
            <w:pPr>
              <w:keepNext w:val="0"/>
              <w:keepLines w:val="0"/>
              <w:suppressLineNumbers w:val="0"/>
              <w:adjustRightInd w:val="0"/>
              <w:snapToGrid w:val="0"/>
              <w:spacing w:before="0" w:beforeAutospacing="0" w:after="0" w:afterAutospacing="0" w:line="240" w:lineRule="auto"/>
              <w:ind w:left="0" w:right="-10" w:rightChars="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w:t>
            </w:r>
          </w:p>
        </w:tc>
        <w:tc>
          <w:tcPr>
            <w:tcW w:w="997" w:type="pct"/>
            <w:vMerge w:val="restart"/>
            <w:tcBorders>
              <w:bottom w:val="single" w:color="auto" w:sz="4" w:space="0"/>
            </w:tcBorders>
            <w:noWrap w:val="0"/>
            <w:vAlign w:val="center"/>
          </w:tcPr>
          <w:p w14:paraId="5831BA0B">
            <w:pPr>
              <w:keepNext w:val="0"/>
              <w:keepLines w:val="0"/>
              <w:suppressLineNumbers w:val="0"/>
              <w:spacing w:before="0" w:beforeAutospacing="0" w:after="50" w:afterAutospacing="0" w:line="240" w:lineRule="auto"/>
              <w:ind w:left="0" w:right="-10" w:rightChars="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中小企业承揽</w:t>
            </w:r>
            <w:r>
              <w:rPr>
                <w:rFonts w:hint="eastAsia" w:ascii="宋体" w:hAnsi="宋体" w:eastAsia="仿宋" w:cs="Times New Roman"/>
                <w:color w:val="auto"/>
                <w:sz w:val="24"/>
                <w:highlight w:val="none"/>
                <w:lang w:val="en-US" w:eastAsia="zh-CN"/>
              </w:rPr>
              <w:t>份额</w:t>
            </w:r>
            <w:r>
              <w:rPr>
                <w:rFonts w:hint="eastAsia" w:ascii="宋体" w:hAnsi="宋体" w:eastAsia="仿宋" w:cs="Times New Roman"/>
                <w:color w:val="auto"/>
                <w:sz w:val="24"/>
                <w:szCs w:val="24"/>
                <w:highlight w:val="none"/>
                <w:lang w:eastAsia="zh-CN"/>
              </w:rPr>
              <w:t>（</w:t>
            </w:r>
            <w:r>
              <w:rPr>
                <w:rFonts w:hint="eastAsia" w:ascii="宋体" w:hAnsi="宋体" w:eastAsia="仿宋" w:cs="Times New Roman"/>
                <w:color w:val="auto"/>
                <w:sz w:val="24"/>
                <w:szCs w:val="24"/>
                <w:highlight w:val="none"/>
                <w:lang w:val="en-US" w:eastAsia="zh-CN"/>
              </w:rPr>
              <w:t>如有</w:t>
            </w:r>
            <w:r>
              <w:rPr>
                <w:rFonts w:hint="eastAsia" w:ascii="宋体" w:hAnsi="宋体" w:eastAsia="仿宋" w:cs="Times New Roman"/>
                <w:color w:val="auto"/>
                <w:sz w:val="24"/>
                <w:szCs w:val="24"/>
                <w:highlight w:val="none"/>
                <w:lang w:eastAsia="zh-CN"/>
              </w:rPr>
              <w:t>）</w:t>
            </w:r>
          </w:p>
        </w:tc>
        <w:tc>
          <w:tcPr>
            <w:tcW w:w="2393" w:type="pct"/>
            <w:tcBorders>
              <w:bottom w:val="single" w:color="auto" w:sz="4" w:space="0"/>
            </w:tcBorders>
            <w:noWrap w:val="0"/>
            <w:vAlign w:val="center"/>
          </w:tcPr>
          <w:p w14:paraId="5F5E8BE0">
            <w:pPr>
              <w:keepNext w:val="0"/>
              <w:keepLines w:val="0"/>
              <w:suppressLineNumbers w:val="0"/>
              <w:spacing w:before="0" w:beforeAutospacing="0" w:after="0" w:afterAutospacing="0" w:line="240"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如本项目（包）</w:t>
            </w:r>
            <w:r>
              <w:rPr>
                <w:rFonts w:hint="eastAsia" w:ascii="宋体" w:hAnsi="宋体" w:eastAsia="仿宋" w:cs="Times New Roman"/>
                <w:color w:val="auto"/>
                <w:sz w:val="24"/>
                <w:highlight w:val="none"/>
                <w:lang w:val="en-US" w:eastAsia="zh-CN"/>
              </w:rPr>
              <w:t>允许</w:t>
            </w:r>
            <w:r>
              <w:rPr>
                <w:rFonts w:hint="eastAsia" w:ascii="宋体" w:hAnsi="宋体" w:eastAsia="仿宋" w:cs="Times New Roman"/>
                <w:color w:val="auto"/>
                <w:sz w:val="24"/>
                <w:highlight w:val="none"/>
              </w:rPr>
              <w:t>通过</w:t>
            </w:r>
            <w:r>
              <w:rPr>
                <w:rFonts w:hint="eastAsia" w:ascii="宋体" w:hAnsi="宋体" w:eastAsia="仿宋" w:cs="Times New Roman"/>
                <w:color w:val="auto"/>
                <w:sz w:val="24"/>
                <w:highlight w:val="none"/>
                <w:lang w:val="en-US" w:eastAsia="zh-CN"/>
              </w:rPr>
              <w:t>组成联合体</w:t>
            </w:r>
            <w:r>
              <w:rPr>
                <w:rFonts w:hint="eastAsia" w:ascii="宋体" w:hAnsi="宋体" w:eastAsia="仿宋" w:cs="Times New Roman"/>
                <w:color w:val="auto"/>
                <w:sz w:val="24"/>
                <w:highlight w:val="none"/>
              </w:rPr>
              <w:t>预留部分采购份额面向中小企业采购、且投标人因落实政府采购政策拟</w:t>
            </w:r>
            <w:r>
              <w:rPr>
                <w:rFonts w:hint="eastAsia" w:ascii="宋体" w:hAnsi="宋体" w:eastAsia="仿宋" w:cs="Times New Roman"/>
                <w:color w:val="auto"/>
                <w:sz w:val="24"/>
                <w:highlight w:val="none"/>
                <w:lang w:val="en-US" w:eastAsia="zh-CN"/>
              </w:rPr>
              <w:t>组成联合体</w:t>
            </w:r>
            <w:r>
              <w:rPr>
                <w:rFonts w:hint="eastAsia" w:ascii="宋体" w:hAnsi="宋体" w:eastAsia="仿宋" w:cs="Times New Roman"/>
                <w:color w:val="auto"/>
                <w:sz w:val="24"/>
                <w:highlight w:val="none"/>
              </w:rPr>
              <w:t>的，必须提供。</w:t>
            </w:r>
          </w:p>
          <w:p w14:paraId="6787D118">
            <w:pPr>
              <w:keepNext w:val="0"/>
              <w:keepLines w:val="0"/>
              <w:suppressLineNumbers w:val="0"/>
              <w:spacing w:before="0" w:beforeAutospacing="0" w:after="0" w:afterAutospacing="0" w:line="240" w:lineRule="auto"/>
              <w:ind w:left="0" w:right="0" w:rightChars="0"/>
              <w:jc w:val="left"/>
              <w:rPr>
                <w:rFonts w:hint="eastAsia" w:ascii="宋体" w:hAnsi="宋体" w:eastAsia="仿宋" w:cs="Times New Roman"/>
                <w:color w:val="auto"/>
                <w:sz w:val="24"/>
                <w:highlight w:val="none"/>
              </w:rPr>
            </w:pPr>
            <w:r>
              <w:rPr>
                <w:rFonts w:hint="eastAsia" w:ascii="宋体" w:hAnsi="宋体" w:eastAsia="仿宋" w:cs="Times New Roman"/>
                <w:color w:val="auto"/>
                <w:sz w:val="24"/>
                <w:szCs w:val="24"/>
                <w:highlight w:val="none"/>
                <w:lang w:val="en-US" w:eastAsia="zh-CN"/>
              </w:rPr>
              <w:t>中小企业承揽</w:t>
            </w:r>
            <w:r>
              <w:rPr>
                <w:rFonts w:hint="eastAsia" w:ascii="宋体" w:hAnsi="宋体" w:eastAsia="仿宋" w:cs="Times New Roman"/>
                <w:color w:val="auto"/>
                <w:sz w:val="24"/>
                <w:highlight w:val="none"/>
                <w:lang w:val="en-US" w:eastAsia="zh-CN"/>
              </w:rPr>
              <w:t>份额须满足招标文件要求。</w:t>
            </w:r>
          </w:p>
        </w:tc>
        <w:tc>
          <w:tcPr>
            <w:tcW w:w="1246" w:type="pct"/>
            <w:tcBorders>
              <w:bottom w:val="single" w:color="auto" w:sz="4" w:space="0"/>
            </w:tcBorders>
            <w:noWrap w:val="0"/>
            <w:vAlign w:val="center"/>
          </w:tcPr>
          <w:p w14:paraId="3A455449">
            <w:pPr>
              <w:keepNext w:val="0"/>
              <w:keepLines w:val="0"/>
              <w:suppressLineNumbers w:val="0"/>
              <w:adjustRightInd/>
              <w:snapToGrid/>
              <w:spacing w:before="0" w:beforeAutospacing="0" w:after="50" w:afterAutospacing="0" w:line="240" w:lineRule="auto"/>
              <w:ind w:left="0" w:right="-10" w:rightChars="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w:t>
            </w:r>
            <w:r>
              <w:rPr>
                <w:rFonts w:hint="eastAsia" w:ascii="宋体" w:hAnsi="宋体" w:eastAsia="仿宋" w:cs="Times New Roman"/>
                <w:color w:val="auto"/>
                <w:sz w:val="24"/>
                <w:szCs w:val="24"/>
                <w:highlight w:val="none"/>
                <w:lang w:val="en-US" w:eastAsia="zh-CN"/>
              </w:rPr>
              <w:t>七</w:t>
            </w:r>
          </w:p>
        </w:tc>
      </w:tr>
      <w:tr w14:paraId="3D2D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Merge w:val="continue"/>
            <w:tcBorders>
              <w:bottom w:val="single" w:color="auto" w:sz="4" w:space="0"/>
            </w:tcBorders>
            <w:noWrap w:val="0"/>
            <w:vAlign w:val="center"/>
          </w:tcPr>
          <w:p w14:paraId="78180180">
            <w:pPr>
              <w:keepNext w:val="0"/>
              <w:keepLines w:val="0"/>
              <w:suppressLineNumbers w:val="0"/>
              <w:adjustRightInd w:val="0"/>
              <w:snapToGrid w:val="0"/>
              <w:spacing w:before="0" w:beforeAutospacing="0" w:after="0" w:afterAutospacing="0" w:line="240" w:lineRule="auto"/>
              <w:ind w:left="0" w:right="-10" w:rightChars="0"/>
              <w:jc w:val="center"/>
              <w:rPr>
                <w:rFonts w:hint="eastAsia" w:ascii="宋体" w:hAnsi="宋体" w:eastAsia="宋体" w:cs="Times New Roman"/>
                <w:color w:val="auto"/>
                <w:sz w:val="24"/>
                <w:highlight w:val="none"/>
                <w:lang w:val="en-US" w:eastAsia="zh-CN"/>
              </w:rPr>
            </w:pPr>
          </w:p>
        </w:tc>
        <w:tc>
          <w:tcPr>
            <w:tcW w:w="997" w:type="pct"/>
            <w:vMerge w:val="continue"/>
            <w:tcBorders>
              <w:bottom w:val="single" w:color="auto" w:sz="4" w:space="0"/>
            </w:tcBorders>
            <w:noWrap w:val="0"/>
            <w:vAlign w:val="center"/>
          </w:tcPr>
          <w:p w14:paraId="0E4B4F6D">
            <w:pPr>
              <w:keepNext w:val="0"/>
              <w:keepLines w:val="0"/>
              <w:suppressLineNumbers w:val="0"/>
              <w:spacing w:before="0" w:beforeAutospacing="0" w:after="50" w:afterAutospacing="0" w:line="240" w:lineRule="auto"/>
              <w:ind w:left="0" w:right="-10" w:rightChars="0"/>
              <w:jc w:val="center"/>
              <w:rPr>
                <w:rFonts w:hint="eastAsia" w:ascii="宋体" w:hAnsi="宋体" w:eastAsia="仿宋" w:cs="Times New Roman"/>
                <w:color w:val="auto"/>
                <w:sz w:val="24"/>
                <w:szCs w:val="24"/>
                <w:highlight w:val="none"/>
              </w:rPr>
            </w:pPr>
          </w:p>
        </w:tc>
        <w:tc>
          <w:tcPr>
            <w:tcW w:w="2393" w:type="pct"/>
            <w:tcBorders>
              <w:bottom w:val="single" w:color="auto" w:sz="4" w:space="0"/>
            </w:tcBorders>
            <w:noWrap w:val="0"/>
            <w:vAlign w:val="center"/>
          </w:tcPr>
          <w:p w14:paraId="67F23C8E">
            <w:pPr>
              <w:keepNext w:val="0"/>
              <w:keepLines w:val="0"/>
              <w:suppressLineNumbers w:val="0"/>
              <w:spacing w:before="0" w:beforeAutospacing="0" w:after="0" w:afterAutospacing="0" w:line="240" w:lineRule="auto"/>
              <w:ind w:left="0" w:right="0"/>
              <w:jc w:val="center"/>
              <w:rPr>
                <w:rFonts w:hint="eastAsia" w:ascii="宋体" w:hAnsi="宋体" w:eastAsia="仿宋" w:cs="Times New Roman"/>
                <w:color w:val="auto"/>
                <w:sz w:val="24"/>
                <w:highlight w:val="none"/>
                <w:lang w:eastAsia="zh-CN"/>
              </w:rPr>
            </w:pPr>
            <w:r>
              <w:rPr>
                <w:rFonts w:hint="eastAsia" w:ascii="宋体" w:hAnsi="宋体" w:eastAsia="仿宋" w:cs="Times New Roman"/>
                <w:color w:val="auto"/>
                <w:sz w:val="24"/>
                <w:highlight w:val="none"/>
              </w:rPr>
              <w:t>如本项目（包）</w:t>
            </w:r>
            <w:r>
              <w:rPr>
                <w:rFonts w:hint="eastAsia" w:ascii="宋体" w:hAnsi="宋体" w:eastAsia="仿宋" w:cs="Times New Roman"/>
                <w:color w:val="auto"/>
                <w:sz w:val="24"/>
                <w:highlight w:val="none"/>
                <w:lang w:val="en-US" w:eastAsia="zh-CN"/>
              </w:rPr>
              <w:t>允许</w:t>
            </w:r>
            <w:r>
              <w:rPr>
                <w:rFonts w:hint="eastAsia" w:ascii="宋体" w:hAnsi="宋体" w:eastAsia="仿宋" w:cs="Times New Roman"/>
                <w:color w:val="auto"/>
                <w:sz w:val="24"/>
                <w:highlight w:val="none"/>
              </w:rPr>
              <w:t>通过分包措施预留部分采购份额面向中小企业采购、且投标人因落实政府采购政策拟进行分包的，必须提供</w:t>
            </w:r>
            <w:r>
              <w:rPr>
                <w:rFonts w:hint="eastAsia" w:ascii="宋体" w:hAnsi="宋体" w:eastAsia="仿宋" w:cs="Times New Roman"/>
                <w:color w:val="auto"/>
                <w:sz w:val="24"/>
                <w:highlight w:val="none"/>
                <w:lang w:eastAsia="zh-CN"/>
              </w:rPr>
              <w:t>。</w:t>
            </w:r>
          </w:p>
          <w:p w14:paraId="78BB2568">
            <w:pPr>
              <w:keepNext w:val="0"/>
              <w:keepLines w:val="0"/>
              <w:suppressLineNumbers w:val="0"/>
              <w:spacing w:before="0" w:beforeAutospacing="0" w:after="0" w:afterAutospacing="0" w:line="240" w:lineRule="auto"/>
              <w:ind w:left="0" w:right="0" w:rightChars="0"/>
              <w:jc w:val="left"/>
              <w:rPr>
                <w:rFonts w:hint="default"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中小企业承揽</w:t>
            </w:r>
            <w:r>
              <w:rPr>
                <w:rFonts w:hint="eastAsia" w:ascii="宋体" w:hAnsi="宋体" w:eastAsia="仿宋" w:cs="Times New Roman"/>
                <w:color w:val="auto"/>
                <w:sz w:val="24"/>
                <w:highlight w:val="none"/>
                <w:lang w:val="en-US" w:eastAsia="zh-CN"/>
              </w:rPr>
              <w:t>份额须满足招标文件要求。</w:t>
            </w:r>
          </w:p>
        </w:tc>
        <w:tc>
          <w:tcPr>
            <w:tcW w:w="1246" w:type="pct"/>
            <w:tcBorders>
              <w:bottom w:val="single" w:color="auto" w:sz="4" w:space="0"/>
            </w:tcBorders>
            <w:noWrap w:val="0"/>
            <w:vAlign w:val="center"/>
          </w:tcPr>
          <w:p w14:paraId="436469A5">
            <w:pPr>
              <w:keepNext w:val="0"/>
              <w:keepLines w:val="0"/>
              <w:suppressLineNumbers w:val="0"/>
              <w:adjustRightInd/>
              <w:snapToGrid/>
              <w:spacing w:before="0" w:beforeAutospacing="0" w:after="50" w:afterAutospacing="0" w:line="240" w:lineRule="auto"/>
              <w:ind w:left="0" w:right="-10" w:rightChars="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w:t>
            </w:r>
            <w:r>
              <w:rPr>
                <w:rFonts w:hint="eastAsia" w:ascii="宋体" w:hAnsi="宋体" w:eastAsia="仿宋" w:cs="Times New Roman"/>
                <w:color w:val="auto"/>
                <w:sz w:val="24"/>
                <w:highlight w:val="none"/>
                <w:lang w:val="en-US" w:eastAsia="zh-CN"/>
              </w:rPr>
              <w:t>八</w:t>
            </w:r>
          </w:p>
        </w:tc>
      </w:tr>
      <w:tr w14:paraId="5EFA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5C744D9A">
            <w:pPr>
              <w:keepNext w:val="0"/>
              <w:keepLines w:val="0"/>
              <w:suppressLineNumbers w:val="0"/>
              <w:adjustRightInd w:val="0"/>
              <w:snapToGrid w:val="0"/>
              <w:spacing w:before="0" w:beforeAutospacing="0" w:after="0" w:afterAutospacing="0" w:line="240" w:lineRule="auto"/>
              <w:ind w:left="0" w:right="-10"/>
              <w:jc w:val="center"/>
              <w:rPr>
                <w:rFonts w:hint="default" w:ascii="宋体" w:hAnsi="宋体" w:eastAsia="宋体" w:cs="Times New Roman"/>
                <w:color w:val="auto"/>
                <w:sz w:val="24"/>
                <w:highlight w:val="none"/>
              </w:rPr>
            </w:pPr>
            <w:r>
              <w:rPr>
                <w:rFonts w:hint="default" w:ascii="宋体" w:hAnsi="宋体" w:eastAsia="宋体" w:cs="Times New Roman"/>
                <w:color w:val="auto"/>
                <w:sz w:val="24"/>
                <w:highlight w:val="none"/>
              </w:rPr>
              <w:t>6</w:t>
            </w:r>
          </w:p>
        </w:tc>
        <w:tc>
          <w:tcPr>
            <w:tcW w:w="997" w:type="pct"/>
            <w:noWrap w:val="0"/>
            <w:vAlign w:val="center"/>
          </w:tcPr>
          <w:p w14:paraId="4D83780E">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lang w:val="en-US" w:eastAsia="zh-CN"/>
              </w:rPr>
            </w:pPr>
            <w:r>
              <w:rPr>
                <w:rFonts w:hint="eastAsia" w:ascii="宋体" w:hAnsi="宋体" w:eastAsia="仿宋" w:cs="Times New Roman"/>
                <w:color w:val="auto"/>
                <w:sz w:val="24"/>
                <w:szCs w:val="24"/>
                <w:highlight w:val="none"/>
              </w:rPr>
              <w:t>资质</w:t>
            </w:r>
            <w:r>
              <w:rPr>
                <w:rFonts w:hint="eastAsia" w:ascii="宋体" w:hAnsi="宋体" w:eastAsia="仿宋" w:cs="Times New Roman"/>
                <w:color w:val="auto"/>
                <w:sz w:val="24"/>
                <w:szCs w:val="24"/>
                <w:highlight w:val="none"/>
                <w:lang w:val="en-US" w:eastAsia="zh-CN"/>
              </w:rPr>
              <w:t>要求</w:t>
            </w:r>
          </w:p>
          <w:p w14:paraId="06DED252">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lang w:val="en-US" w:eastAsia="zh-CN"/>
              </w:rPr>
            </w:pPr>
            <w:r>
              <w:rPr>
                <w:rFonts w:hint="eastAsia" w:ascii="宋体" w:hAnsi="宋体" w:eastAsia="仿宋" w:cs="Times New Roman"/>
                <w:color w:val="auto"/>
                <w:sz w:val="24"/>
                <w:szCs w:val="24"/>
                <w:highlight w:val="none"/>
                <w:lang w:eastAsia="zh-CN"/>
              </w:rPr>
              <w:t>（</w:t>
            </w:r>
            <w:r>
              <w:rPr>
                <w:rFonts w:hint="eastAsia" w:ascii="宋体" w:hAnsi="宋体" w:eastAsia="仿宋" w:cs="Times New Roman"/>
                <w:color w:val="auto"/>
                <w:sz w:val="24"/>
                <w:szCs w:val="24"/>
                <w:highlight w:val="none"/>
                <w:lang w:val="en-US" w:eastAsia="zh-CN"/>
              </w:rPr>
              <w:t>如有</w:t>
            </w:r>
            <w:r>
              <w:rPr>
                <w:rFonts w:hint="eastAsia" w:ascii="宋体" w:hAnsi="宋体" w:eastAsia="仿宋" w:cs="Times New Roman"/>
                <w:color w:val="auto"/>
                <w:sz w:val="24"/>
                <w:szCs w:val="24"/>
                <w:highlight w:val="none"/>
                <w:lang w:eastAsia="zh-CN"/>
              </w:rPr>
              <w:t>）</w:t>
            </w:r>
          </w:p>
        </w:tc>
        <w:tc>
          <w:tcPr>
            <w:tcW w:w="2393" w:type="pct"/>
            <w:noWrap w:val="0"/>
            <w:vAlign w:val="center"/>
          </w:tcPr>
          <w:p w14:paraId="5F4EEC27">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符合</w:t>
            </w:r>
            <w:r>
              <w:rPr>
                <w:rFonts w:hint="eastAsia" w:ascii="宋体" w:hAnsi="宋体" w:eastAsia="仿宋" w:cs="Times New Roman"/>
                <w:color w:val="auto"/>
                <w:sz w:val="24"/>
                <w:szCs w:val="24"/>
                <w:highlight w:val="none"/>
                <w:lang w:val="en-US" w:eastAsia="zh-CN"/>
              </w:rPr>
              <w:t>招标公告</w:t>
            </w:r>
            <w:r>
              <w:rPr>
                <w:rFonts w:hint="eastAsia" w:ascii="宋体" w:hAnsi="宋体" w:eastAsia="仿宋" w:cs="Times New Roman"/>
                <w:color w:val="auto"/>
                <w:sz w:val="24"/>
                <w:szCs w:val="24"/>
                <w:highlight w:val="none"/>
              </w:rPr>
              <w:t>中</w:t>
            </w:r>
            <w:r>
              <w:rPr>
                <w:rFonts w:hint="eastAsia" w:ascii="宋体" w:hAnsi="宋体" w:eastAsia="仿宋" w:cs="Times New Roman"/>
                <w:color w:val="auto"/>
                <w:sz w:val="24"/>
                <w:szCs w:val="24"/>
                <w:highlight w:val="none"/>
                <w:lang w:val="en-US" w:eastAsia="zh-CN"/>
              </w:rPr>
              <w:t>资格要求。</w:t>
            </w:r>
          </w:p>
        </w:tc>
        <w:tc>
          <w:tcPr>
            <w:tcW w:w="1246" w:type="pct"/>
            <w:noWrap w:val="0"/>
            <w:vAlign w:val="center"/>
          </w:tcPr>
          <w:p w14:paraId="119814AF">
            <w:pPr>
              <w:keepNext w:val="0"/>
              <w:keepLines w:val="0"/>
              <w:suppressLineNumbers w:val="0"/>
              <w:adjustRightInd/>
              <w:snapToGrid/>
              <w:spacing w:before="0" w:beforeAutospacing="0" w:after="50" w:afterAutospacing="0" w:line="240" w:lineRule="auto"/>
              <w:ind w:left="0" w:right="-10"/>
              <w:jc w:val="left"/>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rPr>
              <w:t>提供</w:t>
            </w:r>
            <w:r>
              <w:rPr>
                <w:rFonts w:hint="eastAsia" w:ascii="宋体" w:hAnsi="宋体" w:eastAsia="仿宋" w:cs="Times New Roman"/>
                <w:color w:val="auto"/>
                <w:sz w:val="24"/>
                <w:szCs w:val="24"/>
                <w:highlight w:val="none"/>
              </w:rPr>
              <w:t>符合投标人资格中要求的</w:t>
            </w:r>
            <w:r>
              <w:rPr>
                <w:rFonts w:hint="eastAsia" w:ascii="宋体" w:hAnsi="宋体" w:eastAsia="仿宋" w:cs="Times New Roman"/>
                <w:color w:val="auto"/>
                <w:sz w:val="24"/>
                <w:highlight w:val="none"/>
              </w:rPr>
              <w:t>资质证书扫描件</w:t>
            </w:r>
            <w:r>
              <w:rPr>
                <w:rFonts w:hint="eastAsia" w:ascii="宋体" w:hAnsi="宋体" w:eastAsia="仿宋" w:cs="Times New Roman"/>
                <w:color w:val="auto"/>
                <w:sz w:val="24"/>
                <w:highlight w:val="none"/>
                <w:lang w:val="en-US" w:eastAsia="zh-CN"/>
              </w:rPr>
              <w:t>或电子证照</w:t>
            </w:r>
          </w:p>
        </w:tc>
      </w:tr>
      <w:tr w14:paraId="1C21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69CA7E5F">
            <w:pPr>
              <w:keepNext w:val="0"/>
              <w:keepLines w:val="0"/>
              <w:suppressLineNumbers w:val="0"/>
              <w:adjustRightInd w:val="0"/>
              <w:snapToGrid w:val="0"/>
              <w:spacing w:before="0" w:beforeAutospacing="0" w:after="0" w:afterAutospacing="0" w:line="240" w:lineRule="auto"/>
              <w:ind w:left="0" w:right="-1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w:t>
            </w:r>
          </w:p>
        </w:tc>
        <w:tc>
          <w:tcPr>
            <w:tcW w:w="997" w:type="pct"/>
            <w:noWrap w:val="0"/>
            <w:vAlign w:val="center"/>
          </w:tcPr>
          <w:p w14:paraId="39BB53A4">
            <w:pPr>
              <w:pStyle w:val="150"/>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业绩要求</w:t>
            </w:r>
          </w:p>
          <w:p w14:paraId="4B5C00A6">
            <w:pPr>
              <w:pStyle w:val="150"/>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（如有）</w:t>
            </w:r>
          </w:p>
        </w:tc>
        <w:tc>
          <w:tcPr>
            <w:tcW w:w="2393" w:type="pct"/>
            <w:noWrap w:val="0"/>
            <w:vAlign w:val="center"/>
          </w:tcPr>
          <w:p w14:paraId="3AA48DD3">
            <w:pPr>
              <w:pStyle w:val="150"/>
              <w:keepNext w:val="0"/>
              <w:keepLines w:val="0"/>
              <w:suppressLineNumbers w:val="0"/>
              <w:adjustRightInd w:val="0"/>
              <w:spacing w:before="0" w:beforeAutospacing="0" w:after="0" w:afterAutospacing="0"/>
              <w:ind w:left="0" w:right="0"/>
              <w:jc w:val="center"/>
              <w:rPr>
                <w:rFonts w:hint="eastAsia" w:ascii="宋体" w:hAnsi="宋体" w:eastAsia="宋体" w:cs="Times New Roman"/>
                <w:color w:val="auto"/>
                <w:sz w:val="24"/>
                <w:szCs w:val="28"/>
                <w:highlight w:val="none"/>
              </w:rPr>
            </w:pPr>
            <w:r>
              <w:rPr>
                <w:rFonts w:hint="eastAsia" w:ascii="宋体" w:hAnsi="宋体" w:eastAsia="仿宋" w:cs="Times New Roman"/>
                <w:color w:val="auto"/>
                <w:sz w:val="24"/>
                <w:szCs w:val="24"/>
                <w:highlight w:val="none"/>
              </w:rPr>
              <w:t>符合</w:t>
            </w:r>
            <w:r>
              <w:rPr>
                <w:rFonts w:hint="eastAsia" w:ascii="宋体" w:hAnsi="宋体" w:eastAsia="仿宋" w:cs="Times New Roman"/>
                <w:color w:val="auto"/>
                <w:sz w:val="24"/>
                <w:szCs w:val="24"/>
                <w:highlight w:val="none"/>
                <w:lang w:val="en-US" w:eastAsia="zh-CN"/>
              </w:rPr>
              <w:t>招标公告</w:t>
            </w:r>
            <w:r>
              <w:rPr>
                <w:rFonts w:hint="eastAsia" w:ascii="宋体" w:hAnsi="宋体" w:eastAsia="仿宋" w:cs="Times New Roman"/>
                <w:color w:val="auto"/>
                <w:sz w:val="24"/>
                <w:szCs w:val="24"/>
                <w:highlight w:val="none"/>
              </w:rPr>
              <w:t>中</w:t>
            </w:r>
            <w:r>
              <w:rPr>
                <w:rFonts w:hint="eastAsia" w:ascii="宋体" w:hAnsi="宋体" w:eastAsia="仿宋" w:cs="Times New Roman"/>
                <w:color w:val="auto"/>
                <w:sz w:val="24"/>
                <w:szCs w:val="24"/>
                <w:highlight w:val="none"/>
                <w:lang w:val="en-US" w:eastAsia="zh-CN"/>
              </w:rPr>
              <w:t>资格要求。</w:t>
            </w:r>
          </w:p>
        </w:tc>
        <w:tc>
          <w:tcPr>
            <w:tcW w:w="1246" w:type="pct"/>
            <w:noWrap w:val="0"/>
            <w:vAlign w:val="center"/>
          </w:tcPr>
          <w:p w14:paraId="59EA6F6D">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240" w:lineRule="auto"/>
              <w:ind w:left="0" w:right="0"/>
              <w:jc w:val="left"/>
              <w:textAlignment w:val="auto"/>
              <w:rPr>
                <w:rFonts w:hint="eastAsia" w:ascii="宋体" w:hAnsi="宋体" w:eastAsia="仿宋" w:cs="Times New Roman"/>
                <w:color w:val="auto"/>
                <w:kern w:val="0"/>
                <w:sz w:val="24"/>
                <w:highlight w:val="none"/>
                <w:lang w:eastAsia="zh-CN"/>
              </w:rPr>
            </w:pPr>
            <w:r>
              <w:rPr>
                <w:rFonts w:hint="eastAsia" w:ascii="宋体" w:hAnsi="宋体" w:eastAsia="仿宋" w:cs="Times New Roman"/>
                <w:color w:val="auto"/>
                <w:kern w:val="0"/>
                <w:sz w:val="24"/>
                <w:highlight w:val="none"/>
              </w:rPr>
              <w:t>提供合同</w:t>
            </w:r>
            <w:r>
              <w:rPr>
                <w:rFonts w:hint="eastAsia" w:ascii="宋体" w:hAnsi="宋体" w:eastAsia="仿宋" w:cs="Times New Roman"/>
                <w:color w:val="auto"/>
                <w:kern w:val="0"/>
                <w:sz w:val="24"/>
                <w:highlight w:val="none"/>
                <w:lang w:eastAsia="zh-CN"/>
              </w:rPr>
              <w:t>扫描件</w:t>
            </w:r>
          </w:p>
          <w:p w14:paraId="5C1D065F">
            <w:pPr>
              <w:keepNext w:val="0"/>
              <w:keepLines w:val="0"/>
              <w:widowControl/>
              <w:suppressLineNumbers w:val="0"/>
              <w:adjustRightInd w:val="0"/>
              <w:spacing w:before="0" w:beforeAutospacing="0" w:after="0" w:afterAutospacing="0"/>
              <w:ind w:left="0" w:right="0"/>
              <w:jc w:val="left"/>
              <w:rPr>
                <w:rFonts w:hint="eastAsia" w:ascii="宋体" w:hAnsi="宋体" w:eastAsia="宋体" w:cs="Times New Roman"/>
                <w:color w:val="auto"/>
                <w:sz w:val="24"/>
                <w:highlight w:val="none"/>
              </w:rPr>
            </w:pPr>
            <w:r>
              <w:rPr>
                <w:rFonts w:hint="eastAsia" w:ascii="宋体" w:hAnsi="宋体" w:eastAsia="仿宋" w:cs="Times New Roman"/>
                <w:b w:val="0"/>
                <w:bCs w:val="0"/>
                <w:color w:val="auto"/>
                <w:kern w:val="2"/>
                <w:sz w:val="24"/>
                <w:szCs w:val="24"/>
                <w:highlight w:val="none"/>
                <w:lang w:val="en-US" w:eastAsia="zh-CN" w:bidi="ar-SA"/>
              </w:rPr>
              <w:t>详见第六章投标文件格式九（三）</w:t>
            </w:r>
          </w:p>
        </w:tc>
      </w:tr>
    </w:tbl>
    <w:p w14:paraId="1A30EC3C">
      <w:pPr>
        <w:pStyle w:val="151"/>
        <w:adjustRightInd w:val="0"/>
        <w:snapToGrid w:val="0"/>
        <w:spacing w:before="0" w:line="360" w:lineRule="auto"/>
        <w:ind w:firstLine="482" w:firstLineChars="200"/>
        <w:rPr>
          <w:rFonts w:hint="eastAsia" w:ascii="宋体" w:hAnsi="宋体" w:eastAsia="仿宋"/>
          <w:b/>
          <w:color w:val="auto"/>
          <w:sz w:val="24"/>
          <w:szCs w:val="24"/>
          <w:highlight w:val="none"/>
        </w:rPr>
      </w:pPr>
    </w:p>
    <w:p w14:paraId="1B7C8499">
      <w:pPr>
        <w:pStyle w:val="151"/>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7B2515AE">
      <w:pPr>
        <w:pStyle w:val="3"/>
        <w:rPr>
          <w:rStyle w:val="101"/>
          <w:rFonts w:hint="eastAsia" w:ascii="宋体" w:hAnsi="宋体" w:eastAsia="仿宋"/>
          <w:b/>
          <w:bCs/>
          <w:color w:val="auto"/>
          <w:sz w:val="24"/>
          <w:szCs w:val="24"/>
          <w:highlight w:val="none"/>
        </w:rPr>
      </w:pPr>
      <w:bookmarkStart w:id="778" w:name="_Toc417623587"/>
      <w:bookmarkStart w:id="779" w:name="_Toc324404867"/>
      <w:r>
        <w:rPr>
          <w:rStyle w:val="101"/>
          <w:rFonts w:hint="eastAsia" w:ascii="宋体" w:hAnsi="宋体" w:eastAsia="仿宋"/>
          <w:b/>
          <w:bCs/>
          <w:color w:val="auto"/>
          <w:sz w:val="24"/>
          <w:szCs w:val="24"/>
          <w:highlight w:val="none"/>
        </w:rPr>
        <w:t>1. 资格审查办法</w:t>
      </w:r>
      <w:bookmarkEnd w:id="778"/>
      <w:bookmarkEnd w:id="779"/>
    </w:p>
    <w:p w14:paraId="54936314">
      <w:pPr>
        <w:snapToGrid w:val="0"/>
        <w:spacing w:line="360" w:lineRule="auto"/>
        <w:ind w:firstLine="480" w:firstLineChars="200"/>
        <w:rPr>
          <w:rFonts w:hint="eastAsia" w:ascii="宋体" w:hAnsi="宋体" w:eastAsia="仿宋"/>
          <w:color w:val="auto"/>
          <w:sz w:val="24"/>
          <w:highlight w:val="none"/>
        </w:rPr>
      </w:pPr>
      <w:bookmarkStart w:id="780" w:name="_Hlk44246459"/>
      <w:r>
        <w:rPr>
          <w:rFonts w:hint="eastAsia" w:ascii="宋体" w:hAnsi="宋体" w:eastAsia="仿宋"/>
          <w:color w:val="auto"/>
          <w:sz w:val="24"/>
          <w:highlight w:val="none"/>
        </w:rPr>
        <w:t>公开招标采购项目开标结束后，采购人或者采购代理机构应当依法组建资格审查小组，按资格审查办法前附表中的审查标准对投标人的资格进行审查。符合本章</w:t>
      </w:r>
      <w:r>
        <w:rPr>
          <w:rFonts w:hint="eastAsia" w:ascii="宋体" w:hAnsi="宋体" w:eastAsia="仿宋"/>
          <w:color w:val="auto"/>
          <w:sz w:val="24"/>
          <w:highlight w:val="none"/>
          <w:lang w:val="en-US" w:eastAsia="zh-CN"/>
        </w:rPr>
        <w:t>第一节</w:t>
      </w:r>
      <w:r>
        <w:rPr>
          <w:rFonts w:hint="eastAsia" w:ascii="宋体" w:hAnsi="宋体" w:eastAsia="仿宋"/>
          <w:color w:val="auto"/>
          <w:sz w:val="24"/>
          <w:highlight w:val="none"/>
        </w:rPr>
        <w:t>第2条规定审查标准的申请人均通过资格审查。</w:t>
      </w:r>
    </w:p>
    <w:bookmarkEnd w:id="780"/>
    <w:p w14:paraId="4A24A8CC">
      <w:pPr>
        <w:pStyle w:val="3"/>
        <w:rPr>
          <w:rStyle w:val="101"/>
          <w:rFonts w:hint="eastAsia" w:ascii="宋体" w:hAnsi="宋体" w:eastAsia="仿宋"/>
          <w:b/>
          <w:bCs/>
          <w:color w:val="auto"/>
          <w:sz w:val="24"/>
          <w:szCs w:val="24"/>
          <w:highlight w:val="none"/>
        </w:rPr>
      </w:pPr>
      <w:r>
        <w:rPr>
          <w:rStyle w:val="101"/>
          <w:rFonts w:hint="eastAsia" w:ascii="宋体" w:hAnsi="宋体" w:eastAsia="仿宋"/>
          <w:b/>
          <w:bCs/>
          <w:color w:val="auto"/>
          <w:sz w:val="24"/>
          <w:szCs w:val="24"/>
          <w:highlight w:val="none"/>
        </w:rPr>
        <w:t>2. 资格审查标准</w:t>
      </w:r>
    </w:p>
    <w:p w14:paraId="2070029F">
      <w:pPr>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审查标准：见资格审查办法前附表。</w:t>
      </w:r>
    </w:p>
    <w:p w14:paraId="690C19C1">
      <w:pPr>
        <w:pStyle w:val="3"/>
        <w:rPr>
          <w:rStyle w:val="101"/>
          <w:rFonts w:hint="eastAsia" w:ascii="宋体" w:hAnsi="宋体" w:eastAsia="仿宋"/>
          <w:b/>
          <w:bCs/>
          <w:color w:val="auto"/>
          <w:sz w:val="24"/>
          <w:szCs w:val="24"/>
          <w:highlight w:val="none"/>
        </w:rPr>
      </w:pPr>
      <w:r>
        <w:rPr>
          <w:rStyle w:val="101"/>
          <w:rFonts w:hint="eastAsia" w:ascii="宋体" w:hAnsi="宋体" w:eastAsia="仿宋"/>
          <w:b/>
          <w:bCs/>
          <w:color w:val="auto"/>
          <w:sz w:val="24"/>
          <w:szCs w:val="24"/>
          <w:highlight w:val="none"/>
        </w:rPr>
        <w:t>3. 资格审查程序</w:t>
      </w:r>
    </w:p>
    <w:p w14:paraId="00624DDD">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3.1 资格审查</w:t>
      </w:r>
    </w:p>
    <w:p w14:paraId="0C7FBEEF">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3.1.1 资格审查小组按照规定的资格审查标准，对各投标人依次进行审查。有一项不符合审查标准的，资格审查不合格，其投标无效。</w:t>
      </w:r>
    </w:p>
    <w:p w14:paraId="0D61F7AB">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1.</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投标人有以下情形之一的，</w:t>
      </w:r>
      <w:r>
        <w:rPr>
          <w:rFonts w:hint="eastAsia" w:ascii="宋体" w:hAnsi="宋体" w:eastAsia="仿宋"/>
          <w:color w:val="auto"/>
          <w:sz w:val="24"/>
          <w:highlight w:val="none"/>
        </w:rPr>
        <w:t>资格审查不合格，其投标无效</w:t>
      </w:r>
      <w:r>
        <w:rPr>
          <w:rFonts w:ascii="宋体" w:hAnsi="宋体" w:eastAsia="仿宋"/>
          <w:color w:val="auto"/>
          <w:sz w:val="24"/>
          <w:highlight w:val="none"/>
        </w:rPr>
        <w:t>：</w:t>
      </w:r>
    </w:p>
    <w:p w14:paraId="05D11038">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w:t>
      </w:r>
      <w:r>
        <w:rPr>
          <w:rFonts w:hint="eastAsia" w:ascii="宋体" w:hAnsi="宋体" w:eastAsia="仿宋"/>
          <w:color w:val="auto"/>
          <w:sz w:val="24"/>
          <w:highlight w:val="none"/>
        </w:rPr>
        <w:t>1</w:t>
      </w:r>
      <w:r>
        <w:rPr>
          <w:rFonts w:ascii="宋体" w:hAnsi="宋体" w:eastAsia="仿宋"/>
          <w:color w:val="auto"/>
          <w:sz w:val="24"/>
          <w:highlight w:val="none"/>
        </w:rPr>
        <w:t>）有弄虚作假、</w:t>
      </w:r>
      <w:r>
        <w:rPr>
          <w:rFonts w:hint="eastAsia" w:ascii="宋体" w:hAnsi="宋体" w:eastAsia="仿宋"/>
          <w:color w:val="auto"/>
          <w:sz w:val="24"/>
          <w:highlight w:val="none"/>
        </w:rPr>
        <w:t>向资格审查小组</w:t>
      </w:r>
      <w:r>
        <w:rPr>
          <w:rFonts w:ascii="宋体" w:hAnsi="宋体" w:eastAsia="仿宋"/>
          <w:color w:val="auto"/>
          <w:sz w:val="24"/>
          <w:highlight w:val="none"/>
        </w:rPr>
        <w:t>行贿等违法行为</w:t>
      </w:r>
      <w:r>
        <w:rPr>
          <w:rFonts w:hint="eastAsia" w:ascii="宋体" w:hAnsi="宋体" w:eastAsia="仿宋"/>
          <w:color w:val="auto"/>
          <w:sz w:val="24"/>
          <w:highlight w:val="none"/>
        </w:rPr>
        <w:t>；</w:t>
      </w:r>
    </w:p>
    <w:p w14:paraId="512A244E">
      <w:pPr>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（2）不按照资格审查小组要求澄清、补正的</w:t>
      </w:r>
      <w:r>
        <w:rPr>
          <w:rFonts w:ascii="宋体" w:hAnsi="宋体" w:eastAsia="仿宋"/>
          <w:color w:val="auto"/>
          <w:sz w:val="24"/>
          <w:highlight w:val="none"/>
        </w:rPr>
        <w:t>。</w:t>
      </w:r>
    </w:p>
    <w:p w14:paraId="59FDF465">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3.2 投标文件澄清</w:t>
      </w:r>
    </w:p>
    <w:p w14:paraId="6FA1FD95">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ascii="宋体" w:hAnsi="宋体" w:eastAsia="仿宋"/>
          <w:color w:val="auto"/>
          <w:sz w:val="24"/>
          <w:highlight w:val="none"/>
        </w:rPr>
        <w:t>在</w:t>
      </w:r>
      <w:r>
        <w:rPr>
          <w:rFonts w:hint="eastAsia" w:ascii="宋体" w:hAnsi="宋体" w:eastAsia="仿宋"/>
          <w:color w:val="auto"/>
          <w:sz w:val="24"/>
          <w:highlight w:val="none"/>
        </w:rPr>
        <w:t>资格审查</w:t>
      </w:r>
      <w:r>
        <w:rPr>
          <w:rFonts w:ascii="宋体" w:hAnsi="宋体" w:eastAsia="仿宋"/>
          <w:color w:val="auto"/>
          <w:sz w:val="24"/>
          <w:highlight w:val="none"/>
        </w:rPr>
        <w:t>过程中，</w:t>
      </w:r>
      <w:r>
        <w:rPr>
          <w:rFonts w:hint="eastAsia" w:ascii="宋体" w:hAnsi="宋体" w:eastAsia="仿宋"/>
          <w:color w:val="auto"/>
          <w:sz w:val="24"/>
          <w:highlight w:val="none"/>
        </w:rPr>
        <w:t>资格审查小组</w:t>
      </w:r>
      <w:r>
        <w:rPr>
          <w:rFonts w:ascii="宋体" w:hAnsi="宋体" w:eastAsia="仿宋"/>
          <w:color w:val="auto"/>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auto"/>
          <w:sz w:val="24"/>
          <w:highlight w:val="none"/>
        </w:rPr>
        <w:t>资格审查小组</w:t>
      </w:r>
      <w:r>
        <w:rPr>
          <w:rFonts w:ascii="宋体" w:hAnsi="宋体" w:eastAsia="仿宋"/>
          <w:color w:val="auto"/>
          <w:sz w:val="24"/>
          <w:highlight w:val="none"/>
        </w:rPr>
        <w:t>不接受投标人主动提出的澄清、说明或补正。</w:t>
      </w:r>
    </w:p>
    <w:p w14:paraId="64B027CF">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澄清、说明或补正不得超出投标文件的范围且不得改变投标文件的实质性内容，并构成投标文件的组成部分。</w:t>
      </w:r>
    </w:p>
    <w:p w14:paraId="3FEBA4F1">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.3</w:t>
      </w:r>
      <w:r>
        <w:rPr>
          <w:rFonts w:hint="eastAsia" w:ascii="宋体" w:hAnsi="宋体" w:eastAsia="仿宋"/>
          <w:color w:val="auto"/>
          <w:sz w:val="24"/>
          <w:highlight w:val="none"/>
        </w:rPr>
        <w:t xml:space="preserve"> 资格审查小组</w:t>
      </w:r>
      <w:r>
        <w:rPr>
          <w:rFonts w:ascii="宋体" w:hAnsi="宋体" w:eastAsia="仿宋"/>
          <w:color w:val="auto"/>
          <w:sz w:val="24"/>
          <w:highlight w:val="none"/>
        </w:rPr>
        <w:t>对投标人提交的澄清、说明或补正有疑问的，可以要求投标人进一步澄清、说明或补正，直至满足</w:t>
      </w:r>
      <w:r>
        <w:rPr>
          <w:rFonts w:hint="eastAsia" w:ascii="宋体" w:hAnsi="宋体" w:eastAsia="仿宋"/>
          <w:color w:val="auto"/>
          <w:sz w:val="24"/>
          <w:highlight w:val="none"/>
        </w:rPr>
        <w:t>资格审查小组</w:t>
      </w:r>
      <w:r>
        <w:rPr>
          <w:rFonts w:ascii="宋体" w:hAnsi="宋体" w:eastAsia="仿宋"/>
          <w:color w:val="auto"/>
          <w:sz w:val="24"/>
          <w:highlight w:val="none"/>
        </w:rPr>
        <w:t>的要求。</w:t>
      </w:r>
    </w:p>
    <w:p w14:paraId="32663D2C">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3.3 资格审查结果</w:t>
      </w:r>
    </w:p>
    <w:p w14:paraId="615FB753">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.1</w:t>
      </w:r>
      <w:r>
        <w:rPr>
          <w:rFonts w:hint="eastAsia" w:ascii="宋体" w:hAnsi="宋体" w:eastAsia="仿宋"/>
          <w:color w:val="auto"/>
          <w:sz w:val="24"/>
          <w:highlight w:val="none"/>
        </w:rPr>
        <w:t xml:space="preserve"> 资格审查完成后，资格审查小组应</w:t>
      </w:r>
      <w:r>
        <w:rPr>
          <w:rFonts w:hint="eastAsia" w:ascii="宋体" w:hAnsi="宋体" w:eastAsia="仿宋"/>
          <w:color w:val="auto"/>
          <w:sz w:val="24"/>
          <w:highlight w:val="none"/>
          <w:lang w:val="en-US" w:eastAsia="zh-CN"/>
        </w:rPr>
        <w:t>当</w:t>
      </w:r>
      <w:r>
        <w:rPr>
          <w:rFonts w:hint="eastAsia" w:ascii="宋体" w:hAnsi="宋体" w:eastAsia="仿宋"/>
          <w:color w:val="auto"/>
          <w:sz w:val="24"/>
          <w:highlight w:val="none"/>
        </w:rPr>
        <w:t>出具各投标人资格审查结果的书面意见</w:t>
      </w:r>
      <w:r>
        <w:rPr>
          <w:rFonts w:ascii="宋体" w:hAnsi="宋体" w:eastAsia="仿宋"/>
          <w:color w:val="auto"/>
          <w:sz w:val="24"/>
          <w:highlight w:val="none"/>
        </w:rPr>
        <w:t>。</w:t>
      </w:r>
    </w:p>
    <w:p w14:paraId="6340ED73">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.2</w:t>
      </w:r>
      <w:r>
        <w:rPr>
          <w:rFonts w:hint="eastAsia" w:ascii="宋体" w:hAnsi="宋体" w:eastAsia="仿宋"/>
          <w:color w:val="auto"/>
          <w:sz w:val="24"/>
          <w:highlight w:val="none"/>
        </w:rPr>
        <w:t xml:space="preserve"> 只有通过资格审查的投标人才能进入下一步的评标程序</w:t>
      </w:r>
      <w:r>
        <w:rPr>
          <w:rFonts w:ascii="宋体" w:hAnsi="宋体" w:eastAsia="仿宋"/>
          <w:color w:val="auto"/>
          <w:sz w:val="24"/>
          <w:highlight w:val="none"/>
        </w:rPr>
        <w:t>。</w:t>
      </w:r>
    </w:p>
    <w:p w14:paraId="067BCC20">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3.3.3 合格投标人不足3家的，按废标处理。</w:t>
      </w:r>
    </w:p>
    <w:p w14:paraId="78119789">
      <w:pPr>
        <w:pStyle w:val="151"/>
        <w:adjustRightInd w:val="0"/>
        <w:snapToGrid w:val="0"/>
        <w:spacing w:before="0" w:line="360" w:lineRule="auto"/>
        <w:ind w:firstLine="482" w:firstLineChars="200"/>
        <w:jc w:val="center"/>
        <w:rPr>
          <w:rFonts w:hint="eastAsia" w:ascii="宋体" w:hAnsi="宋体" w:eastAsia="仿宋"/>
          <w:b/>
          <w:color w:val="auto"/>
          <w:sz w:val="24"/>
          <w:szCs w:val="24"/>
          <w:highlight w:val="none"/>
        </w:rPr>
      </w:pPr>
    </w:p>
    <w:p w14:paraId="16A729F4">
      <w:pPr>
        <w:pStyle w:val="151"/>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4388324">
      <w:pPr>
        <w:pStyle w:val="3"/>
        <w:jc w:val="center"/>
        <w:rPr>
          <w:rFonts w:hint="eastAsia" w:eastAsia="仿宋"/>
          <w:color w:val="auto"/>
          <w:highlight w:val="none"/>
        </w:rPr>
      </w:pPr>
      <w:r>
        <w:rPr>
          <w:rFonts w:hint="eastAsia" w:eastAsia="仿宋"/>
          <w:color w:val="auto"/>
          <w:highlight w:val="none"/>
        </w:rPr>
        <w:t>第二节  评标办法</w:t>
      </w:r>
    </w:p>
    <w:p w14:paraId="616A005F">
      <w:pPr>
        <w:pStyle w:val="151"/>
        <w:adjustRightInd w:val="0"/>
        <w:snapToGrid w:val="0"/>
        <w:spacing w:before="0" w:line="360" w:lineRule="auto"/>
        <w:ind w:firstLine="562" w:firstLineChars="200"/>
        <w:jc w:val="center"/>
        <w:rPr>
          <w:rFonts w:hint="eastAsia" w:ascii="宋体" w:hAnsi="宋体" w:eastAsia="仿宋"/>
          <w:b/>
          <w:color w:val="auto"/>
          <w:highlight w:val="none"/>
        </w:rPr>
      </w:pPr>
      <w:r>
        <w:rPr>
          <w:rFonts w:hint="eastAsia" w:ascii="宋体" w:hAnsi="宋体" w:eastAsia="仿宋"/>
          <w:b/>
          <w:color w:val="auto"/>
          <w:highlight w:val="none"/>
        </w:rPr>
        <w:t>评标办法前附表</w:t>
      </w:r>
    </w:p>
    <w:p w14:paraId="025F1C51">
      <w:pPr>
        <w:widowControl/>
        <w:adjustRightInd w:val="0"/>
        <w:snapToGrid w:val="0"/>
        <w:spacing w:before="240" w:beforeLines="100" w:after="120" w:afterLines="50" w:line="360" w:lineRule="auto"/>
        <w:ind w:firstLine="482" w:firstLineChars="200"/>
        <w:rPr>
          <w:rFonts w:hint="eastAsia" w:ascii="宋体" w:hAnsi="宋体" w:eastAsia="仿宋"/>
          <w:b/>
          <w:color w:val="auto"/>
          <w:sz w:val="28"/>
          <w:szCs w:val="28"/>
          <w:highlight w:val="none"/>
        </w:rPr>
      </w:pPr>
      <w:r>
        <w:rPr>
          <w:rFonts w:hint="eastAsia" w:ascii="宋体" w:hAnsi="宋体" w:eastAsia="仿宋"/>
          <w:b/>
          <w:bCs/>
          <w:color w:val="auto"/>
          <w:sz w:val="24"/>
          <w:highlight w:val="none"/>
        </w:rPr>
        <w:t>本《评标办法前附表》是对本节《评标办法》的具体补充和修改，如有不一致，以本《评标办法前附表》为准。</w:t>
      </w:r>
    </w:p>
    <w:p w14:paraId="7CFC6BAE">
      <w:pPr>
        <w:pStyle w:val="151"/>
        <w:adjustRightInd w:val="0"/>
        <w:snapToGrid w:val="0"/>
        <w:spacing w:before="0" w:line="360" w:lineRule="auto"/>
        <w:ind w:firstLine="482" w:firstLineChars="200"/>
        <w:rPr>
          <w:rFonts w:hint="eastAsia" w:ascii="楷体_GB2312" w:hAnsi="宋体" w:eastAsia="楷体_GB2312"/>
          <w:b/>
          <w:i/>
          <w:color w:val="auto"/>
          <w:sz w:val="24"/>
          <w:szCs w:val="24"/>
          <w:highlight w:val="none"/>
        </w:rPr>
      </w:pPr>
      <w:r>
        <w:rPr>
          <w:rFonts w:hint="eastAsia" w:ascii="宋体" w:hAnsi="宋体" w:eastAsia="仿宋"/>
          <w:b/>
          <w:color w:val="auto"/>
          <w:sz w:val="24"/>
          <w:szCs w:val="24"/>
          <w:highlight w:val="none"/>
        </w:rPr>
        <w:t>1. 符合性审查</w:t>
      </w:r>
      <w:r>
        <w:rPr>
          <w:rFonts w:hint="eastAsia" w:ascii="宋体" w:hAnsi="宋体" w:eastAsia="仿宋"/>
          <w:b/>
          <w:color w:val="auto"/>
          <w:sz w:val="24"/>
          <w:szCs w:val="24"/>
          <w:highlight w:val="none"/>
          <w:lang w:val="en-US" w:eastAsia="zh-CN"/>
        </w:rPr>
        <w:t>表</w:t>
      </w:r>
    </w:p>
    <w:tbl>
      <w:tblPr>
        <w:tblStyle w:val="45"/>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547C5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3C361448">
            <w:pPr>
              <w:keepNext w:val="0"/>
              <w:keepLines w:val="0"/>
              <w:widowControl/>
              <w:suppressLineNumbers w:val="0"/>
              <w:spacing w:before="0" w:beforeAutospacing="0" w:after="0" w:afterAutospacing="0"/>
              <w:ind w:left="0" w:right="0"/>
              <w:jc w:val="center"/>
              <w:rPr>
                <w:rFonts w:hint="eastAsia" w:ascii="宋体" w:hAnsi="宋体" w:cs="Times New Roman"/>
                <w:b/>
                <w:color w:val="auto"/>
                <w:kern w:val="0"/>
                <w:sz w:val="24"/>
                <w:highlight w:val="none"/>
              </w:rPr>
            </w:pPr>
            <w:r>
              <w:rPr>
                <w:rFonts w:hint="eastAsia" w:ascii="宋体" w:hAnsi="宋体" w:eastAsia="仿宋" w:cs="Times New Roman"/>
                <w:b/>
                <w:color w:val="auto"/>
                <w:kern w:val="0"/>
                <w:sz w:val="24"/>
                <w:highlight w:val="none"/>
              </w:rPr>
              <w:t>条款号</w:t>
            </w:r>
          </w:p>
        </w:tc>
        <w:tc>
          <w:tcPr>
            <w:tcW w:w="1843" w:type="dxa"/>
            <w:noWrap w:val="0"/>
            <w:vAlign w:val="center"/>
          </w:tcPr>
          <w:p w14:paraId="2E9D8B7C">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lang w:val="en-US" w:eastAsia="zh-CN"/>
              </w:rPr>
              <w:t>审查</w:t>
            </w:r>
            <w:r>
              <w:rPr>
                <w:rFonts w:hint="eastAsia" w:ascii="宋体" w:hAnsi="宋体" w:eastAsia="仿宋" w:cs="Times New Roman"/>
                <w:b/>
                <w:color w:val="auto"/>
                <w:kern w:val="0"/>
                <w:sz w:val="24"/>
                <w:highlight w:val="none"/>
              </w:rPr>
              <w:t>因素</w:t>
            </w:r>
          </w:p>
        </w:tc>
        <w:tc>
          <w:tcPr>
            <w:tcW w:w="6533" w:type="dxa"/>
            <w:noWrap w:val="0"/>
            <w:vAlign w:val="center"/>
          </w:tcPr>
          <w:p w14:paraId="41D364C1">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lang w:val="en-US" w:eastAsia="zh-CN"/>
              </w:rPr>
              <w:t>审查</w:t>
            </w:r>
            <w:r>
              <w:rPr>
                <w:rFonts w:hint="eastAsia" w:ascii="宋体" w:hAnsi="宋体" w:eastAsia="仿宋" w:cs="Times New Roman"/>
                <w:b/>
                <w:color w:val="auto"/>
                <w:kern w:val="0"/>
                <w:sz w:val="24"/>
                <w:highlight w:val="none"/>
              </w:rPr>
              <w:t>标准</w:t>
            </w:r>
          </w:p>
        </w:tc>
      </w:tr>
      <w:tr w14:paraId="57DF1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13A86CC5">
            <w:pPr>
              <w:keepNext w:val="0"/>
              <w:keepLines w:val="0"/>
              <w:widowControl/>
              <w:suppressLineNumbers w:val="0"/>
              <w:spacing w:before="0" w:beforeAutospacing="0" w:after="0" w:afterAutospacing="0"/>
              <w:ind w:left="0" w:right="0"/>
              <w:jc w:val="center"/>
              <w:rPr>
                <w:rFonts w:hint="default" w:ascii="宋体" w:hAnsi="宋体" w:eastAsia="仿宋" w:cs="Times New Roman"/>
                <w:color w:val="auto"/>
                <w:kern w:val="0"/>
                <w:sz w:val="24"/>
                <w:highlight w:val="none"/>
                <w:lang w:val="en-US" w:eastAsia="zh-CN"/>
              </w:rPr>
            </w:pPr>
            <w:r>
              <w:rPr>
                <w:rFonts w:hint="eastAsia" w:ascii="宋体" w:hAnsi="宋体" w:eastAsia="仿宋" w:cs="Times New Roman"/>
                <w:color w:val="auto"/>
                <w:kern w:val="0"/>
                <w:sz w:val="24"/>
                <w:highlight w:val="none"/>
              </w:rPr>
              <w:t>3.1</w:t>
            </w:r>
            <w:r>
              <w:rPr>
                <w:rFonts w:hint="eastAsia" w:ascii="宋体" w:hAnsi="宋体" w:eastAsia="仿宋" w:cs="Times New Roman"/>
                <w:color w:val="auto"/>
                <w:kern w:val="0"/>
                <w:sz w:val="24"/>
                <w:highlight w:val="none"/>
                <w:lang w:val="en-US" w:eastAsia="zh-CN"/>
              </w:rPr>
              <w:t>.2</w:t>
            </w:r>
          </w:p>
        </w:tc>
        <w:tc>
          <w:tcPr>
            <w:tcW w:w="1843" w:type="dxa"/>
            <w:noWrap w:val="0"/>
            <w:vAlign w:val="center"/>
          </w:tcPr>
          <w:p w14:paraId="52832016">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投标人名称</w:t>
            </w:r>
          </w:p>
        </w:tc>
        <w:tc>
          <w:tcPr>
            <w:tcW w:w="6533" w:type="dxa"/>
            <w:noWrap w:val="0"/>
            <w:vAlign w:val="center"/>
          </w:tcPr>
          <w:p w14:paraId="76A035AE">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与营业执照（或事业单位法人证书等证明材料）一致</w:t>
            </w:r>
          </w:p>
        </w:tc>
      </w:tr>
      <w:tr w14:paraId="278DC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2E59813">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5221DF1">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投标文件签署</w:t>
            </w:r>
          </w:p>
        </w:tc>
        <w:tc>
          <w:tcPr>
            <w:tcW w:w="6533" w:type="dxa"/>
            <w:noWrap w:val="0"/>
            <w:vAlign w:val="center"/>
          </w:tcPr>
          <w:p w14:paraId="02489BDA">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投标文件签字盖章符合招标文件规定</w:t>
            </w:r>
          </w:p>
        </w:tc>
      </w:tr>
      <w:tr w14:paraId="2D310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510C232">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FF8824F">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w:t>
            </w:r>
          </w:p>
        </w:tc>
        <w:tc>
          <w:tcPr>
            <w:tcW w:w="6533" w:type="dxa"/>
            <w:noWrap w:val="0"/>
            <w:vAlign w:val="center"/>
          </w:tcPr>
          <w:p w14:paraId="3336CC2E">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法定代表人（单位负责人）身份证明及授权委托书符合招标文件规定的格式，按规定格式签字盖章</w:t>
            </w:r>
          </w:p>
        </w:tc>
      </w:tr>
      <w:tr w14:paraId="7A80B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B1060F2">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2493F12F">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投标文件格式</w:t>
            </w:r>
          </w:p>
        </w:tc>
        <w:tc>
          <w:tcPr>
            <w:tcW w:w="6533" w:type="dxa"/>
            <w:noWrap w:val="0"/>
            <w:vAlign w:val="center"/>
          </w:tcPr>
          <w:p w14:paraId="06D7AA0D">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符合招标文件给定格式要求，实质性内容齐全，关键内容、字迹清晰可辨</w:t>
            </w:r>
          </w:p>
        </w:tc>
      </w:tr>
      <w:tr w14:paraId="258A4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EC4B16A">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21A2E59E">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联合体投标</w:t>
            </w:r>
          </w:p>
          <w:p w14:paraId="106164F7">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（如</w:t>
            </w:r>
            <w:r>
              <w:rPr>
                <w:rFonts w:hint="eastAsia" w:ascii="宋体" w:hAnsi="宋体" w:eastAsia="仿宋" w:cs="Times New Roman"/>
                <w:color w:val="auto"/>
                <w:kern w:val="0"/>
                <w:sz w:val="24"/>
                <w:highlight w:val="none"/>
                <w:lang w:val="en-US" w:eastAsia="zh-CN"/>
              </w:rPr>
              <w:t>适用</w:t>
            </w:r>
            <w:r>
              <w:rPr>
                <w:rFonts w:hint="eastAsia" w:ascii="宋体" w:hAnsi="宋体" w:eastAsia="仿宋" w:cs="Times New Roman"/>
                <w:color w:val="auto"/>
                <w:kern w:val="0"/>
                <w:sz w:val="24"/>
                <w:highlight w:val="none"/>
              </w:rPr>
              <w:t>）</w:t>
            </w:r>
          </w:p>
        </w:tc>
        <w:tc>
          <w:tcPr>
            <w:tcW w:w="6533" w:type="dxa"/>
            <w:noWrap w:val="0"/>
            <w:vAlign w:val="center"/>
          </w:tcPr>
          <w:p w14:paraId="7DC3B54E">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lang w:val="en-US" w:eastAsia="zh-CN"/>
              </w:rPr>
              <w:t>提供</w:t>
            </w:r>
            <w:r>
              <w:rPr>
                <w:rFonts w:hint="eastAsia" w:ascii="宋体" w:hAnsi="宋体" w:eastAsia="仿宋" w:cs="Times New Roman"/>
                <w:color w:val="auto"/>
                <w:kern w:val="0"/>
                <w:sz w:val="24"/>
                <w:highlight w:val="none"/>
              </w:rPr>
              <w:t>联合体协议书，并明确联合体牵头人</w:t>
            </w:r>
          </w:p>
        </w:tc>
      </w:tr>
      <w:tr w14:paraId="4293F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582FB97">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3C02914F">
            <w:pPr>
              <w:keepNext w:val="0"/>
              <w:keepLines w:val="0"/>
              <w:widowControl/>
              <w:suppressLineNumbers w:val="0"/>
              <w:spacing w:before="0" w:beforeAutospacing="0" w:after="0" w:afterAutospacing="0"/>
              <w:ind w:left="0" w:right="0"/>
              <w:rPr>
                <w:rFonts w:hint="eastAsia"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投标</w:t>
            </w:r>
            <w:r>
              <w:rPr>
                <w:rFonts w:hint="eastAsia" w:ascii="宋体" w:hAnsi="宋体" w:eastAsia="仿宋" w:cs="Times New Roman"/>
                <w:color w:val="auto"/>
                <w:kern w:val="0"/>
                <w:sz w:val="24"/>
                <w:highlight w:val="none"/>
                <w:lang w:val="en-US" w:eastAsia="zh-CN"/>
              </w:rPr>
              <w:t>范围</w:t>
            </w:r>
          </w:p>
        </w:tc>
        <w:tc>
          <w:tcPr>
            <w:tcW w:w="6533" w:type="dxa"/>
            <w:noWrap w:val="0"/>
            <w:vAlign w:val="center"/>
          </w:tcPr>
          <w:p w14:paraId="1895FF83">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符合招标文件要求</w:t>
            </w:r>
          </w:p>
        </w:tc>
      </w:tr>
      <w:tr w14:paraId="67064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76F1234">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87F5FCB">
            <w:pPr>
              <w:keepNext w:val="0"/>
              <w:keepLines w:val="0"/>
              <w:widowControl/>
              <w:suppressLineNumbers w:val="0"/>
              <w:spacing w:before="0" w:beforeAutospacing="0" w:after="0" w:afterAutospacing="0"/>
              <w:ind w:left="0" w:right="0"/>
              <w:rPr>
                <w:rFonts w:hint="default"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投标报价</w:t>
            </w:r>
          </w:p>
        </w:tc>
        <w:tc>
          <w:tcPr>
            <w:tcW w:w="6533" w:type="dxa"/>
            <w:noWrap w:val="0"/>
            <w:vAlign w:val="top"/>
          </w:tcPr>
          <w:p w14:paraId="18EA56C8">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szCs w:val="24"/>
                <w:highlight w:val="none"/>
                <w:lang w:val="en-US" w:eastAsia="zh-CN" w:bidi="ar-SA"/>
              </w:rPr>
            </w:pPr>
            <w:r>
              <w:rPr>
                <w:rFonts w:hint="eastAsia" w:ascii="宋体" w:hAnsi="宋体" w:eastAsia="仿宋" w:cs="仿宋_GB2312"/>
                <w:color w:val="auto"/>
                <w:sz w:val="24"/>
                <w:highlight w:val="none"/>
                <w:lang w:val="zh-CN"/>
              </w:rPr>
              <w:t>投标报价不得超过</w:t>
            </w:r>
            <w:r>
              <w:rPr>
                <w:rFonts w:hint="eastAsia" w:ascii="宋体" w:hAnsi="宋体" w:eastAsia="仿宋" w:cs="仿宋_GB2312"/>
                <w:color w:val="auto"/>
                <w:sz w:val="24"/>
                <w:highlight w:val="none"/>
                <w:lang w:val="en-US" w:eastAsia="zh-CN"/>
              </w:rPr>
              <w:t>预算金额或</w:t>
            </w:r>
            <w:r>
              <w:rPr>
                <w:rFonts w:hint="eastAsia" w:ascii="宋体" w:hAnsi="宋体" w:eastAsia="仿宋" w:cs="仿宋_GB2312"/>
                <w:color w:val="auto"/>
                <w:sz w:val="24"/>
                <w:highlight w:val="none"/>
                <w:lang w:val="zh-CN"/>
              </w:rPr>
              <w:t>最高限价，</w:t>
            </w:r>
            <w:r>
              <w:rPr>
                <w:rFonts w:hint="eastAsia" w:ascii="宋体" w:hAnsi="宋体" w:eastAsia="仿宋" w:cs="Times New Roman"/>
                <w:color w:val="auto"/>
                <w:sz w:val="24"/>
                <w:highlight w:val="none"/>
              </w:rPr>
              <w:t>只能有一个有效报价，不得提交选择性报价（按招标文件规定提交备选投标方案的除外）</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kern w:val="2"/>
                <w:sz w:val="24"/>
                <w:szCs w:val="24"/>
                <w:highlight w:val="none"/>
                <w:lang w:val="en-US" w:eastAsia="zh-CN" w:bidi="ar"/>
              </w:rPr>
              <w:t>符合第二章投标人须知第3.2款要求</w:t>
            </w:r>
          </w:p>
        </w:tc>
      </w:tr>
      <w:tr w14:paraId="2A034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9C323B4">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0DB21655">
            <w:pPr>
              <w:pStyle w:val="150"/>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lang w:val="en-US" w:eastAsia="zh-CN"/>
              </w:rPr>
            </w:pPr>
            <w:r>
              <w:rPr>
                <w:rFonts w:hint="eastAsia" w:ascii="宋体" w:hAnsi="宋体" w:eastAsia="仿宋" w:cs="Times New Roman"/>
                <w:color w:val="auto"/>
                <w:sz w:val="24"/>
                <w:szCs w:val="24"/>
                <w:highlight w:val="none"/>
                <w:lang w:val="en-US" w:eastAsia="zh-CN"/>
              </w:rPr>
              <w:t>商务要求</w:t>
            </w:r>
          </w:p>
        </w:tc>
        <w:tc>
          <w:tcPr>
            <w:tcW w:w="6533" w:type="dxa"/>
            <w:noWrap w:val="0"/>
            <w:vAlign w:val="center"/>
          </w:tcPr>
          <w:p w14:paraId="64F4E79A">
            <w:pPr>
              <w:pStyle w:val="150"/>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kern w:val="0"/>
                <w:sz w:val="24"/>
                <w:highlight w:val="none"/>
              </w:rPr>
              <w:t>符合实质性要求，偏离范围和项数符合招标文件规定</w:t>
            </w:r>
          </w:p>
        </w:tc>
      </w:tr>
      <w:tr w14:paraId="4ED3F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9BCB24F">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65867CC2">
            <w:pPr>
              <w:keepNext w:val="0"/>
              <w:keepLines w:val="0"/>
              <w:widowControl/>
              <w:suppressLineNumbers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技术</w:t>
            </w:r>
            <w:r>
              <w:rPr>
                <w:rFonts w:hint="eastAsia" w:ascii="宋体" w:hAnsi="宋体" w:eastAsia="仿宋" w:cs="Times New Roman"/>
                <w:color w:val="auto"/>
                <w:kern w:val="0"/>
                <w:sz w:val="24"/>
                <w:highlight w:val="none"/>
                <w:lang w:val="en-US" w:eastAsia="zh-CN"/>
              </w:rPr>
              <w:t>要求</w:t>
            </w:r>
          </w:p>
        </w:tc>
        <w:tc>
          <w:tcPr>
            <w:tcW w:w="6533" w:type="dxa"/>
            <w:noWrap w:val="0"/>
            <w:vAlign w:val="center"/>
          </w:tcPr>
          <w:p w14:paraId="10540A1B">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符合实质性要求，偏离范围和项数符合招标文件规定</w:t>
            </w:r>
          </w:p>
        </w:tc>
      </w:tr>
      <w:tr w14:paraId="2FD0D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1E1836E">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62E32509">
            <w:pPr>
              <w:keepNext w:val="0"/>
              <w:keepLines w:val="0"/>
              <w:widowControl/>
              <w:suppressLineNumbers w:val="0"/>
              <w:spacing w:before="0" w:beforeAutospacing="0" w:after="0" w:afterAutospacing="0"/>
              <w:ind w:left="0" w:right="0"/>
              <w:rPr>
                <w:rFonts w:hint="default"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投标有效期</w:t>
            </w:r>
          </w:p>
        </w:tc>
        <w:tc>
          <w:tcPr>
            <w:tcW w:w="6533" w:type="dxa"/>
            <w:noWrap w:val="0"/>
            <w:vAlign w:val="center"/>
          </w:tcPr>
          <w:p w14:paraId="22976B6D">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符合招标文件要求</w:t>
            </w:r>
          </w:p>
        </w:tc>
      </w:tr>
      <w:tr w14:paraId="5D7E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F85473F">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2D6BDD9B">
            <w:pPr>
              <w:pStyle w:val="150"/>
              <w:keepNext w:val="0"/>
              <w:keepLines w:val="0"/>
              <w:suppressLineNumbers w:val="0"/>
              <w:adjustRightInd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sz w:val="24"/>
                <w:szCs w:val="24"/>
                <w:highlight w:val="none"/>
                <w:lang w:val="en-US" w:eastAsia="zh-CN"/>
              </w:rPr>
              <w:t>强制采购节能产品</w:t>
            </w:r>
          </w:p>
        </w:tc>
        <w:tc>
          <w:tcPr>
            <w:tcW w:w="6533" w:type="dxa"/>
            <w:noWrap w:val="0"/>
            <w:vAlign w:val="center"/>
          </w:tcPr>
          <w:p w14:paraId="2E4E677B">
            <w:pPr>
              <w:pStyle w:val="150"/>
              <w:keepNext w:val="0"/>
              <w:keepLines w:val="0"/>
              <w:suppressLineNumbers w:val="0"/>
              <w:adjustRightInd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sz w:val="24"/>
                <w:szCs w:val="24"/>
                <w:highlight w:val="none"/>
              </w:rPr>
              <w:t>采购</w:t>
            </w:r>
            <w:r>
              <w:rPr>
                <w:rFonts w:hint="eastAsia" w:ascii="宋体" w:hAnsi="宋体" w:eastAsia="仿宋" w:cs="Times New Roman"/>
                <w:color w:val="auto"/>
                <w:sz w:val="24"/>
                <w:szCs w:val="24"/>
                <w:highlight w:val="none"/>
                <w:lang w:val="en-US" w:eastAsia="zh-CN"/>
              </w:rPr>
              <w:t>标的</w:t>
            </w:r>
            <w:r>
              <w:rPr>
                <w:rFonts w:hint="eastAsia" w:ascii="宋体" w:hAnsi="宋体" w:eastAsia="仿宋" w:cs="Times New Roman"/>
                <w:color w:val="auto"/>
                <w:sz w:val="24"/>
                <w:szCs w:val="24"/>
                <w:highlight w:val="none"/>
              </w:rPr>
              <w:t>若属于《节能产品政府采购品目清单》范围中政府强制采购产品，则投标人</w:t>
            </w:r>
            <w:r>
              <w:rPr>
                <w:rFonts w:hint="eastAsia" w:ascii="宋体" w:hAnsi="宋体" w:eastAsia="仿宋" w:cs="Times New Roman"/>
                <w:color w:val="auto"/>
                <w:sz w:val="24"/>
                <w:szCs w:val="24"/>
                <w:highlight w:val="none"/>
                <w:lang w:val="en-US" w:eastAsia="zh-CN"/>
              </w:rPr>
              <w:t>提供</w:t>
            </w:r>
            <w:r>
              <w:rPr>
                <w:rFonts w:hint="eastAsia" w:ascii="宋体" w:hAnsi="宋体" w:eastAsia="仿宋" w:cs="Times New Roman"/>
                <w:color w:val="auto"/>
                <w:sz w:val="24"/>
                <w:szCs w:val="24"/>
                <w:highlight w:val="none"/>
              </w:rPr>
              <w:t>产品须获得国家确定的认证机构出具的、处于有效期之内的节能</w:t>
            </w:r>
            <w:r>
              <w:rPr>
                <w:rFonts w:hint="eastAsia" w:ascii="宋体" w:hAnsi="宋体" w:eastAsia="仿宋" w:cs="Times New Roman"/>
                <w:color w:val="auto"/>
                <w:sz w:val="24"/>
                <w:szCs w:val="24"/>
                <w:highlight w:val="none"/>
                <w:lang w:eastAsia="zh-CN"/>
              </w:rPr>
              <w:t>（</w:t>
            </w:r>
            <w:r>
              <w:rPr>
                <w:rFonts w:hint="eastAsia" w:ascii="宋体" w:hAnsi="宋体" w:eastAsia="仿宋" w:cs="Times New Roman"/>
                <w:color w:val="auto"/>
                <w:sz w:val="24"/>
                <w:szCs w:val="24"/>
                <w:highlight w:val="none"/>
                <w:lang w:val="en-US" w:eastAsia="zh-CN"/>
              </w:rPr>
              <w:t>水</w:t>
            </w:r>
            <w:r>
              <w:rPr>
                <w:rFonts w:hint="eastAsia" w:ascii="宋体" w:hAnsi="宋体" w:eastAsia="仿宋" w:cs="Times New Roman"/>
                <w:color w:val="auto"/>
                <w:sz w:val="24"/>
                <w:szCs w:val="24"/>
                <w:highlight w:val="none"/>
                <w:lang w:eastAsia="zh-CN"/>
              </w:rPr>
              <w:t>）</w:t>
            </w:r>
            <w:r>
              <w:rPr>
                <w:rFonts w:hint="eastAsia" w:ascii="宋体" w:hAnsi="宋体" w:eastAsia="仿宋" w:cs="Times New Roman"/>
                <w:color w:val="auto"/>
                <w:sz w:val="24"/>
                <w:szCs w:val="24"/>
                <w:highlight w:val="none"/>
              </w:rPr>
              <w:t>产品认证证书</w:t>
            </w:r>
          </w:p>
        </w:tc>
      </w:tr>
      <w:tr w14:paraId="3030B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6E184696">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12BCC750">
            <w:pPr>
              <w:pStyle w:val="150"/>
              <w:keepNext w:val="0"/>
              <w:keepLines w:val="0"/>
              <w:suppressLineNumbers w:val="0"/>
              <w:adjustRightInd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sz w:val="24"/>
                <w:szCs w:val="24"/>
                <w:highlight w:val="none"/>
              </w:rPr>
              <w:t>投标文件制作</w:t>
            </w:r>
            <w:r>
              <w:rPr>
                <w:rFonts w:hint="eastAsia" w:ascii="宋体" w:hAnsi="宋体" w:eastAsia="仿宋" w:cs="Times New Roman"/>
                <w:color w:val="auto"/>
                <w:sz w:val="24"/>
                <w:szCs w:val="24"/>
                <w:highlight w:val="none"/>
                <w:lang w:val="en-US" w:eastAsia="zh-CN"/>
              </w:rPr>
              <w:t>机器</w:t>
            </w:r>
            <w:r>
              <w:rPr>
                <w:rFonts w:hint="eastAsia" w:ascii="宋体" w:hAnsi="宋体" w:eastAsia="仿宋" w:cs="Times New Roman"/>
                <w:color w:val="auto"/>
                <w:sz w:val="24"/>
                <w:szCs w:val="24"/>
                <w:highlight w:val="none"/>
              </w:rPr>
              <w:t>识别</w:t>
            </w:r>
            <w:r>
              <w:rPr>
                <w:rFonts w:hint="eastAsia" w:ascii="宋体" w:hAnsi="宋体" w:eastAsia="仿宋" w:cs="Times New Roman"/>
                <w:color w:val="auto"/>
                <w:sz w:val="24"/>
                <w:szCs w:val="24"/>
                <w:highlight w:val="none"/>
                <w:lang w:val="en-US" w:eastAsia="zh-CN"/>
              </w:rPr>
              <w:t>码</w:t>
            </w:r>
          </w:p>
        </w:tc>
        <w:tc>
          <w:tcPr>
            <w:tcW w:w="6533" w:type="dxa"/>
            <w:noWrap w:val="0"/>
            <w:vAlign w:val="center"/>
          </w:tcPr>
          <w:p w14:paraId="1488B528">
            <w:pPr>
              <w:pStyle w:val="150"/>
              <w:keepNext w:val="0"/>
              <w:keepLines w:val="0"/>
              <w:suppressLineNumbers w:val="0"/>
              <w:adjustRightInd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sz w:val="24"/>
                <w:szCs w:val="24"/>
                <w:highlight w:val="none"/>
              </w:rPr>
              <w:t>不同投标人未出现使用相同的投标文件制作机器识别码进行投标的情形</w:t>
            </w:r>
          </w:p>
        </w:tc>
      </w:tr>
      <w:tr w14:paraId="43517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CD192B0">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ED4C8B1">
            <w:pPr>
              <w:keepNext w:val="0"/>
              <w:keepLines w:val="0"/>
              <w:widowControl/>
              <w:suppressLineNumbers w:val="0"/>
              <w:spacing w:before="0" w:beforeAutospacing="0" w:after="0" w:afterAutospacing="0"/>
              <w:ind w:left="0" w:right="0"/>
              <w:rPr>
                <w:rFonts w:hint="default"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权利义务</w:t>
            </w:r>
          </w:p>
        </w:tc>
        <w:tc>
          <w:tcPr>
            <w:tcW w:w="6533" w:type="dxa"/>
            <w:noWrap w:val="0"/>
            <w:vAlign w:val="center"/>
          </w:tcPr>
          <w:p w14:paraId="5E04561A">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符合招标文件合同条款要求，未另行设定采购人不能接受的采购人应承担的义务，未对投标人的义务予以削弱</w:t>
            </w:r>
          </w:p>
        </w:tc>
      </w:tr>
      <w:tr w14:paraId="7F18A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2989D8A">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B595772">
            <w:pPr>
              <w:pStyle w:val="150"/>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低价说明</w:t>
            </w:r>
          </w:p>
        </w:tc>
        <w:tc>
          <w:tcPr>
            <w:tcW w:w="6533" w:type="dxa"/>
            <w:noWrap w:val="0"/>
            <w:vAlign w:val="center"/>
          </w:tcPr>
          <w:p w14:paraId="1BEEAFF7">
            <w:pPr>
              <w:pStyle w:val="150"/>
              <w:keepNext w:val="0"/>
              <w:keepLines w:val="0"/>
              <w:suppressLineNumbers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sz w:val="24"/>
                <w:szCs w:val="24"/>
                <w:highlight w:val="none"/>
              </w:rPr>
              <w:t>投标人的报价明显低于其他通过符合性审查投标人的报价，评标委员会要求其提供书面说明</w:t>
            </w:r>
            <w:r>
              <w:rPr>
                <w:rFonts w:hint="eastAsia" w:ascii="宋体" w:hAnsi="宋体" w:eastAsia="仿宋" w:cs="Times New Roman"/>
                <w:color w:val="auto"/>
                <w:sz w:val="24"/>
                <w:szCs w:val="24"/>
                <w:highlight w:val="none"/>
                <w:lang w:val="en-US" w:eastAsia="zh-CN"/>
              </w:rPr>
              <w:t>时</w:t>
            </w:r>
            <w:r>
              <w:rPr>
                <w:rFonts w:hint="eastAsia" w:ascii="宋体" w:hAnsi="宋体" w:eastAsia="仿宋" w:cs="Times New Roman"/>
                <w:color w:val="auto"/>
                <w:sz w:val="24"/>
                <w:szCs w:val="24"/>
                <w:highlight w:val="none"/>
              </w:rPr>
              <w:t>，投标人不能证明其报价合理性的，投标无效</w:t>
            </w:r>
          </w:p>
        </w:tc>
      </w:tr>
      <w:tr w14:paraId="24A87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9D6DC5D">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2306F540">
            <w:pPr>
              <w:pStyle w:val="150"/>
              <w:keepNext w:val="0"/>
              <w:keepLines w:val="0"/>
              <w:suppressLineNumbers w:val="0"/>
              <w:spacing w:before="0" w:beforeAutospacing="0" w:after="0" w:afterAutospacing="0"/>
              <w:ind w:left="0" w:right="0"/>
              <w:rPr>
                <w:rFonts w:hint="default" w:ascii="宋体" w:hAnsi="宋体" w:cs="Times New Roman"/>
                <w:color w:val="auto"/>
                <w:kern w:val="0"/>
                <w:sz w:val="24"/>
                <w:szCs w:val="24"/>
                <w:highlight w:val="none"/>
                <w:lang w:val="en-US" w:eastAsia="zh-CN" w:bidi="ar-SA"/>
              </w:rPr>
            </w:pPr>
            <w:r>
              <w:rPr>
                <w:rFonts w:hint="eastAsia" w:ascii="宋体" w:hAnsi="宋体" w:eastAsia="仿宋" w:cs="Times New Roman"/>
                <w:color w:val="auto"/>
                <w:sz w:val="24"/>
                <w:szCs w:val="24"/>
                <w:highlight w:val="none"/>
              </w:rPr>
              <w:t>其他</w:t>
            </w:r>
          </w:p>
        </w:tc>
        <w:tc>
          <w:tcPr>
            <w:tcW w:w="6533" w:type="dxa"/>
            <w:noWrap w:val="0"/>
            <w:vAlign w:val="center"/>
          </w:tcPr>
          <w:p w14:paraId="143DB873">
            <w:pPr>
              <w:pStyle w:val="150"/>
              <w:keepNext w:val="0"/>
              <w:keepLines w:val="0"/>
              <w:suppressLineNumbers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kern w:val="0"/>
                <w:sz w:val="24"/>
                <w:szCs w:val="24"/>
                <w:highlight w:val="none"/>
                <w:lang w:val="en-US" w:eastAsia="zh-CN" w:bidi="ar-SA"/>
              </w:rPr>
              <w:t>符合法律、行政法规规定的其他条件</w:t>
            </w:r>
          </w:p>
          <w:p w14:paraId="27F314F2">
            <w:pPr>
              <w:pStyle w:val="150"/>
              <w:keepNext w:val="0"/>
              <w:keepLines w:val="0"/>
              <w:suppressLineNumbers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kern w:val="0"/>
                <w:sz w:val="24"/>
                <w:szCs w:val="24"/>
                <w:highlight w:val="none"/>
                <w:lang w:val="en-US" w:eastAsia="zh-CN" w:bidi="ar-SA"/>
              </w:rPr>
              <w:t>不符合招标文件列明的其他投标无效的情形</w:t>
            </w:r>
          </w:p>
        </w:tc>
      </w:tr>
    </w:tbl>
    <w:p w14:paraId="403C89D5">
      <w:pPr>
        <w:pStyle w:val="151"/>
        <w:adjustRightInd w:val="0"/>
        <w:snapToGrid w:val="0"/>
        <w:spacing w:before="0" w:line="360" w:lineRule="auto"/>
        <w:ind w:firstLine="482" w:firstLineChars="200"/>
        <w:rPr>
          <w:rFonts w:hint="eastAsia" w:ascii="宋体" w:hAnsi="宋体" w:eastAsia="仿宋"/>
          <w:b/>
          <w:color w:val="auto"/>
          <w:sz w:val="24"/>
          <w:szCs w:val="24"/>
          <w:highlight w:val="none"/>
          <w:lang w:eastAsia="zh-CN"/>
        </w:rPr>
      </w:pPr>
      <w:r>
        <w:rPr>
          <w:rFonts w:ascii="宋体" w:hAnsi="宋体" w:eastAsia="仿宋"/>
          <w:b/>
          <w:color w:val="auto"/>
          <w:sz w:val="24"/>
          <w:szCs w:val="24"/>
          <w:highlight w:val="none"/>
        </w:rPr>
        <w:br w:type="page"/>
      </w:r>
      <w:r>
        <w:rPr>
          <w:rFonts w:hint="eastAsia" w:ascii="宋体" w:hAnsi="宋体" w:eastAsia="仿宋"/>
          <w:b/>
          <w:color w:val="auto"/>
          <w:sz w:val="24"/>
          <w:szCs w:val="24"/>
          <w:highlight w:val="none"/>
        </w:rPr>
        <w:t>2、详细评审</w:t>
      </w:r>
      <w:r>
        <w:rPr>
          <w:rFonts w:hint="eastAsia" w:ascii="宋体" w:hAnsi="宋体" w:eastAsia="仿宋"/>
          <w:b/>
          <w:color w:val="auto"/>
          <w:sz w:val="24"/>
          <w:szCs w:val="24"/>
          <w:highlight w:val="none"/>
          <w:lang w:val="en-US" w:eastAsia="zh-CN"/>
        </w:rPr>
        <w:t>表</w:t>
      </w:r>
    </w:p>
    <w:tbl>
      <w:tblPr>
        <w:tblStyle w:val="45"/>
        <w:tblW w:w="9558"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711"/>
        <w:gridCol w:w="1707"/>
        <w:gridCol w:w="4241"/>
        <w:gridCol w:w="2019"/>
      </w:tblGrid>
      <w:tr w14:paraId="520F4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trPr>
        <w:tc>
          <w:tcPr>
            <w:tcW w:w="1591" w:type="dxa"/>
            <w:gridSpan w:val="2"/>
            <w:noWrap w:val="0"/>
            <w:vAlign w:val="center"/>
          </w:tcPr>
          <w:p w14:paraId="611D8B68">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7" w:type="dxa"/>
            <w:noWrap w:val="0"/>
            <w:vAlign w:val="center"/>
          </w:tcPr>
          <w:p w14:paraId="15D5AC99">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条款内容</w:t>
            </w:r>
          </w:p>
        </w:tc>
        <w:tc>
          <w:tcPr>
            <w:tcW w:w="4241" w:type="dxa"/>
            <w:noWrap w:val="0"/>
            <w:vAlign w:val="center"/>
          </w:tcPr>
          <w:p w14:paraId="0E7549B0">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编列内容</w:t>
            </w:r>
          </w:p>
        </w:tc>
        <w:tc>
          <w:tcPr>
            <w:tcW w:w="2019" w:type="dxa"/>
            <w:noWrap w:val="0"/>
            <w:vAlign w:val="center"/>
          </w:tcPr>
          <w:p w14:paraId="4F0F4A60">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备注</w:t>
            </w:r>
          </w:p>
        </w:tc>
      </w:tr>
      <w:tr w14:paraId="53332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trPr>
        <w:tc>
          <w:tcPr>
            <w:tcW w:w="1591" w:type="dxa"/>
            <w:gridSpan w:val="2"/>
            <w:noWrap w:val="0"/>
            <w:vAlign w:val="center"/>
          </w:tcPr>
          <w:p w14:paraId="4C74AD7A">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sz w:val="24"/>
                <w:highlight w:val="none"/>
              </w:rPr>
              <w:t>3.2.1</w:t>
            </w:r>
          </w:p>
        </w:tc>
        <w:tc>
          <w:tcPr>
            <w:tcW w:w="1707" w:type="dxa"/>
            <w:noWrap w:val="0"/>
            <w:vAlign w:val="center"/>
          </w:tcPr>
          <w:p w14:paraId="5C170CAE">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auto"/>
                <w:sz w:val="24"/>
                <w:highlight w:val="none"/>
              </w:rPr>
            </w:pPr>
            <w:r>
              <w:rPr>
                <w:rFonts w:hint="default" w:ascii="宋体" w:hAnsi="宋体" w:eastAsia="仿宋" w:cs="Times New Roman"/>
                <w:color w:val="auto"/>
                <w:sz w:val="24"/>
                <w:highlight w:val="none"/>
              </w:rPr>
              <w:t>分值构成</w:t>
            </w:r>
          </w:p>
          <w:p w14:paraId="2D0FDDE7">
            <w:pPr>
              <w:keepNext w:val="0"/>
              <w:keepLines w:val="0"/>
              <w:suppressLineNumbers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总分100分</w:t>
            </w:r>
            <w:r>
              <w:rPr>
                <w:rFonts w:hint="eastAsia" w:ascii="宋体" w:hAnsi="宋体" w:eastAsia="仿宋" w:cs="Times New Roman"/>
                <w:color w:val="auto"/>
                <w:sz w:val="24"/>
                <w:highlight w:val="none"/>
              </w:rPr>
              <w:t>）</w:t>
            </w:r>
          </w:p>
        </w:tc>
        <w:tc>
          <w:tcPr>
            <w:tcW w:w="4241" w:type="dxa"/>
            <w:noWrap w:val="0"/>
            <w:vAlign w:val="center"/>
          </w:tcPr>
          <w:p w14:paraId="1CF6874C">
            <w:pPr>
              <w:keepNext w:val="0"/>
              <w:keepLines w:val="0"/>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商务</w:t>
            </w:r>
            <w:r>
              <w:rPr>
                <w:rFonts w:hint="eastAsia" w:ascii="宋体" w:hAnsi="宋体" w:eastAsia="仿宋" w:cs="Times New Roman"/>
                <w:color w:val="auto"/>
                <w:sz w:val="24"/>
                <w:highlight w:val="none"/>
                <w:lang w:val="en-US" w:eastAsia="zh-CN"/>
              </w:rPr>
              <w:t>技术</w:t>
            </w:r>
            <w:r>
              <w:rPr>
                <w:rFonts w:hint="eastAsia" w:ascii="宋体" w:hAnsi="宋体" w:eastAsia="仿宋" w:cs="Times New Roman"/>
                <w:color w:val="auto"/>
                <w:sz w:val="24"/>
                <w:highlight w:val="none"/>
              </w:rPr>
              <w:t>部分：</w:t>
            </w:r>
            <w:r>
              <w:rPr>
                <w:rFonts w:hint="eastAsia" w:ascii="宋体" w:hAnsi="宋体" w:eastAsia="仿宋" w:cs="Times New Roman"/>
                <w:color w:val="auto"/>
                <w:sz w:val="24"/>
                <w:highlight w:val="none"/>
                <w:lang w:val="en-US" w:eastAsia="zh-CN"/>
              </w:rPr>
              <w:t>80</w:t>
            </w:r>
            <w:r>
              <w:rPr>
                <w:rFonts w:hint="eastAsia" w:ascii="宋体" w:hAnsi="宋体" w:eastAsia="仿宋" w:cs="Times New Roman"/>
                <w:color w:val="auto"/>
                <w:sz w:val="24"/>
                <w:highlight w:val="none"/>
              </w:rPr>
              <w:t>分</w:t>
            </w:r>
          </w:p>
          <w:p w14:paraId="7E2BEDF1">
            <w:pPr>
              <w:keepNext w:val="0"/>
              <w:keepLines w:val="0"/>
              <w:suppressLineNumbers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default" w:ascii="宋体" w:hAnsi="宋体" w:eastAsia="仿宋" w:cs="Times New Roman"/>
                <w:color w:val="auto"/>
                <w:sz w:val="24"/>
                <w:highlight w:val="none"/>
              </w:rPr>
              <w:t>投标报价：</w:t>
            </w:r>
            <w:r>
              <w:rPr>
                <w:rFonts w:hint="eastAsia" w:ascii="宋体" w:hAnsi="宋体" w:eastAsia="仿宋" w:cs="Times New Roman"/>
                <w:color w:val="auto"/>
                <w:sz w:val="24"/>
                <w:highlight w:val="none"/>
                <w:lang w:val="en-US" w:eastAsia="zh-CN"/>
              </w:rPr>
              <w:t>2</w:t>
            </w:r>
            <w:r>
              <w:rPr>
                <w:rFonts w:hint="eastAsia" w:ascii="宋体" w:hAnsi="宋体" w:eastAsia="仿宋" w:cs="Times New Roman"/>
                <w:color w:val="auto"/>
                <w:sz w:val="24"/>
                <w:highlight w:val="none"/>
              </w:rPr>
              <w:t>0分</w:t>
            </w:r>
          </w:p>
        </w:tc>
        <w:tc>
          <w:tcPr>
            <w:tcW w:w="2019" w:type="dxa"/>
            <w:noWrap w:val="0"/>
            <w:vAlign w:val="top"/>
          </w:tcPr>
          <w:p w14:paraId="5F752223">
            <w:pPr>
              <w:keepNext w:val="0"/>
              <w:keepLines w:val="0"/>
              <w:widowControl/>
              <w:suppressLineNumbers w:val="0"/>
              <w:snapToGrid w:val="0"/>
              <w:spacing w:before="0" w:beforeAutospacing="0" w:after="0" w:afterAutospacing="0" w:line="288" w:lineRule="auto"/>
              <w:ind w:left="0" w:right="0"/>
              <w:jc w:val="left"/>
              <w:rPr>
                <w:rFonts w:hint="default" w:ascii="宋体" w:hAnsi="宋体" w:cs="Times New Roman"/>
                <w:color w:val="auto"/>
                <w:kern w:val="0"/>
                <w:sz w:val="24"/>
                <w:highlight w:val="none"/>
              </w:rPr>
            </w:pPr>
          </w:p>
        </w:tc>
      </w:tr>
      <w:tr w14:paraId="3E40E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1591" w:type="dxa"/>
            <w:gridSpan w:val="2"/>
            <w:noWrap w:val="0"/>
            <w:vAlign w:val="center"/>
          </w:tcPr>
          <w:p w14:paraId="3CC50885">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3.2.2</w:t>
            </w:r>
          </w:p>
        </w:tc>
        <w:tc>
          <w:tcPr>
            <w:tcW w:w="1707" w:type="dxa"/>
            <w:noWrap w:val="0"/>
            <w:vAlign w:val="center"/>
          </w:tcPr>
          <w:p w14:paraId="5065D312">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color w:val="auto"/>
                <w:sz w:val="24"/>
                <w:highlight w:val="none"/>
              </w:rPr>
            </w:pPr>
            <w:r>
              <w:rPr>
                <w:rFonts w:hint="eastAsia" w:ascii="Calibri" w:hAnsi="Calibri" w:eastAsia="仿宋" w:cs="Times New Roman"/>
                <w:color w:val="auto"/>
                <w:sz w:val="24"/>
                <w:highlight w:val="none"/>
              </w:rPr>
              <w:t>评标基准价计算方法</w:t>
            </w:r>
          </w:p>
        </w:tc>
        <w:tc>
          <w:tcPr>
            <w:tcW w:w="4241" w:type="dxa"/>
            <w:noWrap w:val="0"/>
            <w:vAlign w:val="center"/>
          </w:tcPr>
          <w:p w14:paraId="1D6879E3">
            <w:pPr>
              <w:keepNext w:val="0"/>
              <w:keepLines w:val="0"/>
              <w:suppressLineNumbers w:val="0"/>
              <w:snapToGrid w:val="0"/>
              <w:spacing w:before="0" w:beforeAutospacing="0" w:after="0" w:afterAutospacing="0" w:line="288" w:lineRule="auto"/>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有效的投标报价中的最低价作为评标基准价</w:t>
            </w:r>
          </w:p>
        </w:tc>
        <w:tc>
          <w:tcPr>
            <w:tcW w:w="2019" w:type="dxa"/>
            <w:noWrap w:val="0"/>
            <w:vAlign w:val="center"/>
          </w:tcPr>
          <w:p w14:paraId="254AF9A5">
            <w:pPr>
              <w:keepNext w:val="0"/>
              <w:keepLines w:val="0"/>
              <w:suppressLineNumbers w:val="0"/>
              <w:snapToGrid w:val="0"/>
              <w:spacing w:before="0" w:beforeAutospacing="0" w:after="0" w:afterAutospacing="0" w:line="288" w:lineRule="auto"/>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符合价格扣除政策的，用扣除后的价格参与计算、评分</w:t>
            </w:r>
          </w:p>
        </w:tc>
      </w:tr>
      <w:tr w14:paraId="6802F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trPr>
        <w:tc>
          <w:tcPr>
            <w:tcW w:w="1591" w:type="dxa"/>
            <w:gridSpan w:val="2"/>
            <w:noWrap w:val="0"/>
            <w:vAlign w:val="center"/>
          </w:tcPr>
          <w:p w14:paraId="2E7FD86E">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7" w:type="dxa"/>
            <w:noWrap w:val="0"/>
            <w:vAlign w:val="center"/>
          </w:tcPr>
          <w:p w14:paraId="20774276">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eastAsia" w:ascii="Calibri" w:hAnsi="Calibri" w:eastAsia="仿宋" w:cs="Times New Roman"/>
                <w:b/>
                <w:color w:val="auto"/>
                <w:sz w:val="24"/>
                <w:highlight w:val="none"/>
              </w:rPr>
              <w:t>评分因素</w:t>
            </w:r>
          </w:p>
        </w:tc>
        <w:tc>
          <w:tcPr>
            <w:tcW w:w="6260" w:type="dxa"/>
            <w:gridSpan w:val="2"/>
            <w:noWrap w:val="0"/>
            <w:vAlign w:val="center"/>
          </w:tcPr>
          <w:p w14:paraId="4478BBF6">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Calibri" w:hAnsi="Calibri" w:eastAsia="仿宋" w:cs="Times New Roman"/>
                <w:b/>
                <w:color w:val="auto"/>
                <w:sz w:val="24"/>
                <w:highlight w:val="none"/>
              </w:rPr>
              <w:t>评分标准</w:t>
            </w:r>
          </w:p>
        </w:tc>
      </w:tr>
      <w:tr w14:paraId="73C8E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trPr>
        <w:tc>
          <w:tcPr>
            <w:tcW w:w="880" w:type="dxa"/>
            <w:vMerge w:val="restart"/>
            <w:noWrap w:val="0"/>
            <w:vAlign w:val="center"/>
          </w:tcPr>
          <w:p w14:paraId="3EA79598">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3.2.3（1）</w:t>
            </w:r>
          </w:p>
          <w:p w14:paraId="71BB9754">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lang w:val="en-US" w:eastAsia="zh-CN"/>
              </w:rPr>
            </w:pPr>
            <w:r>
              <w:rPr>
                <w:rFonts w:hint="eastAsia" w:ascii="宋体" w:hAnsi="宋体" w:eastAsia="仿宋" w:cs="Times New Roman"/>
                <w:color w:val="auto"/>
                <w:kern w:val="0"/>
                <w:sz w:val="24"/>
                <w:highlight w:val="none"/>
              </w:rPr>
              <w:t>商务</w:t>
            </w:r>
            <w:r>
              <w:rPr>
                <w:rFonts w:hint="eastAsia" w:ascii="宋体" w:hAnsi="宋体" w:eastAsia="仿宋" w:cs="Times New Roman"/>
                <w:color w:val="auto"/>
                <w:kern w:val="0"/>
                <w:sz w:val="24"/>
                <w:highlight w:val="none"/>
                <w:lang w:val="en-US" w:eastAsia="zh-CN"/>
              </w:rPr>
              <w:t>技术</w:t>
            </w:r>
          </w:p>
          <w:p w14:paraId="432F50D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部分</w:t>
            </w:r>
          </w:p>
        </w:tc>
        <w:tc>
          <w:tcPr>
            <w:tcW w:w="711" w:type="dxa"/>
            <w:noWrap w:val="0"/>
            <w:vAlign w:val="center"/>
          </w:tcPr>
          <w:p w14:paraId="5DF745C7">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7" w:type="dxa"/>
            <w:noWrap w:val="0"/>
            <w:vAlign w:val="center"/>
          </w:tcPr>
          <w:p w14:paraId="72345738">
            <w:pPr>
              <w:keepNext w:val="0"/>
              <w:keepLines w:val="0"/>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投标人业绩（10分）</w:t>
            </w:r>
          </w:p>
        </w:tc>
        <w:tc>
          <w:tcPr>
            <w:tcW w:w="6260" w:type="dxa"/>
            <w:gridSpan w:val="2"/>
            <w:noWrap w:val="0"/>
            <w:vAlign w:val="center"/>
          </w:tcPr>
          <w:p w14:paraId="730E3375">
            <w:pPr>
              <w:keepNext w:val="0"/>
              <w:keepLines w:val="0"/>
              <w:widowControl/>
              <w:suppressLineNumbers w:val="0"/>
              <w:snapToGrid w:val="0"/>
              <w:spacing w:before="0" w:beforeAutospacing="0" w:after="0" w:afterAutospacing="0" w:line="300" w:lineRule="auto"/>
              <w:ind w:left="0" w:right="0"/>
              <w:rPr>
                <w:rFonts w:hint="default" w:ascii="Calibri" w:hAnsi="Calibri" w:cs="Times New Roman"/>
                <w:color w:val="auto"/>
                <w:highlight w:val="none"/>
              </w:rPr>
            </w:pPr>
            <w:r>
              <w:rPr>
                <w:rFonts w:hint="eastAsia" w:ascii="楷体" w:hAnsi="楷体" w:eastAsia="仿宋" w:cs="Times New Roman"/>
                <w:color w:val="auto"/>
                <w:sz w:val="24"/>
                <w:highlight w:val="none"/>
              </w:rPr>
              <w:t>投标人202</w:t>
            </w:r>
            <w:r>
              <w:rPr>
                <w:rFonts w:hint="eastAsia" w:ascii="楷体" w:hAnsi="楷体" w:eastAsia="仿宋" w:cs="Times New Roman"/>
                <w:color w:val="auto"/>
                <w:sz w:val="24"/>
                <w:highlight w:val="none"/>
                <w:lang w:val="en-US" w:eastAsia="zh-CN"/>
              </w:rPr>
              <w:t>2</w:t>
            </w:r>
            <w:r>
              <w:rPr>
                <w:rFonts w:hint="eastAsia" w:ascii="楷体" w:hAnsi="楷体" w:eastAsia="仿宋" w:cs="Times New Roman"/>
                <w:color w:val="auto"/>
                <w:sz w:val="24"/>
                <w:highlight w:val="none"/>
              </w:rPr>
              <w:t>年1月至今（以合同签订时间为准），每提供一份合同能源管理项目（服务内容至少包含中央空调）</w:t>
            </w:r>
            <w:r>
              <w:rPr>
                <w:rFonts w:hint="eastAsia" w:ascii="楷体" w:hAnsi="楷体" w:eastAsia="仿宋" w:cs="Times New Roman"/>
                <w:color w:val="auto"/>
                <w:sz w:val="24"/>
                <w:highlight w:val="none"/>
                <w:lang w:val="en-US" w:eastAsia="zh-CN"/>
              </w:rPr>
              <w:t>的</w:t>
            </w:r>
            <w:r>
              <w:rPr>
                <w:rFonts w:hint="eastAsia" w:ascii="楷体" w:hAnsi="楷体" w:eastAsia="仿宋" w:cs="Times New Roman"/>
                <w:color w:val="auto"/>
                <w:sz w:val="24"/>
                <w:highlight w:val="none"/>
              </w:rPr>
              <w:t>得</w:t>
            </w:r>
            <w:r>
              <w:rPr>
                <w:rFonts w:hint="eastAsia" w:ascii="楷体" w:hAnsi="楷体" w:eastAsia="仿宋" w:cs="Times New Roman"/>
                <w:color w:val="auto"/>
                <w:sz w:val="24"/>
                <w:highlight w:val="none"/>
                <w:lang w:val="en-US" w:eastAsia="zh-CN"/>
              </w:rPr>
              <w:t>2</w:t>
            </w:r>
            <w:r>
              <w:rPr>
                <w:rFonts w:hint="eastAsia" w:ascii="楷体" w:hAnsi="楷体" w:eastAsia="仿宋" w:cs="Times New Roman"/>
                <w:color w:val="auto"/>
                <w:sz w:val="24"/>
                <w:highlight w:val="none"/>
              </w:rPr>
              <w:t>分</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lang w:val="en-US" w:eastAsia="zh-CN"/>
              </w:rPr>
              <w:t>本项满分8分</w:t>
            </w:r>
            <w:r>
              <w:rPr>
                <w:rFonts w:hint="eastAsia" w:ascii="楷体" w:hAnsi="楷体" w:eastAsia="仿宋" w:cs="Times New Roman"/>
                <w:color w:val="auto"/>
                <w:sz w:val="24"/>
                <w:highlight w:val="none"/>
              </w:rPr>
              <w:t>。</w:t>
            </w:r>
          </w:p>
          <w:p w14:paraId="61168DE3">
            <w:pPr>
              <w:keepNext w:val="0"/>
              <w:keepLines w:val="0"/>
              <w:widowControl/>
              <w:suppressLineNumbers w:val="0"/>
              <w:snapToGrid w:val="0"/>
              <w:spacing w:before="0" w:beforeAutospacing="0" w:after="0" w:afterAutospacing="0" w:line="300" w:lineRule="auto"/>
              <w:ind w:left="0" w:right="0"/>
              <w:rPr>
                <w:rFonts w:hint="eastAsia" w:ascii="楷体" w:hAnsi="楷体" w:eastAsia="仿宋" w:cs="Times New Roman"/>
                <w:color w:val="auto"/>
                <w:sz w:val="24"/>
                <w:highlight w:val="none"/>
                <w:lang w:val="en-US" w:eastAsia="zh-CN"/>
              </w:rPr>
            </w:pPr>
            <w:r>
              <w:rPr>
                <w:rFonts w:hint="eastAsia" w:ascii="楷体" w:hAnsi="楷体" w:eastAsia="仿宋" w:cs="Times New Roman"/>
                <w:color w:val="auto"/>
                <w:sz w:val="24"/>
                <w:highlight w:val="none"/>
                <w:lang w:val="en-US" w:eastAsia="zh-CN"/>
              </w:rPr>
              <w:t>上述业绩中如有医疗机构类</w:t>
            </w:r>
            <w:r>
              <w:rPr>
                <w:rFonts w:hint="eastAsia" w:ascii="楷体" w:hAnsi="楷体" w:eastAsia="仿宋" w:cs="Times New Roman"/>
                <w:color w:val="auto"/>
                <w:sz w:val="24"/>
                <w:highlight w:val="none"/>
              </w:rPr>
              <w:t>合同能源管理项目（服务内容至少包含中央空调）</w:t>
            </w:r>
            <w:r>
              <w:rPr>
                <w:rFonts w:hint="eastAsia" w:ascii="楷体" w:hAnsi="楷体" w:eastAsia="仿宋" w:cs="Times New Roman"/>
                <w:color w:val="auto"/>
                <w:sz w:val="24"/>
                <w:highlight w:val="none"/>
                <w:lang w:val="en-US" w:eastAsia="zh-CN"/>
              </w:rPr>
              <w:t>业绩的，每提供一个，额外增加1分，本项满分2分。</w:t>
            </w:r>
          </w:p>
          <w:p w14:paraId="4C7FED88">
            <w:pPr>
              <w:keepNext w:val="0"/>
              <w:keepLines w:val="0"/>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楷体" w:hAnsi="楷体" w:eastAsia="仿宋" w:cs="Times New Roman"/>
                <w:b/>
                <w:bCs/>
                <w:color w:val="auto"/>
                <w:sz w:val="24"/>
                <w:highlight w:val="none"/>
              </w:rPr>
              <w:t>注：以投标文件中提供的</w:t>
            </w:r>
            <w:r>
              <w:rPr>
                <w:rFonts w:hint="eastAsia" w:ascii="楷体" w:hAnsi="楷体" w:eastAsia="仿宋" w:cs="Times New Roman"/>
                <w:b/>
                <w:bCs/>
                <w:color w:val="auto"/>
                <w:sz w:val="24"/>
                <w:highlight w:val="none"/>
                <w:lang w:val="en-US" w:eastAsia="zh-CN"/>
              </w:rPr>
              <w:t>能够体现评审因素的</w:t>
            </w:r>
            <w:r>
              <w:rPr>
                <w:rFonts w:hint="eastAsia" w:ascii="楷体" w:hAnsi="楷体" w:eastAsia="仿宋" w:cs="Times New Roman"/>
                <w:b/>
                <w:bCs/>
                <w:color w:val="auto"/>
                <w:sz w:val="24"/>
                <w:highlight w:val="none"/>
              </w:rPr>
              <w:t>合同复印件</w:t>
            </w:r>
            <w:r>
              <w:rPr>
                <w:rFonts w:hint="eastAsia" w:ascii="楷体" w:hAnsi="楷体" w:eastAsia="仿宋" w:cs="Times New Roman"/>
                <w:b/>
                <w:bCs/>
                <w:color w:val="auto"/>
                <w:sz w:val="24"/>
                <w:highlight w:val="none"/>
                <w:lang w:eastAsia="zh-CN"/>
              </w:rPr>
              <w:t>（</w:t>
            </w:r>
            <w:r>
              <w:rPr>
                <w:rFonts w:hint="eastAsia" w:ascii="楷体" w:hAnsi="楷体" w:eastAsia="仿宋" w:cs="Times New Roman"/>
                <w:b/>
                <w:bCs/>
                <w:color w:val="auto"/>
                <w:sz w:val="24"/>
                <w:highlight w:val="none"/>
                <w:lang w:val="en-US" w:eastAsia="zh-CN"/>
              </w:rPr>
              <w:t>包含合同金额的关键页</w:t>
            </w:r>
            <w:r>
              <w:rPr>
                <w:rFonts w:hint="eastAsia" w:ascii="楷体" w:hAnsi="楷体" w:eastAsia="仿宋" w:cs="Times New Roman"/>
                <w:b/>
                <w:bCs/>
                <w:color w:val="auto"/>
                <w:sz w:val="24"/>
                <w:highlight w:val="none"/>
                <w:lang w:eastAsia="zh-CN"/>
              </w:rPr>
              <w:t>）</w:t>
            </w:r>
            <w:r>
              <w:rPr>
                <w:rFonts w:hint="eastAsia" w:ascii="楷体" w:hAnsi="楷体" w:eastAsia="仿宋" w:cs="Times New Roman"/>
                <w:b/>
                <w:bCs/>
                <w:color w:val="auto"/>
                <w:sz w:val="24"/>
                <w:highlight w:val="none"/>
              </w:rPr>
              <w:t>加盖供应商公章为准</w:t>
            </w:r>
            <w:r>
              <w:rPr>
                <w:rFonts w:hint="eastAsia" w:ascii="楷体" w:hAnsi="楷体" w:eastAsia="仿宋" w:cs="Times New Roman"/>
                <w:b/>
                <w:bCs/>
                <w:color w:val="auto"/>
                <w:sz w:val="24"/>
                <w:highlight w:val="none"/>
                <w:lang w:eastAsia="zh-CN"/>
              </w:rPr>
              <w:t>，</w:t>
            </w:r>
            <w:r>
              <w:rPr>
                <w:rFonts w:hint="eastAsia" w:ascii="楷体" w:hAnsi="楷体" w:eastAsia="仿宋" w:cs="Times New Roman"/>
                <w:b/>
                <w:bCs/>
                <w:color w:val="auto"/>
                <w:sz w:val="24"/>
                <w:highlight w:val="none"/>
                <w:lang w:val="en-US" w:eastAsia="zh-CN"/>
              </w:rPr>
              <w:t>如无法体现，须提供业主证明材料并加盖业主公章。原件备查</w:t>
            </w:r>
            <w:r>
              <w:rPr>
                <w:rFonts w:hint="eastAsia" w:ascii="楷体" w:hAnsi="楷体" w:eastAsia="仿宋" w:cs="Times New Roman"/>
                <w:b/>
                <w:bCs/>
                <w:color w:val="auto"/>
                <w:sz w:val="24"/>
                <w:highlight w:val="none"/>
                <w:lang w:eastAsia="zh-CN"/>
              </w:rPr>
              <w:t>。</w:t>
            </w:r>
          </w:p>
        </w:tc>
      </w:tr>
      <w:tr w14:paraId="7FC37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880" w:type="dxa"/>
            <w:vMerge w:val="continue"/>
            <w:noWrap w:val="0"/>
            <w:vAlign w:val="center"/>
          </w:tcPr>
          <w:p w14:paraId="7A25CE0D">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11" w:type="dxa"/>
            <w:noWrap w:val="0"/>
            <w:vAlign w:val="center"/>
          </w:tcPr>
          <w:p w14:paraId="261D5EF7">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lang w:val="en-US" w:eastAsia="zh-CN"/>
              </w:rPr>
            </w:pPr>
            <w:r>
              <w:rPr>
                <w:rFonts w:hint="eastAsia" w:ascii="宋体" w:hAnsi="宋体" w:eastAsia="仿宋" w:cs="Times New Roman"/>
                <w:color w:val="auto"/>
                <w:kern w:val="0"/>
                <w:sz w:val="24"/>
                <w:highlight w:val="none"/>
                <w:lang w:val="en-US" w:eastAsia="zh-CN"/>
              </w:rPr>
              <w:t>2</w:t>
            </w:r>
          </w:p>
        </w:tc>
        <w:tc>
          <w:tcPr>
            <w:tcW w:w="1707" w:type="dxa"/>
            <w:noWrap w:val="0"/>
            <w:vAlign w:val="center"/>
          </w:tcPr>
          <w:p w14:paraId="3CCB68CC">
            <w:pPr>
              <w:keepNext w:val="0"/>
              <w:keepLines w:val="0"/>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投标人认证（12分）</w:t>
            </w:r>
          </w:p>
        </w:tc>
        <w:tc>
          <w:tcPr>
            <w:tcW w:w="6260" w:type="dxa"/>
            <w:gridSpan w:val="2"/>
            <w:noWrap w:val="0"/>
            <w:vAlign w:val="center"/>
          </w:tcPr>
          <w:p w14:paraId="44958E11">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rPr>
              <w:t>具有经中国国家认证认可监督管理委员会认可的认证机构</w:t>
            </w:r>
          </w:p>
          <w:p w14:paraId="48BDBC0A">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 xml:space="preserve">颁发的有效期内的质量管理体系认证、职业健康管理体系认证、环境管理体系认证， 每提供 1 项认证得 </w:t>
            </w:r>
            <w:r>
              <w:rPr>
                <w:rFonts w:hint="eastAsia"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rPr>
              <w:t xml:space="preserve"> 分，满分为 </w:t>
            </w:r>
            <w:r>
              <w:rPr>
                <w:rFonts w:hint="eastAsia" w:ascii="Times New Roman" w:hAnsi="Times New Roman" w:eastAsia="仿宋" w:cs="Times New Roman"/>
                <w:color w:val="auto"/>
                <w:sz w:val="24"/>
                <w:highlight w:val="none"/>
                <w:lang w:val="en-US" w:eastAsia="zh-CN"/>
              </w:rPr>
              <w:t>3</w:t>
            </w:r>
            <w:r>
              <w:rPr>
                <w:rFonts w:hint="eastAsia" w:ascii="Times New Roman" w:hAnsi="Times New Roman" w:eastAsia="仿宋" w:cs="Times New Roman"/>
                <w:color w:val="auto"/>
                <w:sz w:val="24"/>
                <w:highlight w:val="none"/>
              </w:rPr>
              <w:t xml:space="preserve"> 分。</w:t>
            </w:r>
          </w:p>
          <w:p w14:paraId="7CDAF7EC">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highlight w:val="none"/>
              </w:rPr>
              <w:t>注：</w:t>
            </w:r>
            <w:r>
              <w:rPr>
                <w:rFonts w:hint="eastAsia" w:ascii="Times New Roman" w:hAnsi="Times New Roman" w:eastAsia="仿宋" w:cs="Times New Roman"/>
                <w:b/>
                <w:bCs/>
                <w:color w:val="auto"/>
                <w:sz w:val="24"/>
                <w:highlight w:val="none"/>
                <w:lang w:val="en-US" w:eastAsia="zh-CN"/>
              </w:rPr>
              <w:t>投标</w:t>
            </w:r>
            <w:r>
              <w:rPr>
                <w:rFonts w:hint="eastAsia" w:ascii="Times New Roman" w:hAnsi="Times New Roman" w:eastAsia="仿宋" w:cs="Times New Roman"/>
                <w:b/>
                <w:bCs/>
                <w:color w:val="auto"/>
                <w:sz w:val="24"/>
                <w:highlight w:val="none"/>
              </w:rPr>
              <w:t>文件中提供全国认证认可信息公共服务平台官网认证信息查询截图。</w:t>
            </w:r>
          </w:p>
          <w:p w14:paraId="1346A3F8">
            <w:pPr>
              <w:keepNext w:val="0"/>
              <w:keepLines w:val="0"/>
              <w:numPr>
                <w:ilvl w:val="0"/>
                <w:numId w:val="1"/>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eastAsia="zh-CN"/>
              </w:rPr>
              <w:t>投标人具有经国家认证认可监督管理委员会认证认可的认证机构颁发有效的“合同能源管理服务认证证书”（认证范围至少包括电机系统节能、建筑节能改造、能量系统优化</w:t>
            </w:r>
            <w:r>
              <w:rPr>
                <w:rFonts w:hint="eastAsia" w:ascii="Times New Roman" w:hAnsi="Times New Roman" w:eastAsia="仿宋" w:cs="Times New Roman"/>
                <w:color w:val="auto"/>
                <w:sz w:val="24"/>
                <w:highlight w:val="none"/>
                <w:lang w:val="en-US" w:eastAsia="zh-CN"/>
              </w:rPr>
              <w:t>三</w:t>
            </w:r>
            <w:r>
              <w:rPr>
                <w:rFonts w:hint="eastAsia" w:ascii="Times New Roman" w:hAnsi="Times New Roman" w:eastAsia="仿宋" w:cs="Times New Roman"/>
                <w:color w:val="auto"/>
                <w:sz w:val="24"/>
                <w:highlight w:val="none"/>
                <w:lang w:eastAsia="zh-CN"/>
              </w:rPr>
              <w:t>个内容）、“售后服务认证证书”（认证范围至少包括中央空调设备及系统服务、合同能源管理服务两个内容）、“中国设备维修安装企业能力等级证书（制冷空调）”，</w:t>
            </w:r>
            <w:r>
              <w:rPr>
                <w:rFonts w:hint="eastAsia" w:ascii="Times New Roman" w:hAnsi="Times New Roman" w:eastAsia="仿宋" w:cs="Times New Roman"/>
                <w:color w:val="auto"/>
                <w:sz w:val="24"/>
                <w:highlight w:val="none"/>
                <w:lang w:val="en-US" w:eastAsia="zh-CN"/>
              </w:rPr>
              <w:t>每提供一个得2分，满分为6分。</w:t>
            </w:r>
          </w:p>
          <w:p w14:paraId="6003E5BD">
            <w:pPr>
              <w:keepNext w:val="0"/>
              <w:keepLines w:val="0"/>
              <w:numPr>
                <w:ilvl w:val="0"/>
                <w:numId w:val="1"/>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投标人以往项目获得国家认证认可监督管理委员会认可的“高效空调制冷机房系统”证书得3分。（须提供有效期内的证书复印件加盖单位公章，证书在国家认证认可监督管理委员会官网可查）</w:t>
            </w:r>
          </w:p>
          <w:p w14:paraId="277D1EB5">
            <w:pPr>
              <w:keepNext w:val="0"/>
              <w:keepLines w:val="0"/>
              <w:numPr>
                <w:ilvl w:val="0"/>
                <w:numId w:val="0"/>
              </w:numPr>
              <w:suppressLineNumbers w:val="0"/>
              <w:snapToGrid w:val="0"/>
              <w:spacing w:before="0" w:beforeAutospacing="0" w:after="0" w:afterAutospacing="0"/>
              <w:ind w:left="0" w:right="0"/>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b/>
                <w:bCs/>
                <w:color w:val="auto"/>
                <w:sz w:val="24"/>
                <w:highlight w:val="none"/>
                <w:lang w:val="en-US" w:eastAsia="zh-CN"/>
              </w:rPr>
              <w:t>注：投标文件中提供证书扫描件并加盖公章。</w:t>
            </w:r>
          </w:p>
        </w:tc>
      </w:tr>
      <w:tr w14:paraId="49AF0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trPr>
        <w:tc>
          <w:tcPr>
            <w:tcW w:w="880" w:type="dxa"/>
            <w:vMerge w:val="continue"/>
            <w:noWrap w:val="0"/>
            <w:vAlign w:val="center"/>
          </w:tcPr>
          <w:p w14:paraId="6E6FC2C8">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11" w:type="dxa"/>
            <w:noWrap w:val="0"/>
            <w:vAlign w:val="center"/>
          </w:tcPr>
          <w:p w14:paraId="1CDE9CD0">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lang w:val="en-US" w:eastAsia="zh-CN"/>
              </w:rPr>
            </w:pPr>
            <w:r>
              <w:rPr>
                <w:rFonts w:hint="eastAsia" w:ascii="宋体" w:hAnsi="宋体" w:eastAsia="仿宋" w:cs="Times New Roman"/>
                <w:color w:val="auto"/>
                <w:kern w:val="0"/>
                <w:sz w:val="24"/>
                <w:highlight w:val="none"/>
                <w:lang w:val="en-US" w:eastAsia="zh-CN"/>
              </w:rPr>
              <w:t>3</w:t>
            </w:r>
          </w:p>
        </w:tc>
        <w:tc>
          <w:tcPr>
            <w:tcW w:w="1707" w:type="dxa"/>
            <w:noWrap w:val="0"/>
            <w:vAlign w:val="center"/>
          </w:tcPr>
          <w:p w14:paraId="718A6BBF">
            <w:pPr>
              <w:keepNext w:val="0"/>
              <w:keepLines w:val="0"/>
              <w:numPr>
                <w:ilvl w:val="0"/>
                <w:numId w:val="0"/>
              </w:numPr>
              <w:suppressLineNumbers w:val="0"/>
              <w:snapToGrid w:val="0"/>
              <w:spacing w:before="0" w:beforeAutospacing="0" w:after="0" w:afterAutospacing="0"/>
              <w:ind w:left="0" w:leftChars="0" w:right="0" w:firstLine="0" w:firstLineChars="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满意度评价（</w:t>
            </w:r>
            <w:r>
              <w:rPr>
                <w:rFonts w:hint="eastAsia" w:ascii="Times New Roman" w:hAnsi="Times New Roman" w:eastAsia="仿宋" w:cs="Times New Roman"/>
                <w:color w:val="auto"/>
                <w:sz w:val="24"/>
                <w:highlight w:val="none"/>
                <w:lang w:val="en-US" w:eastAsia="zh-CN"/>
              </w:rPr>
              <w:t>6</w:t>
            </w:r>
            <w:r>
              <w:rPr>
                <w:rFonts w:hint="eastAsia" w:ascii="Times New Roman" w:hAnsi="Times New Roman" w:eastAsia="仿宋" w:cs="Times New Roman"/>
                <w:color w:val="auto"/>
                <w:sz w:val="24"/>
                <w:highlight w:val="none"/>
              </w:rPr>
              <w:t>分）</w:t>
            </w:r>
          </w:p>
        </w:tc>
        <w:tc>
          <w:tcPr>
            <w:tcW w:w="6260" w:type="dxa"/>
            <w:gridSpan w:val="2"/>
            <w:noWrap w:val="0"/>
            <w:vAlign w:val="center"/>
          </w:tcPr>
          <w:p w14:paraId="124346FE">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投标人提供类似合同业绩中近 24 个月以来的满意度调查打分或评价资料（按月度、季度或年度提供均可），所提供材料均为履约情况良好（或满意）及以上证明的，每一家得 1 分，最多得 6 分，不满足的不得分。</w:t>
            </w:r>
          </w:p>
          <w:p w14:paraId="3BA10CE9">
            <w:pPr>
              <w:keepNext w:val="0"/>
              <w:keepLines w:val="0"/>
              <w:numPr>
                <w:ilvl w:val="0"/>
                <w:numId w:val="0"/>
              </w:numPr>
              <w:suppressLineNumbers w:val="0"/>
              <w:snapToGrid w:val="0"/>
              <w:spacing w:before="0" w:beforeAutospacing="0" w:after="0" w:afterAutospacing="0"/>
              <w:ind w:left="0" w:leftChars="0" w:right="0" w:firstLine="0" w:firstLineChars="0"/>
              <w:rPr>
                <w:rFonts w:hint="eastAsia" w:ascii="Times New Roman" w:hAnsi="Times New Roman" w:eastAsia="仿宋" w:cs="Times New Roman"/>
                <w:color w:val="auto"/>
                <w:sz w:val="24"/>
                <w:highlight w:val="none"/>
              </w:rPr>
            </w:pPr>
            <w:r>
              <w:rPr>
                <w:rFonts w:hint="eastAsia" w:ascii="Times New Roman" w:hAnsi="Times New Roman" w:eastAsia="仿宋" w:cs="Times New Roman"/>
                <w:b/>
                <w:bCs/>
                <w:color w:val="auto"/>
                <w:sz w:val="24"/>
                <w:highlight w:val="none"/>
              </w:rPr>
              <w:t>注：由投标人提供的运营服务时间至少在 3 年以上</w:t>
            </w:r>
            <w:r>
              <w:rPr>
                <w:rFonts w:hint="eastAsia" w:ascii="Times New Roman" w:hAnsi="Times New Roman" w:eastAsia="仿宋" w:cs="Times New Roman"/>
                <w:b/>
                <w:bCs/>
                <w:color w:val="auto"/>
                <w:sz w:val="24"/>
                <w:highlight w:val="none"/>
                <w:lang w:val="en-US" w:eastAsia="zh-CN"/>
              </w:rPr>
              <w:t>的相关</w:t>
            </w:r>
            <w:r>
              <w:rPr>
                <w:rFonts w:hint="eastAsia" w:ascii="Times New Roman" w:hAnsi="Times New Roman" w:eastAsia="仿宋" w:cs="Times New Roman"/>
                <w:b/>
                <w:bCs/>
                <w:color w:val="auto"/>
                <w:sz w:val="24"/>
                <w:highlight w:val="none"/>
              </w:rPr>
              <w:t>证明材料。</w:t>
            </w:r>
          </w:p>
        </w:tc>
      </w:tr>
      <w:tr w14:paraId="4515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trPr>
        <w:tc>
          <w:tcPr>
            <w:tcW w:w="880" w:type="dxa"/>
            <w:vMerge w:val="continue"/>
            <w:noWrap w:val="0"/>
            <w:vAlign w:val="center"/>
          </w:tcPr>
          <w:p w14:paraId="7847241F">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11" w:type="dxa"/>
            <w:noWrap w:val="0"/>
            <w:vAlign w:val="center"/>
          </w:tcPr>
          <w:p w14:paraId="72F37140">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仿宋" w:cs="Times New Roman"/>
                <w:color w:val="auto"/>
                <w:kern w:val="0"/>
                <w:sz w:val="24"/>
                <w:highlight w:val="none"/>
                <w:lang w:val="en-US" w:eastAsia="zh-CN"/>
              </w:rPr>
            </w:pPr>
            <w:r>
              <w:rPr>
                <w:rFonts w:hint="eastAsia" w:ascii="宋体" w:hAnsi="宋体" w:eastAsia="仿宋" w:cs="Times New Roman"/>
                <w:color w:val="auto"/>
                <w:kern w:val="0"/>
                <w:sz w:val="24"/>
                <w:highlight w:val="none"/>
                <w:lang w:val="en-US" w:eastAsia="zh-CN"/>
              </w:rPr>
              <w:t>4</w:t>
            </w:r>
          </w:p>
        </w:tc>
        <w:tc>
          <w:tcPr>
            <w:tcW w:w="1707" w:type="dxa"/>
            <w:noWrap w:val="0"/>
            <w:vAlign w:val="center"/>
          </w:tcPr>
          <w:p w14:paraId="3D213A6A">
            <w:pPr>
              <w:keepNext w:val="0"/>
              <w:keepLines w:val="0"/>
              <w:numPr>
                <w:ilvl w:val="0"/>
                <w:numId w:val="0"/>
              </w:numPr>
              <w:suppressLineNumbers w:val="0"/>
              <w:snapToGrid w:val="0"/>
              <w:spacing w:before="0" w:beforeAutospacing="0" w:after="0" w:afterAutospacing="0"/>
              <w:ind w:left="0" w:right="0"/>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人员配置（7分）</w:t>
            </w:r>
          </w:p>
        </w:tc>
        <w:tc>
          <w:tcPr>
            <w:tcW w:w="6260" w:type="dxa"/>
            <w:gridSpan w:val="2"/>
            <w:noWrap w:val="0"/>
            <w:vAlign w:val="center"/>
          </w:tcPr>
          <w:p w14:paraId="6868BE9D">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投标人在项目运营期间配置的运营服务人员中：</w:t>
            </w:r>
          </w:p>
          <w:p w14:paraId="42F3F624">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（1）每具有1名制冷技师以上职业资格证书的，得2分，满分4分；</w:t>
            </w:r>
          </w:p>
          <w:p w14:paraId="313014F5">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（2）每具有1名初级及以上职称证书（电气、电子、工程管理等相关专业）的，得 1分，满分3分；</w:t>
            </w:r>
          </w:p>
          <w:p w14:paraId="725F682D">
            <w:pPr>
              <w:keepNext w:val="0"/>
              <w:keepLines w:val="0"/>
              <w:numPr>
                <w:ilvl w:val="0"/>
                <w:numId w:val="0"/>
              </w:numPr>
              <w:suppressLineNumbers w:val="0"/>
              <w:snapToGrid w:val="0"/>
              <w:spacing w:before="0" w:beforeAutospacing="0" w:after="0" w:afterAutospacing="0"/>
              <w:ind w:left="0" w:right="0"/>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b/>
                <w:bCs/>
                <w:color w:val="auto"/>
                <w:sz w:val="24"/>
                <w:highlight w:val="none"/>
                <w:lang w:val="en-US" w:eastAsia="zh-CN"/>
              </w:rPr>
              <w:t>注：1）需提供上述人员证书扫描件（若职称证书上无法证明其专业，可提供毕业证书扫描件）；2）同一人具有多个证书的，仅按其能够获得的最高分计分，不重复计分。3）上述人员须提供投标人为其缴纳的近半年内连续三个月的社保证明材料并加盖公章。</w:t>
            </w:r>
          </w:p>
        </w:tc>
      </w:tr>
      <w:tr w14:paraId="5312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trPr>
        <w:tc>
          <w:tcPr>
            <w:tcW w:w="880" w:type="dxa"/>
            <w:vMerge w:val="continue"/>
            <w:noWrap w:val="0"/>
            <w:vAlign w:val="center"/>
          </w:tcPr>
          <w:p w14:paraId="7D691F4A">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11" w:type="dxa"/>
            <w:noWrap w:val="0"/>
            <w:vAlign w:val="center"/>
          </w:tcPr>
          <w:p w14:paraId="10DB920B">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zh-CN"/>
              </w:rPr>
              <w:t>5</w:t>
            </w:r>
          </w:p>
        </w:tc>
        <w:tc>
          <w:tcPr>
            <w:tcW w:w="1707" w:type="dxa"/>
            <w:noWrap w:val="0"/>
            <w:vAlign w:val="center"/>
          </w:tcPr>
          <w:p w14:paraId="6F519D95">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技术参数（10分）</w:t>
            </w:r>
          </w:p>
        </w:tc>
        <w:tc>
          <w:tcPr>
            <w:tcW w:w="6260" w:type="dxa"/>
            <w:gridSpan w:val="2"/>
            <w:noWrap w:val="0"/>
            <w:vAlign w:val="center"/>
          </w:tcPr>
          <w:p w14:paraId="2AF27EAA">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rPr>
              <w:t>.投标人所投磁悬浮冷水离心机组性能</w:t>
            </w:r>
            <w:r>
              <w:rPr>
                <w:rFonts w:hint="eastAsia" w:ascii="Times New Roman" w:hAnsi="Times New Roman" w:eastAsia="仿宋" w:cs="Times New Roman"/>
                <w:color w:val="auto"/>
                <w:sz w:val="24"/>
                <w:highlight w:val="none"/>
                <w:lang w:eastAsia="zh-CN"/>
              </w:rPr>
              <w:t>：</w:t>
            </w:r>
          </w:p>
          <w:p w14:paraId="31A9452A">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（1）具备主机动态能效显示（制冷COP）的得2分。（提供动态能效显示证明照片，否则不计分）。</w:t>
            </w:r>
          </w:p>
          <w:p w14:paraId="2EC66D25">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（2）具备易损易耗件剩余寿命倒计时界面截图，倒计时信息可直观读取的得3分。（提供零部件倒计时显示证明照片，否则不计分）。</w:t>
            </w:r>
          </w:p>
          <w:p w14:paraId="0B58D1B8">
            <w:pPr>
              <w:keepNext w:val="0"/>
              <w:keepLines w:val="0"/>
              <w:numPr>
                <w:ilvl w:val="0"/>
                <w:numId w:val="0"/>
              </w:numPr>
              <w:suppressLineNumbers w:val="0"/>
              <w:snapToGrid w:val="0"/>
              <w:spacing w:before="0" w:beforeAutospacing="0" w:after="0" w:afterAutospacing="0"/>
              <w:ind w:left="0" w:right="0"/>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2.投标人提供所投磁悬浮主机的制造商在用空调主机（包含离心机、螺杆机、风冷热泵、直燃机、蒸汽机等空调制冷主机设备）经第三方检测机构出具的检测报告，提供使用20年及以上的机组制冷量衰减≤10%的检测报告，得5分；提供使用10年及以上（不到20年）的机组制冷量衰减≤10%的检测报告，得2分，未提供或不符合的不得分。</w:t>
            </w:r>
          </w:p>
        </w:tc>
      </w:tr>
      <w:tr w14:paraId="21C12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trPr>
        <w:tc>
          <w:tcPr>
            <w:tcW w:w="880" w:type="dxa"/>
            <w:vMerge w:val="continue"/>
            <w:noWrap w:val="0"/>
            <w:vAlign w:val="center"/>
          </w:tcPr>
          <w:p w14:paraId="1FCDA229">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11" w:type="dxa"/>
            <w:noWrap w:val="0"/>
            <w:vAlign w:val="center"/>
          </w:tcPr>
          <w:p w14:paraId="06231E2B">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zh-CN"/>
              </w:rPr>
              <w:t>6</w:t>
            </w:r>
          </w:p>
        </w:tc>
        <w:tc>
          <w:tcPr>
            <w:tcW w:w="1707" w:type="dxa"/>
            <w:noWrap w:val="0"/>
            <w:vAlign w:val="center"/>
          </w:tcPr>
          <w:p w14:paraId="4C8A298E">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项目理解与分</w:t>
            </w:r>
          </w:p>
          <w:p w14:paraId="683EBF8C">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rPr>
              <w:t>析</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5分</w:t>
            </w:r>
            <w:r>
              <w:rPr>
                <w:rFonts w:hint="eastAsia" w:ascii="Times New Roman" w:hAnsi="Times New Roman" w:eastAsia="仿宋" w:cs="Times New Roman"/>
                <w:color w:val="auto"/>
                <w:sz w:val="24"/>
                <w:highlight w:val="none"/>
                <w:lang w:eastAsia="zh-CN"/>
              </w:rPr>
              <w:t>）</w:t>
            </w:r>
          </w:p>
        </w:tc>
        <w:tc>
          <w:tcPr>
            <w:tcW w:w="6260" w:type="dxa"/>
            <w:gridSpan w:val="2"/>
            <w:noWrap w:val="0"/>
            <w:vAlign w:val="center"/>
          </w:tcPr>
          <w:p w14:paraId="4B2BC0A9">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根据本项目拟采购合同能源管理的总体要求，进行系统、完整、有针对性的分析，由</w:t>
            </w:r>
            <w:r>
              <w:rPr>
                <w:rFonts w:hint="eastAsia" w:ascii="Times New Roman" w:hAnsi="Times New Roman" w:eastAsia="仿宋" w:cs="Times New Roman"/>
                <w:color w:val="auto"/>
                <w:sz w:val="24"/>
                <w:highlight w:val="none"/>
                <w:lang w:val="en-US" w:eastAsia="zh-CN"/>
              </w:rPr>
              <w:t>评标</w:t>
            </w:r>
            <w:r>
              <w:rPr>
                <w:rFonts w:hint="eastAsia" w:ascii="Times New Roman" w:hAnsi="Times New Roman" w:eastAsia="仿宋" w:cs="Times New Roman"/>
                <w:color w:val="auto"/>
                <w:sz w:val="24"/>
                <w:highlight w:val="none"/>
              </w:rPr>
              <w:t>小组进行综合评审：</w:t>
            </w:r>
          </w:p>
          <w:p w14:paraId="1A22B93D">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1.对本项目建设目标理解准确，完全优于本项目采购需求，分析完整详细，针对性强的，得 5 分；</w:t>
            </w:r>
          </w:p>
          <w:p w14:paraId="6E6F44CA">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2.对本项目建设目标理解基本准确，适合本项目采购需求，分析完整详细，有针对性的，得 3 分；</w:t>
            </w:r>
          </w:p>
          <w:p w14:paraId="3DD185CA">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3.对本项目建设目标理解有待完善的，针对性有待提升的，得 1 分；</w:t>
            </w:r>
          </w:p>
          <w:p w14:paraId="3817A3B5">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rPr>
              <w:t>4.未提供相关内容的，不得分</w:t>
            </w:r>
            <w:r>
              <w:rPr>
                <w:rFonts w:hint="eastAsia" w:ascii="Times New Roman" w:hAnsi="Times New Roman" w:eastAsia="仿宋" w:cs="Times New Roman"/>
                <w:color w:val="auto"/>
                <w:sz w:val="24"/>
                <w:highlight w:val="none"/>
                <w:lang w:eastAsia="zh-CN"/>
              </w:rPr>
              <w:t>。</w:t>
            </w:r>
          </w:p>
        </w:tc>
      </w:tr>
      <w:tr w14:paraId="69D0C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880" w:type="dxa"/>
            <w:vMerge w:val="continue"/>
            <w:noWrap w:val="0"/>
            <w:vAlign w:val="center"/>
          </w:tcPr>
          <w:p w14:paraId="0E174D86">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11" w:type="dxa"/>
            <w:noWrap w:val="0"/>
            <w:vAlign w:val="center"/>
          </w:tcPr>
          <w:p w14:paraId="1177E40B">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zh-CN"/>
              </w:rPr>
              <w:t>7</w:t>
            </w:r>
          </w:p>
        </w:tc>
        <w:tc>
          <w:tcPr>
            <w:tcW w:w="1707" w:type="dxa"/>
            <w:noWrap w:val="0"/>
            <w:vAlign w:val="center"/>
          </w:tcPr>
          <w:p w14:paraId="33087E42">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rPr>
              <w:t>重难点分析</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5分</w:t>
            </w:r>
            <w:r>
              <w:rPr>
                <w:rFonts w:hint="eastAsia" w:ascii="Times New Roman" w:hAnsi="Times New Roman" w:eastAsia="仿宋" w:cs="Times New Roman"/>
                <w:color w:val="auto"/>
                <w:sz w:val="24"/>
                <w:highlight w:val="none"/>
                <w:lang w:eastAsia="zh-CN"/>
              </w:rPr>
              <w:t>）</w:t>
            </w:r>
          </w:p>
        </w:tc>
        <w:tc>
          <w:tcPr>
            <w:tcW w:w="6260" w:type="dxa"/>
            <w:gridSpan w:val="2"/>
            <w:noWrap w:val="0"/>
            <w:vAlign w:val="center"/>
          </w:tcPr>
          <w:p w14:paraId="61D8ACF7">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根据本项目拟采购合同能源管理的总体要求，对实施过程中的重点、难点进行系统、完整、有针对性的分析，由</w:t>
            </w:r>
            <w:r>
              <w:rPr>
                <w:rFonts w:hint="eastAsia" w:ascii="Times New Roman" w:hAnsi="Times New Roman" w:eastAsia="仿宋" w:cs="Times New Roman"/>
                <w:color w:val="auto"/>
                <w:sz w:val="24"/>
                <w:highlight w:val="none"/>
                <w:lang w:val="en-US" w:eastAsia="zh-CN"/>
              </w:rPr>
              <w:t>评标</w:t>
            </w:r>
            <w:r>
              <w:rPr>
                <w:rFonts w:hint="eastAsia" w:ascii="Times New Roman" w:hAnsi="Times New Roman" w:eastAsia="仿宋" w:cs="Times New Roman"/>
                <w:color w:val="auto"/>
                <w:sz w:val="24"/>
                <w:highlight w:val="none"/>
              </w:rPr>
              <w:t>小组进行综合评审：</w:t>
            </w:r>
          </w:p>
          <w:p w14:paraId="5B118AA4">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1.重难点分析精准详细，针对性强合理化建议可行性高的，得 5 分；</w:t>
            </w:r>
          </w:p>
          <w:p w14:paraId="79110B2C">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2.重难点分析精准，有针对性的，合理化建议具有可行性的，得 3分；</w:t>
            </w:r>
          </w:p>
          <w:p w14:paraId="7CE6C454">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3.本项目重难点分析的精准性、针对性有待提升的，得 1 分；</w:t>
            </w:r>
          </w:p>
          <w:p w14:paraId="64A85264">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4.未提供相关内容的，不得分。</w:t>
            </w:r>
          </w:p>
        </w:tc>
      </w:tr>
      <w:tr w14:paraId="06E8C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880" w:type="dxa"/>
            <w:vMerge w:val="continue"/>
            <w:noWrap w:val="0"/>
            <w:vAlign w:val="center"/>
          </w:tcPr>
          <w:p w14:paraId="0A35B760">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11" w:type="dxa"/>
            <w:noWrap w:val="0"/>
            <w:vAlign w:val="center"/>
          </w:tcPr>
          <w:p w14:paraId="43520B3D">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zh-CN"/>
              </w:rPr>
              <w:t>8</w:t>
            </w:r>
          </w:p>
        </w:tc>
        <w:tc>
          <w:tcPr>
            <w:tcW w:w="1707" w:type="dxa"/>
            <w:noWrap w:val="0"/>
            <w:vAlign w:val="center"/>
          </w:tcPr>
          <w:p w14:paraId="253CC4F8">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空调系统节能改造实施方案（5分）</w:t>
            </w:r>
          </w:p>
        </w:tc>
        <w:tc>
          <w:tcPr>
            <w:tcW w:w="6260" w:type="dxa"/>
            <w:gridSpan w:val="2"/>
            <w:noWrap w:val="0"/>
            <w:vAlign w:val="center"/>
          </w:tcPr>
          <w:p w14:paraId="375E6998">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投标人</w:t>
            </w:r>
            <w:r>
              <w:rPr>
                <w:rFonts w:hint="eastAsia" w:ascii="Times New Roman" w:hAnsi="Times New Roman" w:eastAsia="仿宋" w:cs="Times New Roman"/>
                <w:color w:val="auto"/>
                <w:sz w:val="24"/>
                <w:highlight w:val="none"/>
              </w:rPr>
              <w:t>需根据本项目特点提供空调系统节能改造实施方案，内容包括但不限于空调系统整体规划，实施阶段各实施节点的任务、质量保证、节能措施等。</w:t>
            </w:r>
          </w:p>
          <w:p w14:paraId="46A94C13">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kern w:val="2"/>
                <w:sz w:val="24"/>
                <w:szCs w:val="24"/>
                <w:highlight w:val="none"/>
                <w:lang w:val="en-US" w:eastAsia="zh-CN" w:bidi="ar-SA"/>
              </w:rPr>
              <w:t>（1）</w:t>
            </w:r>
            <w:r>
              <w:rPr>
                <w:rFonts w:hint="eastAsia" w:ascii="Times New Roman" w:hAnsi="Times New Roman" w:eastAsia="仿宋" w:cs="Times New Roman"/>
                <w:color w:val="auto"/>
                <w:sz w:val="24"/>
                <w:highlight w:val="none"/>
              </w:rPr>
              <w:t>方案内容叙述全面，要点突出，内容完整、详细，要点明确符合项目基本情况的，得5分；</w:t>
            </w:r>
          </w:p>
          <w:p w14:paraId="5070A773">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kern w:val="2"/>
                <w:sz w:val="24"/>
                <w:szCs w:val="24"/>
                <w:highlight w:val="none"/>
                <w:lang w:val="en-US" w:eastAsia="zh-CN" w:bidi="ar-SA"/>
              </w:rPr>
              <w:t>（2）</w:t>
            </w:r>
            <w:r>
              <w:rPr>
                <w:rFonts w:hint="eastAsia" w:ascii="Times New Roman" w:hAnsi="Times New Roman" w:eastAsia="仿宋" w:cs="Times New Roman"/>
                <w:color w:val="auto"/>
                <w:sz w:val="24"/>
                <w:highlight w:val="none"/>
              </w:rPr>
              <w:t>方案内容叙述不详细，方案内容要点不突出或偏离项目实施内容或不符合项目基本情况的，得3分；</w:t>
            </w:r>
          </w:p>
          <w:p w14:paraId="77C90EBC">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（3）方案部分内容缺失或套用其他项目的，得1分;</w:t>
            </w:r>
          </w:p>
          <w:p w14:paraId="4FE65A6B">
            <w:pPr>
              <w:keepNext w:val="0"/>
              <w:keepLines w:val="0"/>
              <w:numPr>
                <w:ilvl w:val="0"/>
                <w:numId w:val="0"/>
              </w:numPr>
              <w:suppressLineNumbers w:val="0"/>
              <w:snapToGrid w:val="0"/>
              <w:spacing w:before="0" w:beforeAutospacing="0" w:after="0" w:afterAutospacing="0"/>
              <w:ind w:left="0" w:right="0"/>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rPr>
              <w:t>（4）未提供的不得分</w:t>
            </w:r>
            <w:r>
              <w:rPr>
                <w:rFonts w:hint="eastAsia" w:ascii="Times New Roman" w:hAnsi="Times New Roman" w:eastAsia="仿宋" w:cs="Times New Roman"/>
                <w:color w:val="auto"/>
                <w:sz w:val="24"/>
                <w:highlight w:val="none"/>
                <w:lang w:eastAsia="zh-CN"/>
              </w:rPr>
              <w:t>。</w:t>
            </w:r>
          </w:p>
        </w:tc>
      </w:tr>
      <w:tr w14:paraId="6F84F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trPr>
        <w:tc>
          <w:tcPr>
            <w:tcW w:w="880" w:type="dxa"/>
            <w:vMerge w:val="continue"/>
            <w:noWrap w:val="0"/>
            <w:vAlign w:val="center"/>
          </w:tcPr>
          <w:p w14:paraId="0015761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11" w:type="dxa"/>
            <w:noWrap w:val="0"/>
            <w:vAlign w:val="center"/>
          </w:tcPr>
          <w:p w14:paraId="1D127D02">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zh-CN"/>
              </w:rPr>
              <w:t>9</w:t>
            </w:r>
          </w:p>
        </w:tc>
        <w:tc>
          <w:tcPr>
            <w:tcW w:w="1707" w:type="dxa"/>
            <w:noWrap w:val="0"/>
            <w:vAlign w:val="center"/>
          </w:tcPr>
          <w:p w14:paraId="3F4FB598">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施工组织方案（5分）</w:t>
            </w:r>
          </w:p>
        </w:tc>
        <w:tc>
          <w:tcPr>
            <w:tcW w:w="6260" w:type="dxa"/>
            <w:gridSpan w:val="2"/>
            <w:noWrap w:val="0"/>
            <w:vAlign w:val="center"/>
          </w:tcPr>
          <w:p w14:paraId="0156A8A4">
            <w:pPr>
              <w:keepNext w:val="0"/>
              <w:keepLines w:val="0"/>
              <w:suppressLineNumbers w:val="0"/>
              <w:spacing w:before="0" w:beforeAutospacing="0" w:after="0" w:afterAutospacing="0"/>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评标委员会根据投标人提出的施工组织方案进行评分，施工组织方案包括但不限于施工组织、人员安排、</w:t>
            </w:r>
            <w:r>
              <w:rPr>
                <w:rFonts w:hint="eastAsia" w:ascii="仿宋" w:hAnsi="仿宋" w:eastAsia="仿宋" w:cs="仿宋"/>
                <w:color w:val="auto"/>
                <w:kern w:val="0"/>
                <w:sz w:val="24"/>
                <w:highlight w:val="none"/>
                <w:lang w:val="en-US" w:eastAsia="zh-CN"/>
              </w:rPr>
              <w:t>进度计划、安全保障措施、文明施工等</w:t>
            </w:r>
            <w:r>
              <w:rPr>
                <w:rFonts w:hint="eastAsia" w:ascii="仿宋" w:hAnsi="仿宋" w:eastAsia="仿宋" w:cs="仿宋"/>
                <w:color w:val="auto"/>
                <w:kern w:val="0"/>
                <w:sz w:val="24"/>
                <w:highlight w:val="none"/>
              </w:rPr>
              <w:t>保障措施等内容：</w:t>
            </w:r>
          </w:p>
          <w:p w14:paraId="537AE11A">
            <w:pPr>
              <w:keepNext w:val="0"/>
              <w:keepLines w:val="0"/>
              <w:suppressLineNumbers w:val="0"/>
              <w:spacing w:before="0" w:beforeAutospacing="0" w:after="0" w:afterAutospacing="0"/>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1）方案包括以上全部项目，且内容详细，方案措施可行性强、实用性、针对性强的，得 5 分；</w:t>
            </w:r>
          </w:p>
          <w:p w14:paraId="3AB72DCE">
            <w:pPr>
              <w:keepNext w:val="0"/>
              <w:keepLines w:val="0"/>
              <w:suppressLineNumbers w:val="0"/>
              <w:spacing w:before="0" w:beforeAutospacing="0" w:after="0" w:afterAutospacing="0"/>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2）方案包含全部项目，具有可行性、实用性和针对性的，得 3 分；</w:t>
            </w:r>
          </w:p>
          <w:p w14:paraId="56EC95A8">
            <w:pPr>
              <w:keepNext w:val="0"/>
              <w:keepLines w:val="0"/>
              <w:suppressLineNumbers w:val="0"/>
              <w:spacing w:before="0" w:beforeAutospacing="0" w:after="0" w:afterAutospacing="0"/>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3）方案中相关项目有缺失，可行性、实用性、针对性有待改善的，得 1 分；</w:t>
            </w:r>
          </w:p>
          <w:p w14:paraId="2CD592B6">
            <w:pPr>
              <w:keepNext w:val="0"/>
              <w:keepLines w:val="0"/>
              <w:suppressLineNumbers w:val="0"/>
              <w:spacing w:before="0" w:beforeAutospacing="0" w:after="0" w:afterAutospacing="0"/>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4）无相关内容的均不得分。</w:t>
            </w:r>
          </w:p>
        </w:tc>
      </w:tr>
      <w:tr w14:paraId="7DE78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trPr>
        <w:tc>
          <w:tcPr>
            <w:tcW w:w="880" w:type="dxa"/>
            <w:vMerge w:val="continue"/>
            <w:noWrap w:val="0"/>
            <w:vAlign w:val="center"/>
          </w:tcPr>
          <w:p w14:paraId="5DD7B99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11" w:type="dxa"/>
            <w:noWrap w:val="0"/>
            <w:vAlign w:val="center"/>
          </w:tcPr>
          <w:p w14:paraId="64E8787F">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zh-CN"/>
              </w:rPr>
              <w:t>10</w:t>
            </w:r>
          </w:p>
        </w:tc>
        <w:tc>
          <w:tcPr>
            <w:tcW w:w="1707" w:type="dxa"/>
            <w:noWrap w:val="0"/>
            <w:vAlign w:val="center"/>
          </w:tcPr>
          <w:p w14:paraId="11F62698">
            <w:pPr>
              <w:keepNext w:val="0"/>
              <w:keepLines w:val="0"/>
              <w:suppressLineNumbers w:val="0"/>
              <w:spacing w:before="0" w:beforeAutospacing="0" w:after="0" w:afterAutospacing="0"/>
              <w:ind w:left="0" w:right="0"/>
              <w:jc w:val="center"/>
              <w:rPr>
                <w:rFonts w:hint="eastAsia" w:ascii="Times New Roman" w:hAnsi="Times New Roman" w:eastAsia="仿宋" w:cs="Times New Roman"/>
                <w:color w:val="auto"/>
                <w:sz w:val="24"/>
                <w:highlight w:val="none"/>
              </w:rPr>
            </w:pPr>
            <w:r>
              <w:rPr>
                <w:rFonts w:hint="eastAsia" w:ascii="仿宋" w:hAnsi="仿宋" w:eastAsia="仿宋" w:cs="仿宋"/>
                <w:color w:val="auto"/>
                <w:sz w:val="24"/>
                <w:highlight w:val="none"/>
              </w:rPr>
              <w:t>组织机构及质量保证措施（5分）</w:t>
            </w:r>
          </w:p>
        </w:tc>
        <w:tc>
          <w:tcPr>
            <w:tcW w:w="6260" w:type="dxa"/>
            <w:gridSpan w:val="2"/>
            <w:noWrap w:val="0"/>
            <w:vAlign w:val="center"/>
          </w:tcPr>
          <w:p w14:paraId="593F85C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根据投标人组织机构及质量保证措施等</w:t>
            </w:r>
            <w:r>
              <w:rPr>
                <w:rFonts w:hint="eastAsia" w:ascii="仿宋" w:hAnsi="仿宋" w:eastAsia="仿宋" w:cs="仿宋"/>
                <w:color w:val="auto"/>
                <w:kern w:val="0"/>
                <w:sz w:val="24"/>
                <w:highlight w:val="none"/>
              </w:rPr>
              <w:t>进行综合打分</w:t>
            </w:r>
            <w:r>
              <w:rPr>
                <w:rFonts w:hint="eastAsia" w:ascii="仿宋" w:hAnsi="仿宋" w:eastAsia="仿宋" w:cs="仿宋"/>
                <w:color w:val="auto"/>
                <w:sz w:val="24"/>
                <w:highlight w:val="none"/>
              </w:rPr>
              <w:t>：</w:t>
            </w:r>
          </w:p>
          <w:p w14:paraId="47DD620E">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（1）组织机构健全，质量保证措施完善，得 5 分;</w:t>
            </w:r>
          </w:p>
          <w:p w14:paraId="28B8EA34">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sz w:val="24"/>
                <w:highlight w:val="none"/>
              </w:rPr>
              <w:t>组织机构比较健全，质量保证措施比较完善，但存在个别瑕疵，得3分；</w:t>
            </w:r>
          </w:p>
          <w:p w14:paraId="592C76B6">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sz w:val="24"/>
                <w:highlight w:val="none"/>
              </w:rPr>
              <w:t>组织机构基本健全，有质量保证措施，存在少量问题的，得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p>
          <w:p w14:paraId="05220CFA">
            <w:pPr>
              <w:keepNext w:val="0"/>
              <w:keepLines w:val="0"/>
              <w:suppressLineNumbers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sz w:val="24"/>
                <w:highlight w:val="none"/>
              </w:rPr>
              <w:t>组织机构缺失，未提供质量保证措施的，得 0 分</w:t>
            </w:r>
          </w:p>
        </w:tc>
      </w:tr>
      <w:tr w14:paraId="7C91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880" w:type="dxa"/>
            <w:vMerge w:val="continue"/>
            <w:noWrap w:val="0"/>
            <w:vAlign w:val="center"/>
          </w:tcPr>
          <w:p w14:paraId="440E6E11">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11" w:type="dxa"/>
            <w:noWrap w:val="0"/>
            <w:vAlign w:val="center"/>
          </w:tcPr>
          <w:p w14:paraId="5DEBB9BF">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zh-CN"/>
              </w:rPr>
              <w:t>11</w:t>
            </w:r>
          </w:p>
        </w:tc>
        <w:tc>
          <w:tcPr>
            <w:tcW w:w="1707" w:type="dxa"/>
            <w:noWrap w:val="0"/>
            <w:vAlign w:val="center"/>
          </w:tcPr>
          <w:p w14:paraId="7FE95CD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应急预案（5分）</w:t>
            </w:r>
          </w:p>
        </w:tc>
        <w:tc>
          <w:tcPr>
            <w:tcW w:w="6260" w:type="dxa"/>
            <w:gridSpan w:val="2"/>
            <w:noWrap w:val="0"/>
            <w:vAlign w:val="center"/>
          </w:tcPr>
          <w:p w14:paraId="5D2E55B2">
            <w:pPr>
              <w:keepNext w:val="0"/>
              <w:keepLines w:val="0"/>
              <w:suppressLineNumbers w:val="0"/>
              <w:spacing w:before="0" w:beforeAutospacing="0" w:after="0" w:afterAutospacing="0"/>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针对本项目运行管理过程中可能出现的各类预期风险，制定具有针对性的应急方案，由磋商小组依据预期风险分析、设备故障响应时间、应急处置措施、维保人员配置等要素的反映情况，进行综合评审：</w:t>
            </w:r>
          </w:p>
          <w:p w14:paraId="721080C1">
            <w:pPr>
              <w:keepNext w:val="0"/>
              <w:keepLines w:val="0"/>
              <w:suppressLineNumbers w:val="0"/>
              <w:spacing w:before="0" w:beforeAutospacing="0" w:after="0" w:afterAutospacing="0"/>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1.方案完整详细，各项措施可行性强，完全满足采购需求的，得 5 分；</w:t>
            </w:r>
          </w:p>
          <w:p w14:paraId="08118316">
            <w:pPr>
              <w:keepNext w:val="0"/>
              <w:keepLines w:val="0"/>
              <w:suppressLineNumbers w:val="0"/>
              <w:spacing w:before="0" w:beforeAutospacing="0" w:after="0" w:afterAutospacing="0"/>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2.方案详细，各项措施具有可行性，贴近采购需求的，得 3 分；</w:t>
            </w:r>
          </w:p>
          <w:p w14:paraId="330C2649">
            <w:pPr>
              <w:keepNext w:val="0"/>
              <w:keepLines w:val="0"/>
              <w:suppressLineNumbers w:val="0"/>
              <w:spacing w:before="0" w:beforeAutospacing="0" w:after="0" w:afterAutospacing="0"/>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3.方案的适用性、可行性有待提升的，得 1 分；</w:t>
            </w:r>
          </w:p>
          <w:p w14:paraId="4427FB10">
            <w:pPr>
              <w:keepNext w:val="0"/>
              <w:keepLines w:val="0"/>
              <w:suppressLineNumbers w:val="0"/>
              <w:spacing w:before="0" w:beforeAutospacing="0" w:after="0" w:afterAutospacing="0"/>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4.未提供相关内容的，不得分。</w:t>
            </w:r>
          </w:p>
        </w:tc>
      </w:tr>
      <w:tr w14:paraId="2F1B2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880" w:type="dxa"/>
            <w:vMerge w:val="continue"/>
            <w:noWrap w:val="0"/>
            <w:vAlign w:val="center"/>
          </w:tcPr>
          <w:p w14:paraId="5F3AA953">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11" w:type="dxa"/>
            <w:noWrap w:val="0"/>
            <w:vAlign w:val="center"/>
          </w:tcPr>
          <w:p w14:paraId="34D55097">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zh-CN"/>
              </w:rPr>
              <w:t>12</w:t>
            </w:r>
          </w:p>
        </w:tc>
        <w:tc>
          <w:tcPr>
            <w:tcW w:w="1707" w:type="dxa"/>
            <w:noWrap w:val="0"/>
            <w:vAlign w:val="center"/>
          </w:tcPr>
          <w:p w14:paraId="0E5CB141">
            <w:pPr>
              <w:keepNext w:val="0"/>
              <w:keepLines w:val="0"/>
              <w:suppressLineNumbers w:val="0"/>
              <w:spacing w:before="0" w:beforeAutospacing="0" w:after="0" w:afterAutospacing="0"/>
              <w:ind w:left="0" w:right="0"/>
              <w:jc w:val="center"/>
              <w:rPr>
                <w:rFonts w:hint="eastAsia" w:ascii="Times New Roman" w:hAnsi="Times New Roman" w:eastAsia="仿宋" w:cs="Times New Roman"/>
                <w:color w:val="auto"/>
                <w:sz w:val="24"/>
                <w:highlight w:val="none"/>
              </w:rPr>
            </w:pPr>
            <w:r>
              <w:rPr>
                <w:rFonts w:hint="eastAsia" w:ascii="仿宋" w:hAnsi="仿宋" w:eastAsia="仿宋" w:cs="仿宋"/>
                <w:color w:val="auto"/>
                <w:sz w:val="24"/>
                <w:highlight w:val="none"/>
              </w:rPr>
              <w:t>售后服务方案（5分）</w:t>
            </w:r>
          </w:p>
        </w:tc>
        <w:tc>
          <w:tcPr>
            <w:tcW w:w="6260" w:type="dxa"/>
            <w:gridSpan w:val="2"/>
            <w:noWrap w:val="0"/>
            <w:vAlign w:val="center"/>
          </w:tcPr>
          <w:p w14:paraId="1C0EAB35">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根据投标人提供的售后服务方案（包括但不限于服务期内设备维护保养方案、其他服务方案等）进行综合打分：</w:t>
            </w:r>
          </w:p>
          <w:p w14:paraId="537AD2F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（1）售后服务方案完善，响应迅速，措施完善的，得5分；</w:t>
            </w:r>
          </w:p>
          <w:p w14:paraId="1A171205">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sz w:val="24"/>
                <w:highlight w:val="none"/>
              </w:rPr>
              <w:t>售后服务方案比较完善，响应比较快，措施合理，但存在个别瑕疵，得3分；</w:t>
            </w:r>
          </w:p>
          <w:p w14:paraId="4C00E119">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sz w:val="24"/>
                <w:highlight w:val="none"/>
              </w:rPr>
              <w:t xml:space="preserve">售后服务方案基本完善，响应速度基本满足要求，措施基本合理，但存在少量问题的，得 </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p>
          <w:p w14:paraId="5BB3C978">
            <w:pPr>
              <w:keepNext w:val="0"/>
              <w:keepLines w:val="0"/>
              <w:suppressLineNumbers w:val="0"/>
              <w:spacing w:before="0" w:beforeAutospacing="0" w:after="0" w:afterAutospacing="0"/>
              <w:ind w:left="0" w:right="0"/>
              <w:rPr>
                <w:rFonts w:hint="eastAsia" w:ascii="Times New Roman" w:hAnsi="Times New Roman" w:eastAsia="仿宋" w:cs="Times New Roman"/>
                <w:color w:val="auto"/>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sz w:val="24"/>
                <w:highlight w:val="none"/>
              </w:rPr>
              <w:t>未提供售后服务方案的，得 0 分。</w:t>
            </w:r>
          </w:p>
        </w:tc>
      </w:tr>
      <w:tr w14:paraId="76741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1" w:hRule="atLeast"/>
        </w:trPr>
        <w:tc>
          <w:tcPr>
            <w:tcW w:w="880" w:type="dxa"/>
            <w:noWrap w:val="0"/>
            <w:vAlign w:val="center"/>
          </w:tcPr>
          <w:p w14:paraId="0E9ED49E">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w:t>
            </w:r>
            <w:r>
              <w:rPr>
                <w:rFonts w:hint="eastAsia" w:ascii="宋体" w:hAnsi="宋体" w:eastAsia="仿宋" w:cs="Times New Roman"/>
                <w:color w:val="auto"/>
                <w:kern w:val="0"/>
                <w:sz w:val="24"/>
                <w:highlight w:val="none"/>
                <w:lang w:val="en-US" w:eastAsia="zh-CN"/>
              </w:rPr>
              <w:t>2</w:t>
            </w:r>
            <w:r>
              <w:rPr>
                <w:rFonts w:hint="eastAsia" w:ascii="宋体" w:hAnsi="宋体" w:eastAsia="仿宋" w:cs="Times New Roman"/>
                <w:color w:val="auto"/>
                <w:kern w:val="0"/>
                <w:sz w:val="24"/>
                <w:highlight w:val="none"/>
              </w:rPr>
              <w:t>）</w:t>
            </w:r>
          </w:p>
          <w:p w14:paraId="09125335">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投标</w:t>
            </w:r>
          </w:p>
          <w:p w14:paraId="375EC6BB">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报价</w:t>
            </w:r>
          </w:p>
        </w:tc>
        <w:tc>
          <w:tcPr>
            <w:tcW w:w="711" w:type="dxa"/>
            <w:noWrap w:val="0"/>
            <w:vAlign w:val="center"/>
          </w:tcPr>
          <w:p w14:paraId="306C6F3F">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7" w:type="dxa"/>
            <w:noWrap w:val="0"/>
            <w:vAlign w:val="center"/>
          </w:tcPr>
          <w:p w14:paraId="6A5A2EA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投标报价得分计算</w:t>
            </w:r>
          </w:p>
        </w:tc>
        <w:tc>
          <w:tcPr>
            <w:tcW w:w="4241" w:type="dxa"/>
            <w:noWrap w:val="0"/>
            <w:vAlign w:val="center"/>
          </w:tcPr>
          <w:p w14:paraId="2A17F79B">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满足招标文件要求且投标价格最低的投标报价的价格分为满分，其他投标人的价格分统一按照下列公式计算：</w:t>
            </w:r>
          </w:p>
          <w:p w14:paraId="49BF14BD">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投标报价得分＝（评标基准价/投标报价）×投标报价满分分值。</w:t>
            </w:r>
          </w:p>
        </w:tc>
        <w:tc>
          <w:tcPr>
            <w:tcW w:w="2019" w:type="dxa"/>
            <w:noWrap w:val="0"/>
            <w:vAlign w:val="center"/>
          </w:tcPr>
          <w:p w14:paraId="2E79BEAB">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符合价格扣除政策的，用扣除后的价格参与计算、评分</w:t>
            </w:r>
          </w:p>
        </w:tc>
      </w:tr>
      <w:tr w14:paraId="4641F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trPr>
        <w:tc>
          <w:tcPr>
            <w:tcW w:w="880" w:type="dxa"/>
            <w:noWrap w:val="0"/>
            <w:vAlign w:val="center"/>
          </w:tcPr>
          <w:p w14:paraId="143724A2">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w:t>
            </w:r>
            <w:r>
              <w:rPr>
                <w:rFonts w:hint="eastAsia" w:ascii="宋体" w:hAnsi="宋体" w:eastAsia="仿宋" w:cs="Times New Roman"/>
                <w:color w:val="auto"/>
                <w:kern w:val="0"/>
                <w:sz w:val="24"/>
                <w:highlight w:val="none"/>
                <w:lang w:val="en-US" w:eastAsia="zh-CN"/>
              </w:rPr>
              <w:t>3</w:t>
            </w:r>
            <w:r>
              <w:rPr>
                <w:rFonts w:hint="eastAsia" w:ascii="宋体" w:hAnsi="宋体" w:eastAsia="仿宋" w:cs="Times New Roman"/>
                <w:color w:val="auto"/>
                <w:kern w:val="0"/>
                <w:sz w:val="24"/>
                <w:highlight w:val="none"/>
              </w:rPr>
              <w:t>）</w:t>
            </w:r>
          </w:p>
          <w:p w14:paraId="1E8D5E19">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sz w:val="24"/>
                <w:highlight w:val="none"/>
              </w:rPr>
              <w:t>其他评分因素</w:t>
            </w:r>
          </w:p>
        </w:tc>
        <w:tc>
          <w:tcPr>
            <w:tcW w:w="711" w:type="dxa"/>
            <w:noWrap w:val="0"/>
            <w:vAlign w:val="center"/>
          </w:tcPr>
          <w:p w14:paraId="4747915A">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7" w:type="dxa"/>
            <w:noWrap w:val="0"/>
            <w:vAlign w:val="center"/>
          </w:tcPr>
          <w:p w14:paraId="1C6D781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其他评分因素（如有）</w:t>
            </w:r>
          </w:p>
        </w:tc>
        <w:tc>
          <w:tcPr>
            <w:tcW w:w="4241" w:type="dxa"/>
            <w:noWrap w:val="0"/>
            <w:vAlign w:val="center"/>
          </w:tcPr>
          <w:p w14:paraId="72719F72">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p>
        </w:tc>
        <w:tc>
          <w:tcPr>
            <w:tcW w:w="2019" w:type="dxa"/>
            <w:noWrap w:val="0"/>
            <w:vAlign w:val="center"/>
          </w:tcPr>
          <w:p w14:paraId="4C0FC0DD">
            <w:pPr>
              <w:keepNext w:val="0"/>
              <w:keepLines w:val="0"/>
              <w:suppressLineNumbers w:val="0"/>
              <w:snapToGrid w:val="0"/>
              <w:spacing w:before="0" w:beforeAutospacing="0" w:after="0" w:afterAutospacing="0" w:line="288" w:lineRule="auto"/>
              <w:ind w:left="-38"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p>
        </w:tc>
      </w:tr>
    </w:tbl>
    <w:p w14:paraId="54D0D9B1">
      <w:pPr>
        <w:pStyle w:val="151"/>
        <w:keepNext w:val="0"/>
        <w:keepLines w:val="0"/>
        <w:pageBreakBefore w:val="0"/>
        <w:widowControl/>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仿宋"/>
          <w:b w:val="0"/>
          <w:bCs/>
          <w:color w:val="auto"/>
          <w:sz w:val="24"/>
          <w:szCs w:val="24"/>
          <w:highlight w:val="none"/>
        </w:rPr>
      </w:pPr>
    </w:p>
    <w:p w14:paraId="1CF459DC">
      <w:pPr>
        <w:pStyle w:val="3"/>
        <w:widowControl/>
        <w:adjustRightInd w:val="0"/>
        <w:spacing w:before="0" w:after="0" w:line="360" w:lineRule="auto"/>
        <w:ind w:firstLine="482" w:firstLineChars="200"/>
        <w:rPr>
          <w:rFonts w:ascii="宋体" w:hAnsi="宋体" w:eastAsia="仿宋"/>
          <w:bCs w:val="0"/>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bookmarkStart w:id="781" w:name="_Toc445554766"/>
    </w:p>
    <w:p w14:paraId="4DE1BAAD">
      <w:pPr>
        <w:pStyle w:val="3"/>
        <w:widowControl/>
        <w:adjustRightInd w:val="0"/>
        <w:spacing w:before="0" w:after="0" w:line="360" w:lineRule="auto"/>
        <w:ind w:firstLine="482" w:firstLineChars="200"/>
        <w:rPr>
          <w:rFonts w:ascii="宋体" w:hAnsi="宋体" w:eastAsia="仿宋"/>
          <w:bCs w:val="0"/>
          <w:color w:val="auto"/>
          <w:sz w:val="24"/>
          <w:szCs w:val="24"/>
          <w:highlight w:val="none"/>
        </w:rPr>
      </w:pPr>
      <w:bookmarkStart w:id="782" w:name="_Toc455587282"/>
      <w:bookmarkStart w:id="783" w:name="_Toc455587098"/>
      <w:bookmarkStart w:id="784" w:name="_Toc466024565"/>
      <w:r>
        <w:rPr>
          <w:rFonts w:hint="eastAsia" w:ascii="宋体" w:hAnsi="宋体" w:eastAsia="仿宋"/>
          <w:bCs w:val="0"/>
          <w:color w:val="auto"/>
          <w:sz w:val="24"/>
          <w:szCs w:val="24"/>
          <w:highlight w:val="none"/>
        </w:rPr>
        <w:t>1. 评标方法</w:t>
      </w:r>
      <w:bookmarkEnd w:id="781"/>
      <w:bookmarkEnd w:id="782"/>
      <w:bookmarkEnd w:id="783"/>
      <w:bookmarkEnd w:id="784"/>
    </w:p>
    <w:p w14:paraId="137D1141">
      <w:pPr>
        <w:pStyle w:val="150"/>
        <w:adjustRightInd w:val="0"/>
        <w:snapToGrid w:val="0"/>
        <w:spacing w:line="360" w:lineRule="auto"/>
        <w:ind w:firstLine="480" w:firstLineChars="200"/>
        <w:rPr>
          <w:rFonts w:hint="eastAsia" w:ascii="ˎ̥" w:hAnsi="ˎ̥" w:eastAsia="仿宋" w:cs="宋体"/>
          <w:color w:val="auto"/>
          <w:sz w:val="24"/>
          <w:szCs w:val="24"/>
          <w:highlight w:val="none"/>
        </w:rPr>
      </w:pPr>
      <w:r>
        <w:rPr>
          <w:rFonts w:hint="eastAsia" w:ascii="ˎ̥" w:hAnsi="ˎ̥" w:eastAsia="仿宋" w:cs="宋体"/>
          <w:color w:val="auto"/>
          <w:sz w:val="24"/>
          <w:szCs w:val="24"/>
          <w:highlight w:val="none"/>
        </w:rPr>
        <w:t>本次评标采用综合评分法。评标委员会按照本章</w:t>
      </w:r>
      <w:r>
        <w:rPr>
          <w:rFonts w:hint="eastAsia" w:ascii="ˎ̥" w:hAnsi="ˎ̥" w:eastAsia="仿宋" w:cs="宋体"/>
          <w:color w:val="auto"/>
          <w:sz w:val="24"/>
          <w:szCs w:val="24"/>
          <w:highlight w:val="none"/>
          <w:lang w:val="en-US" w:eastAsia="zh-CN"/>
        </w:rPr>
        <w:t>第二节</w:t>
      </w:r>
      <w:r>
        <w:rPr>
          <w:rFonts w:hint="eastAsia" w:ascii="ˎ̥" w:hAnsi="ˎ̥" w:eastAsia="仿宋" w:cs="宋体"/>
          <w:color w:val="auto"/>
          <w:sz w:val="24"/>
          <w:szCs w:val="24"/>
          <w:highlight w:val="none"/>
        </w:rPr>
        <w:t>第3条规定的评审标准对通过资格审查的投标文件进行评审，在投标文件满足招标文件全部实质性要求的投标人中，按</w:t>
      </w:r>
      <w:r>
        <w:rPr>
          <w:rFonts w:hint="eastAsia" w:ascii="ˎ̥" w:hAnsi="ˎ̥" w:eastAsia="仿宋" w:cs="宋体"/>
          <w:color w:val="auto"/>
          <w:sz w:val="24"/>
          <w:szCs w:val="24"/>
          <w:highlight w:val="none"/>
          <w:lang w:val="en-US" w:eastAsia="zh-CN"/>
        </w:rPr>
        <w:t>总</w:t>
      </w:r>
      <w:r>
        <w:rPr>
          <w:rFonts w:hint="eastAsia" w:ascii="ˎ̥" w:hAnsi="ˎ̥" w:eastAsia="仿宋" w:cs="宋体"/>
          <w:color w:val="auto"/>
          <w:sz w:val="24"/>
          <w:szCs w:val="24"/>
          <w:highlight w:val="none"/>
        </w:rPr>
        <w:t>得分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w:t>
      </w:r>
      <w:r>
        <w:rPr>
          <w:rFonts w:hint="eastAsia" w:ascii="ˎ̥" w:hAnsi="ˎ̥" w:eastAsia="仿宋" w:cs="宋体"/>
          <w:color w:val="auto"/>
          <w:sz w:val="24"/>
          <w:szCs w:val="24"/>
          <w:highlight w:val="none"/>
          <w:lang w:val="en-US" w:eastAsia="zh-CN"/>
        </w:rPr>
        <w:t>随机</w:t>
      </w:r>
      <w:r>
        <w:rPr>
          <w:rFonts w:hint="eastAsia" w:ascii="ˎ̥" w:hAnsi="ˎ̥" w:eastAsia="仿宋" w:cs="宋体"/>
          <w:color w:val="auto"/>
          <w:sz w:val="24"/>
          <w:szCs w:val="24"/>
          <w:highlight w:val="none"/>
        </w:rPr>
        <w:t>抽签方式确定中标候选人排序。</w:t>
      </w:r>
    </w:p>
    <w:p w14:paraId="0798E848">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785" w:name="_Toc455587100"/>
      <w:bookmarkStart w:id="786" w:name="_Toc455587284"/>
      <w:bookmarkStart w:id="787" w:name="_Toc466024567"/>
      <w:bookmarkStart w:id="788" w:name="_Toc445554768"/>
      <w:r>
        <w:rPr>
          <w:rFonts w:hint="eastAsia" w:ascii="宋体" w:hAnsi="宋体" w:eastAsia="仿宋"/>
          <w:bCs w:val="0"/>
          <w:color w:val="auto"/>
          <w:sz w:val="24"/>
          <w:szCs w:val="24"/>
          <w:highlight w:val="none"/>
        </w:rPr>
        <w:t>2. 评标委员会的组成和职责</w:t>
      </w:r>
      <w:bookmarkEnd w:id="785"/>
      <w:bookmarkEnd w:id="786"/>
      <w:bookmarkEnd w:id="787"/>
      <w:bookmarkEnd w:id="788"/>
    </w:p>
    <w:p w14:paraId="6FBB0154">
      <w:pPr>
        <w:pStyle w:val="151"/>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2.1 评标委员会的组成</w:t>
      </w:r>
    </w:p>
    <w:p w14:paraId="6DCFA6F6">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评标委员会由采购人依法组建。</w:t>
      </w:r>
      <w:r>
        <w:rPr>
          <w:rFonts w:hint="eastAsia" w:ascii="宋体" w:hAnsi="宋体" w:eastAsia="仿宋" w:cs="宋体"/>
          <w:color w:val="auto"/>
          <w:sz w:val="24"/>
          <w:szCs w:val="24"/>
          <w:highlight w:val="none"/>
        </w:rPr>
        <w:t>评标委员会应当推选组长，但采购人代表不得担任组长。</w:t>
      </w:r>
    </w:p>
    <w:p w14:paraId="5EE6261B">
      <w:pPr>
        <w:pStyle w:val="151"/>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2.2 评标委员会的职责</w:t>
      </w:r>
    </w:p>
    <w:p w14:paraId="7373DD9F">
      <w:pPr>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根据</w:t>
      </w:r>
      <w:r>
        <w:rPr>
          <w:rFonts w:hint="eastAsia" w:ascii="Arial" w:hAnsi="Arial" w:eastAsia="仿宋" w:cs="Arial"/>
          <w:color w:val="auto"/>
          <w:kern w:val="0"/>
          <w:sz w:val="24"/>
          <w:highlight w:val="none"/>
        </w:rPr>
        <w:t>招标</w:t>
      </w:r>
      <w:r>
        <w:rPr>
          <w:rFonts w:ascii="Arial" w:hAnsi="Arial" w:eastAsia="仿宋" w:cs="Arial"/>
          <w:color w:val="auto"/>
          <w:kern w:val="0"/>
          <w:sz w:val="24"/>
          <w:highlight w:val="none"/>
        </w:rPr>
        <w:t>文件规定的评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程序、评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方法和评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标准进行独立评审。</w:t>
      </w:r>
      <w:r>
        <w:rPr>
          <w:rFonts w:hint="eastAsia" w:ascii="宋体" w:hAnsi="宋体" w:eastAsia="仿宋"/>
          <w:color w:val="auto"/>
          <w:sz w:val="24"/>
          <w:highlight w:val="none"/>
        </w:rPr>
        <w:t>评标委员会成员</w:t>
      </w:r>
      <w:r>
        <w:rPr>
          <w:rFonts w:ascii="Arial" w:hAnsi="Arial" w:eastAsia="仿宋" w:cs="Arial"/>
          <w:color w:val="auto"/>
          <w:kern w:val="0"/>
          <w:sz w:val="24"/>
          <w:highlight w:val="none"/>
        </w:rPr>
        <w:t>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报告上签字，对自己的评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意见承担法律责任。对需要共同认定的事项存在争议的，按照少数服从多数的原则做出结论。对评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报告有异议的，应当在评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报告上签署不同意见并说明理由，否则视为同意评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w:t>
      </w:r>
    </w:p>
    <w:p w14:paraId="48E87A11">
      <w:pPr>
        <w:pStyle w:val="151"/>
        <w:snapToGrid w:val="0"/>
        <w:spacing w:line="360" w:lineRule="auto"/>
        <w:ind w:firstLine="482"/>
        <w:rPr>
          <w:rFonts w:hint="eastAsia" w:ascii="宋体" w:hAnsi="宋体" w:eastAsia="仿宋" w:cs="Times New Roman"/>
          <w:b/>
          <w:color w:val="auto"/>
          <w:sz w:val="24"/>
          <w:szCs w:val="24"/>
          <w:highlight w:val="none"/>
          <w:lang w:eastAsia="zh-CN"/>
        </w:rPr>
      </w:pPr>
      <w:r>
        <w:rPr>
          <w:rFonts w:hint="eastAsia" w:ascii="宋体" w:hAnsi="宋体" w:eastAsia="仿宋" w:cs="Times New Roman"/>
          <w:b/>
          <w:color w:val="auto"/>
          <w:kern w:val="0"/>
          <w:sz w:val="24"/>
          <w:szCs w:val="24"/>
          <w:highlight w:val="none"/>
          <w:lang w:eastAsia="zh-CN"/>
        </w:rPr>
        <w:t>2</w:t>
      </w:r>
      <w:r>
        <w:rPr>
          <w:rFonts w:hint="default" w:ascii="宋体" w:hAnsi="宋体" w:eastAsia="仿宋" w:cs="Times New Roman"/>
          <w:b/>
          <w:color w:val="auto"/>
          <w:sz w:val="24"/>
          <w:szCs w:val="24"/>
          <w:highlight w:val="none"/>
          <w:lang w:eastAsia="zh-CN"/>
        </w:rPr>
        <w:t>.3 对评标委员会成员的纪律要求</w:t>
      </w:r>
    </w:p>
    <w:p w14:paraId="17DD15AE">
      <w:pPr>
        <w:widowControl/>
        <w:adjustRightInd/>
        <w:snapToGrid/>
        <w:spacing w:line="360" w:lineRule="auto"/>
        <w:ind w:firstLine="480" w:firstLineChars="200"/>
        <w:rPr>
          <w:rFonts w:ascii="Arial" w:hAnsi="Arial" w:eastAsia="仿宋" w:cs="Arial"/>
          <w:color w:val="auto"/>
          <w:kern w:val="0"/>
          <w:sz w:val="24"/>
          <w:highlight w:val="none"/>
        </w:rPr>
      </w:pPr>
      <w:r>
        <w:rPr>
          <w:rFonts w:hint="default" w:ascii="Arial" w:hAnsi="Arial" w:eastAsia="仿宋" w:cs="Arial"/>
          <w:color w:val="auto"/>
          <w:kern w:val="0"/>
          <w:sz w:val="24"/>
          <w:highlight w:val="none"/>
        </w:rPr>
        <w:t>评标委员会成员不得收受他人的财物或者其他好处，不得向他人</w:t>
      </w:r>
      <w:r>
        <w:rPr>
          <w:rFonts w:hint="eastAsia" w:ascii="Arial" w:hAnsi="Arial" w:eastAsia="仿宋" w:cs="Arial"/>
          <w:color w:val="auto"/>
          <w:kern w:val="0"/>
          <w:sz w:val="24"/>
          <w:highlight w:val="none"/>
          <w:lang w:eastAsia="zh-CN"/>
        </w:rPr>
        <w:t>透露</w:t>
      </w:r>
      <w:r>
        <w:rPr>
          <w:rFonts w:hint="default" w:ascii="Arial" w:hAnsi="Arial" w:eastAsia="仿宋" w:cs="Arial"/>
          <w:color w:val="auto"/>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79E14B96">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789" w:name="_Toc445554770"/>
      <w:bookmarkStart w:id="790" w:name="_Toc455587102"/>
      <w:bookmarkStart w:id="791" w:name="_Toc455587286"/>
      <w:bookmarkStart w:id="792" w:name="_Toc466024569"/>
      <w:bookmarkStart w:id="793" w:name="_Toc445554769"/>
      <w:bookmarkStart w:id="794" w:name="_Toc466024568"/>
      <w:bookmarkStart w:id="795" w:name="_Toc455587285"/>
      <w:bookmarkStart w:id="796" w:name="_Toc455587101"/>
      <w:r>
        <w:rPr>
          <w:rFonts w:hint="eastAsia" w:ascii="宋体" w:hAnsi="宋体" w:eastAsia="仿宋"/>
          <w:bCs w:val="0"/>
          <w:color w:val="auto"/>
          <w:sz w:val="24"/>
          <w:szCs w:val="24"/>
          <w:highlight w:val="none"/>
        </w:rPr>
        <w:t>3. 评审标准</w:t>
      </w:r>
      <w:bookmarkEnd w:id="789"/>
      <w:bookmarkEnd w:id="790"/>
      <w:bookmarkEnd w:id="791"/>
      <w:bookmarkEnd w:id="792"/>
    </w:p>
    <w:p w14:paraId="3D165AD8">
      <w:pPr>
        <w:pStyle w:val="150"/>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 符合性审查标准</w:t>
      </w:r>
    </w:p>
    <w:p w14:paraId="682008DB">
      <w:pPr>
        <w:pStyle w:val="150"/>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lang w:val="en-US" w:eastAsia="zh-CN"/>
        </w:rPr>
        <w:t>3</w:t>
      </w:r>
      <w:r>
        <w:rPr>
          <w:rFonts w:hint="eastAsia" w:ascii="宋体" w:hAnsi="宋体" w:eastAsia="仿宋"/>
          <w:b/>
          <w:color w:val="auto"/>
          <w:sz w:val="24"/>
          <w:szCs w:val="24"/>
          <w:highlight w:val="none"/>
        </w:rPr>
        <w:t>.1</w:t>
      </w:r>
      <w:r>
        <w:rPr>
          <w:rFonts w:hint="eastAsia" w:ascii="宋体" w:hAnsi="宋体" w:eastAsia="仿宋"/>
          <w:b/>
          <w:color w:val="auto"/>
          <w:sz w:val="24"/>
          <w:szCs w:val="24"/>
          <w:highlight w:val="none"/>
          <w:lang w:val="en-US" w:eastAsia="zh-CN"/>
        </w:rPr>
        <w:t>.1</w:t>
      </w:r>
      <w:r>
        <w:rPr>
          <w:rFonts w:hint="eastAsia" w:ascii="宋体" w:hAnsi="宋体" w:eastAsia="仿宋"/>
          <w:b/>
          <w:color w:val="auto"/>
          <w:sz w:val="24"/>
          <w:szCs w:val="24"/>
          <w:highlight w:val="none"/>
        </w:rPr>
        <w:t xml:space="preserve"> 评标委员会对资格审查合格的投标人的投标文件进行符合性审查，以确定其是否满足招标文件的实质性要求。</w:t>
      </w:r>
    </w:p>
    <w:p w14:paraId="2767D0EB">
      <w:pPr>
        <w:pStyle w:val="150"/>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lang w:val="en-US" w:eastAsia="zh-CN"/>
        </w:rPr>
        <w:t>3.</w:t>
      </w:r>
      <w:r>
        <w:rPr>
          <w:rFonts w:hint="eastAsia" w:ascii="宋体" w:hAnsi="宋体" w:eastAsia="仿宋"/>
          <w:b/>
          <w:color w:val="auto"/>
          <w:sz w:val="24"/>
          <w:szCs w:val="24"/>
          <w:highlight w:val="none"/>
        </w:rPr>
        <w:t>1.2 评标委员会根据《符合性审查</w:t>
      </w:r>
      <w:r>
        <w:rPr>
          <w:rFonts w:hint="eastAsia" w:ascii="宋体" w:hAnsi="宋体" w:eastAsia="仿宋"/>
          <w:b/>
          <w:color w:val="auto"/>
          <w:sz w:val="24"/>
          <w:szCs w:val="24"/>
          <w:highlight w:val="none"/>
          <w:lang w:val="en-US" w:eastAsia="zh-CN"/>
        </w:rPr>
        <w:t>表</w:t>
      </w:r>
      <w:r>
        <w:rPr>
          <w:rFonts w:hint="eastAsia" w:ascii="宋体" w:hAnsi="宋体" w:eastAsia="仿宋"/>
          <w:b/>
          <w:color w:val="auto"/>
          <w:sz w:val="24"/>
          <w:szCs w:val="24"/>
          <w:highlight w:val="none"/>
        </w:rPr>
        <w:t>》中规定的审查因素和审查</w:t>
      </w:r>
      <w:r>
        <w:rPr>
          <w:rFonts w:hint="eastAsia" w:ascii="宋体" w:hAnsi="宋体" w:eastAsia="仿宋"/>
          <w:b/>
          <w:color w:val="auto"/>
          <w:sz w:val="24"/>
          <w:szCs w:val="24"/>
          <w:highlight w:val="none"/>
          <w:lang w:val="en-US" w:eastAsia="zh-CN"/>
        </w:rPr>
        <w:t>标准</w:t>
      </w:r>
      <w:r>
        <w:rPr>
          <w:rFonts w:hint="eastAsia" w:ascii="宋体" w:hAnsi="宋体" w:eastAsia="仿宋"/>
          <w:b/>
          <w:color w:val="auto"/>
          <w:sz w:val="24"/>
          <w:szCs w:val="24"/>
          <w:highlight w:val="none"/>
        </w:rPr>
        <w:t>，对投标人的投标文件是否实质上响应招标文件进行符合性审查，并形成符合性审查评审结果。投标人有任何一项不符合要求的，投标无效。</w:t>
      </w:r>
    </w:p>
    <w:p w14:paraId="2094EB6A">
      <w:pPr>
        <w:pStyle w:val="150"/>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3.2 分值构成与详细评审标准</w:t>
      </w:r>
    </w:p>
    <w:p w14:paraId="201442D0">
      <w:pPr>
        <w:pStyle w:val="150"/>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3.2.1 分值构成：见评标办法前附表。</w:t>
      </w:r>
    </w:p>
    <w:p w14:paraId="36E9BA9C">
      <w:pPr>
        <w:pStyle w:val="150"/>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3.2.2 评标基准价计算：见评标办法前附表。</w:t>
      </w:r>
    </w:p>
    <w:p w14:paraId="3A7E0D06">
      <w:pPr>
        <w:pStyle w:val="150"/>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3.2.3 评分标准：见评标办法前附表。</w:t>
      </w:r>
    </w:p>
    <w:p w14:paraId="0071F8CA">
      <w:pPr>
        <w:pStyle w:val="150"/>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3.2.4 取评标委员会对各投标人评审得分的算术平均值作为投标人得分，其中投标报价得分按规定进行计算。</w:t>
      </w:r>
    </w:p>
    <w:p w14:paraId="29D0CD84">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r>
        <w:rPr>
          <w:rFonts w:hint="eastAsia" w:ascii="宋体" w:hAnsi="宋体" w:eastAsia="仿宋"/>
          <w:bCs w:val="0"/>
          <w:color w:val="auto"/>
          <w:sz w:val="24"/>
          <w:szCs w:val="24"/>
          <w:highlight w:val="none"/>
        </w:rPr>
        <w:t>4. 评标程序</w:t>
      </w:r>
      <w:bookmarkEnd w:id="793"/>
      <w:bookmarkEnd w:id="794"/>
      <w:bookmarkEnd w:id="795"/>
      <w:bookmarkEnd w:id="796"/>
    </w:p>
    <w:p w14:paraId="4A073480">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资格审查完成后，合格投标人不少于3家的，开始评标工作。评标先做准备工作，再进行符合性审查，然后进行详细评审。</w:t>
      </w:r>
    </w:p>
    <w:p w14:paraId="7236438F">
      <w:pPr>
        <w:pStyle w:val="151"/>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4.1 评标准备工作</w:t>
      </w:r>
    </w:p>
    <w:p w14:paraId="377C8507">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评标委员会熟悉评标</w:t>
      </w:r>
      <w:bookmarkStart w:id="797" w:name="_Hlk79160145"/>
      <w:r>
        <w:rPr>
          <w:rFonts w:hint="eastAsia" w:ascii="宋体" w:hAnsi="宋体" w:eastAsia="仿宋"/>
          <w:color w:val="auto"/>
          <w:sz w:val="24"/>
          <w:szCs w:val="24"/>
          <w:highlight w:val="none"/>
        </w:rPr>
        <w:t>工作</w:t>
      </w:r>
      <w:bookmarkEnd w:id="797"/>
      <w:r>
        <w:rPr>
          <w:rFonts w:hint="eastAsia" w:ascii="宋体" w:hAnsi="宋体" w:eastAsia="仿宋"/>
          <w:color w:val="auto"/>
          <w:sz w:val="24"/>
          <w:szCs w:val="24"/>
          <w:highlight w:val="none"/>
        </w:rPr>
        <w:t>情况：</w:t>
      </w:r>
    </w:p>
    <w:p w14:paraId="61C4F97C">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（1）听取采购人或者其委托的采购代理机构对招标项目情况的介绍；</w:t>
      </w:r>
    </w:p>
    <w:p w14:paraId="27B03E32">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22D0F819">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（3）熟悉招标文件规定的评标标准和评标方法及在评标过程中需要考虑的相关因素；</w:t>
      </w:r>
    </w:p>
    <w:p w14:paraId="2BDEE918">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（4）核对评标工作资料；</w:t>
      </w:r>
    </w:p>
    <w:p w14:paraId="7721FA3E">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（5）使用电子评标方式的，还应当熟悉电子评标系统使用方法。</w:t>
      </w:r>
    </w:p>
    <w:p w14:paraId="18C7AA75">
      <w:pPr>
        <w:pStyle w:val="151"/>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4.2 符合性审查</w:t>
      </w:r>
    </w:p>
    <w:p w14:paraId="55AD15F7">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4.2.1 评标委员会依据本章规定的标准对投标文件进行符合性审查。有一项不符合评审标准的，按无效投标处理。</w:t>
      </w:r>
    </w:p>
    <w:p w14:paraId="5F8F1177">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4.2.2 投标人有以下情形之一的，按照无效投标处理：</w:t>
      </w:r>
    </w:p>
    <w:p w14:paraId="32B79E85">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（1）不按评标委员会要求澄清、说明或补正的；</w:t>
      </w:r>
    </w:p>
    <w:p w14:paraId="79F60A15">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（2）未实质性响应招标文件的；</w:t>
      </w:r>
    </w:p>
    <w:p w14:paraId="390ED5B1">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（3）投标文件中存在采购人不能接受的其它附加实质性条件的；</w:t>
      </w:r>
    </w:p>
    <w:p w14:paraId="2D9FC5A8">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（4）串通投标或弄虚作假或有其他违法行为的；</w:t>
      </w:r>
    </w:p>
    <w:p w14:paraId="1B29DD1C">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（5）法律、法规和规章规定的其他情形的。</w:t>
      </w:r>
    </w:p>
    <w:p w14:paraId="2811E095">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4.2.3 投标文件报价出现前后不一致的，按照下列规定修正：</w:t>
      </w:r>
    </w:p>
    <w:p w14:paraId="7DAED9DB">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（1）投标文件中开标一览表（报价表）内容与投标文件中相应内容不一致的，以开标一览表（报价表）为准；</w:t>
      </w:r>
    </w:p>
    <w:p w14:paraId="1B44EC49">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（2）大写金额和小写金额不一致的，以大写金额为准；</w:t>
      </w:r>
    </w:p>
    <w:p w14:paraId="4D442AB1">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（3）单价金额小数点或者百分比有明显错位的，以开标一览表的总价为准，并修改单价；</w:t>
      </w:r>
    </w:p>
    <w:p w14:paraId="73168F6F">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（4）总价金额与按单价汇总金额不一致的，以单价金额计算结果为准。</w:t>
      </w:r>
    </w:p>
    <w:p w14:paraId="5F6A6888">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同时出现两种以上不一致的，按照前款规定的顺序修正。修正后的报价经投标人确认后产生约束力，投标人不确认的，其投标无效。</w:t>
      </w:r>
    </w:p>
    <w:p w14:paraId="3F0AC61B">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中标后，按修正后的投标报价为基准，按同比例修正各单价。</w:t>
      </w:r>
    </w:p>
    <w:p w14:paraId="36C7D680">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4.2.4 评标委员会按照规定的原则对投标报价进行校核时，发现投标报价存在多处算术错误或漏项的，使得投标报价校核无法进行的，其投标按无效处理。</w:t>
      </w:r>
    </w:p>
    <w:p w14:paraId="55A5401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szCs w:val="24"/>
          <w:highlight w:val="none"/>
          <w:lang w:val="en-US" w:eastAsia="zh-CN"/>
        </w:rPr>
        <w:t xml:space="preserve">4.2.5 </w:t>
      </w:r>
      <w:r>
        <w:rPr>
          <w:rFonts w:hint="eastAsia" w:ascii="宋体" w:hAnsi="宋体" w:eastAsia="仿宋" w:cs="Times New Roman"/>
          <w:color w:val="auto"/>
          <w:sz w:val="24"/>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DB5E7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s="Times New Roman"/>
          <w:color w:val="auto"/>
          <w:sz w:val="24"/>
          <w:highlight w:val="none"/>
          <w:lang w:val="en-US" w:eastAsia="zh-CN"/>
        </w:rPr>
        <w:t xml:space="preserve">4.2.6 </w:t>
      </w:r>
      <w:r>
        <w:rPr>
          <w:rFonts w:hint="eastAsia" w:ascii="宋体" w:hAnsi="宋体" w:eastAsia="仿宋"/>
          <w:color w:val="auto"/>
          <w:sz w:val="24"/>
          <w:highlight w:val="none"/>
        </w:rPr>
        <w:t>投标报价出现下列情形的，投标无效：</w:t>
      </w:r>
    </w:p>
    <w:p w14:paraId="498B168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1</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投标文件提交两个</w:t>
      </w:r>
      <w:r>
        <w:rPr>
          <w:rFonts w:hint="eastAsia" w:ascii="宋体" w:hAnsi="宋体" w:eastAsia="仿宋"/>
          <w:color w:val="auto"/>
          <w:sz w:val="24"/>
          <w:highlight w:val="none"/>
          <w:lang w:val="en-US" w:eastAsia="zh-CN"/>
        </w:rPr>
        <w:t>及</w:t>
      </w:r>
      <w:r>
        <w:rPr>
          <w:rFonts w:hint="eastAsia" w:ascii="宋体" w:hAnsi="宋体" w:eastAsia="仿宋"/>
          <w:color w:val="auto"/>
          <w:sz w:val="24"/>
          <w:highlight w:val="none"/>
        </w:rPr>
        <w:t>以上的投标报价</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提交</w:t>
      </w:r>
      <w:r>
        <w:rPr>
          <w:rFonts w:hint="eastAsia" w:ascii="宋体" w:hAnsi="宋体" w:eastAsia="仿宋"/>
          <w:color w:val="auto"/>
          <w:sz w:val="24"/>
          <w:highlight w:val="none"/>
        </w:rPr>
        <w:t>任何有选择性的报价或者</w:t>
      </w:r>
      <w:r>
        <w:rPr>
          <w:rFonts w:hint="eastAsia" w:ascii="宋体" w:hAnsi="宋体" w:eastAsia="仿宋"/>
          <w:color w:val="auto"/>
          <w:sz w:val="24"/>
          <w:highlight w:val="none"/>
          <w:lang w:val="en-US" w:eastAsia="zh-CN"/>
        </w:rPr>
        <w:t>提交</w:t>
      </w:r>
      <w:r>
        <w:rPr>
          <w:rFonts w:hint="eastAsia" w:ascii="宋体" w:hAnsi="宋体" w:eastAsia="仿宋"/>
          <w:color w:val="auto"/>
          <w:sz w:val="24"/>
          <w:highlight w:val="none"/>
        </w:rPr>
        <w:t>有附加条件的报价的投标将按无效处理，投标人须知前附表允许递交备选方案的除外；</w:t>
      </w:r>
    </w:p>
    <w:p w14:paraId="61E9A0DD">
      <w:pPr>
        <w:widowControl/>
        <w:adjustRightInd w:val="0"/>
        <w:snapToGrid w:val="0"/>
        <w:spacing w:line="360" w:lineRule="auto"/>
        <w:ind w:firstLine="480" w:firstLineChars="200"/>
        <w:rPr>
          <w:rFonts w:hint="eastAsia" w:ascii="宋体" w:hAnsi="宋体" w:eastAsia="仿宋"/>
          <w:color w:val="auto"/>
          <w:sz w:val="24"/>
          <w:highlight w:val="none"/>
          <w:lang w:eastAsia="zh-CN"/>
        </w:rPr>
      </w:pP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投标报价超过招标文件中规定的预算金额或者最高限价的</w:t>
      </w:r>
      <w:r>
        <w:rPr>
          <w:rFonts w:hint="eastAsia" w:ascii="宋体" w:hAnsi="宋体" w:eastAsia="仿宋"/>
          <w:color w:val="auto"/>
          <w:sz w:val="24"/>
          <w:highlight w:val="none"/>
          <w:lang w:eastAsia="zh-CN"/>
        </w:rPr>
        <w:t>；</w:t>
      </w:r>
    </w:p>
    <w:p w14:paraId="20F16C23">
      <w:pPr>
        <w:widowControl/>
        <w:adjustRightInd w:val="0"/>
        <w:snapToGrid w:val="0"/>
        <w:spacing w:line="360" w:lineRule="auto"/>
        <w:ind w:firstLine="480" w:firstLineChars="200"/>
        <w:rPr>
          <w:rFonts w:hint="eastAsia" w:ascii="宋体" w:hAnsi="宋体" w:eastAsia="仿宋"/>
          <w:color w:val="auto"/>
          <w:sz w:val="24"/>
          <w:highlight w:val="none"/>
          <w:lang w:eastAsia="zh-CN"/>
        </w:rPr>
      </w:pP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lang w:eastAsia="zh-CN"/>
        </w:rPr>
        <w:t>）评标委员会认为投标人的报价</w:t>
      </w:r>
      <w:r>
        <w:rPr>
          <w:rFonts w:hint="eastAsia" w:ascii="宋体" w:hAnsi="宋体" w:eastAsia="仿宋"/>
          <w:color w:val="auto"/>
          <w:sz w:val="24"/>
          <w:highlight w:val="none"/>
        </w:rPr>
        <w:t>明显低于其他通过符合性审查投标人的报价，有可能影响产品质量或者不能诚信履约的，投标人未能按要求提供书面说明或者提交相关证明材料证明其报价合理性的</w:t>
      </w:r>
      <w:r>
        <w:rPr>
          <w:rFonts w:hint="eastAsia" w:ascii="宋体" w:hAnsi="宋体" w:eastAsia="仿宋"/>
          <w:color w:val="auto"/>
          <w:sz w:val="24"/>
          <w:highlight w:val="none"/>
          <w:lang w:eastAsia="zh-CN"/>
        </w:rPr>
        <w:t>；</w:t>
      </w:r>
    </w:p>
    <w:p w14:paraId="60E9A74A">
      <w:pPr>
        <w:widowControl/>
        <w:adjustRightInd w:val="0"/>
        <w:snapToGrid w:val="0"/>
        <w:spacing w:line="360" w:lineRule="auto"/>
        <w:ind w:firstLine="480" w:firstLineChars="200"/>
        <w:rPr>
          <w:rFonts w:hint="default" w:ascii="宋体" w:hAnsi="宋体" w:eastAsia="仿宋" w:cs="Times New Roman"/>
          <w:color w:val="auto"/>
          <w:sz w:val="24"/>
          <w:highlight w:val="none"/>
          <w:lang w:val="en-US" w:eastAsia="zh-CN"/>
        </w:rPr>
      </w:pP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4</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投标人对根据</w:t>
      </w:r>
      <w:r>
        <w:rPr>
          <w:rFonts w:hint="eastAsia" w:ascii="宋体" w:hAnsi="宋体" w:eastAsia="仿宋"/>
          <w:color w:val="auto"/>
          <w:sz w:val="24"/>
          <w:highlight w:val="none"/>
          <w:lang w:val="en-US" w:eastAsia="zh-CN"/>
        </w:rPr>
        <w:t>本章第二节4.2.3项规定</w:t>
      </w:r>
      <w:r>
        <w:rPr>
          <w:rFonts w:hint="eastAsia" w:ascii="宋体" w:hAnsi="宋体" w:eastAsia="仿宋"/>
          <w:color w:val="auto"/>
          <w:sz w:val="24"/>
          <w:highlight w:val="none"/>
        </w:rPr>
        <w:t>修正后的报价不确认的。</w:t>
      </w:r>
    </w:p>
    <w:p w14:paraId="02D4EBC1">
      <w:pPr>
        <w:pStyle w:val="151"/>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4.3 详细评审</w:t>
      </w:r>
    </w:p>
    <w:p w14:paraId="7D142950">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4.3.1 评标委员会按本章</w:t>
      </w:r>
      <w:r>
        <w:rPr>
          <w:rFonts w:hint="eastAsia" w:ascii="宋体" w:hAnsi="宋体" w:eastAsia="仿宋"/>
          <w:color w:val="auto"/>
          <w:sz w:val="24"/>
          <w:highlight w:val="none"/>
          <w:lang w:val="en-US" w:eastAsia="zh-CN"/>
        </w:rPr>
        <w:t>第二节</w:t>
      </w:r>
      <w:r>
        <w:rPr>
          <w:rFonts w:hint="eastAsia" w:ascii="宋体" w:hAnsi="宋体" w:eastAsia="仿宋"/>
          <w:color w:val="auto"/>
          <w:sz w:val="24"/>
          <w:szCs w:val="24"/>
          <w:highlight w:val="none"/>
          <w:lang w:val="en-US" w:eastAsia="zh-CN"/>
        </w:rPr>
        <w:t>3</w:t>
      </w:r>
      <w:r>
        <w:rPr>
          <w:rFonts w:hint="eastAsia" w:ascii="宋体" w:hAnsi="宋体" w:eastAsia="仿宋"/>
          <w:color w:val="auto"/>
          <w:sz w:val="24"/>
          <w:szCs w:val="24"/>
          <w:highlight w:val="none"/>
        </w:rPr>
        <w:t>.2款规定的标准进行评分，并计算各投标人综合评审得分。</w:t>
      </w:r>
    </w:p>
    <w:p w14:paraId="39E25F8E">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4.3.2 评标委员会成员对投标人的价格分和客观评分项的评分应当一致。采购人、采购代理机构应当对评审数据进行校对、核对。</w:t>
      </w:r>
    </w:p>
    <w:p w14:paraId="515350A3">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4.3.3 评分分值计算保留小数点后两位，小数点后第三位“四舍五入”。</w:t>
      </w:r>
    </w:p>
    <w:p w14:paraId="492101B1">
      <w:pPr>
        <w:pStyle w:val="151"/>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798" w:name="_Toc455587103"/>
      <w:bookmarkStart w:id="799" w:name="_Toc445554771"/>
      <w:bookmarkStart w:id="800" w:name="_Toc466024570"/>
      <w:bookmarkStart w:id="801" w:name="_Toc455587287"/>
      <w:r>
        <w:rPr>
          <w:rFonts w:hint="eastAsia" w:ascii="宋体" w:hAnsi="宋体" w:eastAsia="仿宋"/>
          <w:b/>
          <w:color w:val="auto"/>
          <w:sz w:val="24"/>
          <w:szCs w:val="24"/>
          <w:highlight w:val="none"/>
        </w:rPr>
        <w:t>4.4 投标文件的澄清</w:t>
      </w:r>
      <w:bookmarkEnd w:id="798"/>
      <w:bookmarkEnd w:id="799"/>
      <w:bookmarkEnd w:id="800"/>
      <w:bookmarkEnd w:id="801"/>
    </w:p>
    <w:p w14:paraId="1B543976">
      <w:pPr>
        <w:pStyle w:val="150"/>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04F67124">
      <w:pPr>
        <w:pStyle w:val="150"/>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1DAACAB0">
      <w:pPr>
        <w:pStyle w:val="150"/>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4.4.3 评标委员会对投标人提交的澄清、说明或补正有疑问的，可以要求投标人进一步澄清、说明或补正，直至满足评标委员会的要求。</w:t>
      </w:r>
    </w:p>
    <w:p w14:paraId="47F7E000">
      <w:pPr>
        <w:pStyle w:val="150"/>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4.4.4 实质上没有响应招标文件要求的投标将被拒绝。投标人不得通过修正或撤销不合要求的偏离或保留从而使其投标成为实质上响应的投标。评标委员会不接受投标人主动提出的澄清、说明或补正。</w:t>
      </w:r>
    </w:p>
    <w:p w14:paraId="58469184">
      <w:pPr>
        <w:pStyle w:val="151"/>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802" w:name="_Toc445554772"/>
      <w:bookmarkStart w:id="803" w:name="_Toc455587104"/>
      <w:bookmarkStart w:id="804" w:name="_Toc466024571"/>
      <w:bookmarkStart w:id="805" w:name="_Toc455587288"/>
      <w:r>
        <w:rPr>
          <w:rFonts w:hint="eastAsia" w:ascii="宋体" w:hAnsi="宋体" w:eastAsia="仿宋"/>
          <w:b/>
          <w:color w:val="auto"/>
          <w:sz w:val="24"/>
          <w:szCs w:val="24"/>
          <w:highlight w:val="none"/>
        </w:rPr>
        <w:t>4.5 评标结果</w:t>
      </w:r>
      <w:bookmarkEnd w:id="802"/>
      <w:bookmarkEnd w:id="803"/>
      <w:bookmarkEnd w:id="804"/>
      <w:bookmarkEnd w:id="805"/>
    </w:p>
    <w:p w14:paraId="1CE18D35">
      <w:pPr>
        <w:pStyle w:val="150"/>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4.5.1 除第二章投标人须知前附表</w:t>
      </w:r>
      <w:r>
        <w:rPr>
          <w:rFonts w:hint="eastAsia" w:ascii="宋体" w:hAnsi="宋体" w:eastAsia="仿宋"/>
          <w:color w:val="auto"/>
          <w:sz w:val="24"/>
          <w:szCs w:val="24"/>
          <w:highlight w:val="none"/>
          <w:lang w:val="en-US" w:eastAsia="zh-CN"/>
        </w:rPr>
        <w:t>授权评标委员会</w:t>
      </w:r>
      <w:r>
        <w:rPr>
          <w:rFonts w:hint="eastAsia" w:ascii="宋体" w:hAnsi="宋体" w:eastAsia="仿宋"/>
          <w:color w:val="auto"/>
          <w:sz w:val="24"/>
          <w:szCs w:val="24"/>
          <w:highlight w:val="none"/>
        </w:rPr>
        <w:t>直接确定中标人外，评标委员会按照得分由高到低的顺序推荐中标候选人，并标明排序。</w:t>
      </w:r>
    </w:p>
    <w:p w14:paraId="70BD31E5">
      <w:pPr>
        <w:pStyle w:val="150"/>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4.5.2 完成评标后，</w:t>
      </w:r>
      <w:r>
        <w:rPr>
          <w:rFonts w:hint="eastAsia" w:ascii="宋体" w:hAnsi="宋体" w:eastAsia="仿宋" w:cs="宋体"/>
          <w:color w:val="auto"/>
          <w:sz w:val="24"/>
          <w:szCs w:val="24"/>
          <w:highlight w:val="none"/>
        </w:rPr>
        <w:t>评标委员会根据全体评标成员签字的原始评标记录和评标结果编写评标报告。评标报告应当包括以下内容：</w:t>
      </w:r>
    </w:p>
    <w:p w14:paraId="243D4326">
      <w:pPr>
        <w:pStyle w:val="150"/>
        <w:adjustRightInd w:val="0"/>
        <w:spacing w:line="360" w:lineRule="auto"/>
        <w:ind w:firstLine="480" w:firstLineChars="200"/>
        <w:rPr>
          <w:rFonts w:ascii="宋体" w:hAnsi="宋体" w:eastAsia="仿宋" w:cs="宋体"/>
          <w:color w:val="auto"/>
          <w:sz w:val="24"/>
          <w:szCs w:val="24"/>
          <w:highlight w:val="none"/>
        </w:rPr>
      </w:pPr>
      <w:bookmarkStart w:id="806" w:name="_Toc455587289"/>
      <w:bookmarkStart w:id="807" w:name="_Toc455587105"/>
      <w:bookmarkStart w:id="808" w:name="_Toc445554773"/>
      <w:r>
        <w:rPr>
          <w:rFonts w:hint="eastAsia" w:ascii="宋体" w:hAnsi="宋体" w:eastAsia="仿宋" w:cs="宋体"/>
          <w:color w:val="auto"/>
          <w:sz w:val="24"/>
          <w:szCs w:val="24"/>
          <w:highlight w:val="none"/>
        </w:rPr>
        <w:t>（1）招标公告的</w:t>
      </w:r>
      <w:r>
        <w:rPr>
          <w:rFonts w:hint="eastAsia" w:ascii="宋体" w:hAnsi="宋体" w:eastAsia="仿宋" w:cs="宋体"/>
          <w:color w:val="auto"/>
          <w:sz w:val="24"/>
          <w:szCs w:val="24"/>
          <w:highlight w:val="none"/>
          <w:lang w:val="en-US" w:eastAsia="zh-CN"/>
        </w:rPr>
        <w:t>发布媒介</w:t>
      </w:r>
      <w:r>
        <w:rPr>
          <w:rFonts w:hint="eastAsia" w:ascii="宋体" w:hAnsi="宋体" w:eastAsia="仿宋" w:cs="宋体"/>
          <w:color w:val="auto"/>
          <w:sz w:val="24"/>
          <w:szCs w:val="24"/>
          <w:highlight w:val="none"/>
        </w:rPr>
        <w:t>、开标日期和地点；</w:t>
      </w:r>
    </w:p>
    <w:p w14:paraId="453885BF">
      <w:pPr>
        <w:pStyle w:val="150"/>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（2）投标人名单和评标委员会成员名单；</w:t>
      </w:r>
    </w:p>
    <w:p w14:paraId="06EC81E0">
      <w:pPr>
        <w:pStyle w:val="150"/>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（3）评标方法和标准；</w:t>
      </w:r>
    </w:p>
    <w:p w14:paraId="134505A8">
      <w:pPr>
        <w:pStyle w:val="150"/>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（4）开标记录和评标情况及说明，包括无效投标人名单及原因；</w:t>
      </w:r>
    </w:p>
    <w:p w14:paraId="5C6F3D43">
      <w:pPr>
        <w:pStyle w:val="150"/>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（5）评标结果，确定的中标候选人名单或者经采购人委托直接确定的中标人；</w:t>
      </w:r>
    </w:p>
    <w:p w14:paraId="65A09650">
      <w:pPr>
        <w:pStyle w:val="150"/>
        <w:adjustRightInd w:val="0"/>
        <w:spacing w:line="360" w:lineRule="auto"/>
        <w:ind w:firstLine="480" w:firstLineChars="200"/>
        <w:rPr>
          <w:rFonts w:hint="eastAsia" w:ascii="宋体" w:hAnsi="宋体" w:eastAsia="仿宋" w:cs="宋体"/>
          <w:color w:val="auto"/>
          <w:sz w:val="24"/>
          <w:szCs w:val="24"/>
          <w:highlight w:val="none"/>
        </w:rPr>
      </w:pPr>
      <w:r>
        <w:rPr>
          <w:rFonts w:hint="eastAsia" w:ascii="宋体" w:hAnsi="宋体" w:eastAsia="仿宋" w:cs="宋体"/>
          <w:color w:val="auto"/>
          <w:sz w:val="24"/>
          <w:szCs w:val="24"/>
          <w:highlight w:val="none"/>
        </w:rPr>
        <w:t>（6）其他需要说明的情况，包括评标过程中投标人根据评标委员会要求进行的澄清、说明或者补正，评标委员会成员的更换等。</w:t>
      </w:r>
    </w:p>
    <w:p w14:paraId="434F7661">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09" w:name="_Toc466024572"/>
      <w:r>
        <w:rPr>
          <w:rFonts w:hint="eastAsia" w:ascii="宋体" w:hAnsi="宋体" w:eastAsia="仿宋"/>
          <w:bCs w:val="0"/>
          <w:color w:val="auto"/>
          <w:sz w:val="24"/>
          <w:szCs w:val="24"/>
          <w:highlight w:val="none"/>
        </w:rPr>
        <w:t>5. 其他</w:t>
      </w:r>
      <w:bookmarkEnd w:id="806"/>
      <w:bookmarkEnd w:id="807"/>
      <w:bookmarkEnd w:id="808"/>
      <w:bookmarkEnd w:id="809"/>
    </w:p>
    <w:p w14:paraId="5F8FBEBB">
      <w:pPr>
        <w:pStyle w:val="150"/>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w:t>
      </w:r>
      <w:r>
        <w:rPr>
          <w:rFonts w:hint="eastAsia" w:ascii="宋体" w:hAnsi="宋体" w:eastAsia="仿宋"/>
          <w:color w:val="auto"/>
          <w:sz w:val="24"/>
          <w:szCs w:val="24"/>
          <w:highlight w:val="none"/>
          <w:lang w:eastAsia="zh-CN"/>
        </w:rPr>
        <w:t>候</w:t>
      </w:r>
      <w:r>
        <w:rPr>
          <w:rFonts w:hint="eastAsia" w:ascii="宋体" w:hAnsi="宋体" w:eastAsia="仿宋"/>
          <w:color w:val="auto"/>
          <w:sz w:val="24"/>
          <w:szCs w:val="24"/>
          <w:highlight w:val="none"/>
        </w:rPr>
        <w:t>选人中依照推荐次序确定中标人。</w:t>
      </w:r>
    </w:p>
    <w:p w14:paraId="4B03F28C">
      <w:pPr>
        <w:pStyle w:val="150"/>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5.2 投标人提供业绩、荣誉证书、资质资格证书、相关证明材料等文件及资料均须在投标文件中提供，电子投标文件中提供扫描件</w:t>
      </w:r>
      <w:r>
        <w:rPr>
          <w:rFonts w:hint="eastAsia" w:ascii="宋体" w:hAnsi="宋体" w:eastAsia="仿宋"/>
          <w:color w:val="auto"/>
          <w:sz w:val="24"/>
          <w:szCs w:val="24"/>
          <w:highlight w:val="none"/>
          <w:lang w:val="en-US" w:eastAsia="zh-CN"/>
        </w:rPr>
        <w:t>或电子证照</w:t>
      </w:r>
      <w:r>
        <w:rPr>
          <w:rFonts w:hint="eastAsia" w:ascii="宋体" w:hAnsi="宋体" w:eastAsia="仿宋"/>
          <w:color w:val="auto"/>
          <w:sz w:val="24"/>
          <w:szCs w:val="24"/>
          <w:highlight w:val="none"/>
        </w:rPr>
        <w:t>。如未在投标文件中提供，则</w:t>
      </w:r>
      <w:r>
        <w:rPr>
          <w:rFonts w:hint="eastAsia" w:ascii="宋体" w:hAnsi="宋体" w:eastAsia="仿宋"/>
          <w:color w:val="auto"/>
          <w:sz w:val="24"/>
          <w:szCs w:val="24"/>
          <w:highlight w:val="none"/>
          <w:lang w:val="en-US" w:eastAsia="zh-CN"/>
        </w:rPr>
        <w:t>资格审查、符合性审查相应项</w:t>
      </w:r>
      <w:r>
        <w:rPr>
          <w:rFonts w:hint="eastAsia" w:ascii="宋体" w:hAnsi="宋体" w:eastAsia="仿宋"/>
          <w:color w:val="auto"/>
          <w:sz w:val="24"/>
          <w:szCs w:val="24"/>
          <w:highlight w:val="none"/>
        </w:rPr>
        <w:t>视为不通过；评分项目相应项不予计分。</w:t>
      </w:r>
    </w:p>
    <w:p w14:paraId="39F0EF89">
      <w:pPr>
        <w:widowControl/>
        <w:spacing w:line="400" w:lineRule="exact"/>
        <w:ind w:firstLine="480" w:firstLineChars="200"/>
        <w:rPr>
          <w:rFonts w:ascii="宋体" w:hAnsi="宋体" w:eastAsia="仿宋"/>
          <w:color w:val="auto"/>
          <w:sz w:val="24"/>
          <w:highlight w:val="none"/>
        </w:rPr>
      </w:pPr>
    </w:p>
    <w:p w14:paraId="69DCE936">
      <w:pPr>
        <w:widowControl/>
        <w:spacing w:line="400" w:lineRule="exact"/>
        <w:ind w:firstLine="480" w:firstLineChars="200"/>
        <w:rPr>
          <w:rFonts w:ascii="宋体" w:hAnsi="宋体" w:eastAsia="仿宋"/>
          <w:color w:val="auto"/>
          <w:sz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DFD2F10">
      <w:pPr>
        <w:pStyle w:val="2"/>
        <w:widowControl/>
        <w:spacing w:before="0" w:after="0" w:line="240" w:lineRule="auto"/>
        <w:jc w:val="center"/>
        <w:rPr>
          <w:rFonts w:hint="eastAsia" w:ascii="宋体" w:hAnsi="宋体" w:eastAsia="仿宋"/>
          <w:i w:val="0"/>
          <w:iCs w:val="0"/>
          <w:color w:val="auto"/>
          <w:highlight w:val="none"/>
        </w:rPr>
      </w:pPr>
      <w:bookmarkStart w:id="810" w:name="_Toc466024582"/>
      <w:bookmarkStart w:id="811" w:name="_Toc445554783"/>
      <w:bookmarkStart w:id="812" w:name="_Toc395"/>
      <w:bookmarkStart w:id="813" w:name="_Toc256434217"/>
      <w:bookmarkStart w:id="814" w:name="_Toc162406884"/>
      <w:bookmarkStart w:id="815" w:name="_Toc192231354"/>
      <w:bookmarkStart w:id="816" w:name="_Toc153630652"/>
      <w:bookmarkStart w:id="817" w:name="_Toc199585022"/>
      <w:bookmarkStart w:id="818" w:name="_Toc138323410"/>
      <w:bookmarkStart w:id="819" w:name="_Toc221418700"/>
      <w:bookmarkStart w:id="820" w:name="_Toc176780575"/>
      <w:bookmarkStart w:id="821" w:name="_Toc139194404"/>
      <w:bookmarkStart w:id="822" w:name="_Toc152696791"/>
      <w:bookmarkStart w:id="823" w:name="_Toc162410278"/>
      <w:bookmarkStart w:id="824" w:name="_Toc256955329"/>
      <w:bookmarkStart w:id="825" w:name="_Toc177181404"/>
      <w:bookmarkStart w:id="826" w:name="_Toc256409867"/>
      <w:bookmarkStart w:id="827" w:name="_Toc138638816"/>
      <w:bookmarkStart w:id="828" w:name="_Toc153635713"/>
      <w:bookmarkStart w:id="829" w:name="_Toc153636085"/>
      <w:bookmarkStart w:id="830" w:name="_Toc165463683"/>
      <w:bookmarkStart w:id="831" w:name="_Toc153485042"/>
      <w:bookmarkStart w:id="832" w:name="_Toc255490647"/>
      <w:bookmarkStart w:id="833" w:name="_Toc162331289"/>
      <w:bookmarkStart w:id="834" w:name="_Toc153634810"/>
      <w:bookmarkStart w:id="835" w:name="_Toc176927207"/>
      <w:bookmarkStart w:id="836" w:name="_Toc201377864"/>
      <w:r>
        <w:rPr>
          <w:rFonts w:hint="eastAsia" w:ascii="宋体" w:hAnsi="宋体" w:eastAsia="仿宋"/>
          <w:i w:val="0"/>
          <w:iCs w:val="0"/>
          <w:color w:val="auto"/>
          <w:highlight w:val="none"/>
        </w:rPr>
        <w:t>第五章  合同条款及格式</w:t>
      </w:r>
      <w:bookmarkEnd w:id="810"/>
      <w:bookmarkEnd w:id="811"/>
      <w:bookmarkEnd w:id="812"/>
    </w:p>
    <w:p w14:paraId="155F147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default" w:ascii="楷体" w:hAnsi="楷体" w:eastAsia="楷体" w:cs="Times New Roman"/>
          <w:i w:val="0"/>
          <w:iCs w:val="0"/>
          <w:color w:val="auto"/>
          <w:kern w:val="2"/>
          <w:sz w:val="28"/>
          <w:szCs w:val="28"/>
          <w:highlight w:val="none"/>
          <w:u w:val="none"/>
          <w:lang w:val="en-US" w:eastAsia="zh-CN" w:bidi="ar-SA"/>
        </w:rPr>
      </w:pPr>
      <w:r>
        <w:rPr>
          <w:rFonts w:hint="eastAsia" w:ascii="楷体" w:hAnsi="楷体" w:eastAsia="楷体" w:cs="Times New Roman"/>
          <w:i w:val="0"/>
          <w:iCs w:val="0"/>
          <w:color w:val="auto"/>
          <w:kern w:val="2"/>
          <w:sz w:val="28"/>
          <w:szCs w:val="28"/>
          <w:highlight w:val="none"/>
          <w:u w:val="none"/>
          <w:lang w:val="en-US" w:eastAsia="zh-CN" w:bidi="ar-SA"/>
        </w:rPr>
        <w:t>（仅供参考）</w:t>
      </w:r>
    </w:p>
    <w:p w14:paraId="13C0D018">
      <w:pPr>
        <w:spacing w:line="360" w:lineRule="auto"/>
        <w:rPr>
          <w:rFonts w:hint="eastAsia" w:ascii="宋体" w:hAnsi="宋体" w:eastAsia="仿宋"/>
          <w:color w:val="auto"/>
          <w:sz w:val="24"/>
          <w:highlight w:val="none"/>
        </w:rPr>
      </w:pPr>
    </w:p>
    <w:p w14:paraId="66CBF2FD">
      <w:pPr>
        <w:spacing w:line="360" w:lineRule="auto"/>
        <w:rPr>
          <w:rFonts w:hint="eastAsia" w:ascii="宋体" w:hAnsi="宋体" w:eastAsia="仿宋"/>
          <w:color w:val="auto"/>
          <w:sz w:val="24"/>
          <w:highlight w:val="none"/>
          <w:u w:val="single"/>
        </w:rPr>
      </w:pPr>
      <w:r>
        <w:rPr>
          <w:rFonts w:hint="eastAsia" w:ascii="宋体" w:hAnsi="宋体" w:eastAsia="仿宋"/>
          <w:color w:val="auto"/>
          <w:sz w:val="24"/>
          <w:highlight w:val="none"/>
        </w:rPr>
        <w:t>甲方：</w:t>
      </w:r>
      <w:r>
        <w:rPr>
          <w:rFonts w:hint="eastAsia" w:ascii="宋体" w:hAnsi="宋体" w:eastAsia="仿宋"/>
          <w:color w:val="auto"/>
          <w:sz w:val="24"/>
          <w:highlight w:val="none"/>
          <w:u w:val="single"/>
        </w:rPr>
        <w:t xml:space="preserve">                </w:t>
      </w:r>
    </w:p>
    <w:p w14:paraId="1B5231AF">
      <w:pPr>
        <w:spacing w:line="360" w:lineRule="auto"/>
        <w:rPr>
          <w:rFonts w:hint="eastAsia" w:ascii="宋体" w:hAnsi="宋体" w:eastAsia="仿宋"/>
          <w:color w:val="auto"/>
          <w:sz w:val="24"/>
          <w:highlight w:val="none"/>
        </w:rPr>
      </w:pPr>
      <w:r>
        <w:rPr>
          <w:rFonts w:hint="eastAsia" w:ascii="宋体" w:hAnsi="宋体" w:eastAsia="仿宋"/>
          <w:color w:val="auto"/>
          <w:sz w:val="24"/>
          <w:highlight w:val="none"/>
        </w:rPr>
        <w:t>乙方：</w:t>
      </w:r>
      <w:r>
        <w:rPr>
          <w:rFonts w:hint="eastAsia" w:ascii="宋体" w:hAnsi="宋体" w:eastAsia="仿宋"/>
          <w:color w:val="auto"/>
          <w:sz w:val="24"/>
          <w:highlight w:val="none"/>
          <w:u w:val="single"/>
        </w:rPr>
        <w:t xml:space="preserve">                </w:t>
      </w:r>
    </w:p>
    <w:p w14:paraId="4237FB50">
      <w:pPr>
        <w:spacing w:line="360" w:lineRule="auto"/>
        <w:rPr>
          <w:rFonts w:hint="eastAsia" w:ascii="宋体" w:hAnsi="宋体" w:eastAsia="仿宋"/>
          <w:color w:val="auto"/>
          <w:sz w:val="24"/>
          <w:highlight w:val="none"/>
        </w:rPr>
      </w:pPr>
    </w:p>
    <w:p w14:paraId="32DA415D">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（甲方）就</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项目名称</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采用政府采购</w:t>
      </w:r>
      <w:r>
        <w:rPr>
          <w:rFonts w:hint="eastAsia" w:ascii="宋体" w:hAnsi="宋体" w:eastAsia="仿宋"/>
          <w:color w:val="auto"/>
          <w:sz w:val="24"/>
          <w:highlight w:val="none"/>
          <w:lang w:val="en-US" w:eastAsia="zh-CN"/>
        </w:rPr>
        <w:t>公开招标</w:t>
      </w:r>
      <w:r>
        <w:rPr>
          <w:rFonts w:hint="eastAsia" w:ascii="宋体" w:hAnsi="宋体" w:eastAsia="仿宋"/>
          <w:color w:val="auto"/>
          <w:sz w:val="24"/>
          <w:highlight w:val="none"/>
        </w:rPr>
        <w:t>方式选择</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（乙方）作为服务单位。现按照招标文件确定的事项签订本合同。</w:t>
      </w:r>
    </w:p>
    <w:p w14:paraId="6733B8BD">
      <w:pPr>
        <w:pStyle w:val="4"/>
        <w:jc w:val="left"/>
        <w:rPr>
          <w:rFonts w:hint="eastAsia" w:eastAsia="仿宋"/>
          <w:color w:val="auto"/>
          <w:szCs w:val="24"/>
          <w:highlight w:val="none"/>
        </w:rPr>
      </w:pPr>
      <w:r>
        <w:rPr>
          <w:rFonts w:hint="eastAsia" w:eastAsia="仿宋"/>
          <w:color w:val="auto"/>
          <w:szCs w:val="24"/>
          <w:highlight w:val="none"/>
        </w:rPr>
        <w:t>1. 合同文件</w:t>
      </w:r>
    </w:p>
    <w:p w14:paraId="3DEBAA2F">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下列文件为本合同的组成部分，并构成一个整体，需综合解释、相互补充。如果下列文件内容出现不一致的情形，那么在保证按照招标文件确定的事项的前提下，组成本合同的多个文件的优先适用顺序如下：</w:t>
      </w:r>
    </w:p>
    <w:p w14:paraId="2D257DEE">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（1）本合同及其补充合同、变更协议；</w:t>
      </w:r>
    </w:p>
    <w:p w14:paraId="27279882">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（2）中标（成交）通知书；</w:t>
      </w:r>
    </w:p>
    <w:p w14:paraId="37DF3B69">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（3）招标文件及附件（含澄清或者修改文件）；</w:t>
      </w:r>
    </w:p>
    <w:p w14:paraId="32CA86EC">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（4）投标文件及附件（含澄清或者说明文件）；</w:t>
      </w:r>
    </w:p>
    <w:p w14:paraId="767ED08A">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（5）其他相关采购文件。</w:t>
      </w:r>
    </w:p>
    <w:p w14:paraId="7599C72D">
      <w:pPr>
        <w:pStyle w:val="4"/>
        <w:jc w:val="left"/>
        <w:rPr>
          <w:rFonts w:hint="eastAsia" w:eastAsia="仿宋"/>
          <w:color w:val="auto"/>
          <w:szCs w:val="24"/>
          <w:highlight w:val="none"/>
        </w:rPr>
      </w:pPr>
      <w:r>
        <w:rPr>
          <w:rFonts w:hint="eastAsia" w:eastAsia="仿宋"/>
          <w:color w:val="auto"/>
          <w:szCs w:val="24"/>
          <w:highlight w:val="none"/>
        </w:rPr>
        <w:t>2. 服务内容</w:t>
      </w:r>
    </w:p>
    <w:p w14:paraId="2A8D4889">
      <w:pPr>
        <w:adjustRightInd w:val="0"/>
        <w:snapToGrid w:val="0"/>
        <w:spacing w:line="360" w:lineRule="auto"/>
        <w:ind w:firstLine="480" w:firstLineChars="200"/>
        <w:rPr>
          <w:rFonts w:eastAsia="仿宋"/>
          <w:color w:val="auto"/>
          <w:sz w:val="24"/>
          <w:highlight w:val="none"/>
        </w:rPr>
      </w:pPr>
      <w:r>
        <w:rPr>
          <w:rFonts w:hint="eastAsia" w:eastAsia="仿宋"/>
          <w:color w:val="auto"/>
          <w:sz w:val="24"/>
          <w:highlight w:val="none"/>
        </w:rPr>
        <w:t xml:space="preserve">甲方委托乙方提供以下服务： </w:t>
      </w:r>
    </w:p>
    <w:p w14:paraId="706051AA">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2.1 服务名称：</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5364E3D8">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2.2 服务内容：</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12DF0758">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2.3 服务要求：</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672C2BD0">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2.4 服务期限：</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02F283A4">
      <w:pPr>
        <w:adjustRightInd w:val="0"/>
        <w:snapToGrid w:val="0"/>
        <w:spacing w:line="360" w:lineRule="auto"/>
        <w:ind w:firstLine="480" w:firstLineChars="20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2.5 服务质量：</w:t>
      </w:r>
    </w:p>
    <w:p w14:paraId="39119556">
      <w:pPr>
        <w:adjustRightInd w:val="0"/>
        <w:snapToGrid w:val="0"/>
        <w:spacing w:line="360" w:lineRule="auto"/>
        <w:ind w:firstLine="480" w:firstLineChars="20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（1）乙方应保证提供给甲方的服务完全符合本项目招标文件规定的服务标准。</w:t>
      </w:r>
    </w:p>
    <w:p w14:paraId="18D85726">
      <w:pPr>
        <w:adjustRightInd w:val="0"/>
        <w:snapToGrid w:val="0"/>
        <w:spacing w:line="360" w:lineRule="auto"/>
        <w:ind w:firstLine="480" w:firstLineChars="20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（2）乙方应保证提供的服务应符合中华人民共和国相关标准及相应的技术规范、本次采购相关文件中的全部相关要求及相关标准及相应的技术规范中之较高者。</w:t>
      </w:r>
    </w:p>
    <w:p w14:paraId="1C61BB06">
      <w:pPr>
        <w:adjustRightInd w:val="0"/>
        <w:snapToGrid w:val="0"/>
        <w:spacing w:line="360" w:lineRule="auto"/>
        <w:ind w:firstLine="480" w:firstLineChars="20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lang w:val="en-US" w:eastAsia="zh-CN"/>
        </w:rPr>
        <w:t>（3）乙方保证提供的服务符合中华人民共和国国家及行业的安全质量标准、环保标准中之较高者。</w:t>
      </w:r>
    </w:p>
    <w:p w14:paraId="036853EC">
      <w:pPr>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w:t>
      </w:r>
    </w:p>
    <w:p w14:paraId="04753FFA">
      <w:pPr>
        <w:pStyle w:val="4"/>
        <w:jc w:val="left"/>
        <w:rPr>
          <w:rFonts w:hint="eastAsia" w:eastAsia="仿宋"/>
          <w:color w:val="auto"/>
          <w:szCs w:val="24"/>
          <w:highlight w:val="none"/>
        </w:rPr>
      </w:pPr>
      <w:r>
        <w:rPr>
          <w:rFonts w:hint="eastAsia" w:eastAsia="仿宋"/>
          <w:color w:val="auto"/>
          <w:szCs w:val="24"/>
          <w:highlight w:val="none"/>
        </w:rPr>
        <w:t>3. 合同价格</w:t>
      </w:r>
    </w:p>
    <w:p w14:paraId="29681F52">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3.1 合同价格为（大写）：</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 xml:space="preserve"> 元（￥</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元）人民币。</w:t>
      </w:r>
    </w:p>
    <w:p w14:paraId="133CB389">
      <w:pPr>
        <w:snapToGrid w:val="0"/>
        <w:spacing w:line="360" w:lineRule="auto"/>
        <w:ind w:firstLine="480" w:firstLineChars="200"/>
        <w:rPr>
          <w:rFonts w:hint="eastAsia" w:ascii="宋体" w:hAnsi="宋体" w:eastAsia="仿宋"/>
          <w:color w:val="auto"/>
          <w:sz w:val="24"/>
          <w:highlight w:val="none"/>
          <w:u w:val="single"/>
        </w:rPr>
      </w:pPr>
      <w:r>
        <w:rPr>
          <w:rFonts w:hint="eastAsia" w:ascii="宋体" w:hAnsi="宋体" w:eastAsia="仿宋"/>
          <w:color w:val="auto"/>
          <w:sz w:val="24"/>
          <w:highlight w:val="none"/>
        </w:rPr>
        <w:t>3.2 合同价格包括的内容：</w:t>
      </w:r>
      <w:r>
        <w:rPr>
          <w:rFonts w:hint="eastAsia" w:ascii="宋体" w:hAnsi="宋体" w:eastAsia="仿宋"/>
          <w:color w:val="auto"/>
          <w:sz w:val="24"/>
          <w:highlight w:val="none"/>
          <w:u w:val="single"/>
        </w:rPr>
        <w:t xml:space="preserve">                       </w:t>
      </w:r>
    </w:p>
    <w:p w14:paraId="3AC45E9C">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3.3 合同价格调整：</w:t>
      </w:r>
      <w:r>
        <w:rPr>
          <w:rFonts w:hint="eastAsia" w:ascii="宋体" w:hAnsi="宋体" w:eastAsia="仿宋"/>
          <w:color w:val="auto"/>
          <w:sz w:val="24"/>
          <w:highlight w:val="none"/>
          <w:u w:val="single"/>
        </w:rPr>
        <w:t xml:space="preserve">  合同价格为固定价格，不予调整   </w:t>
      </w:r>
      <w:r>
        <w:rPr>
          <w:rFonts w:hint="eastAsia" w:ascii="宋体" w:hAnsi="宋体" w:eastAsia="仿宋"/>
          <w:color w:val="auto"/>
          <w:sz w:val="24"/>
          <w:highlight w:val="none"/>
        </w:rPr>
        <w:t>。</w:t>
      </w:r>
    </w:p>
    <w:p w14:paraId="5A5B3038">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w:t>
      </w:r>
    </w:p>
    <w:p w14:paraId="58BF7284">
      <w:pPr>
        <w:pStyle w:val="4"/>
        <w:jc w:val="left"/>
        <w:rPr>
          <w:rFonts w:hint="eastAsia" w:eastAsia="仿宋"/>
          <w:color w:val="auto"/>
          <w:szCs w:val="24"/>
          <w:highlight w:val="none"/>
        </w:rPr>
      </w:pPr>
      <w:r>
        <w:rPr>
          <w:rFonts w:hint="eastAsia" w:eastAsia="仿宋"/>
          <w:color w:val="auto"/>
          <w:szCs w:val="24"/>
          <w:highlight w:val="none"/>
        </w:rPr>
        <w:t>4. 付款方式</w:t>
      </w:r>
    </w:p>
    <w:p w14:paraId="440E9299">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4.1 本合同项下所有款项均以人民币支付。</w:t>
      </w:r>
    </w:p>
    <w:p w14:paraId="5679DA7B">
      <w:pPr>
        <w:pStyle w:val="16"/>
        <w:ind w:firstLine="480" w:firstLineChars="200"/>
        <w:rPr>
          <w:color w:val="auto"/>
          <w:highlight w:val="none"/>
        </w:rPr>
      </w:pPr>
      <w:r>
        <w:rPr>
          <w:rFonts w:hint="eastAsia" w:ascii="宋体" w:hAnsi="宋体" w:eastAsia="仿宋"/>
          <w:color w:val="auto"/>
          <w:sz w:val="24"/>
          <w:highlight w:val="none"/>
          <w:lang w:val="en-US" w:eastAsia="zh-CN"/>
        </w:rPr>
        <w:t xml:space="preserve">4.2 </w:t>
      </w:r>
      <w:r>
        <w:rPr>
          <w:rFonts w:hint="eastAsia" w:ascii="仿宋" w:hAnsi="仿宋" w:eastAsia="仿宋" w:cs="仿宋"/>
          <w:color w:val="auto"/>
          <w:sz w:val="24"/>
          <w:szCs w:val="24"/>
          <w:highlight w:val="none"/>
        </w:rPr>
        <w:t>合同期内，招标人按照合同约定</w:t>
      </w:r>
      <w:r>
        <w:rPr>
          <w:rFonts w:hint="eastAsia" w:ascii="仿宋" w:hAnsi="仿宋" w:eastAsia="仿宋" w:cs="仿宋"/>
          <w:color w:val="auto"/>
          <w:sz w:val="24"/>
          <w:szCs w:val="24"/>
          <w:highlight w:val="none"/>
          <w:lang w:val="en-US" w:eastAsia="zh-CN"/>
        </w:rPr>
        <w:t>每半年（6个月为一个周期）</w:t>
      </w:r>
      <w:r>
        <w:rPr>
          <w:rFonts w:hint="eastAsia" w:ascii="仿宋" w:hAnsi="仿宋" w:eastAsia="仿宋" w:cs="仿宋"/>
          <w:color w:val="auto"/>
          <w:sz w:val="24"/>
          <w:szCs w:val="24"/>
          <w:highlight w:val="none"/>
        </w:rPr>
        <w:t>支付</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能源</w:t>
      </w:r>
      <w:r>
        <w:rPr>
          <w:rFonts w:hint="eastAsia" w:ascii="仿宋" w:hAnsi="仿宋" w:eastAsia="仿宋" w:cs="仿宋"/>
          <w:color w:val="auto"/>
          <w:sz w:val="24"/>
          <w:szCs w:val="24"/>
          <w:highlight w:val="none"/>
          <w:lang w:val="en-US" w:eastAsia="zh-CN"/>
        </w:rPr>
        <w:t>管理服务</w:t>
      </w:r>
      <w:r>
        <w:rPr>
          <w:rFonts w:hint="eastAsia" w:ascii="仿宋" w:hAnsi="仿宋" w:eastAsia="仿宋" w:cs="仿宋"/>
          <w:color w:val="auto"/>
          <w:sz w:val="24"/>
          <w:szCs w:val="24"/>
          <w:highlight w:val="none"/>
        </w:rPr>
        <w:t>费用。</w:t>
      </w:r>
      <w:r>
        <w:rPr>
          <w:rFonts w:hint="eastAsia" w:ascii="仿宋" w:hAnsi="仿宋" w:eastAsia="仿宋" w:cs="仿宋"/>
          <w:color w:val="auto"/>
          <w:sz w:val="24"/>
          <w:szCs w:val="24"/>
          <w:highlight w:val="none"/>
          <w:lang w:val="en-US" w:eastAsia="zh-CN"/>
        </w:rPr>
        <w:t>项目正式运营后，</w:t>
      </w:r>
      <w:r>
        <w:rPr>
          <w:rFonts w:hint="eastAsia" w:ascii="仿宋" w:hAnsi="仿宋" w:eastAsia="仿宋" w:cs="仿宋"/>
          <w:color w:val="auto"/>
          <w:sz w:val="24"/>
          <w:szCs w:val="24"/>
          <w:highlight w:val="none"/>
        </w:rPr>
        <w:t>中标人</w:t>
      </w:r>
      <w:r>
        <w:rPr>
          <w:rFonts w:hint="eastAsia" w:ascii="仿宋" w:hAnsi="仿宋" w:eastAsia="仿宋" w:cs="仿宋"/>
          <w:color w:val="auto"/>
          <w:sz w:val="24"/>
          <w:szCs w:val="24"/>
          <w:highlight w:val="none"/>
          <w:lang w:val="en-US" w:eastAsia="zh-CN"/>
        </w:rPr>
        <w:t>每周期服务结束后</w:t>
      </w:r>
      <w:r>
        <w:rPr>
          <w:rFonts w:hint="eastAsia" w:ascii="仿宋" w:hAnsi="仿宋" w:eastAsia="仿宋" w:cs="仿宋"/>
          <w:color w:val="auto"/>
          <w:sz w:val="24"/>
          <w:szCs w:val="24"/>
          <w:highlight w:val="none"/>
        </w:rPr>
        <w:t>10个工作日内向招标人提供合法税务发票，招标人在收到中标人合法税务发票后按财务流程以银行转账的方式向中标人指定账户按时支付。</w:t>
      </w:r>
    </w:p>
    <w:p w14:paraId="56FB6964">
      <w:pPr>
        <w:adjustRightInd w:val="0"/>
        <w:snapToGrid w:val="0"/>
        <w:spacing w:line="360" w:lineRule="auto"/>
        <w:ind w:firstLine="480" w:firstLineChars="200"/>
        <w:rPr>
          <w:rFonts w:hint="eastAsia" w:ascii="Times New Roman" w:hAnsi="Times New Roman" w:eastAsia="仿宋" w:cs="Times New Roman"/>
          <w:color w:val="auto"/>
          <w:sz w:val="24"/>
          <w:highlight w:val="none"/>
        </w:rPr>
      </w:pPr>
    </w:p>
    <w:p w14:paraId="1D93FFF6">
      <w:pPr>
        <w:pStyle w:val="4"/>
        <w:jc w:val="left"/>
        <w:rPr>
          <w:rFonts w:hint="default" w:eastAsia="仿宋"/>
          <w:color w:val="auto"/>
          <w:szCs w:val="24"/>
          <w:highlight w:val="none"/>
          <w:lang w:val="en-US" w:eastAsia="zh-CN"/>
        </w:rPr>
      </w:pPr>
      <w:r>
        <w:rPr>
          <w:rFonts w:hint="eastAsia" w:eastAsia="仿宋"/>
          <w:color w:val="auto"/>
          <w:szCs w:val="24"/>
          <w:highlight w:val="none"/>
        </w:rPr>
        <w:t>5. 合同文件和资料的使用</w:t>
      </w:r>
      <w:r>
        <w:rPr>
          <w:rFonts w:hint="eastAsia" w:eastAsia="仿宋"/>
          <w:color w:val="auto"/>
          <w:szCs w:val="24"/>
          <w:highlight w:val="none"/>
          <w:lang w:val="en-US" w:eastAsia="zh-CN"/>
        </w:rPr>
        <w:t>及保密</w:t>
      </w:r>
    </w:p>
    <w:p w14:paraId="5DF9641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5.1 没有甲方书面同意，乙方不得将甲方或代表甲方提供的有关合同或任何合同条文、技术规格和要求、计划、图纸、模型、样品或资料提供给与履行本合同无关的任何其他人。即使向与履行本合同有关的人员提供，也应注意保密并限于履行合同必须的范围。</w:t>
      </w:r>
    </w:p>
    <w:p w14:paraId="5D975B9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5.2 没有甲方书面同意，除了履行本合同外，乙方不应使用合同条款第</w:t>
      </w:r>
      <w:r>
        <w:rPr>
          <w:rFonts w:hint="eastAsia" w:ascii="宋体" w:hAnsi="宋体" w:eastAsia="仿宋"/>
          <w:color w:val="auto"/>
          <w:sz w:val="24"/>
          <w:highlight w:val="none"/>
          <w:lang w:val="en-US" w:eastAsia="zh-CN"/>
        </w:rPr>
        <w:t>5</w:t>
      </w:r>
      <w:r>
        <w:rPr>
          <w:rFonts w:hint="eastAsia" w:ascii="宋体" w:hAnsi="宋体" w:eastAsia="仿宋"/>
          <w:color w:val="auto"/>
          <w:sz w:val="24"/>
          <w:highlight w:val="none"/>
        </w:rPr>
        <w:t>.1款所列举的任何文件和资料。如果甲方有要求，除了合同本身以外，乙方在完成合同后应将这些文件及全部复制件还给甲方。</w:t>
      </w:r>
    </w:p>
    <w:p w14:paraId="70A54EE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C6CDA6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5</w:t>
      </w:r>
      <w:r>
        <w:rPr>
          <w:rFonts w:hint="eastAsia" w:ascii="宋体" w:hAnsi="宋体" w:eastAsia="仿宋"/>
          <w:color w:val="auto"/>
          <w:sz w:val="24"/>
          <w:highlight w:val="none"/>
        </w:rPr>
        <w:t>.4</w:t>
      </w:r>
      <w:r>
        <w:rPr>
          <w:rFonts w:hint="eastAsia" w:ascii="宋体" w:hAnsi="宋体" w:eastAsia="仿宋"/>
          <w:color w:val="auto"/>
          <w:sz w:val="24"/>
          <w:highlight w:val="none"/>
          <w:lang w:val="en-US" w:eastAsia="zh-CN"/>
        </w:rPr>
        <w:t xml:space="preserve"> </w:t>
      </w:r>
      <w:r>
        <w:rPr>
          <w:rFonts w:hint="eastAsia" w:ascii="宋体" w:hAnsi="宋体" w:eastAsia="仿宋"/>
          <w:color w:val="auto"/>
          <w:sz w:val="24"/>
          <w:highlight w:val="none"/>
        </w:rPr>
        <w:t>上述保密义务，在本合同终止或解除之后仍需履行。。</w:t>
      </w:r>
    </w:p>
    <w:p w14:paraId="6B01E131">
      <w:pPr>
        <w:pStyle w:val="4"/>
        <w:jc w:val="left"/>
        <w:rPr>
          <w:rFonts w:hint="eastAsia" w:eastAsia="仿宋"/>
          <w:color w:val="auto"/>
          <w:szCs w:val="24"/>
          <w:highlight w:val="none"/>
        </w:rPr>
      </w:pPr>
      <w:r>
        <w:rPr>
          <w:rFonts w:hint="eastAsia" w:eastAsia="仿宋"/>
          <w:color w:val="auto"/>
          <w:szCs w:val="24"/>
          <w:highlight w:val="none"/>
        </w:rPr>
        <w:t>6. 知识产权</w:t>
      </w:r>
    </w:p>
    <w:p w14:paraId="0E29629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6.1 乙方应保证，甲方使用本合同</w:t>
      </w:r>
      <w:r>
        <w:rPr>
          <w:rFonts w:hint="eastAsia" w:ascii="宋体" w:hAnsi="宋体" w:eastAsia="仿宋"/>
          <w:color w:val="auto"/>
          <w:sz w:val="24"/>
          <w:highlight w:val="none"/>
          <w:lang w:val="en-US" w:eastAsia="zh-CN"/>
        </w:rPr>
        <w:t>约定的</w:t>
      </w:r>
      <w:r>
        <w:rPr>
          <w:rFonts w:hint="eastAsia" w:ascii="宋体" w:hAnsi="宋体" w:eastAsia="仿宋"/>
          <w:color w:val="auto"/>
          <w:sz w:val="24"/>
          <w:highlight w:val="none"/>
        </w:rPr>
        <w:t>服务或者服务的任何一部分时，免受第三方提出的侵犯其专利权、商标权、著作权或其他知识产权的起诉。如果发生第三方就乙方向甲方提供的本合同项下所涉及的</w:t>
      </w:r>
      <w:r>
        <w:rPr>
          <w:rFonts w:hint="eastAsia" w:ascii="宋体" w:hAnsi="宋体" w:eastAsia="仿宋"/>
          <w:color w:val="auto"/>
          <w:sz w:val="24"/>
          <w:highlight w:val="none"/>
          <w:lang w:val="en-US" w:eastAsia="zh-CN"/>
        </w:rPr>
        <w:t>服务</w:t>
      </w:r>
      <w:r>
        <w:rPr>
          <w:rFonts w:hint="eastAsia" w:ascii="宋体" w:hAnsi="宋体" w:eastAsia="仿宋"/>
          <w:color w:val="auto"/>
          <w:sz w:val="24"/>
          <w:highlight w:val="none"/>
        </w:rPr>
        <w:t>对甲方进行侵权指控，乙方应承担由此而引起的一切经济和法律责任。</w:t>
      </w:r>
    </w:p>
    <w:p w14:paraId="1F12713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 乙方在投标中采用专利技术的，专利技术的使用费包含在合同总价内。</w:t>
      </w:r>
    </w:p>
    <w:p w14:paraId="6AEA1A05">
      <w:pPr>
        <w:pStyle w:val="4"/>
        <w:jc w:val="left"/>
        <w:rPr>
          <w:rFonts w:hint="eastAsia" w:eastAsia="仿宋"/>
          <w:color w:val="auto"/>
          <w:szCs w:val="24"/>
          <w:highlight w:val="none"/>
        </w:rPr>
      </w:pPr>
      <w:r>
        <w:rPr>
          <w:rFonts w:hint="eastAsia" w:eastAsia="仿宋"/>
          <w:color w:val="auto"/>
          <w:szCs w:val="24"/>
          <w:highlight w:val="none"/>
        </w:rPr>
        <w:t>7.联络</w:t>
      </w:r>
    </w:p>
    <w:p w14:paraId="4AB46D0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 甲方对乙方的合同履行情况进行督促和检查。</w:t>
      </w:r>
    </w:p>
    <w:p w14:paraId="5675CFE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 乙方应设乙方代表，负责服务环节的业务协调以及与甲方的联络，并在合同生效后10天内向甲方书面提供乙方代表的姓名、职务、联系方式及授权书。</w:t>
      </w:r>
    </w:p>
    <w:p w14:paraId="7A14E65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7.3 乙方代表的变更、撤销应获得甲方的书面认可。甲方有权根据乙方代表的工作情况，提出撤换人员的要求。乙方应根据第 7.2 款的要求尽快重新任命上述人员，在新任人员到位前原乙方代表继续承担第 7.2 款的职责。</w:t>
      </w:r>
    </w:p>
    <w:p w14:paraId="461C85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7.4 甲乙双方通过代表联络与履行合同有关事宜均应采用书面形式。</w:t>
      </w:r>
    </w:p>
    <w:p w14:paraId="1ED5345B">
      <w:pPr>
        <w:pStyle w:val="4"/>
        <w:jc w:val="left"/>
        <w:rPr>
          <w:rFonts w:hint="eastAsia" w:eastAsia="仿宋"/>
          <w:color w:val="auto"/>
          <w:szCs w:val="24"/>
          <w:highlight w:val="none"/>
        </w:rPr>
      </w:pPr>
      <w:r>
        <w:rPr>
          <w:rFonts w:hint="eastAsia" w:eastAsia="仿宋"/>
          <w:color w:val="auto"/>
          <w:szCs w:val="24"/>
          <w:highlight w:val="none"/>
        </w:rPr>
        <w:t>8. 计划和报告</w:t>
      </w:r>
    </w:p>
    <w:p w14:paraId="357EFE3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8.1 合同签订后</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日内，乙方向甲方提供服务方案。如甲方认为需要调整，乙方应根据要求修改方案。</w:t>
      </w:r>
    </w:p>
    <w:p w14:paraId="7AD1CB0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8.2 乙方应根据供应需求计划，按合同约定的时间向甲方提交进度报告。进度报告应包括：</w:t>
      </w:r>
    </w:p>
    <w:p w14:paraId="562262E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（1）服务安排计划；</w:t>
      </w:r>
    </w:p>
    <w:p w14:paraId="60D696D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（2）实际完成进度与计划完成进度的比较；</w:t>
      </w:r>
    </w:p>
    <w:p w14:paraId="1BAD4FA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（3）如果实际进度比计划进度滞后，应给出原因及改进措施。</w:t>
      </w:r>
    </w:p>
    <w:p w14:paraId="14E166F3">
      <w:pPr>
        <w:pStyle w:val="4"/>
        <w:jc w:val="left"/>
        <w:rPr>
          <w:rFonts w:hint="eastAsia" w:eastAsia="仿宋"/>
          <w:color w:val="auto"/>
          <w:szCs w:val="24"/>
          <w:highlight w:val="none"/>
        </w:rPr>
      </w:pPr>
      <w:r>
        <w:rPr>
          <w:rFonts w:hint="eastAsia" w:eastAsia="仿宋"/>
          <w:color w:val="auto"/>
          <w:szCs w:val="24"/>
          <w:highlight w:val="none"/>
        </w:rPr>
        <w:t>9. 验收</w:t>
      </w:r>
    </w:p>
    <w:p w14:paraId="37FCE1A0">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9.1甲方对乙方提供的服务进行验收。</w:t>
      </w:r>
    </w:p>
    <w:p w14:paraId="2A1BFFAD">
      <w:pPr>
        <w:snapToGrid w:val="0"/>
        <w:spacing w:line="360" w:lineRule="auto"/>
        <w:ind w:firstLine="480" w:firstLineChars="200"/>
        <w:rPr>
          <w:rFonts w:hint="eastAsia" w:ascii="宋体" w:hAnsi="宋体" w:eastAsia="仿宋"/>
          <w:color w:val="auto"/>
          <w:sz w:val="24"/>
          <w:highlight w:val="none"/>
          <w:u w:val="single"/>
        </w:rPr>
      </w:pPr>
      <w:r>
        <w:rPr>
          <w:rFonts w:hint="eastAsia" w:ascii="宋体" w:hAnsi="宋体" w:eastAsia="仿宋"/>
          <w:color w:val="auto"/>
          <w:sz w:val="24"/>
          <w:highlight w:val="none"/>
        </w:rPr>
        <w:t xml:space="preserve">  验收时间：</w:t>
      </w:r>
      <w:r>
        <w:rPr>
          <w:rFonts w:hint="eastAsia" w:ascii="宋体" w:hAnsi="宋体" w:eastAsia="仿宋"/>
          <w:color w:val="auto"/>
          <w:sz w:val="24"/>
          <w:highlight w:val="none"/>
          <w:u w:val="single"/>
        </w:rPr>
        <w:t xml:space="preserve"> 项目完成且收到</w:t>
      </w:r>
      <w:r>
        <w:rPr>
          <w:rFonts w:hint="eastAsia" w:ascii="宋体" w:hAnsi="宋体" w:eastAsia="仿宋"/>
          <w:color w:val="auto"/>
          <w:sz w:val="24"/>
          <w:highlight w:val="none"/>
          <w:u w:val="single"/>
          <w:lang w:val="en-US" w:eastAsia="zh-CN"/>
        </w:rPr>
        <w:t>乙方</w:t>
      </w:r>
      <w:r>
        <w:rPr>
          <w:rFonts w:hint="eastAsia" w:ascii="宋体" w:hAnsi="宋体" w:eastAsia="仿宋"/>
          <w:color w:val="auto"/>
          <w:sz w:val="24"/>
          <w:highlight w:val="none"/>
          <w:u w:val="single"/>
        </w:rPr>
        <w:t xml:space="preserve">验收申请后5个工作日内 </w:t>
      </w:r>
      <w:r>
        <w:rPr>
          <w:rFonts w:hint="eastAsia" w:ascii="宋体" w:hAnsi="宋体" w:eastAsia="仿宋"/>
          <w:color w:val="auto"/>
          <w:sz w:val="24"/>
          <w:highlight w:val="none"/>
        </w:rPr>
        <w:t>。</w:t>
      </w:r>
    </w:p>
    <w:p w14:paraId="50BD25FE">
      <w:pPr>
        <w:snapToGrid w:val="0"/>
        <w:spacing w:line="360" w:lineRule="auto"/>
        <w:ind w:firstLine="720" w:firstLineChars="300"/>
        <w:rPr>
          <w:rFonts w:hint="eastAsia" w:ascii="宋体" w:hAnsi="宋体" w:eastAsia="仿宋"/>
          <w:color w:val="auto"/>
          <w:sz w:val="24"/>
          <w:highlight w:val="none"/>
        </w:rPr>
      </w:pPr>
      <w:r>
        <w:rPr>
          <w:rFonts w:hint="eastAsia" w:ascii="宋体" w:hAnsi="宋体" w:eastAsia="仿宋"/>
          <w:color w:val="auto"/>
          <w:sz w:val="24"/>
          <w:highlight w:val="none"/>
        </w:rPr>
        <w:t>验收地点：</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u w:val="single"/>
          <w:lang w:val="en-US" w:eastAsia="zh-CN"/>
        </w:rPr>
        <w:t xml:space="preserve">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0F9CB803">
      <w:pPr>
        <w:snapToGrid w:val="0"/>
        <w:spacing w:line="360" w:lineRule="auto"/>
        <w:ind w:firstLine="720" w:firstLineChars="300"/>
        <w:rPr>
          <w:rFonts w:hint="eastAsia" w:ascii="宋体" w:hAnsi="宋体" w:eastAsia="仿宋"/>
          <w:color w:val="auto"/>
          <w:sz w:val="24"/>
          <w:highlight w:val="none"/>
        </w:rPr>
      </w:pPr>
      <w:r>
        <w:rPr>
          <w:rFonts w:hint="eastAsia" w:ascii="宋体" w:hAnsi="宋体" w:eastAsia="仿宋"/>
          <w:color w:val="auto"/>
          <w:sz w:val="24"/>
          <w:highlight w:val="none"/>
        </w:rPr>
        <w:t>验收方式：</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u w:val="single"/>
          <w:lang w:val="en-US" w:eastAsia="zh-CN"/>
        </w:rPr>
        <w:t xml:space="preserve">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5F97C865">
      <w:pPr>
        <w:pStyle w:val="23"/>
        <w:tabs>
          <w:tab w:val="left" w:pos="0"/>
        </w:tabs>
        <w:snapToGrid w:val="0"/>
        <w:spacing w:line="360" w:lineRule="auto"/>
        <w:ind w:firstLine="480" w:firstLineChars="200"/>
        <w:rPr>
          <w:rFonts w:hint="eastAsia" w:hAnsi="宋体" w:eastAsia="仿宋"/>
          <w:color w:val="auto"/>
          <w:sz w:val="24"/>
          <w:szCs w:val="24"/>
          <w:highlight w:val="none"/>
        </w:rPr>
      </w:pPr>
      <w:r>
        <w:rPr>
          <w:rFonts w:hint="eastAsia" w:hAnsi="宋体" w:eastAsia="仿宋"/>
          <w:color w:val="auto"/>
          <w:sz w:val="24"/>
          <w:szCs w:val="24"/>
          <w:highlight w:val="none"/>
        </w:rPr>
        <w:t>9.2 乙方应对提供的服务成果作出全面自查和整理，并列出清单，作为甲方验收和使用的技术条件依据，清单应随提供的服务成果交给甲方。</w:t>
      </w:r>
    </w:p>
    <w:p w14:paraId="740D23B3">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9.3 验收时，甲乙双方必须同时在场，</w:t>
      </w:r>
      <w:r>
        <w:rPr>
          <w:rFonts w:ascii="宋体" w:hAnsi="宋体" w:eastAsia="仿宋"/>
          <w:color w:val="auto"/>
          <w:sz w:val="24"/>
          <w:highlight w:val="none"/>
        </w:rPr>
        <w:t>乙方所</w:t>
      </w:r>
      <w:r>
        <w:rPr>
          <w:rFonts w:hint="eastAsia" w:ascii="宋体" w:hAnsi="宋体" w:eastAsia="仿宋"/>
          <w:color w:val="auto"/>
          <w:sz w:val="24"/>
          <w:highlight w:val="none"/>
        </w:rPr>
        <w:t>提供</w:t>
      </w:r>
      <w:r>
        <w:rPr>
          <w:rFonts w:ascii="宋体" w:hAnsi="宋体" w:eastAsia="仿宋"/>
          <w:color w:val="auto"/>
          <w:sz w:val="24"/>
          <w:highlight w:val="none"/>
        </w:rPr>
        <w:t>的</w:t>
      </w:r>
      <w:r>
        <w:rPr>
          <w:rFonts w:hint="eastAsia" w:ascii="宋体" w:hAnsi="宋体" w:eastAsia="仿宋"/>
          <w:color w:val="auto"/>
          <w:sz w:val="24"/>
          <w:highlight w:val="none"/>
        </w:rPr>
        <w:t>服务</w:t>
      </w:r>
      <w:r>
        <w:rPr>
          <w:rFonts w:ascii="宋体" w:hAnsi="宋体" w:eastAsia="仿宋"/>
          <w:color w:val="auto"/>
          <w:sz w:val="24"/>
          <w:highlight w:val="none"/>
        </w:rPr>
        <w:t>不符合合同</w:t>
      </w:r>
      <w:r>
        <w:rPr>
          <w:rFonts w:hint="eastAsia" w:ascii="宋体" w:hAnsi="宋体" w:eastAsia="仿宋"/>
          <w:color w:val="auto"/>
          <w:sz w:val="24"/>
          <w:highlight w:val="none"/>
        </w:rPr>
        <w:t>内容</w:t>
      </w:r>
      <w:r>
        <w:rPr>
          <w:rFonts w:ascii="宋体" w:hAnsi="宋体" w:eastAsia="仿宋"/>
          <w:color w:val="auto"/>
          <w:sz w:val="24"/>
          <w:highlight w:val="none"/>
        </w:rPr>
        <w:t>规定</w:t>
      </w:r>
      <w:r>
        <w:rPr>
          <w:rFonts w:hint="eastAsia" w:ascii="宋体" w:hAnsi="宋体" w:eastAsia="仿宋"/>
          <w:color w:val="auto"/>
          <w:sz w:val="24"/>
          <w:highlight w:val="none"/>
          <w:lang w:val="en-US" w:eastAsia="zh-CN"/>
        </w:rPr>
        <w:t>或未达到甲方要求</w:t>
      </w:r>
      <w:r>
        <w:rPr>
          <w:rFonts w:ascii="宋体" w:hAnsi="宋体" w:eastAsia="仿宋"/>
          <w:color w:val="auto"/>
          <w:sz w:val="24"/>
          <w:highlight w:val="none"/>
        </w:rPr>
        <w:t>的，甲方有权</w:t>
      </w:r>
      <w:r>
        <w:rPr>
          <w:rFonts w:hint="eastAsia" w:ascii="宋体" w:hAnsi="宋体" w:eastAsia="仿宋"/>
          <w:color w:val="auto"/>
          <w:sz w:val="24"/>
          <w:highlight w:val="none"/>
        </w:rPr>
        <w:t>拒绝验收。乙方应及时按本合同内容规定和甲方要求免费进行整改，直至验收合格，方视为乙方按本合同规定完成服务</w:t>
      </w:r>
      <w:r>
        <w:rPr>
          <w:rFonts w:ascii="宋体" w:hAnsi="宋体" w:eastAsia="仿宋"/>
          <w:color w:val="auto"/>
          <w:sz w:val="24"/>
          <w:highlight w:val="none"/>
        </w:rPr>
        <w:t>。</w:t>
      </w:r>
      <w:r>
        <w:rPr>
          <w:rFonts w:hint="eastAsia" w:ascii="宋体" w:hAnsi="宋体" w:eastAsia="仿宋"/>
          <w:color w:val="auto"/>
          <w:sz w:val="24"/>
          <w:highlight w:val="none"/>
        </w:rPr>
        <w:t>验收合格的，由双方共同签订《验收报告》。在经过两次限期整改后，服务仍达不到合同文件规定内容的，甲方有权拒收，并可以解除合同；由此引起甲方损失及赔偿责任由乙方承担。</w:t>
      </w:r>
    </w:p>
    <w:p w14:paraId="3376C37C">
      <w:pPr>
        <w:snapToGrid w:val="0"/>
        <w:spacing w:line="360" w:lineRule="auto"/>
        <w:ind w:firstLine="482"/>
        <w:textAlignment w:val="baseline"/>
        <w:rPr>
          <w:rFonts w:hint="eastAsia" w:ascii="宋体" w:hAnsi="宋体" w:eastAsia="仿宋"/>
          <w:color w:val="auto"/>
          <w:sz w:val="24"/>
          <w:highlight w:val="none"/>
        </w:rPr>
      </w:pPr>
      <w:r>
        <w:rPr>
          <w:rFonts w:hint="eastAsia" w:ascii="宋体" w:hAnsi="宋体" w:eastAsia="仿宋"/>
          <w:color w:val="auto"/>
          <w:sz w:val="24"/>
          <w:highlight w:val="none"/>
        </w:rPr>
        <w:t>9.4 甲方可以视项目规模或复杂情况聘请专业人员参与验收，</w:t>
      </w:r>
      <w:r>
        <w:rPr>
          <w:rFonts w:ascii="宋体" w:hAnsi="宋体" w:eastAsia="仿宋"/>
          <w:color w:val="auto"/>
          <w:sz w:val="24"/>
          <w:highlight w:val="none"/>
        </w:rPr>
        <w:t>大型或复杂项目</w:t>
      </w:r>
      <w:r>
        <w:rPr>
          <w:rFonts w:hint="eastAsia" w:ascii="宋体" w:hAnsi="宋体" w:eastAsia="仿宋"/>
          <w:color w:val="auto"/>
          <w:sz w:val="24"/>
          <w:highlight w:val="none"/>
        </w:rPr>
        <w:t>，以及涉及专业服务内容的应当</w:t>
      </w:r>
      <w:r>
        <w:rPr>
          <w:rFonts w:ascii="宋体" w:hAnsi="宋体" w:eastAsia="仿宋"/>
          <w:color w:val="auto"/>
          <w:sz w:val="24"/>
          <w:highlight w:val="none"/>
        </w:rPr>
        <w:t>邀请国家认可的第三方质量检测机构参与验收。</w:t>
      </w:r>
    </w:p>
    <w:p w14:paraId="2804C534">
      <w:pPr>
        <w:snapToGrid w:val="0"/>
        <w:spacing w:line="360" w:lineRule="auto"/>
        <w:ind w:firstLine="482"/>
        <w:textAlignment w:val="baseline"/>
        <w:rPr>
          <w:rFonts w:hint="eastAsia" w:ascii="宋体" w:hAnsi="宋体" w:eastAsia="仿宋"/>
          <w:color w:val="auto"/>
          <w:sz w:val="24"/>
          <w:highlight w:val="none"/>
        </w:rPr>
      </w:pPr>
      <w:r>
        <w:rPr>
          <w:rFonts w:hint="eastAsia" w:ascii="宋体" w:hAnsi="宋体" w:eastAsia="仿宋"/>
          <w:color w:val="auto"/>
          <w:sz w:val="24"/>
          <w:highlight w:val="none"/>
        </w:rPr>
        <w:t>9.5 如项目实施情况需要分阶段验收，则根据实际情况分阶段出具《验收报告》。</w:t>
      </w:r>
    </w:p>
    <w:p w14:paraId="0D84FF92">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9.6 如果合同双方对《验收报告》有分歧，双方须于出现分歧后</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天内给对方书面声明，以陈述理由及要求，并附有关证据。也可以邀请国家认可的质量检测机构或甲乙双方认可的第三方机构对服务进行鉴定。服务符合标准的，鉴定费由和误期责任甲方承担；不符合质量标准的，鉴定费由和误期责任乙方承担。</w:t>
      </w:r>
    </w:p>
    <w:p w14:paraId="1D2F45CB">
      <w:pPr>
        <w:pStyle w:val="4"/>
        <w:jc w:val="left"/>
        <w:rPr>
          <w:rFonts w:hint="eastAsia" w:eastAsia="仿宋"/>
          <w:color w:val="auto"/>
          <w:szCs w:val="24"/>
          <w:highlight w:val="none"/>
        </w:rPr>
      </w:pPr>
      <w:r>
        <w:rPr>
          <w:rFonts w:hint="eastAsia" w:eastAsia="仿宋"/>
          <w:color w:val="auto"/>
          <w:szCs w:val="24"/>
          <w:highlight w:val="none"/>
        </w:rPr>
        <w:t>10. 分包、转包</w:t>
      </w:r>
    </w:p>
    <w:p w14:paraId="7125A9A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10.1除甲方事先书面同意外，乙方不得部分或全部转让其应履行的合同义务。</w:t>
      </w:r>
    </w:p>
    <w:p w14:paraId="04CE2DA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10.2除甲方事先书面同意外，乙方不得改变在投标文件中提出的分包项目和建议的分包人（如果有）。</w:t>
      </w:r>
    </w:p>
    <w:p w14:paraId="1E674A4C">
      <w:pPr>
        <w:pStyle w:val="4"/>
        <w:jc w:val="left"/>
        <w:rPr>
          <w:rFonts w:hint="eastAsia" w:eastAsia="仿宋"/>
          <w:color w:val="auto"/>
          <w:szCs w:val="24"/>
          <w:highlight w:val="none"/>
        </w:rPr>
      </w:pPr>
      <w:r>
        <w:rPr>
          <w:rFonts w:hint="eastAsia" w:eastAsia="仿宋"/>
          <w:color w:val="auto"/>
          <w:szCs w:val="24"/>
          <w:highlight w:val="none"/>
        </w:rPr>
        <w:t>11. 违约</w:t>
      </w:r>
    </w:p>
    <w:p w14:paraId="5F604CD7">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11.1 乙方违约</w:t>
      </w:r>
    </w:p>
    <w:p w14:paraId="116832FF">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11.1.1 </w:t>
      </w:r>
      <w:r>
        <w:rPr>
          <w:rFonts w:ascii="宋体" w:hAnsi="宋体" w:eastAsia="仿宋"/>
          <w:color w:val="auto"/>
          <w:sz w:val="24"/>
          <w:highlight w:val="none"/>
        </w:rPr>
        <w:t>乙方所交</w:t>
      </w:r>
      <w:r>
        <w:rPr>
          <w:rFonts w:hint="eastAsia" w:ascii="宋体" w:hAnsi="宋体" w:eastAsia="仿宋"/>
          <w:color w:val="auto"/>
          <w:sz w:val="24"/>
          <w:highlight w:val="none"/>
        </w:rPr>
        <w:t>付服务成果</w:t>
      </w:r>
      <w:r>
        <w:rPr>
          <w:rFonts w:ascii="宋体" w:hAnsi="宋体" w:eastAsia="仿宋"/>
          <w:color w:val="auto"/>
          <w:sz w:val="24"/>
          <w:highlight w:val="none"/>
        </w:rPr>
        <w:t>不符合</w:t>
      </w:r>
      <w:r>
        <w:rPr>
          <w:rFonts w:hint="eastAsia" w:ascii="宋体" w:hAnsi="宋体" w:eastAsia="仿宋"/>
          <w:color w:val="auto"/>
          <w:sz w:val="24"/>
          <w:highlight w:val="none"/>
        </w:rPr>
        <w:t>本</w:t>
      </w:r>
      <w:r>
        <w:rPr>
          <w:rFonts w:ascii="宋体" w:hAnsi="宋体" w:eastAsia="仿宋"/>
          <w:color w:val="auto"/>
          <w:sz w:val="24"/>
          <w:highlight w:val="none"/>
        </w:rPr>
        <w:t>合同规定</w:t>
      </w:r>
      <w:r>
        <w:rPr>
          <w:rFonts w:hint="eastAsia" w:ascii="宋体" w:hAnsi="宋体" w:eastAsia="仿宋"/>
          <w:color w:val="auto"/>
          <w:sz w:val="24"/>
          <w:highlight w:val="none"/>
          <w:lang w:val="en-US" w:eastAsia="zh-CN"/>
        </w:rPr>
        <w:t>或未达到甲方要求</w:t>
      </w:r>
      <w:r>
        <w:rPr>
          <w:rFonts w:ascii="宋体" w:hAnsi="宋体" w:eastAsia="仿宋"/>
          <w:color w:val="auto"/>
          <w:sz w:val="24"/>
          <w:highlight w:val="none"/>
        </w:rPr>
        <w:t>的，甲方有权拒收</w:t>
      </w:r>
      <w:r>
        <w:rPr>
          <w:rFonts w:hint="eastAsia" w:ascii="宋体" w:hAnsi="宋体" w:eastAsia="仿宋"/>
          <w:color w:val="auto"/>
          <w:sz w:val="24"/>
          <w:highlight w:val="none"/>
        </w:rPr>
        <w:t>，乙方在得到甲方通知之日起</w:t>
      </w:r>
      <w:r>
        <w:rPr>
          <w:rFonts w:hint="eastAsia" w:ascii="宋体" w:hAnsi="宋体" w:eastAsia="仿宋"/>
          <w:color w:val="auto"/>
          <w:sz w:val="24"/>
          <w:highlight w:val="none"/>
          <w:u w:val="single"/>
        </w:rPr>
        <w:t xml:space="preserve">  3  </w:t>
      </w:r>
      <w:r>
        <w:rPr>
          <w:rFonts w:hint="eastAsia" w:ascii="宋体" w:hAnsi="宋体" w:eastAsia="仿宋"/>
          <w:color w:val="auto"/>
          <w:sz w:val="24"/>
          <w:highlight w:val="none"/>
        </w:rPr>
        <w:t>个工作日内采取补救措施，逾期仍未采取有效措施的，甲方有权要求乙方赔偿因此造成的损失或扣留履约保证金；同时乙方应向甲方支付合同总价</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％的违约金/次。</w:t>
      </w:r>
    </w:p>
    <w:p w14:paraId="4C8D7864">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11.1.2 </w:t>
      </w:r>
      <w:r>
        <w:rPr>
          <w:rFonts w:ascii="宋体" w:hAnsi="宋体" w:eastAsia="仿宋"/>
          <w:color w:val="auto"/>
          <w:sz w:val="24"/>
          <w:highlight w:val="none"/>
        </w:rPr>
        <w:t>乙方无正当理由逾期交付</w:t>
      </w:r>
      <w:r>
        <w:rPr>
          <w:rFonts w:hint="eastAsia" w:ascii="宋体" w:hAnsi="宋体" w:eastAsia="仿宋"/>
          <w:color w:val="auto"/>
          <w:sz w:val="24"/>
          <w:highlight w:val="none"/>
        </w:rPr>
        <w:t>服务</w:t>
      </w:r>
      <w:r>
        <w:rPr>
          <w:rFonts w:ascii="宋体" w:hAnsi="宋体" w:eastAsia="仿宋"/>
          <w:color w:val="auto"/>
          <w:sz w:val="24"/>
          <w:highlight w:val="none"/>
        </w:rPr>
        <w:t>的，每逾期</w:t>
      </w:r>
      <w:r>
        <w:rPr>
          <w:rFonts w:hint="eastAsia" w:ascii="宋体" w:hAnsi="宋体" w:eastAsia="仿宋"/>
          <w:color w:val="auto"/>
          <w:sz w:val="24"/>
          <w:highlight w:val="none"/>
          <w:u w:val="single"/>
        </w:rPr>
        <w:t xml:space="preserve">    </w:t>
      </w:r>
      <w:r>
        <w:rPr>
          <w:rFonts w:ascii="宋体" w:hAnsi="宋体" w:eastAsia="仿宋"/>
          <w:color w:val="auto"/>
          <w:sz w:val="24"/>
          <w:highlight w:val="none"/>
        </w:rPr>
        <w:t>天，乙方向甲方偿付</w:t>
      </w:r>
      <w:r>
        <w:rPr>
          <w:rFonts w:hint="eastAsia" w:ascii="宋体" w:hAnsi="宋体" w:eastAsia="仿宋"/>
          <w:color w:val="auto"/>
          <w:sz w:val="24"/>
          <w:highlight w:val="none"/>
        </w:rPr>
        <w:t>合同</w:t>
      </w:r>
      <w:r>
        <w:rPr>
          <w:rFonts w:ascii="宋体" w:hAnsi="宋体" w:eastAsia="仿宋"/>
          <w:color w:val="auto"/>
          <w:sz w:val="24"/>
          <w:highlight w:val="none"/>
        </w:rPr>
        <w:t>总额的</w:t>
      </w:r>
      <w:r>
        <w:rPr>
          <w:rFonts w:hint="eastAsia" w:ascii="宋体" w:hAnsi="宋体" w:eastAsia="仿宋"/>
          <w:color w:val="auto"/>
          <w:sz w:val="24"/>
          <w:highlight w:val="none"/>
          <w:u w:val="single"/>
        </w:rPr>
        <w:t xml:space="preserve"> 1 </w:t>
      </w:r>
      <w:r>
        <w:rPr>
          <w:rFonts w:ascii="宋体" w:hAnsi="宋体" w:eastAsia="仿宋"/>
          <w:color w:val="auto"/>
          <w:sz w:val="24"/>
          <w:highlight w:val="none"/>
        </w:rPr>
        <w:t>‰的</w:t>
      </w:r>
      <w:r>
        <w:rPr>
          <w:rFonts w:hint="eastAsia" w:ascii="宋体" w:hAnsi="宋体" w:eastAsia="仿宋"/>
          <w:color w:val="auto"/>
          <w:sz w:val="24"/>
          <w:highlight w:val="none"/>
        </w:rPr>
        <w:t>违约</w:t>
      </w:r>
      <w:r>
        <w:rPr>
          <w:rFonts w:ascii="宋体" w:hAnsi="宋体" w:eastAsia="仿宋"/>
          <w:color w:val="auto"/>
          <w:sz w:val="24"/>
          <w:highlight w:val="none"/>
        </w:rPr>
        <w:t>金</w:t>
      </w:r>
      <w:r>
        <w:rPr>
          <w:rFonts w:hint="eastAsia" w:ascii="宋体" w:hAnsi="宋体" w:eastAsia="仿宋"/>
          <w:color w:val="auto"/>
          <w:sz w:val="24"/>
          <w:highlight w:val="none"/>
        </w:rPr>
        <w:t>，但累计误期违约金总额不超过合同总额的</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％。如乙方逾期达</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天或达到误期违约金最高限额时，甲方有权解除合同，甲方解除合同的通知自到达乙方时生效。在此情况下，乙方给甲方造成的实际损失高于违约金的，对高出违约金的部分乙方应予以赔偿。</w:t>
      </w:r>
    </w:p>
    <w:p w14:paraId="781A9BAD">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 甲方违约</w:t>
      </w:r>
    </w:p>
    <w:p w14:paraId="73058B3C">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11.2.1 甲方无正当理由拒收乙方服务成果，甲方应向乙方支付拒付合同价款</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％的违约金/次。</w:t>
      </w:r>
    </w:p>
    <w:p w14:paraId="05A078AE">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11.2.2 甲方未按合同规定的期限向乙方支付合同款的，每逾期1天甲方向乙方支付逾期价款的</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‰违约金，但累计违约金总额不超过逾期价款的</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17FCEC7B">
      <w:pPr>
        <w:snapToGrid w:val="0"/>
        <w:spacing w:line="360" w:lineRule="auto"/>
        <w:ind w:firstLine="480" w:firstLineChars="20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lang w:eastAsia="zh-CN"/>
        </w:rPr>
        <w:t>1</w:t>
      </w:r>
      <w:r>
        <w:rPr>
          <w:rFonts w:hint="eastAsia" w:ascii="宋体" w:hAnsi="宋体" w:eastAsia="仿宋" w:cs="Times New Roman"/>
          <w:color w:val="auto"/>
          <w:sz w:val="24"/>
          <w:highlight w:val="none"/>
          <w:lang w:val="en-US" w:eastAsia="zh-CN"/>
        </w:rPr>
        <w:t>1.2.3</w:t>
      </w:r>
      <w:r>
        <w:rPr>
          <w:rFonts w:hint="eastAsia" w:ascii="宋体" w:hAnsi="宋体" w:eastAsia="仿宋" w:cs="Times New Roman"/>
          <w:color w:val="auto"/>
          <w:sz w:val="24"/>
          <w:highlight w:val="none"/>
        </w:rPr>
        <w:t>如果出现政府采购监督管理部门在处理投诉事项期间，书面通知甲方暂停采购活动的情形，或者询问或质疑事项可能影响中标结果的，导致甲方中止履行合同的情形，均不视为甲方违约。</w:t>
      </w:r>
    </w:p>
    <w:p w14:paraId="003F2D83">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11.3 其它未尽事宜，以《民法典》和《政府采购法》等有关法律法规规定为准，无相关规定的，双方协商解决。</w:t>
      </w:r>
    </w:p>
    <w:p w14:paraId="1B16EE9F">
      <w:pPr>
        <w:pStyle w:val="4"/>
        <w:jc w:val="left"/>
        <w:rPr>
          <w:rFonts w:eastAsia="仿宋"/>
          <w:color w:val="auto"/>
          <w:szCs w:val="24"/>
          <w:highlight w:val="none"/>
        </w:rPr>
      </w:pPr>
      <w:r>
        <w:rPr>
          <w:rFonts w:hint="eastAsia" w:eastAsia="仿宋"/>
          <w:color w:val="auto"/>
          <w:szCs w:val="24"/>
          <w:highlight w:val="none"/>
        </w:rPr>
        <w:t>12. 合同解除</w:t>
      </w:r>
    </w:p>
    <w:p w14:paraId="2B3460B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12.1 乙方违约时合同解除</w:t>
      </w:r>
    </w:p>
    <w:p w14:paraId="59076C3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12.1.1 发生下列情形时，在甲方对乙方违约提出警告无效的情况下，甲方可以书面形式通知乙方，提出解除合同。</w:t>
      </w:r>
    </w:p>
    <w:p w14:paraId="723D577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（1）如果乙方未能在合同规定的时间内或未能在包括但不限于甲方同意延长的期限内提供部分或全部合同</w:t>
      </w:r>
      <w:r>
        <w:rPr>
          <w:rFonts w:hint="eastAsia" w:ascii="宋体" w:hAnsi="宋体" w:eastAsia="仿宋"/>
          <w:color w:val="auto"/>
          <w:sz w:val="24"/>
          <w:highlight w:val="none"/>
          <w:lang w:val="en-US" w:eastAsia="zh-CN"/>
        </w:rPr>
        <w:t>服务</w:t>
      </w:r>
      <w:r>
        <w:rPr>
          <w:rFonts w:hint="eastAsia" w:ascii="宋体" w:hAnsi="宋体" w:eastAsia="仿宋"/>
          <w:color w:val="auto"/>
          <w:sz w:val="24"/>
          <w:highlight w:val="none"/>
        </w:rPr>
        <w:t>；</w:t>
      </w:r>
    </w:p>
    <w:p w14:paraId="4BCC6DC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（2）如果乙方未能履行合同约定的义务；</w:t>
      </w:r>
    </w:p>
    <w:p w14:paraId="3463532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12.2 乙方破产时解除合同</w:t>
      </w:r>
    </w:p>
    <w:p w14:paraId="7BE5E74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如果乙方破产或无清偿债务的能力，导致合同不能履行时，甲方可以以书面形式通知乙方解除合同而不对乙方进行任何补偿。同时该解除合同将不损害或影响甲方已经采取或将要采取的任何行动或补救措施的任何权利。</w:t>
      </w:r>
    </w:p>
    <w:p w14:paraId="3D1B42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12.3 甲方违约解除合同</w:t>
      </w:r>
    </w:p>
    <w:p w14:paraId="33D9FBA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如果甲方无法继续履行或明确表示不履行或实质上已停止履行合同，乙方可以书面形式通知甲方，</w:t>
      </w:r>
      <w:r>
        <w:rPr>
          <w:rFonts w:hint="eastAsia" w:ascii="宋体" w:hAnsi="宋体" w:eastAsia="仿宋"/>
          <w:color w:val="auto"/>
          <w:position w:val="-1"/>
          <w:sz w:val="24"/>
          <w:highlight w:val="none"/>
        </w:rPr>
        <w:t>提出解除合同。解除合同不免除甲方承担的违约责任。</w:t>
      </w:r>
    </w:p>
    <w:p w14:paraId="2F6B96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12.4 甲方解除合同后的结清</w:t>
      </w:r>
    </w:p>
    <w:p w14:paraId="25B1676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因乙方违约或破产，甲方提出解除合同的，在甲方通知乙方解除合同</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天内，乙方向甲方提交有关资料和凭证，按下列方式结清。</w:t>
      </w:r>
    </w:p>
    <w:p w14:paraId="4D4F754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（1）乙方应将一切与合同有关的并已付款的文件、资料交付给甲方。</w:t>
      </w:r>
    </w:p>
    <w:p w14:paraId="5379614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（2）甲方应清查各项付款和已扣款金额，包括按合同约定的违约扣款，以及由于解除合同给甲方造成损失的违约金额，并做详细说明。</w:t>
      </w:r>
    </w:p>
    <w:p w14:paraId="08B64C8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（4）甲乙双方确认上述往来款项和违约金额后，结清合同价款。</w:t>
      </w:r>
    </w:p>
    <w:p w14:paraId="63D8A0A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（5）甲乙双方未能就解除合同后的结清达成一致而形成争议的，按合同约定办理。</w:t>
      </w:r>
    </w:p>
    <w:p w14:paraId="02B1E79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12.5 乙方解除合同的结清</w:t>
      </w:r>
    </w:p>
    <w:p w14:paraId="5F9E204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因甲方违约乙方提出解除合同的，在乙方通知甲方解除合同</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天内，乙方向甲方提交有关资料和凭证，按下列方式结清。</w:t>
      </w:r>
    </w:p>
    <w:p w14:paraId="7ABF59A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（1）乙方应将一切与合同有关的并已付款的文件、资料交付给甲方。</w:t>
      </w:r>
    </w:p>
    <w:p w14:paraId="026CFAD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（2）乙方应清查已交付的合同</w:t>
      </w:r>
      <w:r>
        <w:rPr>
          <w:rFonts w:hint="eastAsia" w:ascii="宋体" w:hAnsi="宋体" w:eastAsia="仿宋"/>
          <w:color w:val="auto"/>
          <w:sz w:val="24"/>
          <w:highlight w:val="none"/>
          <w:lang w:val="en-US" w:eastAsia="zh-CN"/>
        </w:rPr>
        <w:t>服务</w:t>
      </w:r>
      <w:r>
        <w:rPr>
          <w:rFonts w:hint="eastAsia" w:ascii="宋体" w:hAnsi="宋体" w:eastAsia="仿宋"/>
          <w:color w:val="auto"/>
          <w:sz w:val="24"/>
          <w:highlight w:val="none"/>
        </w:rPr>
        <w:t>金额，甲方已支付的金额，甲方未支付的金额，以及由于解除合同给乙方造成损失的违约金额，并做详细说明。</w:t>
      </w:r>
    </w:p>
    <w:p w14:paraId="41FECF3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（3）甲乙双方确认上述往来款项和违约金额后，结清合同价款，甲方应退还质量保证金和履约保证金。</w:t>
      </w:r>
    </w:p>
    <w:p w14:paraId="4E54863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（4）甲乙双方未能就解除合同后的结清达成一致而形成争议的，按合同约定办理。</w:t>
      </w:r>
    </w:p>
    <w:p w14:paraId="4F63D5A6">
      <w:pPr>
        <w:pStyle w:val="4"/>
        <w:jc w:val="left"/>
        <w:rPr>
          <w:rFonts w:hint="eastAsia" w:eastAsia="仿宋"/>
          <w:color w:val="auto"/>
          <w:szCs w:val="24"/>
          <w:highlight w:val="none"/>
        </w:rPr>
      </w:pPr>
      <w:r>
        <w:rPr>
          <w:rFonts w:hint="eastAsia" w:eastAsia="仿宋"/>
          <w:color w:val="auto"/>
          <w:szCs w:val="24"/>
          <w:highlight w:val="none"/>
        </w:rPr>
        <w:t>13. 履约保证金</w:t>
      </w:r>
    </w:p>
    <w:p w14:paraId="5A65F33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13.1 乙方应向甲方提交提交履约保证金，履约保证金用于补偿甲方因乙方不能履行其合同义务而蒙受的损失。</w:t>
      </w:r>
    </w:p>
    <w:p w14:paraId="3457A43B">
      <w:pPr>
        <w:widowControl/>
        <w:adjustRightInd w:val="0"/>
        <w:snapToGrid w:val="0"/>
        <w:spacing w:line="360" w:lineRule="auto"/>
        <w:ind w:firstLine="480" w:firstLineChars="200"/>
        <w:rPr>
          <w:rFonts w:hint="eastAsia" w:ascii="宋体" w:hAnsi="宋体" w:eastAsia="仿宋"/>
          <w:color w:val="auto"/>
          <w:sz w:val="24"/>
          <w:highlight w:val="none"/>
          <w:u w:val="single"/>
        </w:rPr>
      </w:pPr>
      <w:r>
        <w:rPr>
          <w:rFonts w:hint="eastAsia" w:ascii="宋体" w:hAnsi="宋体" w:eastAsia="仿宋"/>
          <w:color w:val="auto"/>
          <w:sz w:val="24"/>
          <w:highlight w:val="none"/>
        </w:rPr>
        <w:t>履约保证金金额：</w:t>
      </w:r>
      <w:r>
        <w:rPr>
          <w:rFonts w:hint="eastAsia" w:ascii="宋体" w:hAnsi="宋体" w:eastAsia="仿宋"/>
          <w:color w:val="auto"/>
          <w:sz w:val="24"/>
          <w:highlight w:val="none"/>
          <w:u w:val="single"/>
        </w:rPr>
        <w:t xml:space="preserve">                  </w:t>
      </w:r>
    </w:p>
    <w:p w14:paraId="6F05982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履约保证金形式：</w:t>
      </w:r>
      <w:r>
        <w:rPr>
          <w:rFonts w:hint="eastAsia" w:ascii="宋体" w:hAnsi="宋体" w:eastAsia="仿宋"/>
          <w:color w:val="auto"/>
          <w:sz w:val="24"/>
          <w:highlight w:val="none"/>
          <w:u w:val="single"/>
        </w:rPr>
        <w:t xml:space="preserve">                  </w:t>
      </w:r>
    </w:p>
    <w:p w14:paraId="617D5E0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履约保证金提交时间：</w:t>
      </w:r>
      <w:r>
        <w:rPr>
          <w:rFonts w:hint="eastAsia" w:ascii="宋体" w:hAnsi="宋体" w:eastAsia="仿宋"/>
          <w:color w:val="auto"/>
          <w:sz w:val="24"/>
          <w:highlight w:val="none"/>
          <w:u w:val="single"/>
        </w:rPr>
        <w:t xml:space="preserve">              </w:t>
      </w:r>
    </w:p>
    <w:p w14:paraId="3E38723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13.2履约保证金的有效期为合同服务最后一批交货验收合格后</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天。</w:t>
      </w:r>
    </w:p>
    <w:p w14:paraId="05CDB94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13.3履约保证金在合同货物及服务最后一批交货验收合格后</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天内退还。</w:t>
      </w:r>
    </w:p>
    <w:p w14:paraId="71D7B86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13.4 履约保证金因乙方原因导致服务期限延长，其履约保证金有效期应相应延长。</w:t>
      </w:r>
    </w:p>
    <w:p w14:paraId="15CD501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13.5 发生下列之一者，则不予退还履约保证金：</w:t>
      </w:r>
    </w:p>
    <w:p w14:paraId="0CA7AF6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（1）乙方发生违约行为而完全终止合同；</w:t>
      </w:r>
    </w:p>
    <w:p w14:paraId="47CFB1E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（2）乙方不履行实质性的投标承诺。</w:t>
      </w:r>
    </w:p>
    <w:p w14:paraId="6710CBE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13.6 履约保证金的退还或不予退还并不免除乙方对已交付服务的质量责任。</w:t>
      </w:r>
    </w:p>
    <w:p w14:paraId="45CB6E93">
      <w:pPr>
        <w:pStyle w:val="4"/>
        <w:jc w:val="left"/>
        <w:rPr>
          <w:rFonts w:hint="eastAsia" w:eastAsia="仿宋"/>
          <w:color w:val="auto"/>
          <w:szCs w:val="24"/>
          <w:highlight w:val="none"/>
        </w:rPr>
      </w:pPr>
      <w:r>
        <w:rPr>
          <w:rFonts w:hint="eastAsia" w:eastAsia="仿宋"/>
          <w:color w:val="auto"/>
          <w:szCs w:val="24"/>
          <w:highlight w:val="none"/>
        </w:rPr>
        <w:t>14. 不可抗力</w:t>
      </w:r>
    </w:p>
    <w:p w14:paraId="4DBBD45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14.1 如果合同任何一方受诸如战争、严重的火灾、台风、地震、洪水以及任何其他不能预见、不能避免且不能克服的不可抗力事件的影响而无法履行合同项下的任何义务，受影响的一方应将此类事件的发生通知合同另一方，并应在不可抗力事件发生后</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天内书面</w:t>
      </w:r>
      <w:r>
        <w:rPr>
          <w:rFonts w:hint="eastAsia" w:ascii="宋体" w:hAnsi="宋体" w:eastAsia="仿宋"/>
          <w:color w:val="auto"/>
          <w:position w:val="-1"/>
          <w:sz w:val="24"/>
          <w:highlight w:val="none"/>
        </w:rPr>
        <w:t>说明不可抗力和受阻碍的详细情</w:t>
      </w:r>
      <w:r>
        <w:rPr>
          <w:rFonts w:hint="eastAsia" w:ascii="宋体" w:hAnsi="宋体" w:eastAsia="仿宋"/>
          <w:color w:val="auto"/>
          <w:sz w:val="24"/>
          <w:highlight w:val="none"/>
        </w:rPr>
        <w:t>况，并提供必要的证明。</w:t>
      </w:r>
    </w:p>
    <w:p w14:paraId="6DF78E3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14.2 受不可抗力事件影响的合同一方对于不可抗力事件导致的任何合同义务的迟延履行或不能履行不承担责任。但该合同方应尽快将不可抗力事件结束或其影响消除的情况通知合同另一方。双方由此产生的损失不得向对方提出索赔要求，也不承担误期赔偿或终止合同的责任。</w:t>
      </w:r>
    </w:p>
    <w:p w14:paraId="011A550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14.3 合同双方应在不可抗力事件结束或其影响消除后，立即继续履行其合同义务，合同期限也应相应延长。如果不可抗力事件的影响持续超过</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天，合同任何一方均有权以书面形式通知对方部分或全部终止合同。</w:t>
      </w:r>
    </w:p>
    <w:p w14:paraId="5A3F805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14.4 因不可抗力终止合同的结清参照第 13.5 款规定办理。</w:t>
      </w:r>
    </w:p>
    <w:p w14:paraId="6EA9088E">
      <w:pPr>
        <w:pStyle w:val="4"/>
        <w:jc w:val="left"/>
        <w:rPr>
          <w:rFonts w:hint="eastAsia" w:eastAsia="仿宋"/>
          <w:color w:val="auto"/>
          <w:szCs w:val="24"/>
          <w:highlight w:val="none"/>
        </w:rPr>
      </w:pPr>
      <w:r>
        <w:rPr>
          <w:rFonts w:hint="eastAsia" w:eastAsia="仿宋"/>
          <w:color w:val="auto"/>
          <w:szCs w:val="24"/>
          <w:highlight w:val="none"/>
        </w:rPr>
        <w:t>15. 税费</w:t>
      </w:r>
    </w:p>
    <w:p w14:paraId="08CB133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15.1 按现行税法规定向甲方征收的与本合同有关的一切税费均由甲方负责。</w:t>
      </w:r>
    </w:p>
    <w:p w14:paraId="08EE0FF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15.2 按现行税法规定向乙方征收的与本合同有关的一切税费均由乙方负责。</w:t>
      </w:r>
    </w:p>
    <w:p w14:paraId="25FC5696">
      <w:pPr>
        <w:pStyle w:val="4"/>
        <w:jc w:val="left"/>
        <w:rPr>
          <w:rFonts w:hint="eastAsia" w:ascii="宋体" w:hAnsi="宋体" w:eastAsia="仿宋" w:cs="Times New Roman"/>
          <w:color w:val="auto"/>
          <w:sz w:val="28"/>
          <w:highlight w:val="none"/>
        </w:rPr>
      </w:pPr>
      <w:r>
        <w:rPr>
          <w:rFonts w:hint="eastAsia" w:ascii="宋体" w:hAnsi="宋体" w:eastAsia="仿宋" w:cs="Times New Roman"/>
          <w:color w:val="auto"/>
          <w:sz w:val="28"/>
          <w:highlight w:val="none"/>
        </w:rPr>
        <w:t>1</w:t>
      </w:r>
      <w:r>
        <w:rPr>
          <w:rFonts w:hint="eastAsia" w:ascii="宋体" w:hAnsi="宋体" w:eastAsia="仿宋" w:cs="Times New Roman"/>
          <w:color w:val="auto"/>
          <w:sz w:val="28"/>
          <w:highlight w:val="none"/>
          <w:lang w:eastAsia="zh-CN"/>
        </w:rPr>
        <w:t>6</w:t>
      </w:r>
      <w:r>
        <w:rPr>
          <w:rFonts w:hint="eastAsia" w:ascii="宋体" w:hAnsi="宋体" w:eastAsia="仿宋" w:cs="Times New Roman"/>
          <w:color w:val="auto"/>
          <w:sz w:val="28"/>
          <w:highlight w:val="none"/>
        </w:rPr>
        <w:t>. 通知和送达</w:t>
      </w:r>
    </w:p>
    <w:p w14:paraId="4147922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1本合同项下任何一方向对方发出的通知、信件、数据电文等，应当以书面形式发送至本合同下列约定的送达地址。一方当事人变更送达地址信息/电子送达信息的，应当在变更后3日内及时书面通知对方当事人，对方当事人实际收到变更通知前的送达仍为有效送达，电子送达与其他送达方式具有同等法律效力。</w:t>
      </w:r>
    </w:p>
    <w:p w14:paraId="2278031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.2委托方确认送达地址如下：</w:t>
      </w:r>
    </w:p>
    <w:p w14:paraId="053115A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地址：××省××市××区/县××路××号，邮编：××××××，联系人：×××，联系电话：×××-××××××。</w:t>
      </w:r>
    </w:p>
    <w:p w14:paraId="08DD524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委托方（□同意□不同意）接受电子送达方式如下：</w:t>
      </w:r>
    </w:p>
    <w:p w14:paraId="59D273F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手机短信：×××××××××/传真：×××-××××××/即时通讯账号（微信号）：×××××××××/电子邮箱：×××@×××.com。</w:t>
      </w:r>
    </w:p>
    <w:p w14:paraId="7AAFE4E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受托方确认送达地址如下：</w:t>
      </w:r>
    </w:p>
    <w:p w14:paraId="7889927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地址：××省××市××区/县××路××号，邮编：××××××，联系人：×××，联系电话：×××-××××××。</w:t>
      </w:r>
    </w:p>
    <w:p w14:paraId="5480411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受托方（□同意□不同意）接受电子送达方式如下：</w:t>
      </w:r>
    </w:p>
    <w:p w14:paraId="504FEB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手机短信：×××××××××/传真：×××-××××××/即时通讯账号（微信号）：×××××××××/电子邮箱：×××@×××.com。</w:t>
      </w:r>
    </w:p>
    <w:p w14:paraId="6045484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3若当面送达，以收件方签收时间为送达时间；若以EMS特快专递或挂号信或其他快递形式递送，无论收件方是否签收，自该等文件投邮之日起的第四日视为送达；若以电子邮件、短信、微信等电子送达方式递送，以留存在发送方电脑中的发送成功记录时间为送达时间；如采取多种方式送达的，送达时间以最早的送达为准。</w:t>
      </w:r>
    </w:p>
    <w:p w14:paraId="6187BFF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.4本合同第1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款约定的送达地址系双方工作联系往来、法律文书及争议解决时人民法院/仲裁机构的法律文书送达地址，各方确认上述送达地址及送达方式适用于诉讼/仲裁的各阶段，包括但不限于一审、二审、再审、特别程序及执行程序。</w:t>
      </w:r>
    </w:p>
    <w:p w14:paraId="6896336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.5 本条款为独立条款，不受合同整体或其他条款的效力的影响。</w:t>
      </w:r>
    </w:p>
    <w:p w14:paraId="28DF1174">
      <w:pPr>
        <w:pStyle w:val="4"/>
        <w:jc w:val="left"/>
        <w:rPr>
          <w:rFonts w:hint="eastAsia" w:eastAsia="仿宋"/>
          <w:color w:val="auto"/>
          <w:szCs w:val="24"/>
          <w:highlight w:val="none"/>
        </w:rPr>
      </w:pPr>
      <w:r>
        <w:rPr>
          <w:rFonts w:hint="eastAsia" w:eastAsia="仿宋"/>
          <w:color w:val="auto"/>
          <w:szCs w:val="24"/>
          <w:highlight w:val="none"/>
        </w:rPr>
        <w:t>1</w:t>
      </w:r>
      <w:r>
        <w:rPr>
          <w:rFonts w:hint="eastAsia" w:eastAsia="仿宋"/>
          <w:color w:val="auto"/>
          <w:szCs w:val="24"/>
          <w:highlight w:val="none"/>
          <w:lang w:val="en-US" w:eastAsia="zh-CN"/>
        </w:rPr>
        <w:t>7</w:t>
      </w:r>
      <w:r>
        <w:rPr>
          <w:rFonts w:hint="eastAsia" w:eastAsia="仿宋"/>
          <w:color w:val="auto"/>
          <w:szCs w:val="24"/>
          <w:highlight w:val="none"/>
        </w:rPr>
        <w:t>. 争议的解决</w:t>
      </w:r>
    </w:p>
    <w:p w14:paraId="7C6C4D8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16.1 合同履行过程中出现争议时，甲乙双方应本着公平、合理的原则，及时友好协商解决。如在</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天内未能解决，</w:t>
      </w:r>
      <w:r>
        <w:rPr>
          <w:rFonts w:ascii="宋体" w:hAnsi="宋体" w:eastAsia="仿宋"/>
          <w:color w:val="auto"/>
          <w:sz w:val="24"/>
          <w:highlight w:val="none"/>
        </w:rPr>
        <w:t>按下列第</w:t>
      </w:r>
      <w:r>
        <w:rPr>
          <w:rFonts w:ascii="宋体" w:hAnsi="宋体" w:eastAsia="仿宋"/>
          <w:color w:val="auto"/>
          <w:sz w:val="24"/>
          <w:highlight w:val="none"/>
          <w:u w:val="single"/>
        </w:rPr>
        <w:t xml:space="preserve">     </w:t>
      </w:r>
      <w:r>
        <w:rPr>
          <w:rFonts w:ascii="宋体" w:hAnsi="宋体" w:eastAsia="仿宋"/>
          <w:color w:val="auto"/>
          <w:sz w:val="24"/>
          <w:highlight w:val="none"/>
        </w:rPr>
        <w:t>种方式</w:t>
      </w:r>
      <w:r>
        <w:rPr>
          <w:rFonts w:hint="eastAsia" w:ascii="宋体" w:hAnsi="宋体" w:eastAsia="仿宋"/>
          <w:color w:val="auto"/>
          <w:sz w:val="24"/>
          <w:highlight w:val="none"/>
        </w:rPr>
        <w:t>解</w:t>
      </w:r>
      <w:r>
        <w:rPr>
          <w:rFonts w:ascii="宋体" w:hAnsi="宋体" w:eastAsia="仿宋"/>
          <w:color w:val="auto"/>
          <w:sz w:val="24"/>
          <w:highlight w:val="none"/>
        </w:rPr>
        <w:t>决：</w:t>
      </w:r>
    </w:p>
    <w:p w14:paraId="6C7BEDAD">
      <w:pPr>
        <w:spacing w:line="360" w:lineRule="auto"/>
        <w:ind w:firstLine="480" w:firstLineChars="200"/>
        <w:jc w:val="left"/>
        <w:rPr>
          <w:rFonts w:ascii="宋体" w:hAnsi="宋体" w:eastAsia="仿宋"/>
          <w:color w:val="auto"/>
          <w:sz w:val="24"/>
          <w:highlight w:val="none"/>
        </w:rPr>
      </w:pPr>
      <w:r>
        <w:rPr>
          <w:rFonts w:ascii="宋体" w:hAnsi="宋体" w:eastAsia="仿宋"/>
          <w:color w:val="auto"/>
          <w:sz w:val="24"/>
          <w:highlight w:val="none"/>
        </w:rPr>
        <w:t>（1）向</w:t>
      </w:r>
      <w:r>
        <w:rPr>
          <w:rFonts w:ascii="宋体" w:hAnsi="宋体" w:eastAsia="仿宋"/>
          <w:color w:val="auto"/>
          <w:sz w:val="24"/>
          <w:highlight w:val="none"/>
          <w:u w:val="single"/>
        </w:rPr>
        <w:t xml:space="preserve">     </w:t>
      </w:r>
      <w:r>
        <w:rPr>
          <w:rFonts w:hint="eastAsia" w:ascii="宋体" w:hAnsi="宋体" w:eastAsia="仿宋"/>
          <w:color w:val="auto"/>
          <w:sz w:val="24"/>
          <w:highlight w:val="none"/>
          <w:u w:val="single"/>
        </w:rPr>
        <w:t xml:space="preserve"> </w:t>
      </w:r>
      <w:r>
        <w:rPr>
          <w:rFonts w:ascii="宋体" w:hAnsi="宋体" w:eastAsia="仿宋"/>
          <w:color w:val="auto"/>
          <w:sz w:val="24"/>
          <w:highlight w:val="none"/>
          <w:u w:val="single"/>
        </w:rPr>
        <w:t xml:space="preserve">     </w:t>
      </w:r>
      <w:r>
        <w:rPr>
          <w:rFonts w:ascii="宋体" w:hAnsi="宋体" w:eastAsia="仿宋"/>
          <w:color w:val="auto"/>
          <w:sz w:val="24"/>
          <w:highlight w:val="none"/>
        </w:rPr>
        <w:t>仲裁委员会申请仲裁；</w:t>
      </w:r>
    </w:p>
    <w:p w14:paraId="51AEBB31">
      <w:pPr>
        <w:spacing w:line="360" w:lineRule="auto"/>
        <w:ind w:firstLine="480" w:firstLineChars="200"/>
        <w:jc w:val="left"/>
        <w:rPr>
          <w:rFonts w:ascii="宋体" w:hAnsi="宋体" w:eastAsia="仿宋"/>
          <w:color w:val="auto"/>
          <w:sz w:val="24"/>
          <w:highlight w:val="none"/>
        </w:rPr>
      </w:pPr>
      <w:r>
        <w:rPr>
          <w:rFonts w:ascii="宋体" w:hAnsi="宋体" w:eastAsia="仿宋"/>
          <w:color w:val="auto"/>
          <w:sz w:val="24"/>
          <w:highlight w:val="none"/>
        </w:rPr>
        <w:t>（2）向</w:t>
      </w:r>
      <w:r>
        <w:rPr>
          <w:rFonts w:ascii="宋体" w:hAnsi="宋体" w:eastAsia="仿宋"/>
          <w:color w:val="auto"/>
          <w:sz w:val="24"/>
          <w:highlight w:val="none"/>
          <w:u w:val="single"/>
        </w:rPr>
        <w:t xml:space="preserve">  </w:t>
      </w:r>
      <w:r>
        <w:rPr>
          <w:rFonts w:hint="eastAsia" w:ascii="宋体" w:hAnsi="宋体" w:eastAsia="仿宋"/>
          <w:color w:val="auto"/>
          <w:sz w:val="24"/>
          <w:highlight w:val="none"/>
          <w:u w:val="single"/>
        </w:rPr>
        <w:t>甲方所在地的有管辖权</w:t>
      </w:r>
      <w:r>
        <w:rPr>
          <w:rFonts w:ascii="宋体" w:hAnsi="宋体" w:eastAsia="仿宋"/>
          <w:color w:val="auto"/>
          <w:sz w:val="24"/>
          <w:highlight w:val="none"/>
          <w:u w:val="single"/>
        </w:rPr>
        <w:t xml:space="preserve">   </w:t>
      </w:r>
      <w:r>
        <w:rPr>
          <w:rFonts w:ascii="宋体" w:hAnsi="宋体" w:eastAsia="仿宋"/>
          <w:color w:val="auto"/>
          <w:sz w:val="24"/>
          <w:highlight w:val="none"/>
        </w:rPr>
        <w:t>人民法院起诉。</w:t>
      </w:r>
    </w:p>
    <w:p w14:paraId="336FFD9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16.2 在争议期间，除存在争议的部分外，本合同其它部分应继续履行。</w:t>
      </w:r>
    </w:p>
    <w:p w14:paraId="45DEA668">
      <w:pPr>
        <w:pStyle w:val="4"/>
        <w:jc w:val="left"/>
        <w:rPr>
          <w:rFonts w:hint="eastAsia" w:eastAsia="仿宋"/>
          <w:color w:val="auto"/>
          <w:szCs w:val="24"/>
          <w:highlight w:val="none"/>
        </w:rPr>
      </w:pPr>
      <w:r>
        <w:rPr>
          <w:rFonts w:hint="eastAsia" w:eastAsia="仿宋"/>
          <w:color w:val="auto"/>
          <w:szCs w:val="24"/>
          <w:highlight w:val="none"/>
        </w:rPr>
        <w:t>1</w:t>
      </w:r>
      <w:r>
        <w:rPr>
          <w:rFonts w:hint="eastAsia" w:eastAsia="仿宋"/>
          <w:color w:val="auto"/>
          <w:szCs w:val="24"/>
          <w:highlight w:val="none"/>
          <w:lang w:val="en-US" w:eastAsia="zh-CN"/>
        </w:rPr>
        <w:t>8</w:t>
      </w:r>
      <w:r>
        <w:rPr>
          <w:rFonts w:hint="eastAsia" w:eastAsia="仿宋"/>
          <w:color w:val="auto"/>
          <w:szCs w:val="24"/>
          <w:highlight w:val="none"/>
        </w:rPr>
        <w:t>. 适用法律</w:t>
      </w:r>
    </w:p>
    <w:p w14:paraId="4DB57B0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本合同应按照中华人民共和国的法律进行解释。</w:t>
      </w:r>
    </w:p>
    <w:p w14:paraId="1BA81881">
      <w:pPr>
        <w:pStyle w:val="4"/>
        <w:jc w:val="left"/>
        <w:rPr>
          <w:rFonts w:hint="eastAsia" w:eastAsia="仿宋"/>
          <w:color w:val="auto"/>
          <w:szCs w:val="24"/>
          <w:highlight w:val="none"/>
        </w:rPr>
      </w:pPr>
      <w:r>
        <w:rPr>
          <w:rFonts w:hint="eastAsia" w:eastAsia="仿宋"/>
          <w:color w:val="auto"/>
          <w:szCs w:val="24"/>
          <w:highlight w:val="none"/>
        </w:rPr>
        <w:t>1</w:t>
      </w:r>
      <w:r>
        <w:rPr>
          <w:rFonts w:hint="eastAsia" w:eastAsia="仿宋"/>
          <w:color w:val="auto"/>
          <w:szCs w:val="24"/>
          <w:highlight w:val="none"/>
          <w:lang w:val="en-US" w:eastAsia="zh-CN"/>
        </w:rPr>
        <w:t>9</w:t>
      </w:r>
      <w:r>
        <w:rPr>
          <w:rFonts w:hint="eastAsia" w:eastAsia="仿宋"/>
          <w:color w:val="auto"/>
          <w:szCs w:val="24"/>
          <w:highlight w:val="none"/>
        </w:rPr>
        <w:t>. 合同生效</w:t>
      </w:r>
    </w:p>
    <w:p w14:paraId="02DC64D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除法律另有规定外，甲方和乙方的法定代表人（单位负责人）或其委托代理人在合同上签字并盖单位章后，合同生效。</w:t>
      </w:r>
    </w:p>
    <w:p w14:paraId="7DA50ED2">
      <w:pPr>
        <w:pStyle w:val="4"/>
        <w:jc w:val="left"/>
        <w:rPr>
          <w:rFonts w:hint="eastAsia" w:eastAsia="仿宋"/>
          <w:color w:val="auto"/>
          <w:szCs w:val="24"/>
          <w:highlight w:val="none"/>
        </w:rPr>
      </w:pPr>
      <w:r>
        <w:rPr>
          <w:rFonts w:hint="eastAsia" w:eastAsia="仿宋"/>
          <w:color w:val="auto"/>
          <w:szCs w:val="24"/>
          <w:highlight w:val="none"/>
        </w:rPr>
        <w:t>2</w:t>
      </w:r>
      <w:r>
        <w:rPr>
          <w:rFonts w:hint="eastAsia" w:eastAsia="仿宋"/>
          <w:color w:val="auto"/>
          <w:szCs w:val="24"/>
          <w:highlight w:val="none"/>
          <w:lang w:val="en-US" w:eastAsia="zh-CN"/>
        </w:rPr>
        <w:t>0</w:t>
      </w:r>
      <w:r>
        <w:rPr>
          <w:rFonts w:hint="eastAsia" w:eastAsia="仿宋"/>
          <w:color w:val="auto"/>
          <w:szCs w:val="24"/>
          <w:highlight w:val="none"/>
        </w:rPr>
        <w:t>. 其他</w:t>
      </w:r>
    </w:p>
    <w:p w14:paraId="099014F9">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本合同一式</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份，甲、乙双方各执</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份。</w:t>
      </w:r>
    </w:p>
    <w:p w14:paraId="1961F754">
      <w:pPr>
        <w:pStyle w:val="4"/>
        <w:jc w:val="left"/>
        <w:rPr>
          <w:rFonts w:hint="eastAsia" w:eastAsia="仿宋"/>
          <w:color w:val="auto"/>
          <w:szCs w:val="24"/>
          <w:highlight w:val="none"/>
        </w:rPr>
      </w:pPr>
      <w:r>
        <w:rPr>
          <w:rFonts w:hint="eastAsia" w:eastAsia="仿宋"/>
          <w:color w:val="auto"/>
          <w:szCs w:val="24"/>
          <w:highlight w:val="none"/>
        </w:rPr>
        <w:t>2</w:t>
      </w:r>
      <w:r>
        <w:rPr>
          <w:rFonts w:hint="eastAsia" w:eastAsia="仿宋"/>
          <w:color w:val="auto"/>
          <w:szCs w:val="24"/>
          <w:highlight w:val="none"/>
          <w:lang w:val="en-US" w:eastAsia="zh-CN"/>
        </w:rPr>
        <w:t>1</w:t>
      </w:r>
      <w:r>
        <w:rPr>
          <w:rFonts w:hint="eastAsia" w:eastAsia="仿宋"/>
          <w:color w:val="auto"/>
          <w:szCs w:val="24"/>
          <w:highlight w:val="none"/>
        </w:rPr>
        <w:t>. 补充条款</w:t>
      </w:r>
    </w:p>
    <w:p w14:paraId="38AFFC5D">
      <w:pPr>
        <w:widowControl/>
        <w:adjustRightInd w:val="0"/>
        <w:snapToGrid w:val="0"/>
        <w:spacing w:line="360" w:lineRule="auto"/>
        <w:ind w:firstLine="480" w:firstLineChars="200"/>
        <w:rPr>
          <w:rFonts w:hint="eastAsia" w:ascii="宋体" w:eastAsia="仿宋"/>
          <w:color w:val="auto"/>
          <w:sz w:val="24"/>
          <w:highlight w:val="none"/>
          <w:u w:val="single"/>
        </w:rPr>
      </w:pPr>
      <w:r>
        <w:rPr>
          <w:rFonts w:hint="eastAsia" w:ascii="宋体" w:eastAsia="仿宋"/>
          <w:color w:val="auto"/>
          <w:sz w:val="24"/>
          <w:highlight w:val="none"/>
          <w:u w:val="single"/>
        </w:rPr>
        <w:t xml:space="preserve">                                                                       </w:t>
      </w:r>
    </w:p>
    <w:p w14:paraId="5595A30C">
      <w:pPr>
        <w:jc w:val="center"/>
        <w:outlineLvl w:val="9"/>
        <w:rPr>
          <w:rFonts w:hint="eastAsia" w:eastAsia="仿宋"/>
          <w:color w:val="auto"/>
          <w:highlight w:val="none"/>
          <w:lang w:eastAsia="zh-CN"/>
        </w:rPr>
      </w:pPr>
      <w:r>
        <w:rPr>
          <w:rFonts w:hint="eastAsia" w:eastAsia="仿宋"/>
          <w:color w:val="auto"/>
          <w:sz w:val="24"/>
          <w:highlight w:val="none"/>
          <w:u w:val="single"/>
          <w:lang w:eastAsia="zh-CN"/>
        </w:rPr>
        <w:t>（</w:t>
      </w:r>
      <w:r>
        <w:rPr>
          <w:rFonts w:hint="eastAsia" w:eastAsia="仿宋"/>
          <w:color w:val="auto"/>
          <w:sz w:val="24"/>
          <w:highlight w:val="none"/>
          <w:u w:val="single"/>
          <w:lang w:val="en-US" w:eastAsia="zh-CN"/>
        </w:rPr>
        <w:t>以下无正文，为签字页</w:t>
      </w:r>
      <w:r>
        <w:rPr>
          <w:rFonts w:hint="eastAsia" w:eastAsia="仿宋"/>
          <w:color w:val="auto"/>
          <w:sz w:val="24"/>
          <w:highlight w:val="none"/>
          <w:u w:val="single"/>
          <w:lang w:eastAsia="zh-CN"/>
        </w:rPr>
        <w:t>）</w:t>
      </w:r>
    </w:p>
    <w:p w14:paraId="6CE4E092">
      <w:pPr>
        <w:snapToGrid w:val="0"/>
        <w:spacing w:line="360" w:lineRule="auto"/>
        <w:ind w:firstLine="480" w:firstLineChars="200"/>
        <w:jc w:val="center"/>
        <w:rPr>
          <w:rFonts w:hint="eastAsia" w:ascii="宋体" w:hAnsi="宋体" w:eastAsia="仿宋"/>
          <w:color w:val="auto"/>
          <w:sz w:val="24"/>
          <w:highlight w:val="none"/>
          <w:lang w:val="en-US" w:eastAsia="zh-CN"/>
        </w:rPr>
      </w:pPr>
      <w:r>
        <w:rPr>
          <w:rFonts w:hint="eastAsia" w:ascii="宋体" w:hAnsi="宋体" w:eastAsia="仿宋"/>
          <w:color w:val="auto"/>
          <w:sz w:val="24"/>
          <w:highlight w:val="none"/>
        </w:rPr>
        <w:br w:type="page"/>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本页无正文，为签字页</w:t>
      </w:r>
      <w:r>
        <w:rPr>
          <w:rFonts w:hint="eastAsia" w:ascii="宋体" w:hAnsi="宋体" w:eastAsia="仿宋"/>
          <w:color w:val="auto"/>
          <w:sz w:val="24"/>
          <w:highlight w:val="none"/>
          <w:lang w:eastAsia="zh-CN"/>
        </w:rPr>
        <w:t>）</w:t>
      </w:r>
    </w:p>
    <w:p w14:paraId="352D7917">
      <w:pPr>
        <w:snapToGrid w:val="0"/>
        <w:spacing w:line="360" w:lineRule="auto"/>
        <w:ind w:firstLine="480" w:firstLineChars="200"/>
        <w:rPr>
          <w:rFonts w:hint="eastAsia" w:ascii="宋体" w:hAnsi="宋体" w:eastAsia="仿宋"/>
          <w:color w:val="auto"/>
          <w:sz w:val="24"/>
          <w:highlight w:val="none"/>
        </w:rPr>
      </w:pPr>
    </w:p>
    <w:p w14:paraId="7CB17A2D">
      <w:pPr>
        <w:snapToGrid w:val="0"/>
        <w:spacing w:line="360" w:lineRule="auto"/>
        <w:ind w:firstLine="480" w:firstLineChars="200"/>
        <w:rPr>
          <w:rFonts w:hint="eastAsia" w:ascii="宋体" w:hAnsi="宋体" w:eastAsia="仿宋"/>
          <w:color w:val="auto"/>
          <w:sz w:val="24"/>
          <w:highlight w:val="none"/>
        </w:rPr>
      </w:pPr>
    </w:p>
    <w:p w14:paraId="27162CF2">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甲   方：                        乙   方：</w:t>
      </w:r>
    </w:p>
    <w:p w14:paraId="5F2622A0">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名称：（盖章）                    名称：（盖章）</w:t>
      </w:r>
    </w:p>
    <w:p w14:paraId="7FD23BC2">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地址：                           地址：</w:t>
      </w:r>
    </w:p>
    <w:p w14:paraId="07B49FA4">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法定代表人（签字）：              法定代表人（签字）：</w:t>
      </w:r>
    </w:p>
    <w:p w14:paraId="7ABC20B9">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授权代表（签字）：                授权代表（签字）：</w:t>
      </w:r>
    </w:p>
    <w:p w14:paraId="39B4C361">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开户银行：                       开户银行：</w:t>
      </w:r>
    </w:p>
    <w:p w14:paraId="2B9D2F0C">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银行</w:t>
      </w:r>
      <w:r>
        <w:rPr>
          <w:rFonts w:hint="eastAsia" w:ascii="宋体" w:hAnsi="宋体" w:eastAsia="仿宋"/>
          <w:color w:val="auto"/>
          <w:sz w:val="24"/>
          <w:highlight w:val="none"/>
          <w:lang w:val="en-US" w:eastAsia="zh-CN"/>
        </w:rPr>
        <w:t>账</w:t>
      </w:r>
      <w:r>
        <w:rPr>
          <w:rFonts w:hint="eastAsia" w:ascii="宋体" w:hAnsi="宋体" w:eastAsia="仿宋"/>
          <w:color w:val="auto"/>
          <w:sz w:val="24"/>
          <w:highlight w:val="none"/>
        </w:rPr>
        <w:t>号：                       银行</w:t>
      </w:r>
      <w:r>
        <w:rPr>
          <w:rFonts w:hint="eastAsia" w:ascii="宋体" w:hAnsi="宋体" w:eastAsia="仿宋"/>
          <w:color w:val="auto"/>
          <w:sz w:val="24"/>
          <w:highlight w:val="none"/>
          <w:lang w:val="en-US" w:eastAsia="zh-CN"/>
        </w:rPr>
        <w:t>账</w:t>
      </w:r>
      <w:r>
        <w:rPr>
          <w:rFonts w:hint="eastAsia" w:ascii="宋体" w:hAnsi="宋体" w:eastAsia="仿宋"/>
          <w:color w:val="auto"/>
          <w:sz w:val="24"/>
          <w:highlight w:val="none"/>
        </w:rPr>
        <w:t>号：</w:t>
      </w:r>
    </w:p>
    <w:p w14:paraId="22F632AB">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时间：         年     月     日</w:t>
      </w:r>
    </w:p>
    <w:p w14:paraId="0CDFB76C">
      <w:pPr>
        <w:snapToGrid w:val="0"/>
        <w:spacing w:line="360" w:lineRule="auto"/>
        <w:ind w:firstLine="480" w:firstLineChars="200"/>
        <w:rPr>
          <w:rFonts w:hint="eastAsia" w:ascii="宋体" w:hAnsi="宋体" w:eastAsia="仿宋"/>
          <w:color w:val="auto"/>
          <w:sz w:val="24"/>
          <w:highlight w:val="none"/>
        </w:rPr>
      </w:pPr>
    </w:p>
    <w:p w14:paraId="723A62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eastAsia="仿宋"/>
          <w:color w:val="auto"/>
          <w:sz w:val="24"/>
          <w:highlight w:val="none"/>
        </w:rPr>
      </w:pPr>
      <w:r>
        <w:rPr>
          <w:rFonts w:hint="eastAsia" w:ascii="宋体" w:hAnsi="宋体" w:eastAsia="仿宋"/>
          <w:color w:val="auto"/>
          <w:sz w:val="24"/>
          <w:highlight w:val="none"/>
        </w:rPr>
        <w:t>合同见证方：采购代理机构盖章</w:t>
      </w:r>
    </w:p>
    <w:p w14:paraId="7BB9C317">
      <w:pPr>
        <w:widowControl/>
        <w:rPr>
          <w:rFonts w:ascii="宋体" w:hAnsi="宋体" w:eastAsia="仿宋"/>
          <w:color w:val="auto"/>
          <w:sz w:val="24"/>
          <w:highlight w:val="none"/>
        </w:rPr>
      </w:pPr>
    </w:p>
    <w:p w14:paraId="664D4BE1">
      <w:pPr>
        <w:tabs>
          <w:tab w:val="left" w:pos="5370"/>
          <w:tab w:val="left" w:pos="6330"/>
          <w:tab w:val="left" w:pos="7275"/>
        </w:tabs>
        <w:autoSpaceDE w:val="0"/>
        <w:autoSpaceDN w:val="0"/>
        <w:adjustRightInd w:val="0"/>
        <w:spacing w:line="440" w:lineRule="exact"/>
        <w:ind w:left="4341" w:firstLine="241" w:firstLineChars="100"/>
        <w:contextualSpacing/>
        <w:jc w:val="left"/>
        <w:rPr>
          <w:rFonts w:ascii="宋体" w:hAnsi="宋体" w:eastAsia="仿宋" w:cs="Microsoft JhengHei"/>
          <w:b/>
          <w:bCs/>
          <w:color w:val="auto"/>
          <w:kern w:val="0"/>
          <w:position w:val="-3"/>
          <w:sz w:val="24"/>
          <w:highlight w:val="none"/>
        </w:rPr>
      </w:pPr>
      <w:r>
        <w:rPr>
          <w:rFonts w:ascii="宋体" w:hAnsi="宋体" w:eastAsia="仿宋" w:cs="Microsoft JhengHei"/>
          <w:b/>
          <w:bCs/>
          <w:color w:val="auto"/>
          <w:kern w:val="0"/>
          <w:position w:val="-3"/>
          <w:sz w:val="24"/>
          <w:highlight w:val="none"/>
        </w:rPr>
        <w:br w:type="page"/>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2D70F7A9">
      <w:pPr>
        <w:pStyle w:val="3"/>
        <w:rPr>
          <w:rFonts w:hint="eastAsia" w:eastAsia="仿宋"/>
          <w:color w:val="auto"/>
          <w:sz w:val="24"/>
          <w:szCs w:val="24"/>
          <w:highlight w:val="none"/>
        </w:rPr>
      </w:pPr>
      <w:bookmarkStart w:id="837" w:name="_Toc526265702"/>
      <w:bookmarkStart w:id="838" w:name="_Toc500009176"/>
      <w:bookmarkStart w:id="839" w:name="_Toc500235608"/>
      <w:bookmarkStart w:id="840" w:name="_Toc497923303"/>
      <w:r>
        <w:rPr>
          <w:rFonts w:hint="eastAsia" w:eastAsia="仿宋"/>
          <w:color w:val="auto"/>
          <w:sz w:val="24"/>
          <w:szCs w:val="24"/>
          <w:highlight w:val="none"/>
        </w:rPr>
        <w:t>附件</w:t>
      </w:r>
      <w:r>
        <w:rPr>
          <w:rFonts w:hint="eastAsia" w:eastAsia="仿宋"/>
          <w:color w:val="auto"/>
          <w:sz w:val="24"/>
          <w:szCs w:val="24"/>
          <w:highlight w:val="none"/>
          <w:lang w:val="en-US" w:eastAsia="zh-CN"/>
        </w:rPr>
        <w:t>一</w:t>
      </w:r>
      <w:r>
        <w:rPr>
          <w:rFonts w:hint="eastAsia" w:eastAsia="仿宋"/>
          <w:color w:val="auto"/>
          <w:sz w:val="24"/>
          <w:szCs w:val="24"/>
          <w:highlight w:val="none"/>
        </w:rPr>
        <w:t>：履约保证金格式</w:t>
      </w:r>
      <w:bookmarkEnd w:id="837"/>
      <w:bookmarkEnd w:id="838"/>
      <w:bookmarkEnd w:id="839"/>
      <w:bookmarkEnd w:id="840"/>
    </w:p>
    <w:p w14:paraId="3BB19E2B">
      <w:pPr>
        <w:autoSpaceDE w:val="0"/>
        <w:autoSpaceDN w:val="0"/>
        <w:adjustRightInd w:val="0"/>
        <w:spacing w:line="360" w:lineRule="auto"/>
        <w:contextualSpacing/>
        <w:jc w:val="center"/>
        <w:rPr>
          <w:rFonts w:hint="eastAsia" w:ascii="黑体" w:hAnsi="黑体" w:eastAsia="黑体" w:cs="Microsoft JhengHei"/>
          <w:color w:val="auto"/>
          <w:kern w:val="0"/>
          <w:position w:val="-5"/>
          <w:sz w:val="24"/>
          <w:highlight w:val="none"/>
        </w:rPr>
      </w:pPr>
      <w:r>
        <w:rPr>
          <w:rFonts w:hint="eastAsia" w:ascii="黑体" w:hAnsi="黑体" w:eastAsia="黑体" w:cs="Microsoft JhengHei"/>
          <w:color w:val="auto"/>
          <w:kern w:val="0"/>
          <w:position w:val="-5"/>
          <w:sz w:val="24"/>
          <w:highlight w:val="none"/>
        </w:rPr>
        <w:t>履约保函</w:t>
      </w:r>
    </w:p>
    <w:p w14:paraId="0D29F386">
      <w:pPr>
        <w:spacing w:line="360" w:lineRule="auto"/>
        <w:ind w:right="2974" w:rightChars="1416"/>
        <w:jc w:val="right"/>
        <w:rPr>
          <w:rFonts w:hint="eastAsia" w:ascii="宋体" w:hAnsi="宋体" w:eastAsia="仿宋"/>
          <w:color w:val="auto"/>
          <w:sz w:val="24"/>
          <w:highlight w:val="none"/>
        </w:rPr>
      </w:pPr>
      <w:r>
        <w:rPr>
          <w:rFonts w:hint="eastAsia" w:ascii="宋体" w:hAnsi="宋体" w:eastAsia="仿宋"/>
          <w:color w:val="auto"/>
          <w:sz w:val="24"/>
          <w:highlight w:val="none"/>
        </w:rPr>
        <w:t xml:space="preserve">编号：             </w:t>
      </w:r>
    </w:p>
    <w:p w14:paraId="3DFFEA32">
      <w:pPr>
        <w:snapToGrid w:val="0"/>
        <w:spacing w:line="360" w:lineRule="auto"/>
        <w:rPr>
          <w:rFonts w:hint="eastAsia" w:ascii="宋体" w:hAnsi="宋体" w:eastAsia="仿宋" w:cs="宋体"/>
          <w:color w:val="auto"/>
          <w:sz w:val="24"/>
          <w:highlight w:val="none"/>
        </w:rPr>
      </w:pPr>
      <w:r>
        <w:rPr>
          <w:rFonts w:hint="eastAsia" w:ascii="宋体" w:hAnsi="宋体" w:eastAsia="仿宋" w:cs="宋体"/>
          <w:color w:val="auto"/>
          <w:sz w:val="24"/>
          <w:highlight w:val="none"/>
        </w:rPr>
        <w:t>致受益人</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4989388C">
      <w:pPr>
        <w:snapToGrid w:val="0"/>
        <w:spacing w:line="360" w:lineRule="auto"/>
        <w:ind w:firstLine="480" w:firstLineChars="200"/>
        <w:jc w:val="left"/>
        <w:rPr>
          <w:rFonts w:hint="eastAsia" w:ascii="宋体" w:hAnsi="宋体" w:eastAsia="仿宋" w:cs="宋体"/>
          <w:b/>
          <w:bCs/>
          <w:color w:val="auto"/>
          <w:sz w:val="24"/>
          <w:highlight w:val="none"/>
        </w:rPr>
      </w:pPr>
      <w:r>
        <w:rPr>
          <w:rFonts w:hint="eastAsia" w:ascii="宋体" w:hAnsi="宋体" w:eastAsia="仿宋" w:cs="宋体"/>
          <w:color w:val="auto"/>
          <w:sz w:val="24"/>
          <w:highlight w:val="none"/>
        </w:rPr>
        <w:t>因</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（下称“被保证人”，地址：</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）与你方签订了</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项目合同（项目编号：</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），我方愿就被保证人履行上述合同的义务向你方提供如下保证：</w:t>
      </w:r>
    </w:p>
    <w:p w14:paraId="0D4F8908">
      <w:pPr>
        <w:numPr>
          <w:ilvl w:val="0"/>
          <w:numId w:val="2"/>
        </w:numPr>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rPr>
        <w:t>本保函项下我方承担的保证责任最高限额（下称“担保金额”）为(币种金额、大写)</w:t>
      </w:r>
      <w:r>
        <w:rPr>
          <w:rFonts w:hint="eastAsia" w:ascii="宋体" w:hAnsi="宋体" w:eastAsia="仿宋" w:cs="宋体"/>
          <w:color w:val="auto"/>
          <w:sz w:val="24"/>
          <w:highlight w:val="none"/>
          <w:u w:val="single"/>
        </w:rPr>
        <w:t>人民币</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4DFA3D93">
      <w:pPr>
        <w:snapToGrid w:val="0"/>
        <w:spacing w:line="360" w:lineRule="auto"/>
        <w:ind w:firstLine="480" w:firstLineChars="200"/>
        <w:jc w:val="left"/>
        <w:rPr>
          <w:rFonts w:hint="eastAsia"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二、我方在本保函项下提供的保证为</w:t>
      </w:r>
      <w:r>
        <w:rPr>
          <w:rFonts w:hint="eastAsia" w:ascii="宋体" w:hAnsi="宋体" w:eastAsia="仿宋" w:cs="宋体"/>
          <w:snapToGrid w:val="0"/>
          <w:color w:val="auto"/>
          <w:kern w:val="0"/>
          <w:sz w:val="24"/>
          <w:highlight w:val="none"/>
          <w:u w:val="single"/>
        </w:rPr>
        <w:t xml:space="preserve">  连带  </w:t>
      </w:r>
      <w:r>
        <w:rPr>
          <w:rFonts w:hint="eastAsia" w:ascii="宋体" w:hAnsi="宋体" w:eastAsia="仿宋" w:cs="宋体"/>
          <w:snapToGrid w:val="0"/>
          <w:color w:val="auto"/>
          <w:kern w:val="0"/>
          <w:sz w:val="24"/>
          <w:highlight w:val="none"/>
        </w:rPr>
        <w:t>责任保证。</w:t>
      </w:r>
    </w:p>
    <w:p w14:paraId="28AC6390">
      <w:pPr>
        <w:snapToGrid w:val="0"/>
        <w:spacing w:line="360" w:lineRule="auto"/>
        <w:ind w:firstLine="480" w:firstLineChars="200"/>
        <w:jc w:val="left"/>
        <w:rPr>
          <w:rFonts w:hint="eastAsia"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三、本保函的有效期为以下第</w:t>
      </w:r>
      <w:r>
        <w:rPr>
          <w:rFonts w:hint="eastAsia" w:ascii="宋体" w:hAnsi="宋体" w:eastAsia="仿宋" w:cs="宋体"/>
          <w:snapToGrid w:val="0"/>
          <w:color w:val="auto"/>
          <w:kern w:val="0"/>
          <w:sz w:val="24"/>
          <w:highlight w:val="none"/>
          <w:u w:val="single"/>
        </w:rPr>
        <w:t xml:space="preserve">   1    </w:t>
      </w:r>
      <w:r>
        <w:rPr>
          <w:rFonts w:hint="eastAsia" w:ascii="宋体" w:hAnsi="宋体" w:eastAsia="仿宋" w:cs="宋体"/>
          <w:snapToGrid w:val="0"/>
          <w:color w:val="auto"/>
          <w:kern w:val="0"/>
          <w:sz w:val="24"/>
          <w:highlight w:val="none"/>
        </w:rPr>
        <w:t>种：</w:t>
      </w:r>
    </w:p>
    <w:p w14:paraId="43898728">
      <w:pPr>
        <w:snapToGrid w:val="0"/>
        <w:spacing w:line="360" w:lineRule="auto"/>
        <w:ind w:firstLine="480" w:firstLineChars="200"/>
        <w:jc w:val="left"/>
        <w:rPr>
          <w:rFonts w:hint="eastAsia" w:ascii="宋体" w:hAnsi="宋体" w:eastAsia="仿宋"/>
          <w:snapToGrid w:val="0"/>
          <w:color w:val="auto"/>
          <w:kern w:val="0"/>
          <w:sz w:val="24"/>
          <w:highlight w:val="none"/>
        </w:rPr>
      </w:pPr>
      <w:r>
        <w:rPr>
          <w:rFonts w:hint="eastAsia" w:ascii="宋体" w:hAnsi="宋体" w:eastAsia="仿宋" w:cs="宋体"/>
          <w:snapToGrid w:val="0"/>
          <w:color w:val="auto"/>
          <w:kern w:val="0"/>
          <w:sz w:val="24"/>
          <w:highlight w:val="none"/>
        </w:rPr>
        <w:t>1.本保函有效期自生效之日起至</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年</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月</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日止</w:t>
      </w:r>
      <w:r>
        <w:rPr>
          <w:rFonts w:hint="eastAsia" w:ascii="宋体" w:hAnsi="宋体" w:eastAsia="仿宋"/>
          <w:snapToGrid w:val="0"/>
          <w:color w:val="auto"/>
          <w:kern w:val="0"/>
          <w:sz w:val="24"/>
          <w:highlight w:val="none"/>
        </w:rPr>
        <w:t>。</w:t>
      </w:r>
    </w:p>
    <w:p w14:paraId="3795E549">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w:t>
      </w:r>
      <w:r>
        <w:rPr>
          <w:rFonts w:hint="eastAsia" w:ascii="宋体" w:hAnsi="宋体" w:eastAsia="仿宋"/>
          <w:snapToGrid w:val="0"/>
          <w:color w:val="auto"/>
          <w:kern w:val="0"/>
          <w:sz w:val="24"/>
          <w:highlight w:val="none"/>
          <w:u w:val="single"/>
        </w:rPr>
        <w:t xml:space="preserve">                                /                    </w:t>
      </w:r>
      <w:r>
        <w:rPr>
          <w:rFonts w:hint="eastAsia" w:ascii="宋体" w:hAnsi="宋体" w:eastAsia="仿宋"/>
          <w:snapToGrid w:val="0"/>
          <w:color w:val="auto"/>
          <w:kern w:val="0"/>
          <w:sz w:val="24"/>
          <w:highlight w:val="none"/>
        </w:rPr>
        <w:t>。</w:t>
      </w:r>
    </w:p>
    <w:p w14:paraId="42994C82">
      <w:pPr>
        <w:snapToGrid w:val="0"/>
        <w:spacing w:line="360" w:lineRule="auto"/>
        <w:ind w:firstLine="480" w:firstLineChars="200"/>
        <w:jc w:val="left"/>
        <w:rPr>
          <w:rFonts w:hint="eastAsia" w:ascii="宋体" w:hAnsi="宋体" w:eastAsia="仿宋"/>
          <w:snapToGrid w:val="0"/>
          <w:color w:val="auto"/>
          <w:kern w:val="0"/>
          <w:sz w:val="24"/>
          <w:highlight w:val="none"/>
        </w:rPr>
      </w:pPr>
      <w:r>
        <w:rPr>
          <w:rFonts w:hint="eastAsia" w:ascii="宋体" w:hAnsi="宋体" w:eastAsia="仿宋"/>
          <w:color w:val="auto"/>
          <w:sz w:val="24"/>
          <w:highlight w:val="none"/>
        </w:rPr>
        <w:t>四、在本保函的有效期内，如被保证人</w:t>
      </w:r>
      <w:r>
        <w:rPr>
          <w:rFonts w:hint="eastAsia" w:ascii="宋体" w:hAnsi="宋体" w:eastAsia="仿宋"/>
          <w:snapToGrid w:val="0"/>
          <w:color w:val="auto"/>
          <w:kern w:val="0"/>
          <w:sz w:val="24"/>
          <w:highlight w:val="none"/>
        </w:rPr>
        <w:t>违反上述合同的约定给你方造成经济损失的，我方将在收到你方提交的本保函原件及符合下列全部条件的索赔通知后</w:t>
      </w:r>
      <w:r>
        <w:rPr>
          <w:rFonts w:hint="eastAsia" w:ascii="宋体" w:hAnsi="宋体" w:eastAsia="仿宋"/>
          <w:snapToGrid w:val="0"/>
          <w:color w:val="auto"/>
          <w:kern w:val="0"/>
          <w:sz w:val="24"/>
          <w:highlight w:val="none"/>
          <w:u w:val="single"/>
        </w:rPr>
        <w:t>10</w:t>
      </w:r>
      <w:r>
        <w:rPr>
          <w:rFonts w:hint="eastAsia" w:ascii="宋体" w:hAnsi="宋体" w:eastAsia="仿宋"/>
          <w:snapToGrid w:val="0"/>
          <w:color w:val="auto"/>
          <w:kern w:val="0"/>
          <w:sz w:val="24"/>
          <w:highlight w:val="none"/>
        </w:rPr>
        <w:t>个工作日内，以上述担保金额为限支付你方索赔金额：</w:t>
      </w:r>
    </w:p>
    <w:p w14:paraId="66424605">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snapToGrid w:val="0"/>
          <w:color w:val="auto"/>
          <w:kern w:val="0"/>
          <w:sz w:val="24"/>
          <w:highlight w:val="none"/>
        </w:rPr>
        <w:t>（一）索赔通知必须以书面形式提出，列明索赔金额，并由你方法定代表人（负责人）或授权代理人签字并加盖公章；代理人签署索赔通知的，应当同时提交法定代表人（负责人）签发的授权文件。</w:t>
      </w:r>
    </w:p>
    <w:p w14:paraId="6895EE9F">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（二）索赔通知必须同时附有：</w:t>
      </w:r>
    </w:p>
    <w:p w14:paraId="1621DC57">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1.一项书面声明，声明索赔款项并未由</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或其代理人直接或间接地支付给你方；</w:t>
      </w:r>
    </w:p>
    <w:p w14:paraId="7DCAB740">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2.证明</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违反上述合同的约定以及有责任支付你方索赔金额的证据，包括但不限于已发生法律效力的法院判决书或仲裁裁决书等。</w:t>
      </w:r>
    </w:p>
    <w:p w14:paraId="1D67887B">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3.索赔资料应在有效期内送达我方，否则我方不承担责任。</w:t>
      </w:r>
    </w:p>
    <w:p w14:paraId="3D3A0910">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（三）索赔通知必须在本保函有效期内到达以下地址</w:t>
      </w:r>
      <w:r>
        <w:rPr>
          <w:rFonts w:hint="eastAsia" w:ascii="宋体" w:hAnsi="宋体" w:eastAsia="仿宋"/>
          <w:color w:val="auto"/>
          <w:sz w:val="24"/>
          <w:highlight w:val="none"/>
          <w:u w:val="single"/>
        </w:rPr>
        <w:t xml:space="preserve"> </w:t>
      </w:r>
      <w:r>
        <w:rPr>
          <w:rFonts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1A3D4B5D">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snapToGrid w:val="0"/>
          <w:color w:val="auto"/>
          <w:kern w:val="0"/>
          <w:sz w:val="24"/>
          <w:highlight w:val="none"/>
        </w:rPr>
        <w:t>五、</w:t>
      </w:r>
      <w:r>
        <w:rPr>
          <w:rFonts w:hint="eastAsia" w:ascii="宋体" w:hAnsi="宋体" w:eastAsia="仿宋"/>
          <w:color w:val="auto"/>
          <w:sz w:val="24"/>
          <w:highlight w:val="none"/>
        </w:rPr>
        <w:t>本保函担保金额将随被保证人逐步履行保函项下合同约定或法定的义务以及我方</w:t>
      </w:r>
      <w:r>
        <w:rPr>
          <w:rFonts w:hint="eastAsia" w:ascii="宋体" w:hAnsi="宋体" w:eastAsia="仿宋"/>
          <w:snapToGrid w:val="0"/>
          <w:color w:val="auto"/>
          <w:kern w:val="0"/>
          <w:sz w:val="24"/>
          <w:highlight w:val="none"/>
        </w:rPr>
        <w:t>按你方索赔通知要求分次支付</w:t>
      </w:r>
      <w:r>
        <w:rPr>
          <w:rFonts w:hint="eastAsia" w:ascii="宋体" w:hAnsi="宋体" w:eastAsia="仿宋"/>
          <w:color w:val="auto"/>
          <w:sz w:val="24"/>
          <w:highlight w:val="none"/>
        </w:rPr>
        <w:t>而相应递减。</w:t>
      </w:r>
    </w:p>
    <w:p w14:paraId="21CB7090">
      <w:pPr>
        <w:pStyle w:val="19"/>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六、本保函项下的权利不得转让，不得设定担保。</w:t>
      </w:r>
    </w:p>
    <w:p w14:paraId="52AD80F2">
      <w:pPr>
        <w:pStyle w:val="19"/>
        <w:snapToGrid w:val="0"/>
        <w:spacing w:after="0" w:line="360" w:lineRule="auto"/>
        <w:ind w:left="0" w:leftChars="0" w:firstLine="480" w:firstLineChars="200"/>
        <w:rPr>
          <w:rFonts w:hint="eastAsia" w:ascii="宋体" w:hAnsi="宋体" w:eastAsia="仿宋"/>
          <w:iCs/>
          <w:color w:val="auto"/>
          <w:sz w:val="24"/>
          <w:highlight w:val="none"/>
          <w:u w:val="single"/>
        </w:rPr>
      </w:pPr>
      <w:r>
        <w:rPr>
          <w:rFonts w:hint="eastAsia" w:ascii="宋体" w:hAnsi="宋体" w:eastAsia="仿宋"/>
          <w:iCs/>
          <w:color w:val="auto"/>
          <w:sz w:val="24"/>
          <w:highlight w:val="none"/>
        </w:rPr>
        <w:t>七、本保函项下的合同或基础交易不成立、不生效、无效、被撤销、被解除，本保函无效；被保证人基于保函项下的合同或基础交易或其他原因的抗辩，我方均有权主张。</w:t>
      </w:r>
    </w:p>
    <w:p w14:paraId="7A50528D">
      <w:pPr>
        <w:pStyle w:val="19"/>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snapToGrid w:val="0"/>
          <w:color w:val="auto"/>
          <w:kern w:val="0"/>
          <w:sz w:val="24"/>
          <w:highlight w:val="none"/>
        </w:rPr>
        <w:t>八、</w:t>
      </w:r>
      <w:r>
        <w:rPr>
          <w:rFonts w:hint="eastAsia" w:ascii="宋体" w:hAnsi="宋体" w:eastAsia="仿宋"/>
          <w:iCs/>
          <w:color w:val="auto"/>
          <w:sz w:val="24"/>
          <w:highlight w:val="none"/>
        </w:rPr>
        <w:t>因本保函发生争议协商解决不成，按以下第</w:t>
      </w:r>
      <w:r>
        <w:rPr>
          <w:rFonts w:hint="eastAsia" w:ascii="宋体" w:hAnsi="宋体" w:eastAsia="仿宋"/>
          <w:iCs/>
          <w:color w:val="auto"/>
          <w:sz w:val="24"/>
          <w:highlight w:val="none"/>
          <w:u w:val="single"/>
        </w:rPr>
        <w:t>（一）</w:t>
      </w:r>
      <w:r>
        <w:rPr>
          <w:rFonts w:hint="eastAsia" w:ascii="宋体" w:hAnsi="宋体" w:eastAsia="仿宋"/>
          <w:iCs/>
          <w:color w:val="auto"/>
          <w:sz w:val="24"/>
          <w:highlight w:val="none"/>
        </w:rPr>
        <w:t>种方式解决：</w:t>
      </w:r>
    </w:p>
    <w:p w14:paraId="09434A3D">
      <w:pPr>
        <w:pStyle w:val="19"/>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（一）向</w:t>
      </w:r>
      <w:r>
        <w:rPr>
          <w:rFonts w:hint="eastAsia" w:ascii="宋体" w:hAnsi="宋体" w:eastAsia="仿宋"/>
          <w:iCs/>
          <w:color w:val="auto"/>
          <w:sz w:val="24"/>
          <w:highlight w:val="none"/>
          <w:u w:val="single"/>
        </w:rPr>
        <w:t xml:space="preserve">      </w:t>
      </w:r>
      <w:r>
        <w:rPr>
          <w:rFonts w:hint="eastAsia" w:ascii="宋体" w:hAnsi="宋体" w:eastAsia="仿宋"/>
          <w:iCs/>
          <w:color w:val="auto"/>
          <w:sz w:val="24"/>
          <w:highlight w:val="none"/>
        </w:rPr>
        <w:t>所在地的人民法院起诉。</w:t>
      </w:r>
    </w:p>
    <w:p w14:paraId="7790316D">
      <w:pPr>
        <w:pStyle w:val="19"/>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（二）提交</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仲裁委员会（仲裁地点为</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）,按照申请仲裁时该会现行有效的仲裁规则进行仲裁。仲裁裁决是终局的，对双方均有约束力。</w:t>
      </w:r>
    </w:p>
    <w:p w14:paraId="743FC7AD">
      <w:pPr>
        <w:pStyle w:val="19"/>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snapToGrid w:val="0"/>
          <w:color w:val="auto"/>
          <w:kern w:val="0"/>
          <w:sz w:val="24"/>
          <w:highlight w:val="none"/>
        </w:rPr>
        <w:t>九、</w:t>
      </w:r>
      <w:r>
        <w:rPr>
          <w:rFonts w:hint="eastAsia" w:ascii="宋体" w:hAnsi="宋体" w:eastAsia="仿宋"/>
          <w:iCs/>
          <w:color w:val="auto"/>
          <w:sz w:val="24"/>
          <w:highlight w:val="none"/>
        </w:rPr>
        <w:t>本保函有效期届满或提前终止，本保函失效，我方在本保函项下的责任消灭，受益人应立即将本保函原件退还我方；受益人未履行上述义务，本保函仍在有效期届至或提前终止之日失效。</w:t>
      </w:r>
    </w:p>
    <w:p w14:paraId="1BB75E96">
      <w:pPr>
        <w:pStyle w:val="19"/>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十、本保函适用中华人民共和国法律。</w:t>
      </w:r>
    </w:p>
    <w:p w14:paraId="191FDB0F">
      <w:pPr>
        <w:pStyle w:val="19"/>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十一、其他条款：</w:t>
      </w:r>
    </w:p>
    <w:p w14:paraId="16B50CA2">
      <w:pPr>
        <w:pStyle w:val="19"/>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w:t>
      </w:r>
    </w:p>
    <w:p w14:paraId="41ACA1C7">
      <w:pPr>
        <w:pStyle w:val="19"/>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十二、本保函自我方负责人或授权代理人签字并加盖公章之日起生效。</w:t>
      </w:r>
    </w:p>
    <w:p w14:paraId="1B01C7D4">
      <w:pPr>
        <w:pStyle w:val="19"/>
        <w:snapToGrid w:val="0"/>
        <w:spacing w:after="0" w:line="360" w:lineRule="auto"/>
        <w:ind w:left="0" w:leftChars="0" w:firstLine="200"/>
        <w:rPr>
          <w:rFonts w:hint="eastAsia" w:ascii="宋体" w:hAnsi="宋体" w:eastAsia="仿宋"/>
          <w:iCs/>
          <w:color w:val="auto"/>
          <w:sz w:val="24"/>
          <w:highlight w:val="none"/>
        </w:rPr>
      </w:pPr>
    </w:p>
    <w:p w14:paraId="1E05036D">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保证人（公章）： </w:t>
      </w:r>
      <w:r>
        <w:rPr>
          <w:rFonts w:hint="eastAsia" w:ascii="宋体" w:hAnsi="宋体" w:eastAsia="仿宋"/>
          <w:iCs/>
          <w:color w:val="auto"/>
          <w:sz w:val="24"/>
          <w:highlight w:val="none"/>
          <w:u w:val="single"/>
        </w:rPr>
        <w:t xml:space="preserve">                        </w:t>
      </w:r>
    </w:p>
    <w:p w14:paraId="2311BA8C">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负责人或授权代理人（签字）：</w:t>
      </w:r>
      <w:r>
        <w:rPr>
          <w:rFonts w:hint="eastAsia" w:ascii="宋体" w:hAnsi="宋体" w:eastAsia="仿宋"/>
          <w:iCs/>
          <w:color w:val="auto"/>
          <w:sz w:val="24"/>
          <w:highlight w:val="none"/>
          <w:u w:val="single"/>
        </w:rPr>
        <w:t xml:space="preserve">              </w:t>
      </w:r>
    </w:p>
    <w:p w14:paraId="1252B5C6">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邮编： </w:t>
      </w:r>
    </w:p>
    <w:p w14:paraId="08E9D2A1">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电话：</w:t>
      </w:r>
      <w:r>
        <w:rPr>
          <w:rFonts w:ascii="宋体" w:hAnsi="宋体" w:eastAsia="仿宋"/>
          <w:color w:val="auto"/>
          <w:sz w:val="24"/>
          <w:highlight w:val="none"/>
        </w:rPr>
        <w:t xml:space="preserve"> </w:t>
      </w:r>
    </w:p>
    <w:p w14:paraId="79EAFCAF">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传真： </w:t>
      </w:r>
    </w:p>
    <w:p w14:paraId="50849B0A">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签发日期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年</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月</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日</w:t>
      </w:r>
    </w:p>
    <w:p w14:paraId="15A41AC7">
      <w:pPr>
        <w:autoSpaceDE w:val="0"/>
        <w:autoSpaceDN w:val="0"/>
        <w:adjustRightInd w:val="0"/>
        <w:spacing w:line="200" w:lineRule="exact"/>
        <w:contextualSpacing/>
        <w:jc w:val="left"/>
        <w:rPr>
          <w:rFonts w:hint="eastAsia" w:ascii="宋体" w:hAnsi="宋体" w:eastAsia="仿宋" w:cs="Microsoft JhengHei"/>
          <w:color w:val="auto"/>
          <w:kern w:val="0"/>
          <w:sz w:val="20"/>
          <w:szCs w:val="20"/>
          <w:highlight w:val="none"/>
        </w:rPr>
      </w:pPr>
    </w:p>
    <w:p w14:paraId="3DFF44A9">
      <w:pPr>
        <w:rPr>
          <w:rFonts w:hint="eastAsia" w:eastAsia="仿宋"/>
          <w:color w:val="auto"/>
          <w:highlight w:val="none"/>
        </w:rPr>
      </w:pPr>
      <w:r>
        <w:rPr>
          <w:rFonts w:hint="eastAsia" w:eastAsia="仿宋"/>
          <w:color w:val="auto"/>
          <w:highlight w:val="none"/>
        </w:rPr>
        <w:t>注：</w:t>
      </w:r>
    </w:p>
    <w:p w14:paraId="02030A58">
      <w:pPr>
        <w:rPr>
          <w:rFonts w:hint="eastAsia" w:eastAsia="仿宋"/>
          <w:color w:val="auto"/>
          <w:highlight w:val="none"/>
        </w:rPr>
      </w:pPr>
      <w:r>
        <w:rPr>
          <w:rFonts w:hint="eastAsia" w:eastAsia="仿宋"/>
          <w:color w:val="auto"/>
          <w:highlight w:val="none"/>
        </w:rPr>
        <w:t>1.允许投标人实际开具的银行保函或担保机构或保证保险机构出具的担保的格式与本文件提供的格式有所不同，但不得更改本文件提供的银行保函或担保格式中的实质性内容。</w:t>
      </w:r>
    </w:p>
    <w:p w14:paraId="28118207">
      <w:pPr>
        <w:rPr>
          <w:rFonts w:hint="eastAsia" w:eastAsia="仿宋"/>
          <w:color w:val="auto"/>
          <w:highlight w:val="none"/>
        </w:rPr>
      </w:pPr>
      <w:r>
        <w:rPr>
          <w:rFonts w:hint="eastAsia" w:eastAsia="仿宋"/>
          <w:color w:val="auto"/>
          <w:highlight w:val="none"/>
        </w:rPr>
        <w:t>2.投标人开具的银行保函（或担保机构担保或保证保险）必须具有明确有效的查询途径（网址链接及查询方式）。</w:t>
      </w:r>
    </w:p>
    <w:p w14:paraId="427E00CB">
      <w:pPr>
        <w:widowControl/>
        <w:rPr>
          <w:rFonts w:ascii="宋体" w:hAnsi="宋体" w:eastAsia="仿宋"/>
          <w:color w:val="auto"/>
          <w:highlight w:val="none"/>
        </w:rPr>
      </w:pPr>
    </w:p>
    <w:p w14:paraId="6E7DFD33">
      <w:pPr>
        <w:pStyle w:val="2"/>
        <w:widowControl/>
        <w:jc w:val="center"/>
        <w:rPr>
          <w:rFonts w:ascii="宋体" w:hAnsi="宋体" w:eastAsia="仿宋"/>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F9773C3">
      <w:pPr>
        <w:pStyle w:val="2"/>
        <w:widowControl/>
        <w:spacing w:before="0" w:after="0" w:line="240" w:lineRule="auto"/>
        <w:jc w:val="center"/>
        <w:rPr>
          <w:rFonts w:hint="eastAsia" w:ascii="宋体" w:hAnsi="宋体" w:eastAsia="仿宋"/>
          <w:color w:val="auto"/>
          <w:highlight w:val="none"/>
        </w:rPr>
      </w:pPr>
      <w:bookmarkStart w:id="841" w:name="_Toc466024585"/>
      <w:bookmarkStart w:id="842" w:name="_Toc445554784"/>
      <w:bookmarkStart w:id="843" w:name="_Toc13236"/>
      <w:r>
        <w:rPr>
          <w:rFonts w:hint="eastAsia" w:ascii="宋体" w:hAnsi="宋体" w:eastAsia="仿宋"/>
          <w:color w:val="auto"/>
          <w:highlight w:val="none"/>
        </w:rPr>
        <w:t>第六章  投标文件格式</w:t>
      </w:r>
      <w:bookmarkEnd w:id="841"/>
      <w:bookmarkEnd w:id="842"/>
      <w:bookmarkEnd w:id="843"/>
    </w:p>
    <w:p w14:paraId="53C66421">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354F047A">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142049CA">
      <w:pPr>
        <w:widowControl/>
        <w:adjustRightInd w:val="0"/>
        <w:snapToGrid w:val="0"/>
        <w:spacing w:line="360" w:lineRule="auto"/>
        <w:ind w:firstLine="480" w:firstLineChars="200"/>
        <w:rPr>
          <w:rFonts w:hint="eastAsia" w:ascii="仿宋_GB2312" w:hAnsi="黑体" w:eastAsia="仿宋_GB2312"/>
          <w:color w:val="auto"/>
          <w:sz w:val="24"/>
          <w:highlight w:val="none"/>
        </w:rPr>
      </w:pPr>
      <w:r>
        <w:rPr>
          <w:rFonts w:hint="eastAsia" w:ascii="仿宋_GB2312" w:hAnsi="黑体" w:eastAsia="仿宋_GB2312"/>
          <w:color w:val="auto"/>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3F703B81">
      <w:pPr>
        <w:widowControl/>
        <w:adjustRightInd w:val="0"/>
        <w:snapToGrid w:val="0"/>
        <w:spacing w:line="360" w:lineRule="auto"/>
        <w:ind w:firstLine="480" w:firstLineChars="200"/>
        <w:rPr>
          <w:rFonts w:hint="eastAsia" w:ascii="仿宋_GB2312" w:hAnsi="宋体" w:eastAsia="仿宋_GB2312"/>
          <w:color w:val="auto"/>
          <w:sz w:val="24"/>
          <w:highlight w:val="none"/>
        </w:rPr>
      </w:pPr>
      <w:r>
        <w:rPr>
          <w:rFonts w:hint="eastAsia" w:ascii="仿宋_GB2312" w:hAnsi="黑体" w:eastAsia="仿宋_GB2312"/>
          <w:color w:val="auto"/>
          <w:sz w:val="24"/>
          <w:highlight w:val="none"/>
        </w:rPr>
        <w:t>2.采用全流程电子招标投标时，投标文件格式要求盖章的，可为电子签章，或盖章后的扫描件。投标文件格式要求签字的，电子投标文件中，应采用签字后的扫描件。</w:t>
      </w:r>
    </w:p>
    <w:p w14:paraId="2E16FAC1">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4F309AC2">
      <w:pPr>
        <w:widowControl/>
        <w:spacing w:line="560" w:lineRule="exact"/>
        <w:ind w:firstLine="420" w:firstLineChars="200"/>
        <w:jc w:val="center"/>
        <w:rPr>
          <w:rFonts w:hint="eastAsia" w:ascii="宋体" w:hAnsi="宋体" w:eastAsia="仿宋"/>
          <w:color w:val="auto"/>
          <w:szCs w:val="21"/>
          <w:highlight w:val="none"/>
        </w:rPr>
      </w:pPr>
    </w:p>
    <w:p w14:paraId="557E1261">
      <w:pPr>
        <w:widowControl/>
        <w:spacing w:line="560" w:lineRule="exact"/>
        <w:ind w:firstLine="420" w:firstLineChars="200"/>
        <w:jc w:val="center"/>
        <w:rPr>
          <w:rFonts w:hint="eastAsia" w:ascii="宋体" w:hAnsi="宋体" w:eastAsia="仿宋"/>
          <w:color w:val="auto"/>
          <w:szCs w:val="21"/>
          <w:highlight w:val="none"/>
        </w:rPr>
      </w:pPr>
    </w:p>
    <w:p w14:paraId="026D23FF">
      <w:pPr>
        <w:widowControl/>
        <w:spacing w:line="560" w:lineRule="exact"/>
        <w:ind w:firstLine="420" w:firstLineChars="200"/>
        <w:jc w:val="center"/>
        <w:rPr>
          <w:rFonts w:hint="eastAsia" w:ascii="宋体" w:hAnsi="宋体" w:eastAsia="仿宋"/>
          <w:color w:val="auto"/>
          <w:szCs w:val="21"/>
          <w:highlight w:val="none"/>
        </w:rPr>
      </w:pPr>
    </w:p>
    <w:p w14:paraId="413DFDD1">
      <w:pPr>
        <w:widowControl/>
        <w:spacing w:line="560" w:lineRule="exact"/>
        <w:ind w:firstLine="420" w:firstLineChars="200"/>
        <w:jc w:val="center"/>
        <w:rPr>
          <w:rFonts w:hint="eastAsia" w:ascii="宋体" w:hAnsi="宋体" w:cs="宋体"/>
          <w:color w:val="auto"/>
          <w:szCs w:val="21"/>
          <w:highlight w:val="none"/>
        </w:rPr>
      </w:pPr>
    </w:p>
    <w:p w14:paraId="7FCA30D7">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rPr>
        <w:t xml:space="preserve">             </w:t>
      </w:r>
      <w:r>
        <w:rPr>
          <w:rFonts w:hint="eastAsia" w:ascii="宋体" w:hAnsi="宋体" w:cs="宋体"/>
          <w:color w:val="auto"/>
          <w:sz w:val="44"/>
          <w:szCs w:val="44"/>
          <w:highlight w:val="none"/>
        </w:rPr>
        <w:t>（项目名称）招标</w:t>
      </w:r>
    </w:p>
    <w:p w14:paraId="7ECDBD26">
      <w:pPr>
        <w:widowControl/>
        <w:spacing w:line="560" w:lineRule="exact"/>
        <w:ind w:firstLine="400" w:firstLineChars="200"/>
        <w:jc w:val="center"/>
        <w:rPr>
          <w:rFonts w:hint="eastAsia" w:ascii="宋体" w:hAnsi="宋体" w:cs="宋体"/>
          <w:color w:val="auto"/>
          <w:sz w:val="20"/>
          <w:szCs w:val="20"/>
          <w:highlight w:val="none"/>
        </w:rPr>
      </w:pPr>
    </w:p>
    <w:p w14:paraId="24CE71D0">
      <w:pPr>
        <w:widowControl/>
        <w:spacing w:line="560" w:lineRule="exact"/>
        <w:ind w:firstLine="400" w:firstLineChars="200"/>
        <w:jc w:val="center"/>
        <w:rPr>
          <w:rFonts w:hint="eastAsia" w:ascii="宋体" w:hAnsi="宋体" w:cs="宋体"/>
          <w:color w:val="auto"/>
          <w:sz w:val="20"/>
          <w:szCs w:val="20"/>
          <w:highlight w:val="none"/>
        </w:rPr>
      </w:pPr>
    </w:p>
    <w:p w14:paraId="0F177798">
      <w:pPr>
        <w:widowControl/>
        <w:snapToGrid w:val="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06A08769">
      <w:pPr>
        <w:widowControl/>
        <w:spacing w:line="560" w:lineRule="exact"/>
        <w:ind w:firstLine="560" w:firstLineChars="200"/>
        <w:rPr>
          <w:rFonts w:hint="eastAsia" w:ascii="宋体" w:hAnsi="宋体" w:cs="宋体"/>
          <w:color w:val="auto"/>
          <w:sz w:val="28"/>
          <w:szCs w:val="28"/>
          <w:highlight w:val="none"/>
        </w:rPr>
      </w:pPr>
    </w:p>
    <w:p w14:paraId="584BCEBD">
      <w:pPr>
        <w:widowControl/>
        <w:spacing w:line="560" w:lineRule="exact"/>
        <w:ind w:firstLine="560" w:firstLineChars="200"/>
        <w:rPr>
          <w:rFonts w:hint="eastAsia" w:ascii="宋体" w:hAnsi="宋体" w:cs="宋体"/>
          <w:color w:val="auto"/>
          <w:sz w:val="28"/>
          <w:szCs w:val="28"/>
          <w:highlight w:val="none"/>
        </w:rPr>
      </w:pPr>
    </w:p>
    <w:p w14:paraId="653A3777">
      <w:pPr>
        <w:widowControl/>
        <w:spacing w:line="560" w:lineRule="exact"/>
        <w:ind w:firstLine="560" w:firstLineChars="200"/>
        <w:rPr>
          <w:rFonts w:hint="eastAsia" w:ascii="宋体" w:hAnsi="宋体" w:cs="宋体"/>
          <w:color w:val="auto"/>
          <w:sz w:val="28"/>
          <w:szCs w:val="28"/>
          <w:highlight w:val="none"/>
        </w:rPr>
      </w:pPr>
    </w:p>
    <w:p w14:paraId="4BD71522">
      <w:pPr>
        <w:widowControl/>
        <w:spacing w:line="560" w:lineRule="exact"/>
        <w:ind w:firstLine="560" w:firstLineChars="200"/>
        <w:rPr>
          <w:rFonts w:hint="eastAsia" w:ascii="宋体" w:hAnsi="宋体" w:cs="宋体"/>
          <w:color w:val="auto"/>
          <w:sz w:val="28"/>
          <w:szCs w:val="28"/>
          <w:highlight w:val="none"/>
        </w:rPr>
      </w:pPr>
    </w:p>
    <w:p w14:paraId="0924CCD1">
      <w:pPr>
        <w:widowControl/>
        <w:spacing w:line="560" w:lineRule="exact"/>
        <w:ind w:firstLine="560" w:firstLineChars="200"/>
        <w:rPr>
          <w:rFonts w:hint="eastAsia" w:ascii="宋体" w:hAnsi="宋体" w:cs="宋体"/>
          <w:color w:val="auto"/>
          <w:sz w:val="28"/>
          <w:szCs w:val="28"/>
          <w:highlight w:val="none"/>
        </w:rPr>
      </w:pPr>
    </w:p>
    <w:p w14:paraId="2141DCC7">
      <w:pPr>
        <w:widowControl/>
        <w:spacing w:line="560" w:lineRule="exact"/>
        <w:ind w:firstLine="560" w:firstLineChars="200"/>
        <w:rPr>
          <w:rFonts w:hint="eastAsia" w:ascii="宋体" w:hAnsi="宋体" w:cs="宋体"/>
          <w:color w:val="auto"/>
          <w:sz w:val="28"/>
          <w:szCs w:val="28"/>
          <w:highlight w:val="none"/>
        </w:rPr>
      </w:pPr>
    </w:p>
    <w:p w14:paraId="3C60F3A2">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4E08B693">
      <w:pPr>
        <w:widowControl/>
        <w:spacing w:line="560" w:lineRule="exact"/>
        <w:ind w:firstLine="560" w:firstLineChars="200"/>
        <w:rPr>
          <w:rFonts w:hint="eastAsia" w:ascii="宋体" w:hAnsi="宋体" w:cs="宋体"/>
          <w:color w:val="auto"/>
          <w:sz w:val="28"/>
          <w:szCs w:val="28"/>
          <w:highlight w:val="none"/>
        </w:rPr>
      </w:pPr>
    </w:p>
    <w:p w14:paraId="4200BB95">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w:t>
      </w:r>
      <w:r>
        <w:rPr>
          <w:rFonts w:hint="eastAsia" w:ascii="宋体" w:hAnsi="宋体" w:cs="宋体"/>
          <w:color w:val="auto"/>
          <w:sz w:val="28"/>
          <w:szCs w:val="28"/>
          <w:highlight w:val="none"/>
          <w:u w:val="single"/>
        </w:rPr>
        <w:t xml:space="preserve">        </w:t>
      </w:r>
    </w:p>
    <w:p w14:paraId="08B2B774">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57482A60">
      <w:pPr>
        <w:widowControl/>
        <w:jc w:val="center"/>
        <w:rPr>
          <w:rFonts w:hint="eastAsia" w:ascii="宋体" w:hAnsi="宋体" w:cs="宋体"/>
          <w:b/>
          <w:bCs/>
          <w:color w:val="auto"/>
          <w:sz w:val="44"/>
          <w:szCs w:val="44"/>
          <w:highlight w:val="none"/>
        </w:rPr>
      </w:pPr>
    </w:p>
    <w:p w14:paraId="7DC83AB0">
      <w:pPr>
        <w:widowControl/>
        <w:jc w:val="center"/>
        <w:rPr>
          <w:rFonts w:hint="eastAsia" w:ascii="宋体" w:hAnsi="宋体" w:cs="宋体"/>
          <w:b/>
          <w:bCs/>
          <w:color w:val="auto"/>
          <w:sz w:val="44"/>
          <w:szCs w:val="44"/>
          <w:highlight w:val="none"/>
        </w:rPr>
      </w:pPr>
    </w:p>
    <w:p w14:paraId="6A8543BD">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714D5123">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1431F9E">
      <w:pPr>
        <w:widowControl/>
        <w:rPr>
          <w:rFonts w:hint="eastAsia" w:ascii="宋体" w:hAnsi="宋体" w:cs="宋体"/>
          <w:bCs/>
          <w:color w:val="auto"/>
          <w:sz w:val="28"/>
          <w:szCs w:val="28"/>
          <w:highlight w:val="none"/>
        </w:rPr>
      </w:pPr>
    </w:p>
    <w:p w14:paraId="7048339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一、投标函</w:t>
      </w:r>
    </w:p>
    <w:p w14:paraId="1621F79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二、开标一览表</w:t>
      </w:r>
    </w:p>
    <w:p w14:paraId="57ECD5C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5D000C17">
      <w:pPr>
        <w:widowControl/>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四、</w:t>
      </w:r>
      <w:r>
        <w:rPr>
          <w:rFonts w:hint="eastAsia" w:ascii="宋体" w:hAnsi="宋体" w:cs="宋体"/>
          <w:color w:val="auto"/>
          <w:szCs w:val="21"/>
          <w:highlight w:val="none"/>
          <w:lang w:val="en-US" w:eastAsia="zh-CN"/>
        </w:rPr>
        <w:t>投标人综合情况简介</w:t>
      </w:r>
    </w:p>
    <w:p w14:paraId="2F48FA0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w:t>
      </w:r>
    </w:p>
    <w:p w14:paraId="76C73B7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231DE7D5">
      <w:pPr>
        <w:widowControl/>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七、联合体协议书</w:t>
      </w:r>
      <w:r>
        <w:rPr>
          <w:rFonts w:hint="eastAsia" w:ascii="宋体" w:hAnsi="宋体" w:cs="宋体"/>
          <w:color w:val="auto"/>
          <w:szCs w:val="21"/>
          <w:highlight w:val="none"/>
          <w:lang w:val="en-US" w:eastAsia="zh-CN"/>
        </w:rPr>
        <w:t>(如有)</w:t>
      </w:r>
    </w:p>
    <w:p w14:paraId="1DC3C6D3">
      <w:pPr>
        <w:widowControl/>
        <w:adjustRightInd w:val="0"/>
        <w:snapToGrid w:val="0"/>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八、</w:t>
      </w:r>
      <w:r>
        <w:rPr>
          <w:rFonts w:hint="eastAsia" w:ascii="宋体" w:hAnsi="宋体" w:cs="宋体"/>
          <w:color w:val="auto"/>
          <w:szCs w:val="21"/>
          <w:highlight w:val="none"/>
          <w:lang w:val="en-US" w:eastAsia="zh-CN"/>
        </w:rPr>
        <w:t>分包意向协议书（如有）</w:t>
      </w:r>
    </w:p>
    <w:p w14:paraId="048BE57F">
      <w:pPr>
        <w:widowControl/>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九、</w:t>
      </w:r>
      <w:r>
        <w:rPr>
          <w:rFonts w:hint="eastAsia" w:ascii="宋体" w:hAnsi="宋体" w:cs="宋体"/>
          <w:color w:val="auto"/>
          <w:szCs w:val="21"/>
          <w:highlight w:val="none"/>
          <w:lang w:eastAsia="zh-CN"/>
        </w:rPr>
        <w:t>资格审查材料</w:t>
      </w:r>
    </w:p>
    <w:p w14:paraId="6207AE37">
      <w:pPr>
        <w:widowControl/>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十、</w:t>
      </w:r>
      <w:r>
        <w:rPr>
          <w:rFonts w:hint="eastAsia" w:ascii="宋体" w:hAnsi="宋体" w:cs="宋体"/>
          <w:color w:val="auto"/>
          <w:szCs w:val="21"/>
          <w:highlight w:val="none"/>
          <w:lang w:val="en-US" w:eastAsia="zh-CN"/>
        </w:rPr>
        <w:t>符合性审查与详细评审材料</w:t>
      </w:r>
    </w:p>
    <w:p w14:paraId="5FCE6373">
      <w:pPr>
        <w:widowControl/>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十一、</w:t>
      </w:r>
      <w:r>
        <w:rPr>
          <w:rFonts w:hint="eastAsia" w:ascii="宋体" w:hAnsi="宋体" w:eastAsia="宋体" w:cs="宋体"/>
          <w:color w:val="auto"/>
          <w:szCs w:val="21"/>
          <w:highlight w:val="none"/>
          <w:lang w:eastAsia="zh-CN"/>
        </w:rPr>
        <w:t>主要标的承诺函</w:t>
      </w:r>
    </w:p>
    <w:p w14:paraId="6C86049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、投标人认为应该提供的其他材料</w:t>
      </w:r>
    </w:p>
    <w:p w14:paraId="5C2717C7">
      <w:pPr>
        <w:widowControl/>
        <w:rPr>
          <w:rFonts w:hint="eastAsia" w:ascii="宋体" w:hAnsi="宋体" w:cs="宋体"/>
          <w:bCs/>
          <w:color w:val="auto"/>
          <w:highlight w:val="none"/>
        </w:rPr>
      </w:pPr>
    </w:p>
    <w:p w14:paraId="7B6D4FF1">
      <w:pPr>
        <w:pStyle w:val="3"/>
        <w:widowControl/>
        <w:spacing w:before="120" w:after="120" w:line="240" w:lineRule="auto"/>
        <w:jc w:val="center"/>
        <w:rPr>
          <w:rStyle w:val="101"/>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29F51041">
      <w:pPr>
        <w:widowControl/>
        <w:rPr>
          <w:rFonts w:hint="eastAsia" w:ascii="宋体" w:hAnsi="宋体" w:cs="宋体"/>
          <w:b/>
          <w:color w:val="auto"/>
          <w:szCs w:val="21"/>
          <w:highlight w:val="none"/>
        </w:rPr>
      </w:pPr>
    </w:p>
    <w:p w14:paraId="0776F10B">
      <w:pPr>
        <w:pStyle w:val="3"/>
        <w:widowControl/>
        <w:spacing w:before="120" w:after="120" w:line="240" w:lineRule="auto"/>
        <w:jc w:val="center"/>
        <w:rPr>
          <w:rStyle w:val="101"/>
          <w:rFonts w:hint="eastAsia" w:ascii="宋体" w:hAnsi="宋体" w:eastAsia="宋体" w:cs="宋体"/>
          <w:b/>
          <w:bCs w:val="0"/>
          <w:color w:val="auto"/>
          <w:sz w:val="30"/>
          <w:szCs w:val="30"/>
          <w:highlight w:val="none"/>
        </w:rPr>
      </w:pPr>
      <w:bookmarkStart w:id="844" w:name="_Toc445554786"/>
      <w:bookmarkStart w:id="845" w:name="_Toc466024587"/>
      <w:r>
        <w:rPr>
          <w:rStyle w:val="101"/>
          <w:rFonts w:hint="eastAsia" w:ascii="宋体" w:hAnsi="宋体" w:eastAsia="宋体" w:cs="宋体"/>
          <w:b/>
          <w:bCs w:val="0"/>
          <w:color w:val="auto"/>
          <w:sz w:val="30"/>
          <w:szCs w:val="30"/>
          <w:highlight w:val="none"/>
        </w:rPr>
        <w:t>一、投标函</w:t>
      </w:r>
    </w:p>
    <w:p w14:paraId="28BF9EDF">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安徽医科大学第一附属医院</w:t>
      </w:r>
      <w:r>
        <w:rPr>
          <w:rFonts w:hint="eastAsia" w:ascii="宋体" w:hAnsi="宋体" w:cs="宋体"/>
          <w:color w:val="auto"/>
          <w:szCs w:val="21"/>
          <w:highlight w:val="none"/>
        </w:rPr>
        <w:t>（采购人名称)</w:t>
      </w:r>
    </w:p>
    <w:p w14:paraId="09E152D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3DE2385E">
      <w:pPr>
        <w:widowControl/>
        <w:spacing w:line="400" w:lineRule="exact"/>
        <w:ind w:firstLine="420" w:firstLineChars="200"/>
        <w:rPr>
          <w:rFonts w:hint="eastAsia" w:ascii="宋体" w:hAnsi="宋体" w:cs="宋体"/>
          <w:color w:val="auto"/>
          <w:szCs w:val="21"/>
          <w:highlight w:val="none"/>
        </w:rPr>
      </w:pPr>
    </w:p>
    <w:p w14:paraId="403BAE4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rPr>
        <w:t>的</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w:t>
      </w:r>
      <w:r>
        <w:rPr>
          <w:rFonts w:hint="eastAsia" w:ascii="宋体" w:hAnsi="宋体" w:cs="宋体"/>
          <w:color w:val="auto"/>
          <w:szCs w:val="21"/>
          <w:highlight w:val="none"/>
        </w:rPr>
        <w:t>招标文件的全部内容，接受你方在招标文件中对投标人的约束条件。我方愿意以开标一览表中确定的投标总价，按照合同的约定履行合同义务。</w:t>
      </w:r>
    </w:p>
    <w:p w14:paraId="3E4DA8E5">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2.我方承诺在招标文件规定的投标有效期内不修改、撤销投标文件</w:t>
      </w:r>
      <w:r>
        <w:rPr>
          <w:rFonts w:hint="eastAsia" w:ascii="宋体" w:hAnsi="宋体" w:cs="宋体"/>
          <w:color w:val="auto"/>
          <w:highlight w:val="none"/>
        </w:rPr>
        <w:t>，且随时准备接受你方发出的中标通知书</w:t>
      </w:r>
      <w:r>
        <w:rPr>
          <w:rFonts w:hint="eastAsia" w:ascii="宋体" w:hAnsi="宋体" w:cs="宋体"/>
          <w:color w:val="auto"/>
          <w:szCs w:val="21"/>
          <w:highlight w:val="none"/>
        </w:rPr>
        <w:t>。</w:t>
      </w:r>
    </w:p>
    <w:p w14:paraId="16C59072">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3.我方已详细审查全部招标文件，包括全部澄清、修改、答疑补充文件。我们完全理解并同意放弃对这方面有不明及误解的权力。</w:t>
      </w:r>
    </w:p>
    <w:p w14:paraId="3BE6371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.我方在此声明，所递交的投标文件及有关资料内容完整、真实和准确，且不存在招标文件第二章“投标人须知”第1.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.3项规定的任何一种情形。</w:t>
      </w:r>
    </w:p>
    <w:p w14:paraId="480E182E">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.如我方中标：</w:t>
      </w:r>
    </w:p>
    <w:p w14:paraId="532252C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1BAAD4E5">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59F5EFA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5C8990B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7FF90725">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.我方同意按照你方要求提供与我方投标有关的一切数据或资料，完全理解你方不一定接受最低价的投标或收到的任何投标。</w:t>
      </w:r>
    </w:p>
    <w:p w14:paraId="3F52AF8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.我方对投标文件中所提供资料、文件、证书及证件的真实性、合法性和有效性负责。</w:t>
      </w:r>
    </w:p>
    <w:p w14:paraId="4900F630">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u w:val="single"/>
        </w:rPr>
      </w:pPr>
      <w:r>
        <w:rPr>
          <w:rFonts w:hint="eastAsia" w:ascii="宋体" w:hAnsi="宋体" w:cs="宋体"/>
          <w:b/>
          <w:color w:val="auto"/>
          <w:highlight w:val="none"/>
          <w:lang w:val="en-US" w:eastAsia="zh-CN"/>
        </w:rPr>
        <w:t>8</w:t>
      </w:r>
      <w:r>
        <w:rPr>
          <w:rFonts w:hint="eastAsia" w:ascii="宋体" w:hAnsi="宋体" w:cs="宋体"/>
          <w:b/>
          <w:color w:val="auto"/>
          <w:highlight w:val="none"/>
        </w:rPr>
        <w:t>.其他补充说明：</w:t>
      </w:r>
      <w:r>
        <w:rPr>
          <w:rFonts w:hint="eastAsia" w:ascii="宋体" w:hAnsi="宋体" w:cs="宋体"/>
          <w:b/>
          <w:color w:val="auto"/>
          <w:highlight w:val="none"/>
          <w:u w:val="single"/>
        </w:rPr>
        <w:t xml:space="preserve">                                               </w:t>
      </w:r>
    </w:p>
    <w:p w14:paraId="257951B5">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rPr>
      </w:pPr>
    </w:p>
    <w:p w14:paraId="2636A0C4">
      <w:pPr>
        <w:pStyle w:val="150"/>
        <w:spacing w:line="390" w:lineRule="atLeas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2F6F358C">
      <w:pPr>
        <w:pStyle w:val="150"/>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 xml:space="preserve">（签字或盖章） </w:t>
      </w:r>
    </w:p>
    <w:p w14:paraId="3BB71F77">
      <w:pPr>
        <w:pStyle w:val="150"/>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2616D3D9">
      <w:pPr>
        <w:pStyle w:val="150"/>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0B3E3187">
      <w:pPr>
        <w:pStyle w:val="150"/>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4F4665DF">
      <w:pPr>
        <w:pStyle w:val="150"/>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FFE0439">
      <w:pPr>
        <w:pStyle w:val="150"/>
        <w:spacing w:line="200" w:lineRule="atLeast"/>
        <w:rPr>
          <w:rFonts w:hint="eastAsia" w:ascii="宋体" w:hAnsi="宋体" w:cs="宋体"/>
          <w:color w:val="auto"/>
          <w:sz w:val="20"/>
          <w:szCs w:val="20"/>
          <w:highlight w:val="none"/>
        </w:rPr>
      </w:pPr>
    </w:p>
    <w:p w14:paraId="02945D63">
      <w:pPr>
        <w:pStyle w:val="150"/>
        <w:spacing w:before="6" w:line="220" w:lineRule="atLeast"/>
        <w:rPr>
          <w:rFonts w:hint="eastAsia" w:ascii="宋体" w:hAnsi="宋体" w:cs="宋体"/>
          <w:color w:val="auto"/>
          <w:sz w:val="22"/>
          <w:szCs w:val="22"/>
          <w:highlight w:val="none"/>
        </w:rPr>
      </w:pPr>
    </w:p>
    <w:p w14:paraId="5BDD8ED4">
      <w:pPr>
        <w:pStyle w:val="150"/>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CA7D476">
      <w:pPr>
        <w:pStyle w:val="3"/>
        <w:widowControl/>
        <w:spacing w:before="120" w:after="120" w:line="240" w:lineRule="auto"/>
        <w:jc w:val="center"/>
        <w:rPr>
          <w:rStyle w:val="101"/>
          <w:rFonts w:hint="eastAsia" w:ascii="宋体" w:hAnsi="宋体" w:eastAsia="宋体" w:cs="宋体"/>
          <w:b/>
          <w:bCs w:val="0"/>
          <w:color w:val="auto"/>
          <w:sz w:val="30"/>
          <w:szCs w:val="30"/>
          <w:highlight w:val="none"/>
        </w:rPr>
      </w:pPr>
      <w:r>
        <w:rPr>
          <w:rStyle w:val="101"/>
          <w:rFonts w:hint="eastAsia" w:ascii="宋体" w:hAnsi="宋体" w:eastAsia="宋体" w:cs="宋体"/>
          <w:b/>
          <w:bCs w:val="0"/>
          <w:color w:val="auto"/>
          <w:sz w:val="30"/>
          <w:szCs w:val="30"/>
          <w:highlight w:val="none"/>
        </w:rPr>
        <w:t>二、开标一览表</w:t>
      </w:r>
      <w:bookmarkEnd w:id="844"/>
      <w:bookmarkEnd w:id="845"/>
    </w:p>
    <w:p w14:paraId="3F139412">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5"/>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1CB4A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16FC171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47DAAF1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038ED6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4E658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90A51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068CA03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27DAA799">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41D80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38BDF83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6485799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项目编号</w:t>
            </w:r>
          </w:p>
        </w:tc>
        <w:tc>
          <w:tcPr>
            <w:tcW w:w="6095" w:type="dxa"/>
            <w:noWrap w:val="0"/>
            <w:vAlign w:val="center"/>
          </w:tcPr>
          <w:p w14:paraId="2599F209">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3B74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6E0F8DE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1BD7358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分包号（无分包，不填写）</w:t>
            </w:r>
          </w:p>
        </w:tc>
        <w:tc>
          <w:tcPr>
            <w:tcW w:w="6095" w:type="dxa"/>
            <w:noWrap w:val="0"/>
            <w:vAlign w:val="center"/>
          </w:tcPr>
          <w:p w14:paraId="5A194831">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0387E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00FCFDE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2AD886A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kern w:val="0"/>
                <w:szCs w:val="21"/>
                <w:highlight w:val="none"/>
                <w:lang w:val="en-US" w:eastAsia="zh-CN"/>
              </w:rPr>
              <w:t>报价</w:t>
            </w:r>
          </w:p>
        </w:tc>
        <w:tc>
          <w:tcPr>
            <w:tcW w:w="6095" w:type="dxa"/>
            <w:noWrap w:val="0"/>
            <w:vAlign w:val="center"/>
          </w:tcPr>
          <w:p w14:paraId="7A65833B">
            <w:pPr>
              <w:keepNext w:val="0"/>
              <w:keepLines w:val="0"/>
              <w:widowControl/>
              <w:suppressLineNumbers w:val="0"/>
              <w:adjustRightInd w:val="0"/>
              <w:snapToGrid w:val="0"/>
              <w:spacing w:before="0" w:beforeAutospacing="0" w:after="0" w:afterAutospacing="0"/>
              <w:ind w:left="0" w:right="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    元/年</w:t>
            </w:r>
          </w:p>
        </w:tc>
      </w:tr>
      <w:tr w14:paraId="0476B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0FC6621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5" w:type="dxa"/>
            <w:noWrap w:val="0"/>
            <w:vAlign w:val="center"/>
          </w:tcPr>
          <w:p w14:paraId="78798BE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095" w:type="dxa"/>
            <w:noWrap w:val="0"/>
            <w:vAlign w:val="center"/>
          </w:tcPr>
          <w:p w14:paraId="58778C2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56AAC754">
      <w:pPr>
        <w:widowControl/>
        <w:spacing w:line="200" w:lineRule="atLeast"/>
        <w:rPr>
          <w:rFonts w:hint="eastAsia" w:ascii="宋体" w:hAnsi="宋体" w:cs="宋体"/>
          <w:color w:val="auto"/>
          <w:kern w:val="0"/>
          <w:szCs w:val="21"/>
          <w:highlight w:val="none"/>
        </w:rPr>
      </w:pPr>
    </w:p>
    <w:p w14:paraId="07F3DB3E">
      <w:pPr>
        <w:widowControl/>
        <w:spacing w:before="18" w:line="280" w:lineRule="atLeast"/>
        <w:rPr>
          <w:rFonts w:hint="eastAsia" w:ascii="宋体" w:hAnsi="宋体" w:cs="宋体"/>
          <w:color w:val="auto"/>
          <w:kern w:val="0"/>
          <w:szCs w:val="21"/>
          <w:highlight w:val="none"/>
        </w:rPr>
      </w:pPr>
    </w:p>
    <w:p w14:paraId="6D381AD7">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投</w:t>
      </w:r>
      <w:r>
        <w:rPr>
          <w:rFonts w:hint="eastAsia" w:ascii="宋体" w:hAnsi="宋体" w:cs="宋体"/>
          <w:color w:val="auto"/>
          <w:spacing w:val="43"/>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pacing w:val="43"/>
          <w:kern w:val="0"/>
          <w:szCs w:val="21"/>
          <w:highlight w:val="none"/>
        </w:rPr>
        <w:t xml:space="preserve"> </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1D1CA0C8">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4EC36153">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EDA53FA">
      <w:pPr>
        <w:widowControl/>
        <w:spacing w:line="200" w:lineRule="atLeast"/>
        <w:rPr>
          <w:rFonts w:hint="eastAsia" w:ascii="宋体" w:hAnsi="宋体" w:cs="宋体"/>
          <w:color w:val="auto"/>
          <w:kern w:val="0"/>
          <w:szCs w:val="21"/>
          <w:highlight w:val="none"/>
        </w:rPr>
      </w:pPr>
    </w:p>
    <w:p w14:paraId="6C1A6797">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12D92868">
      <w:pPr>
        <w:pStyle w:val="3"/>
        <w:widowControl/>
        <w:spacing w:before="120" w:after="120" w:line="240" w:lineRule="auto"/>
        <w:jc w:val="center"/>
        <w:rPr>
          <w:rStyle w:val="101"/>
          <w:rFonts w:hint="eastAsia" w:ascii="宋体" w:hAnsi="宋体" w:eastAsia="宋体" w:cs="宋体"/>
          <w:b/>
          <w:bCs w:val="0"/>
          <w:color w:val="auto"/>
          <w:sz w:val="30"/>
          <w:szCs w:val="30"/>
          <w:highlight w:val="none"/>
        </w:rPr>
      </w:pPr>
      <w:r>
        <w:rPr>
          <w:rStyle w:val="101"/>
          <w:rFonts w:hint="eastAsia" w:ascii="宋体" w:hAnsi="宋体" w:eastAsia="宋体" w:cs="宋体"/>
          <w:b/>
          <w:bCs w:val="0"/>
          <w:color w:val="auto"/>
          <w:sz w:val="30"/>
          <w:szCs w:val="30"/>
          <w:highlight w:val="none"/>
        </w:rPr>
        <w:t>三、分项报价表</w:t>
      </w:r>
    </w:p>
    <w:p w14:paraId="1ED62FDA">
      <w:pPr>
        <w:widowControl/>
        <w:spacing w:line="272" w:lineRule="atLeast"/>
        <w:ind w:left="160" w:right="-20"/>
        <w:rPr>
          <w:rFonts w:hint="eastAsia" w:ascii="宋体" w:hAnsi="宋体" w:cs="宋体"/>
          <w:color w:val="auto"/>
          <w:kern w:val="0"/>
          <w:szCs w:val="21"/>
          <w:highlight w:val="none"/>
        </w:rPr>
      </w:pPr>
    </w:p>
    <w:p w14:paraId="47AED8BA">
      <w:pPr>
        <w:widowControl/>
        <w:ind w:left="1503" w:right="1683"/>
        <w:jc w:val="center"/>
        <w:rPr>
          <w:rFonts w:hint="eastAsia" w:ascii="宋体" w:hAnsi="宋体" w:cs="宋体"/>
          <w:color w:val="auto"/>
          <w:kern w:val="0"/>
          <w:sz w:val="28"/>
          <w:szCs w:val="28"/>
          <w:highlight w:val="none"/>
        </w:rPr>
      </w:pPr>
    </w:p>
    <w:p w14:paraId="4DD7DD6B">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897"/>
        <w:gridCol w:w="2054"/>
        <w:gridCol w:w="2056"/>
        <w:gridCol w:w="2056"/>
      </w:tblGrid>
      <w:tr w14:paraId="5169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8" w:type="dxa"/>
            <w:noWrap w:val="0"/>
            <w:vAlign w:val="center"/>
          </w:tcPr>
          <w:p w14:paraId="3F713DB5">
            <w:pPr>
              <w:pStyle w:val="177"/>
              <w:keepNext w:val="0"/>
              <w:keepLines w:val="0"/>
              <w:suppressLineNumbers w:val="0"/>
              <w:snapToGrid w:val="0"/>
              <w:spacing w:before="0" w:beforeAutospacing="0" w:after="0" w:afterAutospacing="0"/>
              <w:ind w:left="0" w:right="0"/>
              <w:jc w:val="center"/>
              <w:rPr>
                <w:rFonts w:hint="eastAsia"/>
                <w:color w:val="auto"/>
                <w:highlight w:val="none"/>
              </w:rPr>
            </w:pPr>
            <w:r>
              <w:rPr>
                <w:rFonts w:hint="eastAsia"/>
                <w:color w:val="auto"/>
                <w:highlight w:val="none"/>
              </w:rPr>
              <w:t>序号</w:t>
            </w:r>
          </w:p>
        </w:tc>
        <w:tc>
          <w:tcPr>
            <w:tcW w:w="1897" w:type="dxa"/>
            <w:noWrap w:val="0"/>
            <w:vAlign w:val="center"/>
          </w:tcPr>
          <w:p w14:paraId="144D1F6C">
            <w:pPr>
              <w:pStyle w:val="177"/>
              <w:keepNext w:val="0"/>
              <w:keepLines w:val="0"/>
              <w:suppressLineNumbers w:val="0"/>
              <w:snapToGrid w:val="0"/>
              <w:spacing w:before="0" w:beforeAutospacing="0" w:after="0" w:afterAutospacing="0"/>
              <w:ind w:left="0" w:right="0"/>
              <w:jc w:val="center"/>
              <w:rPr>
                <w:rFonts w:hint="eastAsia"/>
                <w:color w:val="auto"/>
                <w:highlight w:val="none"/>
              </w:rPr>
            </w:pPr>
            <w:r>
              <w:rPr>
                <w:rFonts w:hint="eastAsia"/>
                <w:color w:val="auto"/>
                <w:highlight w:val="none"/>
              </w:rPr>
              <w:t>服务内容</w:t>
            </w:r>
          </w:p>
        </w:tc>
        <w:tc>
          <w:tcPr>
            <w:tcW w:w="2054" w:type="dxa"/>
            <w:noWrap w:val="0"/>
            <w:vAlign w:val="center"/>
          </w:tcPr>
          <w:p w14:paraId="4C560433">
            <w:pPr>
              <w:pStyle w:val="177"/>
              <w:keepNext w:val="0"/>
              <w:keepLines w:val="0"/>
              <w:suppressLineNumbers w:val="0"/>
              <w:snapToGrid w:val="0"/>
              <w:spacing w:before="0" w:beforeAutospacing="0" w:after="0" w:afterAutospacing="0"/>
              <w:ind w:left="0" w:right="0"/>
              <w:jc w:val="center"/>
              <w:rPr>
                <w:rFonts w:hint="eastAsia"/>
                <w:color w:val="auto"/>
                <w:highlight w:val="none"/>
              </w:rPr>
            </w:pPr>
            <w:r>
              <w:rPr>
                <w:rFonts w:hint="eastAsia"/>
                <w:color w:val="auto"/>
                <w:highlight w:val="none"/>
              </w:rPr>
              <w:t>单价</w:t>
            </w:r>
          </w:p>
        </w:tc>
        <w:tc>
          <w:tcPr>
            <w:tcW w:w="2056" w:type="dxa"/>
            <w:noWrap w:val="0"/>
            <w:vAlign w:val="center"/>
          </w:tcPr>
          <w:p w14:paraId="7F9B2DEE">
            <w:pPr>
              <w:pStyle w:val="177"/>
              <w:keepNext w:val="0"/>
              <w:keepLines w:val="0"/>
              <w:suppressLineNumbers w:val="0"/>
              <w:snapToGrid w:val="0"/>
              <w:spacing w:before="0" w:beforeAutospacing="0" w:after="0" w:afterAutospacing="0"/>
              <w:ind w:left="0" w:right="0"/>
              <w:jc w:val="center"/>
              <w:rPr>
                <w:rFonts w:hint="eastAsia"/>
                <w:color w:val="auto"/>
                <w:highlight w:val="none"/>
              </w:rPr>
            </w:pPr>
            <w:r>
              <w:rPr>
                <w:rFonts w:hint="eastAsia"/>
                <w:color w:val="auto"/>
                <w:highlight w:val="none"/>
              </w:rPr>
              <w:t>数量</w:t>
            </w:r>
          </w:p>
        </w:tc>
        <w:tc>
          <w:tcPr>
            <w:tcW w:w="2056" w:type="dxa"/>
            <w:noWrap w:val="0"/>
            <w:vAlign w:val="center"/>
          </w:tcPr>
          <w:p w14:paraId="67DB2B96">
            <w:pPr>
              <w:pStyle w:val="177"/>
              <w:keepNext w:val="0"/>
              <w:keepLines w:val="0"/>
              <w:suppressLineNumbers w:val="0"/>
              <w:snapToGrid w:val="0"/>
              <w:spacing w:before="0" w:beforeAutospacing="0" w:after="0" w:afterAutospacing="0"/>
              <w:ind w:left="0" w:right="0"/>
              <w:jc w:val="center"/>
              <w:rPr>
                <w:rFonts w:hint="eastAsia"/>
                <w:color w:val="auto"/>
                <w:highlight w:val="none"/>
              </w:rPr>
            </w:pPr>
            <w:r>
              <w:rPr>
                <w:rFonts w:hint="eastAsia"/>
                <w:color w:val="auto"/>
                <w:highlight w:val="none"/>
              </w:rPr>
              <w:t>合价</w:t>
            </w:r>
          </w:p>
        </w:tc>
      </w:tr>
      <w:tr w14:paraId="2BB6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08" w:type="dxa"/>
            <w:noWrap w:val="0"/>
            <w:vAlign w:val="center"/>
          </w:tcPr>
          <w:p w14:paraId="36040E17">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1897" w:type="dxa"/>
            <w:noWrap w:val="0"/>
            <w:vAlign w:val="center"/>
          </w:tcPr>
          <w:p w14:paraId="5B718E27">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4" w:type="dxa"/>
            <w:noWrap w:val="0"/>
            <w:vAlign w:val="center"/>
          </w:tcPr>
          <w:p w14:paraId="54FE4E11">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338F0CD1">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14F70B1F">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r>
      <w:tr w14:paraId="077D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08" w:type="dxa"/>
            <w:noWrap w:val="0"/>
            <w:vAlign w:val="center"/>
          </w:tcPr>
          <w:p w14:paraId="1FF4D111">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1897" w:type="dxa"/>
            <w:noWrap w:val="0"/>
            <w:vAlign w:val="center"/>
          </w:tcPr>
          <w:p w14:paraId="49DD378B">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4" w:type="dxa"/>
            <w:noWrap w:val="0"/>
            <w:vAlign w:val="center"/>
          </w:tcPr>
          <w:p w14:paraId="12D0BDB5">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425BCE08">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2073EE90">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r>
      <w:tr w14:paraId="63CA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08" w:type="dxa"/>
            <w:noWrap w:val="0"/>
            <w:vAlign w:val="center"/>
          </w:tcPr>
          <w:p w14:paraId="477B9B7D">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1897" w:type="dxa"/>
            <w:noWrap w:val="0"/>
            <w:vAlign w:val="center"/>
          </w:tcPr>
          <w:p w14:paraId="7EF464E9">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4" w:type="dxa"/>
            <w:noWrap w:val="0"/>
            <w:vAlign w:val="center"/>
          </w:tcPr>
          <w:p w14:paraId="430AC564">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5051591D">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516340E7">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r>
      <w:tr w14:paraId="78E8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jc w:val="center"/>
        </w:trPr>
        <w:tc>
          <w:tcPr>
            <w:tcW w:w="908" w:type="dxa"/>
            <w:noWrap w:val="0"/>
            <w:vAlign w:val="center"/>
          </w:tcPr>
          <w:p w14:paraId="2B79E08F">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1897" w:type="dxa"/>
            <w:noWrap w:val="0"/>
            <w:vAlign w:val="center"/>
          </w:tcPr>
          <w:p w14:paraId="7E472903">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4" w:type="dxa"/>
            <w:noWrap w:val="0"/>
            <w:vAlign w:val="center"/>
          </w:tcPr>
          <w:p w14:paraId="2BEC1C27">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208C0648">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764074FD">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r>
      <w:tr w14:paraId="5068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08" w:type="dxa"/>
            <w:noWrap w:val="0"/>
            <w:vAlign w:val="center"/>
          </w:tcPr>
          <w:p w14:paraId="2B0A69FA">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1897" w:type="dxa"/>
            <w:noWrap w:val="0"/>
            <w:vAlign w:val="center"/>
          </w:tcPr>
          <w:p w14:paraId="73DD5196">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4" w:type="dxa"/>
            <w:noWrap w:val="0"/>
            <w:vAlign w:val="center"/>
          </w:tcPr>
          <w:p w14:paraId="13ED0EB1">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042A04F8">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3E3EC984">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r>
      <w:tr w14:paraId="5B99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08" w:type="dxa"/>
            <w:noWrap w:val="0"/>
            <w:vAlign w:val="center"/>
          </w:tcPr>
          <w:p w14:paraId="3AABA9F3">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1897" w:type="dxa"/>
            <w:noWrap w:val="0"/>
            <w:vAlign w:val="center"/>
          </w:tcPr>
          <w:p w14:paraId="53F83C2C">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4" w:type="dxa"/>
            <w:noWrap w:val="0"/>
            <w:vAlign w:val="center"/>
          </w:tcPr>
          <w:p w14:paraId="7C22F155">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3C54AB27">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12DC1EDC">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r>
      <w:tr w14:paraId="6D72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08" w:type="dxa"/>
            <w:noWrap w:val="0"/>
            <w:vAlign w:val="center"/>
          </w:tcPr>
          <w:p w14:paraId="0EE88384">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1897" w:type="dxa"/>
            <w:noWrap w:val="0"/>
            <w:vAlign w:val="center"/>
          </w:tcPr>
          <w:p w14:paraId="5195AE9E">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4" w:type="dxa"/>
            <w:noWrap w:val="0"/>
            <w:vAlign w:val="center"/>
          </w:tcPr>
          <w:p w14:paraId="438999A2">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053CEB9E">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c>
          <w:tcPr>
            <w:tcW w:w="2056" w:type="dxa"/>
            <w:noWrap w:val="0"/>
            <w:vAlign w:val="center"/>
          </w:tcPr>
          <w:p w14:paraId="2602D356">
            <w:pPr>
              <w:pStyle w:val="177"/>
              <w:keepNext w:val="0"/>
              <w:keepLines w:val="0"/>
              <w:suppressLineNumbers w:val="0"/>
              <w:snapToGrid w:val="0"/>
              <w:spacing w:before="0" w:beforeAutospacing="0" w:after="0" w:afterAutospacing="0"/>
              <w:ind w:left="0" w:right="0"/>
              <w:jc w:val="center"/>
              <w:rPr>
                <w:rFonts w:hint="eastAsia"/>
                <w:color w:val="auto"/>
                <w:highlight w:val="none"/>
              </w:rPr>
            </w:pPr>
          </w:p>
        </w:tc>
      </w:tr>
    </w:tbl>
    <w:p w14:paraId="320E98B4">
      <w:pPr>
        <w:widowControl/>
        <w:spacing w:before="34" w:line="360" w:lineRule="auto"/>
        <w:ind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0D3E1EB8">
      <w:pPr>
        <w:widowControl/>
        <w:spacing w:before="34" w:line="360" w:lineRule="auto"/>
        <w:ind w:right="-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 投标人必须按“分项报价表”的格式详细报出投标总价的各个组成部分的报价，否则作无效投标处理。</w:t>
      </w:r>
    </w:p>
    <w:p w14:paraId="04F08973">
      <w:pPr>
        <w:widowControl/>
        <w:spacing w:before="34" w:line="360" w:lineRule="auto"/>
        <w:ind w:right="-20"/>
        <w:jc w:val="left"/>
        <w:rPr>
          <w:rFonts w:hint="eastAsia" w:ascii="宋体" w:hAnsi="宋体" w:cs="宋体"/>
          <w:color w:val="auto"/>
          <w:sz w:val="24"/>
          <w:highlight w:val="none"/>
        </w:rPr>
      </w:pPr>
      <w:r>
        <w:rPr>
          <w:rFonts w:hint="eastAsia" w:ascii="宋体" w:hAnsi="宋体" w:cs="宋体"/>
          <w:color w:val="auto"/>
          <w:kern w:val="0"/>
          <w:sz w:val="24"/>
          <w:highlight w:val="none"/>
        </w:rPr>
        <w:t>2. “分项报价明细表”各分项报价合计应当与“开标一览表”报价合计相等。</w:t>
      </w:r>
    </w:p>
    <w:p w14:paraId="45EC5911">
      <w:pPr>
        <w:pStyle w:val="177"/>
        <w:snapToGrid w:val="0"/>
        <w:spacing w:before="0" w:beforeAutospacing="0" w:after="0" w:afterAutospacing="0" w:line="360" w:lineRule="auto"/>
        <w:rPr>
          <w:rFonts w:hint="eastAsia"/>
          <w:b/>
          <w:bCs/>
          <w:color w:val="auto"/>
          <w:highlight w:val="none"/>
        </w:rPr>
      </w:pPr>
      <w:r>
        <w:rPr>
          <w:rFonts w:hint="eastAsia"/>
          <w:b/>
          <w:bCs/>
          <w:color w:val="auto"/>
          <w:highlight w:val="none"/>
        </w:rPr>
        <w:t xml:space="preserve"> </w:t>
      </w:r>
    </w:p>
    <w:p w14:paraId="5D157B7A">
      <w:pPr>
        <w:spacing w:line="360" w:lineRule="auto"/>
        <w:ind w:firstLine="3700" w:firstLineChars="1762"/>
        <w:jc w:val="right"/>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（盖单位章） </w:t>
      </w:r>
    </w:p>
    <w:p w14:paraId="2AB5BA5C">
      <w:pPr>
        <w:widowControl/>
        <w:spacing w:line="200" w:lineRule="atLeast"/>
        <w:rPr>
          <w:rFonts w:hint="eastAsia" w:ascii="宋体" w:hAnsi="宋体" w:cs="宋体"/>
          <w:color w:val="auto"/>
          <w:kern w:val="0"/>
          <w:sz w:val="20"/>
          <w:szCs w:val="20"/>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 w:val="20"/>
          <w:szCs w:val="20"/>
          <w:highlight w:val="none"/>
        </w:rPr>
        <w:t xml:space="preserve"> </w:t>
      </w:r>
    </w:p>
    <w:p w14:paraId="1512AFD1">
      <w:pPr>
        <w:widowControl/>
        <w:spacing w:line="200" w:lineRule="atLeast"/>
        <w:rPr>
          <w:rFonts w:hint="eastAsia" w:ascii="宋体" w:hAnsi="宋体" w:cs="宋体"/>
          <w:color w:val="auto"/>
          <w:kern w:val="0"/>
          <w:sz w:val="20"/>
          <w:szCs w:val="2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r>
        <w:rPr>
          <w:rFonts w:hint="eastAsia" w:ascii="宋体" w:hAnsi="宋体" w:cs="宋体"/>
          <w:color w:val="auto"/>
          <w:kern w:val="0"/>
          <w:sz w:val="20"/>
          <w:szCs w:val="20"/>
          <w:highlight w:val="none"/>
        </w:rPr>
        <w:t xml:space="preserve"> </w:t>
      </w:r>
    </w:p>
    <w:p w14:paraId="36773118">
      <w:pPr>
        <w:pStyle w:val="3"/>
        <w:widowControl/>
        <w:wordWrap w:val="0"/>
        <w:spacing w:before="120" w:after="120" w:line="240" w:lineRule="auto"/>
        <w:jc w:val="center"/>
        <w:rPr>
          <w:rFonts w:hint="eastAsia" w:ascii="宋体" w:hAnsi="宋体" w:eastAsia="宋体" w:cs="宋体"/>
          <w:color w:val="auto"/>
          <w:kern w:val="0"/>
          <w:sz w:val="30"/>
          <w:szCs w:val="30"/>
          <w:highlight w:val="none"/>
        </w:rPr>
      </w:pPr>
      <w:bookmarkStart w:id="846" w:name="_Toc466024589"/>
      <w:r>
        <w:rPr>
          <w:rStyle w:val="101"/>
          <w:rFonts w:hint="eastAsia" w:ascii="宋体" w:hAnsi="宋体" w:eastAsia="宋体" w:cs="宋体"/>
          <w:b/>
          <w:bCs w:val="0"/>
          <w:color w:val="auto"/>
          <w:sz w:val="30"/>
          <w:szCs w:val="30"/>
          <w:highlight w:val="none"/>
        </w:rPr>
        <w:t>四、</w:t>
      </w:r>
      <w:r>
        <w:rPr>
          <w:rStyle w:val="101"/>
          <w:rFonts w:hint="eastAsia" w:ascii="宋体" w:hAnsi="宋体" w:eastAsia="宋体" w:cs="宋体"/>
          <w:b/>
          <w:bCs w:val="0"/>
          <w:color w:val="auto"/>
          <w:sz w:val="30"/>
          <w:szCs w:val="30"/>
          <w:highlight w:val="none"/>
          <w:lang w:val="en-US"/>
        </w:rPr>
        <w:t>投标人</w:t>
      </w:r>
      <w:r>
        <w:rPr>
          <w:rStyle w:val="101"/>
          <w:rFonts w:hint="eastAsia" w:ascii="宋体" w:hAnsi="宋体" w:eastAsia="宋体" w:cs="宋体"/>
          <w:b/>
          <w:bCs w:val="0"/>
          <w:color w:val="auto"/>
          <w:sz w:val="30"/>
          <w:szCs w:val="30"/>
          <w:highlight w:val="none"/>
        </w:rPr>
        <w:t>综合情况简介</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6FB5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7EE895C6">
            <w:pPr>
              <w:keepNext w:val="0"/>
              <w:keepLines w:val="0"/>
              <w:widowControl/>
              <w:suppressLineNumbers w:val="0"/>
              <w:wordWrap w:val="0"/>
              <w:adjustRightInd w:val="0"/>
              <w:snapToGrid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项目名称：【项目名称】</w:t>
            </w:r>
          </w:p>
        </w:tc>
      </w:tr>
      <w:tr w14:paraId="5D66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7A7FCEB8">
            <w:pPr>
              <w:keepNext w:val="0"/>
              <w:keepLines w:val="0"/>
              <w:suppressLineNumbers w:val="0"/>
              <w:wordWrap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【项目编号】</w:t>
            </w:r>
          </w:p>
        </w:tc>
      </w:tr>
      <w:tr w14:paraId="627E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08C4CF6B">
            <w:pPr>
              <w:keepNext w:val="0"/>
              <w:keepLines w:val="0"/>
              <w:suppressLineNumbers w:val="0"/>
              <w:wordWrap w:val="0"/>
              <w:spacing w:before="31" w:beforeAutospacing="0" w:after="0" w:afterAutospacing="0" w:line="2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投标人</w:t>
            </w:r>
            <w:r>
              <w:rPr>
                <w:rFonts w:hint="eastAsia" w:ascii="宋体" w:hAnsi="宋体" w:eastAsia="宋体" w:cs="宋体"/>
                <w:color w:val="auto"/>
                <w:kern w:val="0"/>
                <w:szCs w:val="21"/>
                <w:highlight w:val="none"/>
                <w:lang w:eastAsia="en-US"/>
              </w:rPr>
              <w:t>基本信息</w:t>
            </w:r>
          </w:p>
        </w:tc>
        <w:tc>
          <w:tcPr>
            <w:tcW w:w="1536" w:type="dxa"/>
            <w:noWrap w:val="0"/>
            <w:vAlign w:val="center"/>
          </w:tcPr>
          <w:p w14:paraId="7C18E03E">
            <w:pPr>
              <w:keepNext w:val="0"/>
              <w:keepLines w:val="0"/>
              <w:widowControl/>
              <w:suppressLineNumbers w:val="0"/>
              <w:wordWrap w:val="0"/>
              <w:spacing w:before="0" w:beforeAutospacing="0" w:after="0" w:afterAutospacing="0" w:line="240" w:lineRule="exact"/>
              <w:ind w:left="0" w:right="0"/>
              <w:jc w:val="center"/>
              <w:rPr>
                <w:rFonts w:hint="eastAsia" w:ascii="宋体" w:hAnsi="宋体" w:eastAsia="宋体" w:cs="宋体"/>
                <w:color w:val="auto"/>
                <w:szCs w:val="21"/>
                <w:highlight w:val="none"/>
                <w:lang w:eastAsia="en-US"/>
              </w:rPr>
            </w:pPr>
            <w:r>
              <w:rPr>
                <w:rFonts w:hint="eastAsia" w:ascii="宋体" w:hAnsi="宋体" w:eastAsia="宋体" w:cs="宋体"/>
                <w:color w:val="auto"/>
                <w:kern w:val="0"/>
                <w:szCs w:val="21"/>
                <w:highlight w:val="none"/>
                <w:lang w:val="en-US" w:eastAsia="zh-CN"/>
              </w:rPr>
              <w:t>投标人</w:t>
            </w:r>
            <w:r>
              <w:rPr>
                <w:rFonts w:hint="eastAsia" w:ascii="宋体" w:hAnsi="宋体" w:eastAsia="宋体" w:cs="宋体"/>
                <w:color w:val="auto"/>
                <w:kern w:val="0"/>
                <w:szCs w:val="21"/>
                <w:highlight w:val="none"/>
                <w:lang w:eastAsia="en-US"/>
              </w:rPr>
              <w:t>全称</w:t>
            </w:r>
          </w:p>
        </w:tc>
        <w:tc>
          <w:tcPr>
            <w:tcW w:w="6912" w:type="dxa"/>
            <w:gridSpan w:val="3"/>
            <w:noWrap w:val="0"/>
            <w:vAlign w:val="center"/>
          </w:tcPr>
          <w:p w14:paraId="452964D6">
            <w:pPr>
              <w:keepNext/>
              <w:keepLines/>
              <w:widowControl/>
              <w:suppressLineNumbers w:val="0"/>
              <w:wordWrap/>
              <w:spacing w:before="120" w:beforeAutospacing="0" w:after="120" w:afterAutospacing="0"/>
              <w:ind w:left="0" w:right="630"/>
              <w:jc w:val="left"/>
              <w:outlineLvl w:val="1"/>
              <w:rPr>
                <w:rFonts w:hint="eastAsia" w:ascii="宋体" w:hAnsi="宋体" w:eastAsia="宋体" w:cs="宋体"/>
                <w:b/>
                <w:bCs/>
                <w:color w:val="auto"/>
                <w:highlight w:val="none"/>
              </w:rPr>
            </w:pPr>
          </w:p>
        </w:tc>
      </w:tr>
      <w:tr w14:paraId="0183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692516FF">
            <w:pPr>
              <w:keepNext w:val="0"/>
              <w:keepLines w:val="0"/>
              <w:suppressLineNumbers w:val="0"/>
              <w:wordWrap w:val="0"/>
              <w:spacing w:before="31" w:beforeAutospacing="0" w:after="0" w:afterAutospacing="0" w:line="240" w:lineRule="exact"/>
              <w:ind w:left="0" w:right="0"/>
              <w:jc w:val="center"/>
              <w:rPr>
                <w:rFonts w:hint="eastAsia" w:ascii="宋体" w:hAnsi="宋体" w:eastAsia="宋体" w:cs="宋体"/>
                <w:color w:val="auto"/>
                <w:szCs w:val="21"/>
                <w:highlight w:val="none"/>
              </w:rPr>
            </w:pPr>
          </w:p>
        </w:tc>
        <w:tc>
          <w:tcPr>
            <w:tcW w:w="1536" w:type="dxa"/>
            <w:noWrap w:val="0"/>
            <w:vAlign w:val="center"/>
          </w:tcPr>
          <w:p w14:paraId="5715C0C1">
            <w:pPr>
              <w:keepNext w:val="0"/>
              <w:keepLines w:val="0"/>
              <w:widowControl/>
              <w:suppressLineNumbers w:val="0"/>
              <w:wordWrap w:val="0"/>
              <w:spacing w:before="0" w:beforeAutospacing="0" w:after="0" w:afterAutospacing="0" w:line="24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注册</w:t>
            </w:r>
            <w:r>
              <w:rPr>
                <w:rFonts w:hint="eastAsia" w:ascii="宋体" w:hAnsi="宋体" w:eastAsia="宋体" w:cs="宋体"/>
                <w:color w:val="auto"/>
                <w:kern w:val="0"/>
                <w:szCs w:val="21"/>
                <w:highlight w:val="none"/>
                <w:lang w:val="en-US" w:eastAsia="en-US"/>
              </w:rPr>
              <w:t>地址</w:t>
            </w:r>
          </w:p>
        </w:tc>
        <w:tc>
          <w:tcPr>
            <w:tcW w:w="6912" w:type="dxa"/>
            <w:gridSpan w:val="3"/>
            <w:noWrap w:val="0"/>
            <w:vAlign w:val="center"/>
          </w:tcPr>
          <w:p w14:paraId="707870E5">
            <w:pPr>
              <w:keepNext w:val="0"/>
              <w:keepLines w:val="0"/>
              <w:widowControl/>
              <w:suppressLineNumbers w:val="0"/>
              <w:wordWrap w:val="0"/>
              <w:spacing w:before="0" w:beforeAutospacing="0" w:after="0" w:afterAutospacing="0" w:line="240" w:lineRule="exact"/>
              <w:ind w:left="0" w:right="0"/>
              <w:jc w:val="center"/>
              <w:rPr>
                <w:rFonts w:hint="eastAsia" w:ascii="宋体" w:hAnsi="宋体" w:eastAsia="宋体" w:cs="宋体"/>
                <w:color w:val="auto"/>
                <w:kern w:val="0"/>
                <w:szCs w:val="21"/>
                <w:highlight w:val="none"/>
                <w:lang w:val="en-US" w:eastAsia="zh-CN"/>
              </w:rPr>
            </w:pPr>
          </w:p>
        </w:tc>
      </w:tr>
      <w:tr w14:paraId="57D7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71A5873E">
            <w:pPr>
              <w:keepNext w:val="0"/>
              <w:keepLines w:val="0"/>
              <w:suppressLineNumbers w:val="0"/>
              <w:wordWrap w:val="0"/>
              <w:spacing w:before="0" w:beforeAutospacing="0" w:after="0" w:afterAutospacing="0"/>
              <w:ind w:left="0" w:right="0"/>
              <w:rPr>
                <w:rFonts w:hint="eastAsia" w:ascii="宋体" w:hAnsi="宋体" w:eastAsia="宋体" w:cs="宋体"/>
                <w:color w:val="auto"/>
                <w:szCs w:val="21"/>
                <w:highlight w:val="none"/>
              </w:rPr>
            </w:pPr>
          </w:p>
        </w:tc>
        <w:tc>
          <w:tcPr>
            <w:tcW w:w="1536" w:type="dxa"/>
            <w:noWrap w:val="0"/>
            <w:vAlign w:val="center"/>
          </w:tcPr>
          <w:p w14:paraId="0971750D">
            <w:pPr>
              <w:keepNext w:val="0"/>
              <w:keepLines w:val="0"/>
              <w:widowControl/>
              <w:suppressLineNumbers w:val="0"/>
              <w:wordWrap w:val="0"/>
              <w:spacing w:before="0" w:beforeAutospacing="0" w:after="0" w:afterAutospacing="0" w:line="24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en-US"/>
              </w:rPr>
              <w:t>联系人</w:t>
            </w:r>
          </w:p>
        </w:tc>
        <w:tc>
          <w:tcPr>
            <w:tcW w:w="2579" w:type="dxa"/>
            <w:noWrap w:val="0"/>
            <w:vAlign w:val="center"/>
          </w:tcPr>
          <w:p w14:paraId="323B1C3F">
            <w:pPr>
              <w:keepNext w:val="0"/>
              <w:keepLines w:val="0"/>
              <w:widowControl/>
              <w:suppressLineNumbers w:val="0"/>
              <w:wordWrap w:val="0"/>
              <w:spacing w:before="0" w:beforeAutospacing="0" w:after="0" w:afterAutospacing="0" w:line="240" w:lineRule="exact"/>
              <w:ind w:left="0" w:right="0"/>
              <w:jc w:val="center"/>
              <w:rPr>
                <w:rFonts w:hint="eastAsia" w:ascii="宋体" w:hAnsi="宋体" w:eastAsia="宋体" w:cs="宋体"/>
                <w:color w:val="auto"/>
                <w:kern w:val="0"/>
                <w:szCs w:val="21"/>
                <w:highlight w:val="none"/>
                <w:lang w:val="en-US" w:eastAsia="zh-CN"/>
              </w:rPr>
            </w:pPr>
          </w:p>
        </w:tc>
        <w:tc>
          <w:tcPr>
            <w:tcW w:w="1674" w:type="dxa"/>
            <w:noWrap w:val="0"/>
            <w:vAlign w:val="center"/>
          </w:tcPr>
          <w:p w14:paraId="30077083">
            <w:pPr>
              <w:keepNext w:val="0"/>
              <w:keepLines w:val="0"/>
              <w:widowControl/>
              <w:suppressLineNumbers w:val="0"/>
              <w:wordWrap w:val="0"/>
              <w:spacing w:before="0" w:beforeAutospacing="0" w:after="0" w:afterAutospacing="0" w:line="24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en-US"/>
              </w:rPr>
              <w:t>联系电话</w:t>
            </w:r>
          </w:p>
        </w:tc>
        <w:tc>
          <w:tcPr>
            <w:tcW w:w="2659" w:type="dxa"/>
            <w:noWrap w:val="0"/>
            <w:vAlign w:val="center"/>
          </w:tcPr>
          <w:p w14:paraId="0BA8E7C8">
            <w:pPr>
              <w:keepNext w:val="0"/>
              <w:keepLines w:val="0"/>
              <w:suppressLineNumbers w:val="0"/>
              <w:wordWrap w:val="0"/>
              <w:spacing w:before="0" w:beforeAutospacing="0" w:after="0" w:afterAutospacing="0"/>
              <w:ind w:left="0" w:right="0"/>
              <w:rPr>
                <w:rFonts w:hint="eastAsia" w:ascii="宋体" w:hAnsi="宋体" w:eastAsia="宋体" w:cs="宋体"/>
                <w:color w:val="auto"/>
                <w:szCs w:val="21"/>
                <w:highlight w:val="none"/>
              </w:rPr>
            </w:pPr>
          </w:p>
        </w:tc>
      </w:tr>
      <w:tr w14:paraId="3377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048D18B4">
            <w:pPr>
              <w:keepNext w:val="0"/>
              <w:keepLines w:val="0"/>
              <w:suppressLineNumbers w:val="0"/>
              <w:wordWrap w:val="0"/>
              <w:spacing w:before="120" w:beforeLines="50" w:beforeAutospacing="0" w:after="0" w:afterAutospacing="0" w:line="48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公章：</w:t>
            </w:r>
          </w:p>
          <w:p w14:paraId="56486B87">
            <w:pPr>
              <w:keepNext w:val="0"/>
              <w:keepLines w:val="0"/>
              <w:suppressLineNumbers w:val="0"/>
              <w:wordWrap w:val="0"/>
              <w:spacing w:before="0" w:beforeAutospacing="0" w:after="0" w:afterAutospacing="0" w:line="48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填表日期：</w:t>
            </w:r>
          </w:p>
        </w:tc>
      </w:tr>
      <w:tr w14:paraId="0C61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22E8DC8E">
            <w:pPr>
              <w:keepNext w:val="0"/>
              <w:keepLines w:val="0"/>
              <w:suppressLineNumbers w:val="0"/>
              <w:wordWrap w:val="0"/>
              <w:spacing w:before="120" w:beforeLines="5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填表说明：</w:t>
            </w:r>
          </w:p>
          <w:p w14:paraId="265CD435">
            <w:pPr>
              <w:keepNext w:val="0"/>
              <w:keepLines w:val="0"/>
              <w:suppressLineNumbers w:val="0"/>
              <w:wordWrap w:val="0"/>
              <w:spacing w:before="0" w:beforeAutospacing="0" w:after="0" w:afterAutospacing="0" w:line="360" w:lineRule="auto"/>
              <w:ind w:left="0" w:right="0"/>
              <w:rPr>
                <w:rFonts w:hint="eastAsia" w:ascii="宋体" w:hAnsi="宋体" w:eastAsia="宋体" w:cs="宋体"/>
                <w:color w:val="auto"/>
                <w:kern w:val="0"/>
                <w:highlight w:val="none"/>
              </w:rPr>
            </w:pPr>
            <w:r>
              <w:rPr>
                <w:rFonts w:hint="eastAsia" w:ascii="宋体" w:hAnsi="宋体" w:eastAsia="宋体" w:cs="宋体"/>
                <w:color w:val="auto"/>
                <w:highlight w:val="none"/>
              </w:rPr>
              <w:t>请填表人认真、准确填写，并加盖单位公章，为便于成交后进行政府采购合同备案，请填写完整。</w:t>
            </w:r>
          </w:p>
        </w:tc>
      </w:tr>
    </w:tbl>
    <w:p w14:paraId="7B1D29A1">
      <w:pPr>
        <w:pStyle w:val="3"/>
        <w:widowControl/>
        <w:spacing w:before="120" w:after="120" w:line="240" w:lineRule="auto"/>
        <w:jc w:val="center"/>
        <w:rPr>
          <w:rStyle w:val="101"/>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101"/>
          <w:rFonts w:hint="eastAsia" w:ascii="宋体" w:hAnsi="宋体" w:eastAsia="宋体" w:cs="宋体"/>
          <w:b/>
          <w:bCs/>
          <w:color w:val="auto"/>
          <w:sz w:val="30"/>
          <w:szCs w:val="30"/>
          <w:highlight w:val="none"/>
          <w:lang w:val="en-US"/>
        </w:rPr>
        <w:t>五</w:t>
      </w:r>
      <w:r>
        <w:rPr>
          <w:rStyle w:val="101"/>
          <w:rFonts w:hint="eastAsia" w:ascii="宋体" w:hAnsi="宋体" w:eastAsia="宋体" w:cs="宋体"/>
          <w:b/>
          <w:bCs/>
          <w:color w:val="auto"/>
          <w:sz w:val="30"/>
          <w:szCs w:val="30"/>
          <w:highlight w:val="none"/>
        </w:rPr>
        <w:t>、</w:t>
      </w:r>
      <w:bookmarkEnd w:id="846"/>
      <w:r>
        <w:rPr>
          <w:rStyle w:val="101"/>
          <w:rFonts w:hint="eastAsia" w:ascii="宋体" w:hAnsi="宋体" w:eastAsia="宋体" w:cs="宋体"/>
          <w:b/>
          <w:bCs/>
          <w:color w:val="auto"/>
          <w:sz w:val="30"/>
          <w:szCs w:val="30"/>
          <w:highlight w:val="none"/>
        </w:rPr>
        <w:t>中小企业声明函（服务）</w:t>
      </w:r>
    </w:p>
    <w:p w14:paraId="380563B6">
      <w:pPr>
        <w:pStyle w:val="25"/>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7B365434">
      <w:pPr>
        <w:pStyle w:val="18"/>
        <w:snapToGrid w:val="0"/>
        <w:spacing w:line="360" w:lineRule="auto"/>
        <w:ind w:firstLine="412" w:firstLineChars="200"/>
        <w:rPr>
          <w:rFonts w:hint="eastAsia" w:ascii="宋体" w:hAnsi="宋体" w:eastAsia="宋体" w:cs="宋体"/>
          <w:color w:val="auto"/>
          <w:spacing w:val="-2"/>
          <w:sz w:val="21"/>
          <w:szCs w:val="21"/>
          <w:highlight w:val="none"/>
        </w:rPr>
      </w:pPr>
    </w:p>
    <w:p w14:paraId="3D79DE67">
      <w:pPr>
        <w:pStyle w:val="40"/>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iCs/>
          <w:color w:val="auto"/>
          <w:kern w:val="2"/>
          <w:sz w:val="21"/>
          <w:szCs w:val="21"/>
          <w:highlight w:val="none"/>
          <w:u w:val="single"/>
        </w:rPr>
        <w:t>（单位名称）</w:t>
      </w:r>
      <w:r>
        <w:rPr>
          <w:rFonts w:hint="eastAsia" w:cs="宋体"/>
          <w:color w:val="auto"/>
          <w:kern w:val="2"/>
          <w:sz w:val="21"/>
          <w:szCs w:val="21"/>
          <w:highlight w:val="none"/>
        </w:rPr>
        <w:t>的</w:t>
      </w:r>
      <w:r>
        <w:rPr>
          <w:rFonts w:hint="eastAsia" w:cs="宋体"/>
          <w:i/>
          <w:iCs/>
          <w:color w:val="auto"/>
          <w:kern w:val="2"/>
          <w:sz w:val="21"/>
          <w:szCs w:val="21"/>
          <w:highlight w:val="none"/>
          <w:u w:val="single"/>
        </w:rPr>
        <w:t>（项目名称）</w:t>
      </w:r>
      <w:r>
        <w:rPr>
          <w:rFonts w:hint="eastAsia" w:cs="宋体"/>
          <w:color w:val="auto"/>
          <w:kern w:val="2"/>
          <w:sz w:val="21"/>
          <w:szCs w:val="21"/>
          <w:highlight w:val="none"/>
        </w:rPr>
        <w:t>采购活动，服务全部由符合政策要求的中小企业承接。相关企业（含联合体中的中小企业、签订分包意向协议的中小企业）的具体情况如下：</w:t>
      </w:r>
    </w:p>
    <w:p w14:paraId="4589AD98">
      <w:pPr>
        <w:pStyle w:val="40"/>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w:t>
      </w:r>
      <w:r>
        <w:rPr>
          <w:rFonts w:hint="eastAsia" w:cs="宋体"/>
          <w:color w:val="auto"/>
          <w:kern w:val="2"/>
          <w:sz w:val="21"/>
          <w:szCs w:val="21"/>
          <w:highlight w:val="none"/>
        </w:rPr>
        <w:t>；承建（承接）企业为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Style w:val="57"/>
          <w:rFonts w:hint="eastAsia" w:cs="宋体"/>
          <w:color w:val="auto"/>
          <w:w w:val="95"/>
          <w:sz w:val="21"/>
          <w:szCs w:val="21"/>
          <w:highlight w:val="none"/>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2C2219D2">
      <w:pPr>
        <w:pStyle w:val="40"/>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w:t>
      </w:r>
      <w:r>
        <w:rPr>
          <w:rFonts w:hint="eastAsia" w:cs="宋体"/>
          <w:color w:val="auto"/>
          <w:kern w:val="2"/>
          <w:sz w:val="21"/>
          <w:szCs w:val="21"/>
          <w:highlight w:val="none"/>
        </w:rPr>
        <w:t>；承建（承接）企业为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7EAFCE5A">
      <w:pPr>
        <w:pStyle w:val="40"/>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67B0D7CE">
      <w:pPr>
        <w:pStyle w:val="40"/>
        <w:widowControl w:val="0"/>
        <w:autoSpaceDE w:val="0"/>
        <w:autoSpaceDN w:val="0"/>
        <w:snapToGrid w:val="0"/>
        <w:spacing w:before="0" w:beforeAutospacing="0" w:after="0" w:afterAutospacing="0" w:line="360" w:lineRule="auto"/>
        <w:ind w:left="218" w:leftChars="104"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707C8AD6">
      <w:pPr>
        <w:pStyle w:val="40"/>
        <w:widowControl w:val="0"/>
        <w:autoSpaceDE w:val="0"/>
        <w:autoSpaceDN w:val="0"/>
        <w:snapToGrid w:val="0"/>
        <w:spacing w:before="0" w:beforeAutospacing="0" w:after="0" w:afterAutospacing="0" w:line="360" w:lineRule="auto"/>
        <w:ind w:left="218" w:leftChars="104" w:right="397" w:rightChars="189"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0234D50C">
      <w:pPr>
        <w:pStyle w:val="40"/>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42542FA9">
      <w:pPr>
        <w:pStyle w:val="40"/>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7D9DE46F">
      <w:pPr>
        <w:pStyle w:val="40"/>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p>
    <w:p w14:paraId="521FAE75">
      <w:pPr>
        <w:pStyle w:val="40"/>
        <w:widowControl w:val="0"/>
        <w:autoSpaceDE w:val="0"/>
        <w:autoSpaceDN w:val="0"/>
        <w:snapToGrid w:val="0"/>
        <w:spacing w:before="0" w:beforeAutospacing="0" w:after="0" w:afterAutospacing="0" w:line="360" w:lineRule="auto"/>
        <w:ind w:left="0" w:right="0"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val="en-US" w:eastAsia="zh-CN" w:bidi="ar"/>
        </w:rPr>
        <w:t>注一：</w:t>
      </w:r>
      <w:r>
        <w:rPr>
          <w:rFonts w:hint="eastAsia" w:cs="宋体"/>
          <w:snapToGrid w:val="0"/>
          <w:color w:val="auto"/>
          <w:sz w:val="21"/>
          <w:szCs w:val="21"/>
          <w:highlight w:val="none"/>
          <w:lang w:bidi="ar"/>
        </w:rPr>
        <w:t>不符合中小企业扶持政策的，或所有标的信息不能填写全面的，无需提供；请投标人务必全面、准确了解相关政策、产品及制造商等相关信息后，谨慎提交。</w:t>
      </w:r>
    </w:p>
    <w:p w14:paraId="1C36CF62">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lang w:val="en-US" w:eastAsia="zh-CN"/>
        </w:rPr>
        <w:t>投标人须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hint="default" w:ascii="宋体" w:hAnsi="宋体" w:eastAsia="宋体" w:cs="Times New Roman"/>
          <w:b/>
          <w:snapToGrid/>
          <w:color w:val="auto"/>
          <w:sz w:val="22"/>
          <w:szCs w:val="21"/>
          <w:highlight w:val="none"/>
          <w:lang w:bidi="ar"/>
        </w:rPr>
        <w:t>属于提供虚假材料谋取中标，</w:t>
      </w:r>
      <w:r>
        <w:rPr>
          <w:rFonts w:ascii="宋体" w:hAnsi="宋体" w:eastAsia="宋体" w:cs="Times New Roman"/>
          <w:b/>
          <w:color w:val="auto"/>
          <w:sz w:val="22"/>
          <w:szCs w:val="21"/>
          <w:highlight w:val="none"/>
        </w:rPr>
        <w:t>将依</w:t>
      </w:r>
      <w:r>
        <w:rPr>
          <w:rFonts w:ascii="宋体" w:hAnsi="宋体"/>
          <w:b/>
          <w:color w:val="auto"/>
          <w:sz w:val="22"/>
          <w:szCs w:val="21"/>
          <w:highlight w:val="none"/>
        </w:rPr>
        <w:t>法</w:t>
      </w:r>
      <w:r>
        <w:rPr>
          <w:rFonts w:hint="eastAsia" w:ascii="宋体" w:hAnsi="宋体"/>
          <w:b/>
          <w:color w:val="auto"/>
          <w:sz w:val="22"/>
          <w:szCs w:val="21"/>
          <w:highlight w:val="none"/>
          <w:lang w:val="en-US" w:eastAsia="zh-CN"/>
        </w:rPr>
        <w:t>追究</w:t>
      </w:r>
      <w:r>
        <w:rPr>
          <w:rFonts w:ascii="宋体" w:hAnsi="宋体"/>
          <w:b/>
          <w:color w:val="auto"/>
          <w:sz w:val="22"/>
          <w:szCs w:val="21"/>
          <w:highlight w:val="none"/>
        </w:rPr>
        <w:t>相应责任。</w:t>
      </w:r>
      <w:r>
        <w:rPr>
          <w:rFonts w:hint="eastAsia" w:ascii="宋体" w:hAnsi="宋体"/>
          <w:b/>
          <w:color w:val="auto"/>
          <w:sz w:val="22"/>
          <w:szCs w:val="21"/>
          <w:highlight w:val="none"/>
          <w:lang w:val="en-US" w:eastAsia="zh-CN"/>
        </w:rPr>
        <w:t>供应商可</w:t>
      </w:r>
      <w:r>
        <w:rPr>
          <w:rFonts w:hint="eastAsia" w:ascii="宋体" w:hAnsi="宋体"/>
          <w:b/>
          <w:color w:val="auto"/>
          <w:sz w:val="22"/>
          <w:szCs w:val="21"/>
          <w:highlight w:val="none"/>
        </w:rPr>
        <w:t>自行登录工业和信息化部官网进行中小企业规模类型自测（查询网址https://www.miit.gov.cn/）。</w:t>
      </w:r>
    </w:p>
    <w:p w14:paraId="5C1B509E">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740E60E9">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1F3E086A">
      <w:pPr>
        <w:spacing w:line="360" w:lineRule="auto"/>
        <w:rPr>
          <w:rFonts w:hint="eastAsia" w:ascii="宋体" w:hAnsi="宋体" w:cs="宋体"/>
          <w:color w:val="auto"/>
          <w:highlight w:val="none"/>
        </w:rPr>
      </w:pPr>
      <w:bookmarkStart w:id="847" w:name="OLE_LINK13"/>
      <w:bookmarkStart w:id="848" w:name="OLE_LINK14"/>
    </w:p>
    <w:p w14:paraId="7CDE747C">
      <w:pPr>
        <w:spacing w:line="360" w:lineRule="auto"/>
        <w:rPr>
          <w:rFonts w:hint="eastAsia" w:ascii="宋体" w:hAnsi="宋体" w:cs="宋体"/>
          <w:color w:val="auto"/>
          <w:highlight w:val="none"/>
        </w:rPr>
      </w:pPr>
    </w:p>
    <w:p w14:paraId="718176D9">
      <w:pPr>
        <w:rPr>
          <w:rFonts w:hint="eastAsia" w:ascii="宋体" w:hAnsi="宋体" w:cs="宋体"/>
          <w:color w:val="auto"/>
          <w:highlight w:val="none"/>
        </w:rPr>
      </w:pPr>
    </w:p>
    <w:p w14:paraId="5E981E53">
      <w:pPr>
        <w:pStyle w:val="25"/>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bookmarkEnd w:id="847"/>
    <w:bookmarkEnd w:id="848"/>
    <w:p w14:paraId="0DA09A8F">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79B9B12D">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6C57E8B4">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1FD2CE42">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031BDB60">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2D219443">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214028E0">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42E85EF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244547E">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007C79B8">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026B1ED8">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62981B0B">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4AD175CE">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04BB879B">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537A74A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1B72713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2C8D61E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F31B6D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05A0DC3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32548CA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E63E8A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FADF1E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5D770A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82BBA7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EB7C44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D54E31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B3AAC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76780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DA85E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9738FB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FEE9B8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CBEE80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C39F37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512BD0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3E84833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7B97B65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294721F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80D8B9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5134FE3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4EB0221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22C9639A">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cols w:space="720" w:num="1"/>
          <w:docGrid w:linePitch="312" w:charSpace="0"/>
        </w:sectPr>
      </w:pPr>
    </w:p>
    <w:p w14:paraId="58447B98">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Cs w:val="0"/>
          <w:color w:val="auto"/>
          <w:kern w:val="0"/>
          <w:sz w:val="28"/>
          <w:szCs w:val="28"/>
          <w:highlight w:val="none"/>
          <w:lang w:val="en-US" w:eastAsia="zh-CN"/>
        </w:rPr>
        <w:t>六</w:t>
      </w:r>
      <w:r>
        <w:rPr>
          <w:rFonts w:hint="eastAsia" w:ascii="宋体" w:hAnsi="宋体" w:cs="宋体"/>
          <w:bCs w:val="0"/>
          <w:color w:val="auto"/>
          <w:kern w:val="0"/>
          <w:sz w:val="28"/>
          <w:szCs w:val="28"/>
          <w:highlight w:val="none"/>
        </w:rPr>
        <w:t>、</w:t>
      </w:r>
      <w:r>
        <w:rPr>
          <w:rFonts w:hint="eastAsia" w:ascii="宋体" w:hAnsi="宋体" w:cs="宋体"/>
          <w:color w:val="auto"/>
          <w:kern w:val="0"/>
          <w:sz w:val="28"/>
          <w:szCs w:val="28"/>
          <w:highlight w:val="none"/>
        </w:rPr>
        <w:t>法定代表人（单位负责人）身份证明或授权委托书</w:t>
      </w:r>
    </w:p>
    <w:p w14:paraId="21B94F55">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0F0835DA">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投标人名称：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51D06FE6">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09BE4D42">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7EB0E732">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4C548A7D">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66DCB988">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14262870">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投标人名称）的法定代表人（单位负责人）。</w:t>
      </w:r>
    </w:p>
    <w:p w14:paraId="70CF1E1C">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710A63ED">
      <w:pPr>
        <w:widowControl/>
        <w:spacing w:before="12"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附：法定代表人（单位负责人）身份证</w:t>
      </w:r>
      <w:r>
        <w:rPr>
          <w:rFonts w:hint="eastAsia" w:ascii="宋体" w:hAnsi="宋体" w:eastAsia="宋体" w:cs="宋体"/>
          <w:color w:val="auto"/>
          <w:kern w:val="0"/>
          <w:highlight w:val="none"/>
          <w:lang w:val="en-US" w:eastAsia="zh-CN"/>
        </w:rPr>
        <w:t>扫描</w:t>
      </w:r>
      <w:r>
        <w:rPr>
          <w:rFonts w:hint="eastAsia" w:ascii="宋体" w:hAnsi="宋体" w:eastAsia="宋体" w:cs="宋体"/>
          <w:color w:val="auto"/>
          <w:kern w:val="0"/>
          <w:highlight w:val="none"/>
        </w:rPr>
        <w:t>件。</w:t>
      </w:r>
    </w:p>
    <w:tbl>
      <w:tblPr>
        <w:tblStyle w:val="45"/>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EA9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6DC7051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571C2A2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220A2189">
      <w:pPr>
        <w:widowControl/>
        <w:spacing w:before="12" w:line="360" w:lineRule="auto"/>
        <w:rPr>
          <w:rFonts w:hint="eastAsia" w:ascii="宋体" w:hAnsi="宋体" w:cs="宋体"/>
          <w:color w:val="auto"/>
          <w:kern w:val="0"/>
          <w:highlight w:val="none"/>
        </w:rPr>
      </w:pPr>
    </w:p>
    <w:p w14:paraId="4CE4B30B">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投标人：</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332B2AB1">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25CBC6DC">
      <w:pPr>
        <w:widowControl/>
        <w:ind w:left="2874" w:right="-20"/>
        <w:rPr>
          <w:rFonts w:hint="eastAsia" w:ascii="宋体" w:hAnsi="宋体" w:cs="宋体"/>
          <w:color w:val="auto"/>
          <w:kern w:val="0"/>
          <w:sz w:val="28"/>
          <w:szCs w:val="28"/>
          <w:highlight w:val="none"/>
        </w:rPr>
      </w:pPr>
    </w:p>
    <w:p w14:paraId="1676CDCE">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412B9A87">
      <w:pPr>
        <w:widowControl/>
        <w:spacing w:before="3" w:line="260" w:lineRule="atLeast"/>
        <w:rPr>
          <w:rFonts w:hint="eastAsia" w:ascii="宋体" w:hAnsi="宋体" w:cs="宋体"/>
          <w:color w:val="auto"/>
          <w:kern w:val="0"/>
          <w:sz w:val="26"/>
          <w:szCs w:val="26"/>
          <w:highlight w:val="none"/>
        </w:rPr>
      </w:pPr>
    </w:p>
    <w:p w14:paraId="5412449A">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（投标人名称）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投标文件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46D7629F">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45"/>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400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898" w:type="dxa"/>
            <w:noWrap w:val="0"/>
            <w:vAlign w:val="center"/>
          </w:tcPr>
          <w:p w14:paraId="356261E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代理人身份证（正面）</w:t>
            </w:r>
          </w:p>
        </w:tc>
        <w:tc>
          <w:tcPr>
            <w:tcW w:w="3899" w:type="dxa"/>
            <w:noWrap w:val="0"/>
            <w:vAlign w:val="center"/>
          </w:tcPr>
          <w:p w14:paraId="3292ED9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代理人身份证（反面）</w:t>
            </w:r>
          </w:p>
        </w:tc>
      </w:tr>
      <w:tr w14:paraId="39EE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3898" w:type="dxa"/>
            <w:noWrap w:val="0"/>
            <w:vAlign w:val="center"/>
          </w:tcPr>
          <w:p w14:paraId="22A8CEA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21EF4D9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5B01760F">
      <w:pPr>
        <w:widowControl/>
        <w:spacing w:line="360" w:lineRule="auto"/>
        <w:rPr>
          <w:rFonts w:hint="eastAsia" w:ascii="宋体" w:hAnsi="宋体" w:cs="宋体"/>
          <w:color w:val="auto"/>
          <w:kern w:val="0"/>
          <w:highlight w:val="none"/>
        </w:rPr>
      </w:pPr>
    </w:p>
    <w:p w14:paraId="3BE53189">
      <w:pPr>
        <w:pStyle w:val="150"/>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68946FAE">
      <w:pPr>
        <w:pStyle w:val="150"/>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080D8D33">
      <w:pPr>
        <w:pStyle w:val="150"/>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投标人：</w:t>
      </w:r>
      <w:r>
        <w:rPr>
          <w:rFonts w:hint="eastAsia" w:ascii="宋体" w:hAnsi="宋体" w:cs="宋体"/>
          <w:color w:val="auto"/>
          <w:szCs w:val="24"/>
          <w:highlight w:val="none"/>
          <w:u w:val="single"/>
        </w:rPr>
        <w:t xml:space="preserve">                            （盖单位章）</w:t>
      </w:r>
    </w:p>
    <w:p w14:paraId="6BB20DFB">
      <w:pPr>
        <w:pStyle w:val="150"/>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08829C50">
      <w:pPr>
        <w:pStyle w:val="150"/>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A7CC989">
      <w:pPr>
        <w:widowControl/>
        <w:spacing w:line="295" w:lineRule="atLeast"/>
        <w:ind w:left="556" w:right="-20"/>
        <w:rPr>
          <w:rFonts w:hint="eastAsia" w:ascii="宋体" w:hAnsi="宋体" w:cs="宋体"/>
          <w:color w:val="auto"/>
          <w:kern w:val="0"/>
          <w:szCs w:val="21"/>
          <w:highlight w:val="none"/>
        </w:rPr>
      </w:pPr>
    </w:p>
    <w:p w14:paraId="754DE046">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74F92A1C">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七</w:t>
      </w:r>
      <w:r>
        <w:rPr>
          <w:rFonts w:hint="eastAsia" w:ascii="宋体" w:hAnsi="宋体" w:cs="宋体"/>
          <w:color w:val="auto"/>
          <w:kern w:val="0"/>
          <w:sz w:val="28"/>
          <w:szCs w:val="28"/>
          <w:highlight w:val="none"/>
        </w:rPr>
        <w:t>、联合体协议书（如有）</w:t>
      </w:r>
    </w:p>
    <w:p w14:paraId="5EB7B531">
      <w:pPr>
        <w:widowControl/>
        <w:spacing w:before="7" w:line="110" w:lineRule="atLeast"/>
        <w:rPr>
          <w:rFonts w:hint="eastAsia" w:ascii="宋体" w:hAnsi="宋体" w:cs="宋体"/>
          <w:color w:val="auto"/>
          <w:kern w:val="0"/>
          <w:sz w:val="11"/>
          <w:szCs w:val="11"/>
          <w:highlight w:val="none"/>
        </w:rPr>
      </w:pPr>
      <w:r>
        <w:rPr>
          <w:rFonts w:hint="eastAsia" w:ascii="宋体" w:hAnsi="宋体" w:cs="宋体"/>
          <w:color w:val="auto"/>
          <w:kern w:val="0"/>
          <w:sz w:val="11"/>
          <w:szCs w:val="11"/>
          <w:highlight w:val="none"/>
        </w:rPr>
        <w:t xml:space="preserve"> </w:t>
      </w:r>
    </w:p>
    <w:p w14:paraId="6009C3A7">
      <w:pPr>
        <w:pStyle w:val="150"/>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（所有成员单位名称）自愿组成联合体，共同参加</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项目名称</w:t>
      </w:r>
      <w:r>
        <w:rPr>
          <w:rFonts w:hint="eastAsia" w:ascii="宋体" w:hAnsi="宋体" w:cs="宋体"/>
          <w:color w:val="auto"/>
          <w:szCs w:val="24"/>
          <w:highlight w:val="none"/>
          <w:lang w:eastAsia="zh-CN"/>
        </w:rPr>
        <w:t>】</w:t>
      </w:r>
      <w:r>
        <w:rPr>
          <w:rFonts w:hint="eastAsia" w:ascii="宋体" w:hAnsi="宋体" w:cs="宋体"/>
          <w:color w:val="auto"/>
          <w:szCs w:val="24"/>
          <w:highlight w:val="none"/>
        </w:rPr>
        <w:t>的采购活动。现就联合体投标事宜订立如下协议。</w:t>
      </w:r>
    </w:p>
    <w:p w14:paraId="433AF110">
      <w:pPr>
        <w:pStyle w:val="150"/>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（某成员单位名称）为牵头人。</w:t>
      </w:r>
    </w:p>
    <w:p w14:paraId="012B069D">
      <w:pPr>
        <w:pStyle w:val="150"/>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27BC368">
      <w:pPr>
        <w:pStyle w:val="150"/>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3、联合体将严格按照招标文件的各项要求，递交投标文件，履行合同，并对外承担连带责任。</w:t>
      </w:r>
    </w:p>
    <w:p w14:paraId="6A09BF44">
      <w:pPr>
        <w:pStyle w:val="150"/>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4、联合体各成员单位内部的职责分工如下：</w:t>
      </w:r>
    </w:p>
    <w:p w14:paraId="287282A5">
      <w:pPr>
        <w:pStyle w:val="150"/>
        <w:topLinePunct/>
        <w:spacing w:line="440" w:lineRule="atLeast"/>
        <w:ind w:firstLine="420"/>
        <w:rPr>
          <w:rFonts w:hint="eastAsia" w:ascii="宋体" w:hAnsi="宋体" w:eastAsia="宋体" w:cs="宋体"/>
          <w:color w:val="auto"/>
          <w:szCs w:val="24"/>
          <w:highlight w:val="none"/>
          <w:u w:val="single"/>
          <w:lang w:eastAsia="zh-CN"/>
        </w:rPr>
      </w:pPr>
      <w:r>
        <w:rPr>
          <w:rFonts w:hint="eastAsia" w:ascii="宋体" w:hAnsi="宋体" w:cs="宋体"/>
          <w:color w:val="auto"/>
          <w:szCs w:val="24"/>
          <w:highlight w:val="none"/>
        </w:rPr>
        <w:t>（1）牵头人单位：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，承揽合同份额占合同金额的    %</w:t>
      </w:r>
    </w:p>
    <w:p w14:paraId="4FDE19E5">
      <w:pPr>
        <w:pStyle w:val="150"/>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（2）成员单位一：</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，承揽合同份额占合同金额的    %</w:t>
      </w:r>
    </w:p>
    <w:p w14:paraId="0FA84C3D">
      <w:pPr>
        <w:pStyle w:val="150"/>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，承揽合同份额占合同金额的    %</w:t>
      </w:r>
    </w:p>
    <w:p w14:paraId="5B497323">
      <w:pPr>
        <w:pStyle w:val="150"/>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w:t>
      </w:r>
    </w:p>
    <w:p w14:paraId="6EF03289">
      <w:pPr>
        <w:pStyle w:val="150"/>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 xml:space="preserve">5、本协议书自签署之日起生效，合同履行完毕后自动失效。 </w:t>
      </w:r>
    </w:p>
    <w:p w14:paraId="34FEFD37">
      <w:pPr>
        <w:pStyle w:val="150"/>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6、本协议书一式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份，联合体牵头人、成员和采购人各执一份。</w:t>
      </w:r>
    </w:p>
    <w:p w14:paraId="0F38C048">
      <w:pPr>
        <w:pStyle w:val="150"/>
        <w:topLinePunct/>
        <w:spacing w:line="440" w:lineRule="atLeast"/>
        <w:rPr>
          <w:rFonts w:hint="eastAsia" w:ascii="宋体" w:hAnsi="宋体" w:cs="宋体"/>
          <w:color w:val="auto"/>
          <w:szCs w:val="24"/>
          <w:highlight w:val="none"/>
        </w:rPr>
      </w:pPr>
    </w:p>
    <w:p w14:paraId="58D54994">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牵头人名称：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5A65A50F">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20C31B49">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2A27D452">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EA5A332">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53021302">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2B0B485E">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18640D05">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0F37E316">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0AC367E4">
      <w:pPr>
        <w:pStyle w:val="150"/>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DAB2C73">
      <w:pPr>
        <w:widowControl/>
        <w:spacing w:line="200" w:lineRule="atLeast"/>
        <w:rPr>
          <w:rFonts w:hint="eastAsia" w:ascii="宋体" w:hAnsi="宋体" w:cs="宋体"/>
          <w:color w:val="auto"/>
          <w:kern w:val="0"/>
          <w:sz w:val="24"/>
          <w:highlight w:val="none"/>
        </w:rPr>
      </w:pPr>
    </w:p>
    <w:p w14:paraId="7E8AB572">
      <w:pPr>
        <w:widowControl/>
        <w:rPr>
          <w:rFonts w:hint="eastAsia" w:ascii="宋体" w:hAnsi="宋体" w:cs="宋体"/>
          <w:color w:val="auto"/>
          <w:highlight w:val="none"/>
        </w:rPr>
      </w:pPr>
    </w:p>
    <w:p w14:paraId="15F510C8">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1582946C">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
          <w:bCs w:val="0"/>
          <w:color w:val="auto"/>
          <w:highlight w:val="none"/>
          <w:lang w:val="en-US" w:eastAsia="zh-CN"/>
        </w:rPr>
        <w:t>八</w:t>
      </w:r>
      <w:r>
        <w:rPr>
          <w:rFonts w:hint="eastAsia" w:ascii="宋体" w:hAnsi="宋体" w:cs="宋体"/>
          <w:b/>
          <w:bCs w:val="0"/>
          <w:color w:val="auto"/>
          <w:highlight w:val="none"/>
        </w:rPr>
        <w:t>、</w:t>
      </w:r>
      <w:r>
        <w:rPr>
          <w:rFonts w:hint="eastAsia" w:ascii="宋体" w:hAnsi="宋体" w:cs="宋体"/>
          <w:color w:val="auto"/>
          <w:kern w:val="0"/>
          <w:sz w:val="28"/>
          <w:szCs w:val="28"/>
          <w:highlight w:val="none"/>
          <w:lang w:val="en-US" w:eastAsia="zh-CN"/>
        </w:rPr>
        <w:t>分包意向</w:t>
      </w:r>
      <w:r>
        <w:rPr>
          <w:rFonts w:hint="eastAsia" w:ascii="宋体" w:hAnsi="宋体" w:cs="宋体"/>
          <w:color w:val="auto"/>
          <w:kern w:val="0"/>
          <w:sz w:val="28"/>
          <w:szCs w:val="28"/>
          <w:highlight w:val="none"/>
        </w:rPr>
        <w:t>协议书（如有）</w:t>
      </w:r>
    </w:p>
    <w:p w14:paraId="18808058">
      <w:pPr>
        <w:pStyle w:val="150"/>
        <w:topLinePunct/>
        <w:spacing w:line="440" w:lineRule="atLeast"/>
        <w:ind w:firstLine="420"/>
        <w:rPr>
          <w:rFonts w:hint="eastAsia" w:ascii="宋体" w:hAnsi="宋体" w:cs="宋体"/>
          <w:color w:val="auto"/>
          <w:szCs w:val="24"/>
          <w:highlight w:val="none"/>
          <w:lang w:val="en-US" w:eastAsia="zh-CN"/>
        </w:rPr>
      </w:pPr>
      <w:r>
        <w:rPr>
          <w:rFonts w:hint="eastAsia" w:ascii="宋体" w:hAnsi="宋体" w:cs="宋体"/>
          <w:color w:val="auto"/>
          <w:szCs w:val="24"/>
          <w:highlight w:val="none"/>
          <w:u w:val="none"/>
          <w:lang w:val="en-US" w:eastAsia="zh-CN"/>
        </w:rPr>
        <w:t>我方</w:t>
      </w:r>
      <w:r>
        <w:rPr>
          <w:rFonts w:hint="eastAsia" w:ascii="宋体" w:hAnsi="宋体" w:cs="宋体"/>
          <w:color w:val="auto"/>
          <w:szCs w:val="24"/>
          <w:highlight w:val="none"/>
        </w:rPr>
        <w:t>承诺一旦在</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项目名称</w:t>
      </w:r>
      <w:r>
        <w:rPr>
          <w:rFonts w:hint="eastAsia" w:ascii="宋体" w:hAnsi="宋体" w:cs="宋体"/>
          <w:color w:val="auto"/>
          <w:szCs w:val="24"/>
          <w:highlight w:val="none"/>
          <w:lang w:eastAsia="zh-CN"/>
        </w:rPr>
        <w:t>】</w:t>
      </w:r>
      <w:r>
        <w:rPr>
          <w:rFonts w:hint="eastAsia" w:ascii="宋体" w:hAnsi="宋体" w:cs="宋体"/>
          <w:color w:val="auto"/>
          <w:szCs w:val="24"/>
          <w:highlight w:val="none"/>
        </w:rPr>
        <w:t>中获得采购合同</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拟</w:t>
      </w:r>
      <w:r>
        <w:rPr>
          <w:rFonts w:hint="eastAsia" w:ascii="宋体" w:hAnsi="宋体" w:cs="宋体"/>
          <w:color w:val="auto"/>
          <w:szCs w:val="24"/>
          <w:highlight w:val="none"/>
        </w:rPr>
        <w:t>按下表进行分包。</w:t>
      </w:r>
      <w:r>
        <w:rPr>
          <w:rFonts w:hint="eastAsia" w:ascii="宋体" w:hAnsi="宋体" w:cs="宋体"/>
          <w:color w:val="auto"/>
          <w:szCs w:val="24"/>
          <w:highlight w:val="none"/>
          <w:lang w:val="en-US" w:eastAsia="zh-CN"/>
        </w:rPr>
        <w:t>在本项目中签署的一切文件和处理的一切事宜，我方及分包单位均予以承认。分包单位将严格按照招标文件、投标文件的各项要求履行合同，且不再次分包，我方对外承担连带责任。</w:t>
      </w:r>
    </w:p>
    <w:p w14:paraId="1761B858">
      <w:pPr>
        <w:pStyle w:val="150"/>
        <w:topLinePunct/>
        <w:spacing w:line="440" w:lineRule="atLeast"/>
        <w:ind w:firstLine="420"/>
        <w:rPr>
          <w:rFonts w:hint="eastAsia" w:ascii="宋体" w:hAnsi="宋体" w:cs="宋体"/>
          <w:color w:val="auto"/>
          <w:szCs w:val="24"/>
          <w:highlight w:val="none"/>
          <w:lang w:val="en-US" w:eastAsia="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00"/>
        <w:gridCol w:w="1266"/>
        <w:gridCol w:w="1322"/>
        <w:gridCol w:w="2389"/>
      </w:tblGrid>
      <w:tr w14:paraId="5DF6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01F1F480">
            <w:pPr>
              <w:pStyle w:val="150"/>
              <w:keepNext w:val="0"/>
              <w:keepLines w:val="0"/>
              <w:suppressLineNumbers w:val="0"/>
              <w:topLinePunct/>
              <w:spacing w:before="0" w:beforeAutospacing="0" w:after="0" w:afterAutospacing="0" w:line="240" w:lineRule="auto"/>
              <w:ind w:left="0" w:right="0"/>
              <w:jc w:val="center"/>
              <w:rPr>
                <w:rFonts w:hint="eastAsia" w:ascii="宋体" w:hAnsi="宋体" w:eastAsia="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序号</w:t>
            </w:r>
          </w:p>
        </w:tc>
        <w:tc>
          <w:tcPr>
            <w:tcW w:w="2300" w:type="dxa"/>
            <w:noWrap w:val="0"/>
            <w:vAlign w:val="center"/>
          </w:tcPr>
          <w:p w14:paraId="2ABD3F19">
            <w:pPr>
              <w:pStyle w:val="150"/>
              <w:keepNext w:val="0"/>
              <w:keepLines w:val="0"/>
              <w:suppressLineNumbers w:val="0"/>
              <w:topLinePunct/>
              <w:spacing w:before="0" w:beforeAutospacing="0" w:after="0" w:afterAutospacing="0" w:line="240" w:lineRule="auto"/>
              <w:ind w:left="0" w:right="0"/>
              <w:jc w:val="center"/>
              <w:rPr>
                <w:rFonts w:hint="eastAsia" w:ascii="宋体" w:hAnsi="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单位名称</w:t>
            </w:r>
          </w:p>
          <w:p w14:paraId="1C2154B3">
            <w:pPr>
              <w:pStyle w:val="150"/>
              <w:keepNext w:val="0"/>
              <w:keepLines w:val="0"/>
              <w:suppressLineNumbers w:val="0"/>
              <w:topLinePunct/>
              <w:spacing w:before="0" w:beforeAutospacing="0" w:after="0" w:afterAutospacing="0" w:line="240" w:lineRule="auto"/>
              <w:ind w:left="0" w:right="0"/>
              <w:jc w:val="center"/>
              <w:rPr>
                <w:rFonts w:hint="default" w:ascii="宋体" w:hAnsi="宋体" w:eastAsia="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（分包单位）</w:t>
            </w:r>
          </w:p>
        </w:tc>
        <w:tc>
          <w:tcPr>
            <w:tcW w:w="1266" w:type="dxa"/>
            <w:noWrap w:val="0"/>
            <w:vAlign w:val="center"/>
          </w:tcPr>
          <w:p w14:paraId="69E1BD4C">
            <w:pPr>
              <w:pStyle w:val="150"/>
              <w:keepNext w:val="0"/>
              <w:keepLines w:val="0"/>
              <w:suppressLineNumbers w:val="0"/>
              <w:topLinePunct/>
              <w:spacing w:before="0" w:beforeAutospacing="0" w:after="0" w:afterAutospacing="0" w:line="240" w:lineRule="auto"/>
              <w:ind w:left="0" w:right="0"/>
              <w:jc w:val="center"/>
              <w:rPr>
                <w:rFonts w:hint="eastAsia" w:ascii="宋体" w:hAnsi="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资质</w:t>
            </w:r>
          </w:p>
          <w:p w14:paraId="1E6AFFC4">
            <w:pPr>
              <w:pStyle w:val="150"/>
              <w:keepNext w:val="0"/>
              <w:keepLines w:val="0"/>
              <w:suppressLineNumbers w:val="0"/>
              <w:topLinePunct/>
              <w:spacing w:before="0" w:beforeAutospacing="0" w:after="0" w:afterAutospacing="0" w:line="240" w:lineRule="auto"/>
              <w:ind w:left="0" w:right="0"/>
              <w:jc w:val="center"/>
              <w:rPr>
                <w:rFonts w:hint="eastAsia" w:ascii="宋体" w:hAnsi="宋体" w:eastAsia="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（如有）</w:t>
            </w:r>
          </w:p>
        </w:tc>
        <w:tc>
          <w:tcPr>
            <w:tcW w:w="1322" w:type="dxa"/>
            <w:noWrap w:val="0"/>
            <w:vAlign w:val="center"/>
          </w:tcPr>
          <w:p w14:paraId="6894D901">
            <w:pPr>
              <w:pStyle w:val="150"/>
              <w:keepNext w:val="0"/>
              <w:keepLines w:val="0"/>
              <w:suppressLineNumbers w:val="0"/>
              <w:topLinePunct/>
              <w:spacing w:before="0" w:beforeAutospacing="0" w:after="0" w:afterAutospacing="0" w:line="240" w:lineRule="auto"/>
              <w:ind w:left="0" w:right="0"/>
              <w:jc w:val="center"/>
              <w:rPr>
                <w:rFonts w:hint="default" w:ascii="宋体" w:hAnsi="宋体" w:eastAsia="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拟分包内容</w:t>
            </w:r>
          </w:p>
        </w:tc>
        <w:tc>
          <w:tcPr>
            <w:tcW w:w="2389" w:type="dxa"/>
            <w:noWrap w:val="0"/>
            <w:vAlign w:val="center"/>
          </w:tcPr>
          <w:p w14:paraId="4EB495C8">
            <w:pPr>
              <w:pStyle w:val="150"/>
              <w:keepNext w:val="0"/>
              <w:keepLines w:val="0"/>
              <w:suppressLineNumbers w:val="0"/>
              <w:topLinePunct/>
              <w:spacing w:before="0" w:beforeAutospacing="0" w:after="0" w:afterAutospacing="0" w:line="240" w:lineRule="auto"/>
              <w:ind w:left="0" w:right="0"/>
              <w:jc w:val="center"/>
              <w:rPr>
                <w:rFonts w:hint="default" w:ascii="宋体" w:hAnsi="宋体" w:cs="宋体"/>
                <w:b/>
                <w:bCs/>
                <w:color w:val="auto"/>
                <w:szCs w:val="24"/>
                <w:highlight w:val="none"/>
                <w:vertAlign w:val="baseline"/>
                <w:lang w:val="en-US"/>
              </w:rPr>
            </w:pPr>
            <w:r>
              <w:rPr>
                <w:rFonts w:hint="eastAsia" w:ascii="宋体" w:hAnsi="宋体" w:cs="宋体"/>
                <w:b/>
                <w:bCs/>
                <w:color w:val="auto"/>
                <w:szCs w:val="24"/>
                <w:highlight w:val="none"/>
                <w:u w:val="none"/>
                <w:lang w:val="en-US" w:eastAsia="zh-CN"/>
              </w:rPr>
              <w:t>拟分包</w:t>
            </w:r>
            <w:r>
              <w:rPr>
                <w:rFonts w:hint="eastAsia" w:ascii="宋体" w:hAnsi="宋体" w:cs="宋体"/>
                <w:b/>
                <w:bCs/>
                <w:color w:val="auto"/>
                <w:szCs w:val="24"/>
                <w:highlight w:val="none"/>
                <w:u w:val="none"/>
                <w:lang w:eastAsia="zh-CN"/>
              </w:rPr>
              <w:t>合同</w:t>
            </w:r>
            <w:r>
              <w:rPr>
                <w:rFonts w:hint="eastAsia" w:ascii="宋体" w:hAnsi="宋体" w:cs="宋体"/>
                <w:b/>
                <w:bCs/>
                <w:color w:val="auto"/>
                <w:szCs w:val="24"/>
                <w:highlight w:val="none"/>
                <w:u w:val="none"/>
                <w:lang w:val="en-US" w:eastAsia="zh-CN"/>
              </w:rPr>
              <w:t>金</w:t>
            </w:r>
            <w:r>
              <w:rPr>
                <w:rFonts w:hint="eastAsia" w:ascii="宋体" w:hAnsi="宋体" w:cs="宋体"/>
                <w:b/>
                <w:bCs/>
                <w:color w:val="auto"/>
                <w:szCs w:val="24"/>
                <w:highlight w:val="none"/>
                <w:u w:val="none"/>
                <w:lang w:eastAsia="zh-CN"/>
              </w:rPr>
              <w:t>额占合同金额</w:t>
            </w:r>
            <w:r>
              <w:rPr>
                <w:rFonts w:hint="eastAsia" w:ascii="宋体" w:hAnsi="宋体" w:cs="宋体"/>
                <w:b/>
                <w:bCs/>
                <w:color w:val="auto"/>
                <w:szCs w:val="24"/>
                <w:highlight w:val="none"/>
                <w:u w:val="none"/>
                <w:lang w:val="en-US" w:eastAsia="zh-CN"/>
              </w:rPr>
              <w:t>的比例</w:t>
            </w:r>
          </w:p>
        </w:tc>
      </w:tr>
      <w:tr w14:paraId="0D20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5188ACEF">
            <w:pPr>
              <w:pStyle w:val="150"/>
              <w:keepNext w:val="0"/>
              <w:keepLines w:val="0"/>
              <w:suppressLineNumbers w:val="0"/>
              <w:topLinePunct/>
              <w:spacing w:before="0" w:beforeAutospacing="0" w:after="0" w:afterAutospacing="0" w:line="240" w:lineRule="auto"/>
              <w:ind w:left="0" w:right="0"/>
              <w:jc w:val="left"/>
              <w:rPr>
                <w:rFonts w:hint="eastAsia" w:ascii="宋体" w:hAnsi="宋体" w:eastAsia="宋体" w:cs="宋体"/>
                <w:color w:val="auto"/>
                <w:szCs w:val="24"/>
                <w:highlight w:val="none"/>
                <w:vertAlign w:val="baseline"/>
                <w:lang w:val="en-US" w:eastAsia="zh-CN"/>
              </w:rPr>
            </w:pPr>
            <w:r>
              <w:rPr>
                <w:rFonts w:hint="eastAsia" w:ascii="宋体" w:hAnsi="宋体" w:cs="宋体"/>
                <w:color w:val="auto"/>
                <w:szCs w:val="24"/>
                <w:highlight w:val="none"/>
                <w:vertAlign w:val="baseline"/>
                <w:lang w:val="en-US" w:eastAsia="zh-CN"/>
              </w:rPr>
              <w:t>1</w:t>
            </w:r>
          </w:p>
        </w:tc>
        <w:tc>
          <w:tcPr>
            <w:tcW w:w="2300" w:type="dxa"/>
            <w:noWrap w:val="0"/>
            <w:vAlign w:val="top"/>
          </w:tcPr>
          <w:p w14:paraId="7964873B">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266" w:type="dxa"/>
            <w:noWrap w:val="0"/>
            <w:vAlign w:val="top"/>
          </w:tcPr>
          <w:p w14:paraId="36F1FDC9">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322" w:type="dxa"/>
            <w:noWrap w:val="0"/>
            <w:vAlign w:val="top"/>
          </w:tcPr>
          <w:p w14:paraId="52104187">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2389" w:type="dxa"/>
            <w:noWrap w:val="0"/>
            <w:vAlign w:val="top"/>
          </w:tcPr>
          <w:p w14:paraId="3B1FD6C3">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r>
      <w:tr w14:paraId="19AF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42CD0CD3">
            <w:pPr>
              <w:pStyle w:val="150"/>
              <w:keepNext w:val="0"/>
              <w:keepLines w:val="0"/>
              <w:suppressLineNumbers w:val="0"/>
              <w:topLinePunct/>
              <w:spacing w:before="0" w:beforeAutospacing="0" w:after="0" w:afterAutospacing="0" w:line="240" w:lineRule="auto"/>
              <w:ind w:left="0" w:right="0"/>
              <w:jc w:val="left"/>
              <w:rPr>
                <w:rFonts w:hint="eastAsia" w:ascii="宋体" w:hAnsi="宋体" w:eastAsia="宋体" w:cs="宋体"/>
                <w:color w:val="auto"/>
                <w:szCs w:val="24"/>
                <w:highlight w:val="none"/>
                <w:vertAlign w:val="baseline"/>
                <w:lang w:val="en-US" w:eastAsia="zh-CN"/>
              </w:rPr>
            </w:pPr>
            <w:r>
              <w:rPr>
                <w:rFonts w:hint="eastAsia" w:ascii="宋体" w:hAnsi="宋体" w:cs="宋体"/>
                <w:color w:val="auto"/>
                <w:szCs w:val="24"/>
                <w:highlight w:val="none"/>
                <w:vertAlign w:val="baseline"/>
                <w:lang w:val="en-US" w:eastAsia="zh-CN"/>
              </w:rPr>
              <w:t>2</w:t>
            </w:r>
          </w:p>
        </w:tc>
        <w:tc>
          <w:tcPr>
            <w:tcW w:w="2300" w:type="dxa"/>
            <w:noWrap w:val="0"/>
            <w:vAlign w:val="top"/>
          </w:tcPr>
          <w:p w14:paraId="23EA8D41">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266" w:type="dxa"/>
            <w:noWrap w:val="0"/>
            <w:vAlign w:val="top"/>
          </w:tcPr>
          <w:p w14:paraId="133C31BB">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322" w:type="dxa"/>
            <w:noWrap w:val="0"/>
            <w:vAlign w:val="top"/>
          </w:tcPr>
          <w:p w14:paraId="5327BB04">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2389" w:type="dxa"/>
            <w:noWrap w:val="0"/>
            <w:vAlign w:val="top"/>
          </w:tcPr>
          <w:p w14:paraId="6B0DA76E">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r>
      <w:tr w14:paraId="729A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70F5113F">
            <w:pPr>
              <w:pStyle w:val="150"/>
              <w:keepNext w:val="0"/>
              <w:keepLines w:val="0"/>
              <w:suppressLineNumbers w:val="0"/>
              <w:topLinePunct/>
              <w:spacing w:before="0" w:beforeAutospacing="0" w:after="0" w:afterAutospacing="0" w:line="240" w:lineRule="auto"/>
              <w:ind w:left="0" w:right="0"/>
              <w:jc w:val="left"/>
              <w:rPr>
                <w:rFonts w:hint="default" w:ascii="宋体" w:hAnsi="宋体" w:eastAsia="宋体" w:cs="宋体"/>
                <w:color w:val="auto"/>
                <w:szCs w:val="24"/>
                <w:highlight w:val="none"/>
                <w:vertAlign w:val="baseline"/>
                <w:lang w:val="en-US" w:eastAsia="zh-CN"/>
              </w:rPr>
            </w:pPr>
            <w:r>
              <w:rPr>
                <w:rFonts w:hint="eastAsia" w:ascii="宋体" w:hAnsi="宋体" w:cs="宋体"/>
                <w:color w:val="auto"/>
                <w:szCs w:val="24"/>
                <w:highlight w:val="none"/>
                <w:vertAlign w:val="baseline"/>
                <w:lang w:val="en-US" w:eastAsia="zh-CN"/>
              </w:rPr>
              <w:t>...</w:t>
            </w:r>
          </w:p>
        </w:tc>
        <w:tc>
          <w:tcPr>
            <w:tcW w:w="2300" w:type="dxa"/>
            <w:noWrap w:val="0"/>
            <w:vAlign w:val="top"/>
          </w:tcPr>
          <w:p w14:paraId="703762A2">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266" w:type="dxa"/>
            <w:noWrap w:val="0"/>
            <w:vAlign w:val="top"/>
          </w:tcPr>
          <w:p w14:paraId="2D60784B">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322" w:type="dxa"/>
            <w:noWrap w:val="0"/>
            <w:vAlign w:val="top"/>
          </w:tcPr>
          <w:p w14:paraId="350FA3C5">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2389" w:type="dxa"/>
            <w:noWrap w:val="0"/>
            <w:vAlign w:val="top"/>
          </w:tcPr>
          <w:p w14:paraId="249A1631">
            <w:pPr>
              <w:pStyle w:val="150"/>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r>
    </w:tbl>
    <w:p w14:paraId="0023EADD">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注：</w:t>
      </w:r>
    </w:p>
    <w:p w14:paraId="081F4FA2">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1.如本项目允许分包，且投标人拟进行分包时，必须</w:t>
      </w:r>
      <w:r>
        <w:rPr>
          <w:rFonts w:hint="eastAsia" w:ascii="宋体" w:hAnsi="宋体" w:cs="宋体"/>
          <w:color w:val="auto"/>
          <w:szCs w:val="24"/>
          <w:highlight w:val="none"/>
          <w:lang w:val="en-US" w:eastAsia="zh-CN"/>
        </w:rPr>
        <w:t>提</w:t>
      </w:r>
      <w:r>
        <w:rPr>
          <w:rFonts w:hint="eastAsia" w:ascii="宋体" w:hAnsi="宋体" w:cs="宋体"/>
          <w:color w:val="auto"/>
          <w:szCs w:val="24"/>
          <w:highlight w:val="none"/>
        </w:rPr>
        <w:t>供；如未</w:t>
      </w:r>
      <w:r>
        <w:rPr>
          <w:rFonts w:hint="eastAsia" w:ascii="宋体" w:hAnsi="宋体" w:cs="宋体"/>
          <w:color w:val="auto"/>
          <w:szCs w:val="24"/>
          <w:highlight w:val="none"/>
          <w:lang w:val="en-US" w:eastAsia="zh-CN"/>
        </w:rPr>
        <w:t>提</w:t>
      </w:r>
      <w:r>
        <w:rPr>
          <w:rFonts w:hint="eastAsia" w:ascii="宋体" w:hAnsi="宋体" w:cs="宋体"/>
          <w:color w:val="auto"/>
          <w:szCs w:val="24"/>
          <w:highlight w:val="none"/>
        </w:rPr>
        <w:t>供，或</w:t>
      </w:r>
      <w:r>
        <w:rPr>
          <w:rFonts w:hint="eastAsia" w:ascii="宋体" w:hAnsi="宋体" w:cs="宋体"/>
          <w:color w:val="auto"/>
          <w:szCs w:val="24"/>
          <w:highlight w:val="none"/>
          <w:lang w:val="en-US" w:eastAsia="zh-CN"/>
        </w:rPr>
        <w:t>提</w:t>
      </w:r>
      <w:r>
        <w:rPr>
          <w:rFonts w:hint="eastAsia" w:ascii="宋体" w:hAnsi="宋体" w:cs="宋体"/>
          <w:color w:val="auto"/>
          <w:szCs w:val="24"/>
          <w:highlight w:val="none"/>
        </w:rPr>
        <w:t>供了但未填写拟签订分包合同的单位名称、拟分包合同金额占合同总金额的比例，投标无效。</w:t>
      </w:r>
    </w:p>
    <w:p w14:paraId="5733224F">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2.如招标</w:t>
      </w:r>
      <w:r>
        <w:rPr>
          <w:rFonts w:hint="eastAsia" w:ascii="宋体" w:hAnsi="宋体" w:cs="宋体"/>
          <w:color w:val="auto"/>
          <w:szCs w:val="24"/>
          <w:highlight w:val="none"/>
          <w:lang w:val="en-US" w:eastAsia="zh-CN"/>
        </w:rPr>
        <w:t>公告</w:t>
      </w:r>
      <w:r>
        <w:rPr>
          <w:rFonts w:hint="eastAsia" w:ascii="宋体" w:hAnsi="宋体" w:cs="宋体"/>
          <w:color w:val="auto"/>
          <w:szCs w:val="24"/>
          <w:highlight w:val="none"/>
        </w:rPr>
        <w:t>载明</w:t>
      </w:r>
      <w:r>
        <w:rPr>
          <w:rFonts w:hint="eastAsia" w:ascii="宋体" w:hAnsi="宋体" w:cs="宋体"/>
          <w:color w:val="auto"/>
          <w:szCs w:val="24"/>
          <w:highlight w:val="none"/>
          <w:lang w:val="en-US" w:eastAsia="zh-CN"/>
        </w:rPr>
        <w:t>的资格要求与拟</w:t>
      </w:r>
      <w:r>
        <w:rPr>
          <w:rFonts w:hint="eastAsia" w:ascii="宋体" w:hAnsi="宋体" w:cs="宋体"/>
          <w:color w:val="auto"/>
          <w:szCs w:val="24"/>
          <w:highlight w:val="none"/>
        </w:rPr>
        <w:t>分包</w:t>
      </w:r>
      <w:r>
        <w:rPr>
          <w:rFonts w:hint="eastAsia" w:ascii="宋体" w:hAnsi="宋体" w:cs="宋体"/>
          <w:color w:val="auto"/>
          <w:szCs w:val="24"/>
          <w:highlight w:val="none"/>
          <w:lang w:val="en-US" w:eastAsia="zh-CN"/>
        </w:rPr>
        <w:t>内容相关</w:t>
      </w:r>
      <w:r>
        <w:rPr>
          <w:rFonts w:hint="eastAsia" w:ascii="宋体" w:hAnsi="宋体" w:cs="宋体"/>
          <w:color w:val="auto"/>
          <w:szCs w:val="24"/>
          <w:highlight w:val="none"/>
        </w:rPr>
        <w:t>，则投标人须在本表中列明分包</w:t>
      </w:r>
      <w:r>
        <w:rPr>
          <w:rFonts w:hint="eastAsia" w:ascii="宋体" w:hAnsi="宋体" w:cs="宋体"/>
          <w:color w:val="auto"/>
          <w:szCs w:val="24"/>
          <w:highlight w:val="none"/>
          <w:lang w:val="en-US" w:eastAsia="zh-CN"/>
        </w:rPr>
        <w:t>单位</w:t>
      </w:r>
      <w:r>
        <w:rPr>
          <w:rFonts w:hint="eastAsia" w:ascii="宋体" w:hAnsi="宋体" w:cs="宋体"/>
          <w:color w:val="auto"/>
          <w:szCs w:val="24"/>
          <w:highlight w:val="none"/>
        </w:rPr>
        <w:t>的</w:t>
      </w:r>
      <w:r>
        <w:rPr>
          <w:rFonts w:hint="eastAsia" w:ascii="宋体" w:hAnsi="宋体" w:cs="宋体"/>
          <w:color w:val="auto"/>
          <w:szCs w:val="24"/>
          <w:highlight w:val="none"/>
          <w:lang w:val="en-US" w:eastAsia="zh-CN"/>
        </w:rPr>
        <w:t>相应</w:t>
      </w:r>
      <w:r>
        <w:rPr>
          <w:rFonts w:hint="eastAsia" w:ascii="宋体" w:hAnsi="宋体" w:cs="宋体"/>
          <w:color w:val="auto"/>
          <w:szCs w:val="24"/>
          <w:highlight w:val="none"/>
        </w:rPr>
        <w:t>资质，并附资质证书</w:t>
      </w:r>
      <w:r>
        <w:rPr>
          <w:rFonts w:hint="eastAsia" w:ascii="宋体" w:hAnsi="宋体" w:cs="宋体"/>
          <w:color w:val="auto"/>
          <w:szCs w:val="24"/>
          <w:highlight w:val="none"/>
          <w:lang w:val="en-US" w:eastAsia="zh-CN"/>
        </w:rPr>
        <w:t>的扫描件或电子证书</w:t>
      </w:r>
      <w:r>
        <w:rPr>
          <w:rFonts w:hint="eastAsia" w:ascii="宋体" w:hAnsi="宋体" w:cs="宋体"/>
          <w:color w:val="auto"/>
          <w:szCs w:val="24"/>
          <w:highlight w:val="none"/>
        </w:rPr>
        <w:t>，否则投标无效。</w:t>
      </w:r>
    </w:p>
    <w:p w14:paraId="5C41D431">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3.投标人为</w:t>
      </w:r>
      <w:r>
        <w:rPr>
          <w:rFonts w:hint="eastAsia" w:ascii="宋体" w:hAnsi="宋体" w:cs="宋体"/>
          <w:color w:val="auto"/>
          <w:szCs w:val="24"/>
          <w:highlight w:val="none"/>
          <w:lang w:val="en-US" w:eastAsia="zh-CN"/>
        </w:rPr>
        <w:t>享受</w:t>
      </w:r>
      <w:r>
        <w:rPr>
          <w:rFonts w:hint="eastAsia" w:ascii="宋体" w:hAnsi="宋体" w:cs="宋体"/>
          <w:color w:val="auto"/>
          <w:szCs w:val="24"/>
          <w:highlight w:val="none"/>
        </w:rPr>
        <w:t>政府采购</w:t>
      </w:r>
      <w:r>
        <w:rPr>
          <w:rFonts w:hint="eastAsia" w:ascii="宋体" w:hAnsi="宋体" w:cs="宋体"/>
          <w:color w:val="auto"/>
          <w:szCs w:val="24"/>
          <w:highlight w:val="none"/>
          <w:lang w:val="en-US" w:eastAsia="zh-CN"/>
        </w:rPr>
        <w:t>支持中小企业发展</w:t>
      </w:r>
      <w:r>
        <w:rPr>
          <w:rFonts w:hint="eastAsia" w:ascii="宋体" w:hAnsi="宋体" w:cs="宋体"/>
          <w:color w:val="auto"/>
          <w:szCs w:val="24"/>
          <w:highlight w:val="none"/>
        </w:rPr>
        <w:t>政策而向中小</w:t>
      </w:r>
      <w:r>
        <w:rPr>
          <w:rFonts w:hint="eastAsia" w:ascii="宋体" w:hAnsi="宋体" w:cs="宋体"/>
          <w:color w:val="auto"/>
          <w:szCs w:val="24"/>
          <w:highlight w:val="none"/>
          <w:lang w:val="en-US" w:eastAsia="zh-CN"/>
        </w:rPr>
        <w:t>微</w:t>
      </w:r>
      <w:r>
        <w:rPr>
          <w:rFonts w:hint="eastAsia" w:ascii="宋体" w:hAnsi="宋体" w:cs="宋体"/>
          <w:color w:val="auto"/>
          <w:szCs w:val="24"/>
          <w:highlight w:val="none"/>
        </w:rPr>
        <w:t>企业分包时</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须同时提供</w:t>
      </w:r>
      <w:r>
        <w:rPr>
          <w:rFonts w:hint="eastAsia" w:ascii="宋体" w:hAnsi="宋体" w:cs="宋体"/>
          <w:color w:val="auto"/>
          <w:szCs w:val="24"/>
          <w:highlight w:val="none"/>
        </w:rPr>
        <w:t>分包</w:t>
      </w:r>
      <w:r>
        <w:rPr>
          <w:rFonts w:hint="eastAsia" w:ascii="宋体" w:hAnsi="宋体" w:cs="宋体"/>
          <w:color w:val="auto"/>
          <w:szCs w:val="24"/>
          <w:highlight w:val="none"/>
          <w:lang w:val="en-US" w:eastAsia="zh-CN"/>
        </w:rPr>
        <w:t>单位的</w:t>
      </w:r>
      <w:r>
        <w:rPr>
          <w:rFonts w:hint="eastAsia" w:ascii="宋体" w:hAnsi="宋体" w:cs="宋体"/>
          <w:color w:val="auto"/>
          <w:szCs w:val="24"/>
          <w:highlight w:val="none"/>
        </w:rPr>
        <w:t>中小企业声明函</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分包单位的</w:t>
      </w:r>
      <w:r>
        <w:rPr>
          <w:rFonts w:hint="eastAsia" w:ascii="宋体" w:hAnsi="宋体" w:cs="宋体"/>
          <w:color w:val="auto"/>
          <w:szCs w:val="24"/>
          <w:highlight w:val="none"/>
        </w:rPr>
        <w:t>企业划型标准</w:t>
      </w:r>
      <w:r>
        <w:rPr>
          <w:rFonts w:hint="eastAsia" w:ascii="宋体" w:hAnsi="宋体" w:cs="宋体"/>
          <w:color w:val="auto"/>
          <w:szCs w:val="24"/>
          <w:highlight w:val="none"/>
          <w:lang w:val="en-US" w:eastAsia="zh-CN"/>
        </w:rPr>
        <w:t>以中小企业声明函作为判断依据</w:t>
      </w:r>
      <w:r>
        <w:rPr>
          <w:rFonts w:hint="eastAsia" w:ascii="宋体" w:hAnsi="宋体" w:cs="宋体"/>
          <w:color w:val="auto"/>
          <w:szCs w:val="24"/>
          <w:highlight w:val="none"/>
        </w:rPr>
        <w:t>。</w:t>
      </w:r>
    </w:p>
    <w:p w14:paraId="1199E05B">
      <w:pPr>
        <w:pStyle w:val="150"/>
        <w:topLinePunct/>
        <w:spacing w:line="440" w:lineRule="atLeast"/>
        <w:jc w:val="right"/>
        <w:rPr>
          <w:rFonts w:hint="eastAsia" w:ascii="宋体" w:hAnsi="宋体" w:cs="宋体"/>
          <w:color w:val="auto"/>
          <w:szCs w:val="24"/>
          <w:highlight w:val="none"/>
          <w:lang w:val="en-US" w:eastAsia="zh-CN"/>
        </w:rPr>
      </w:pPr>
    </w:p>
    <w:p w14:paraId="15F085A7">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lang w:val="en-US" w:eastAsia="zh-CN"/>
        </w:rPr>
        <w:t>投标人</w:t>
      </w:r>
      <w:r>
        <w:rPr>
          <w:rFonts w:hint="eastAsia" w:ascii="宋体" w:hAnsi="宋体" w:cs="宋体"/>
          <w:color w:val="auto"/>
          <w:szCs w:val="24"/>
          <w:highlight w:val="none"/>
        </w:rPr>
        <w:t>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4D3D4508">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0A2A85CE">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4BF1560B">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lang w:val="en-US" w:eastAsia="zh-CN"/>
        </w:rPr>
        <w:t>分包单位</w:t>
      </w:r>
      <w:r>
        <w:rPr>
          <w:rFonts w:hint="eastAsia" w:ascii="宋体" w:hAnsi="宋体" w:cs="宋体"/>
          <w:color w:val="auto"/>
          <w:szCs w:val="24"/>
          <w:highlight w:val="none"/>
        </w:rPr>
        <w:t>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39EF04AA">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749EED62">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52DAA276">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lang w:val="en-US" w:eastAsia="zh-CN"/>
        </w:rPr>
        <w:t>分包单位</w:t>
      </w:r>
      <w:r>
        <w:rPr>
          <w:rFonts w:hint="eastAsia" w:ascii="宋体" w:hAnsi="宋体" w:cs="宋体"/>
          <w:color w:val="auto"/>
          <w:szCs w:val="24"/>
          <w:highlight w:val="none"/>
        </w:rPr>
        <w:t>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0AACBC51">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44142F4F">
      <w:pPr>
        <w:pStyle w:val="150"/>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738CD1EF">
      <w:pPr>
        <w:pStyle w:val="150"/>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1E53E34">
      <w:pPr>
        <w:spacing w:line="440" w:lineRule="exact"/>
        <w:rPr>
          <w:rFonts w:hint="eastAsia" w:ascii="宋体" w:hAnsi="宋体" w:cs="宋体"/>
          <w:color w:val="auto"/>
          <w:szCs w:val="21"/>
          <w:highlight w:val="none"/>
        </w:rPr>
      </w:pPr>
    </w:p>
    <w:p w14:paraId="1D16B114">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05B9E174">
      <w:pPr>
        <w:pStyle w:val="3"/>
        <w:widowControl/>
        <w:spacing w:before="120" w:after="120" w:line="240" w:lineRule="auto"/>
        <w:jc w:val="center"/>
        <w:rPr>
          <w:rStyle w:val="101"/>
          <w:rFonts w:hint="eastAsia" w:ascii="宋体" w:hAnsi="宋体" w:eastAsia="宋体" w:cs="宋体"/>
          <w:b/>
          <w:bCs w:val="0"/>
          <w:color w:val="auto"/>
          <w:sz w:val="30"/>
          <w:szCs w:val="30"/>
          <w:highlight w:val="none"/>
        </w:rPr>
      </w:pPr>
      <w:r>
        <w:rPr>
          <w:rStyle w:val="101"/>
          <w:rFonts w:hint="eastAsia" w:ascii="宋体" w:hAnsi="宋体" w:eastAsia="宋体" w:cs="宋体"/>
          <w:b/>
          <w:bCs w:val="0"/>
          <w:color w:val="auto"/>
          <w:sz w:val="30"/>
          <w:szCs w:val="30"/>
          <w:highlight w:val="none"/>
          <w:lang w:val="en-US"/>
        </w:rPr>
        <w:t>九</w:t>
      </w:r>
      <w:r>
        <w:rPr>
          <w:rStyle w:val="101"/>
          <w:rFonts w:hint="eastAsia" w:ascii="宋体" w:hAnsi="宋体" w:eastAsia="宋体" w:cs="宋体"/>
          <w:b/>
          <w:bCs w:val="0"/>
          <w:color w:val="auto"/>
          <w:sz w:val="30"/>
          <w:szCs w:val="30"/>
          <w:highlight w:val="none"/>
        </w:rPr>
        <w:t>、资格审查材料</w:t>
      </w:r>
    </w:p>
    <w:p w14:paraId="0593770F">
      <w:pPr>
        <w:widowControl/>
        <w:tabs>
          <w:tab w:val="left" w:pos="5580"/>
        </w:tabs>
        <w:wordWrap w:val="0"/>
        <w:adjustRightInd w:val="0"/>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w:t>
      </w:r>
    </w:p>
    <w:p w14:paraId="753998D8">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1．提供证明材料</w:t>
      </w:r>
      <w:r>
        <w:rPr>
          <w:rFonts w:hint="eastAsia" w:ascii="宋体" w:hAnsi="宋体" w:eastAsia="宋体" w:cs="宋体"/>
          <w:b/>
          <w:color w:val="auto"/>
          <w:sz w:val="21"/>
          <w:szCs w:val="21"/>
          <w:highlight w:val="none"/>
          <w:lang w:eastAsia="zh-CN"/>
        </w:rPr>
        <w:t>扫描件</w:t>
      </w:r>
      <w:r>
        <w:rPr>
          <w:rFonts w:hint="eastAsia" w:ascii="宋体" w:hAnsi="宋体" w:eastAsia="宋体" w:cs="宋体"/>
          <w:b/>
          <w:color w:val="auto"/>
          <w:sz w:val="21"/>
          <w:szCs w:val="21"/>
          <w:highlight w:val="none"/>
          <w:lang w:val="en-US" w:eastAsia="zh-CN"/>
        </w:rPr>
        <w:t>或电子证照</w:t>
      </w:r>
      <w:r>
        <w:rPr>
          <w:rFonts w:hint="eastAsia" w:ascii="宋体" w:hAnsi="宋体" w:eastAsia="宋体" w:cs="宋体"/>
          <w:color w:val="auto"/>
          <w:sz w:val="21"/>
          <w:szCs w:val="21"/>
          <w:highlight w:val="none"/>
        </w:rPr>
        <w:t>；</w:t>
      </w:r>
    </w:p>
    <w:p w14:paraId="202123D6">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2．建议设置</w:t>
      </w: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索引，以便</w:t>
      </w:r>
      <w:r>
        <w:rPr>
          <w:rFonts w:hint="eastAsia" w:ascii="宋体" w:hAnsi="宋体" w:eastAsia="宋体" w:cs="宋体"/>
          <w:color w:val="auto"/>
          <w:sz w:val="21"/>
          <w:szCs w:val="21"/>
          <w:highlight w:val="none"/>
          <w:lang w:val="en-US" w:eastAsia="zh-CN"/>
        </w:rPr>
        <w:t>资格审查小组</w:t>
      </w:r>
      <w:r>
        <w:rPr>
          <w:rFonts w:hint="eastAsia" w:ascii="宋体" w:hAnsi="宋体" w:eastAsia="宋体" w:cs="宋体"/>
          <w:color w:val="auto"/>
          <w:sz w:val="21"/>
          <w:szCs w:val="21"/>
          <w:highlight w:val="none"/>
        </w:rPr>
        <w:t>顺利开展</w:t>
      </w: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工作；</w:t>
      </w:r>
    </w:p>
    <w:p w14:paraId="1F6BD1C6">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3．内容须清晰、明确，若提供相关资料内容模糊不清或无法辨认，</w:t>
      </w:r>
      <w:r>
        <w:rPr>
          <w:rFonts w:hint="eastAsia" w:ascii="宋体" w:hAnsi="宋体" w:eastAsia="宋体" w:cs="宋体"/>
          <w:color w:val="auto"/>
          <w:sz w:val="21"/>
          <w:szCs w:val="21"/>
          <w:highlight w:val="none"/>
          <w:lang w:val="en-US" w:eastAsia="zh-CN"/>
        </w:rPr>
        <w:t>资格审查小组</w:t>
      </w:r>
      <w:r>
        <w:rPr>
          <w:rFonts w:hint="eastAsia" w:ascii="宋体" w:hAnsi="宋体" w:eastAsia="宋体" w:cs="宋体"/>
          <w:color w:val="auto"/>
          <w:sz w:val="21"/>
          <w:szCs w:val="21"/>
          <w:highlight w:val="none"/>
        </w:rPr>
        <w:t>有权不予认可。</w:t>
      </w:r>
    </w:p>
    <w:p w14:paraId="79E2FEDF">
      <w:pPr>
        <w:keepNext w:val="0"/>
        <w:tabs>
          <w:tab w:val="left" w:pos="1260"/>
        </w:tabs>
        <w:jc w:val="center"/>
        <w:outlineLvl w:val="9"/>
        <w:rPr>
          <w:rFonts w:hint="eastAsia" w:cs="宋体"/>
          <w:bCs/>
          <w:color w:val="auto"/>
          <w:sz w:val="24"/>
          <w:szCs w:val="24"/>
          <w:highlight w:val="none"/>
          <w:lang w:eastAsia="zh-CN"/>
        </w:rPr>
      </w:pPr>
    </w:p>
    <w:p w14:paraId="30BB5CE7">
      <w:pPr>
        <w:pStyle w:val="4"/>
        <w:keepNext w:val="0"/>
        <w:tabs>
          <w:tab w:val="left" w:pos="1260"/>
        </w:tabs>
        <w:jc w:val="center"/>
        <w:rPr>
          <w:rFonts w:hint="eastAsia" w:cs="宋体"/>
          <w:color w:val="auto"/>
          <w:sz w:val="24"/>
          <w:szCs w:val="24"/>
          <w:highlight w:val="none"/>
          <w:lang w:eastAsia="zh-CN"/>
        </w:rPr>
      </w:pPr>
      <w:r>
        <w:rPr>
          <w:rFonts w:hint="eastAsia" w:cs="宋体"/>
          <w:bCs w:val="0"/>
          <w:color w:val="auto"/>
          <w:sz w:val="24"/>
          <w:szCs w:val="24"/>
          <w:highlight w:val="none"/>
          <w:lang w:eastAsia="zh-CN"/>
        </w:rPr>
        <w:t>（</w:t>
      </w:r>
      <w:r>
        <w:rPr>
          <w:rFonts w:hint="eastAsia" w:cs="宋体"/>
          <w:bCs w:val="0"/>
          <w:color w:val="auto"/>
          <w:sz w:val="24"/>
          <w:szCs w:val="24"/>
          <w:highlight w:val="none"/>
          <w:lang w:val="en-US" w:eastAsia="zh-CN"/>
        </w:rPr>
        <w:t>一</w:t>
      </w:r>
      <w:r>
        <w:rPr>
          <w:rFonts w:hint="eastAsia" w:cs="宋体"/>
          <w:bCs w:val="0"/>
          <w:color w:val="auto"/>
          <w:sz w:val="24"/>
          <w:szCs w:val="24"/>
          <w:highlight w:val="none"/>
          <w:lang w:eastAsia="zh-CN"/>
        </w:rPr>
        <w:t>）招标文件要求的相关</w:t>
      </w:r>
      <w:r>
        <w:rPr>
          <w:rFonts w:hint="eastAsia" w:cs="宋体"/>
          <w:bCs w:val="0"/>
          <w:color w:val="auto"/>
          <w:sz w:val="24"/>
          <w:szCs w:val="24"/>
          <w:highlight w:val="none"/>
          <w:lang w:val="en-US" w:eastAsia="zh-CN"/>
        </w:rPr>
        <w:t>资格</w:t>
      </w:r>
      <w:r>
        <w:rPr>
          <w:rFonts w:hint="eastAsia" w:cs="宋体"/>
          <w:bCs w:val="0"/>
          <w:color w:val="auto"/>
          <w:sz w:val="24"/>
          <w:szCs w:val="24"/>
          <w:highlight w:val="none"/>
          <w:lang w:eastAsia="zh-CN"/>
        </w:rPr>
        <w:t>证明</w:t>
      </w:r>
    </w:p>
    <w:p w14:paraId="7806BDBA">
      <w:pPr>
        <w:rPr>
          <w:rFonts w:hint="eastAsia" w:ascii="宋体" w:hAnsi="宋体" w:cs="宋体"/>
          <w:b/>
          <w:color w:val="auto"/>
          <w:highlight w:val="none"/>
        </w:rPr>
      </w:pPr>
      <w:r>
        <w:rPr>
          <w:rFonts w:hint="eastAsia" w:ascii="宋体" w:hAnsi="宋体" w:cs="宋体"/>
          <w:b/>
          <w:color w:val="auto"/>
          <w:highlight w:val="none"/>
        </w:rPr>
        <w:t>1-1</w:t>
      </w:r>
      <w:r>
        <w:rPr>
          <w:rFonts w:hint="eastAsia" w:ascii="宋体" w:hAnsi="宋体" w:cs="宋体"/>
          <w:b/>
          <w:color w:val="auto"/>
          <w:highlight w:val="none"/>
          <w:lang w:val="en-US" w:eastAsia="zh-CN"/>
        </w:rPr>
        <w:t>营业执照等</w:t>
      </w:r>
      <w:r>
        <w:rPr>
          <w:rFonts w:hint="eastAsia" w:ascii="宋体" w:hAnsi="宋体" w:cs="宋体"/>
          <w:b/>
          <w:color w:val="auto"/>
          <w:highlight w:val="none"/>
        </w:rPr>
        <w:t>证明材料</w:t>
      </w:r>
      <w:r>
        <w:rPr>
          <w:rFonts w:hint="eastAsia" w:ascii="宋体" w:hAnsi="宋体" w:cs="宋体"/>
          <w:b/>
          <w:color w:val="auto"/>
          <w:highlight w:val="none"/>
          <w:lang w:eastAsia="zh-CN"/>
        </w:rPr>
        <w:t>扫描件</w:t>
      </w:r>
      <w:r>
        <w:rPr>
          <w:rFonts w:hint="eastAsia" w:ascii="宋体" w:hAnsi="宋体" w:cs="宋体"/>
          <w:b/>
          <w:color w:val="auto"/>
          <w:highlight w:val="none"/>
        </w:rPr>
        <w:t>或电子证照</w:t>
      </w:r>
    </w:p>
    <w:p w14:paraId="3EE41525">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投标人为企业（包括公司、合伙企业、个人独资企业）的，提供有效的营业执照；</w:t>
      </w:r>
    </w:p>
    <w:p w14:paraId="5B46F194">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投标人为事业单位的，提供有效的事业单位法人证书；</w:t>
      </w:r>
    </w:p>
    <w:p w14:paraId="7BB6018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投标人为社会团体的，提供有效的社会团体法人登记证书；</w:t>
      </w:r>
    </w:p>
    <w:p w14:paraId="5D319DC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投标人为个体工商户的，提供有效的营业执照；</w:t>
      </w:r>
    </w:p>
    <w:p w14:paraId="53383B44">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投标人为不具法人资格的专业服务机构的，提供有效的执业许可证等证明材料；</w:t>
      </w:r>
    </w:p>
    <w:p w14:paraId="27FD3B12">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投标人为自然人的，提供有效的自然人身份证明；</w:t>
      </w:r>
    </w:p>
    <w:p w14:paraId="5E874296">
      <w:pPr>
        <w:rPr>
          <w:rFonts w:hint="eastAsia" w:ascii="宋体" w:hAnsi="宋体" w:cs="宋体"/>
          <w:color w:val="auto"/>
          <w:sz w:val="18"/>
          <w:szCs w:val="18"/>
          <w:highlight w:val="none"/>
        </w:rPr>
      </w:pPr>
      <w:r>
        <w:rPr>
          <w:rFonts w:hint="eastAsia" w:ascii="宋体" w:hAnsi="宋体" w:cs="宋体"/>
          <w:color w:val="auto"/>
          <w:sz w:val="18"/>
          <w:szCs w:val="18"/>
          <w:highlight w:val="none"/>
        </w:rPr>
        <w:t>其他投标人应按照有关法律、法规和规章规定，提供有效的相应证明材料。</w:t>
      </w:r>
    </w:p>
    <w:p w14:paraId="7016FEAA">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76F8ED6D">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1.联合体投标的联合体各方均须提供。</w:t>
      </w:r>
    </w:p>
    <w:p w14:paraId="6BACEF32">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1BF92D5F">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53B0794A">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3B8BBE51">
      <w:pPr>
        <w:rPr>
          <w:rFonts w:hint="eastAsia" w:ascii="宋体" w:hAnsi="宋体" w:cs="宋体"/>
          <w:color w:val="auto"/>
          <w:szCs w:val="21"/>
          <w:highlight w:val="none"/>
        </w:rPr>
      </w:pPr>
    </w:p>
    <w:p w14:paraId="7C9F40D6">
      <w:pPr>
        <w:pStyle w:val="87"/>
        <w:rPr>
          <w:rFonts w:hint="eastAsia"/>
          <w:color w:val="auto"/>
          <w:highlight w:val="none"/>
        </w:rPr>
      </w:pPr>
    </w:p>
    <w:p w14:paraId="0F1D85BB">
      <w:pPr>
        <w:rPr>
          <w:rFonts w:hint="eastAsia" w:ascii="宋体" w:hAnsi="宋体" w:cs="宋体"/>
          <w:b/>
          <w:color w:val="auto"/>
          <w:highlight w:val="none"/>
        </w:rPr>
      </w:pPr>
      <w:r>
        <w:rPr>
          <w:rFonts w:hint="eastAsia" w:ascii="宋体" w:hAnsi="宋体" w:cs="宋体"/>
          <w:b/>
          <w:color w:val="auto"/>
          <w:highlight w:val="none"/>
        </w:rPr>
        <w:t>1-</w:t>
      </w:r>
      <w:r>
        <w:rPr>
          <w:rFonts w:hint="eastAsia" w:ascii="宋体" w:hAnsi="宋体" w:cs="宋体"/>
          <w:b/>
          <w:color w:val="auto"/>
          <w:highlight w:val="none"/>
          <w:lang w:val="en-US" w:eastAsia="zh-CN"/>
        </w:rPr>
        <w:t>2</w:t>
      </w:r>
      <w:r>
        <w:rPr>
          <w:rFonts w:hint="eastAsia" w:ascii="宋体" w:hAnsi="宋体" w:cs="宋体"/>
          <w:b/>
          <w:color w:val="auto"/>
          <w:highlight w:val="none"/>
        </w:rPr>
        <w:t>资质证书（如有）</w:t>
      </w:r>
    </w:p>
    <w:p w14:paraId="1FAACF84">
      <w:pPr>
        <w:rPr>
          <w:rFonts w:hint="eastAsia" w:ascii="宋体" w:hAnsi="宋体" w:cs="宋体"/>
          <w:color w:val="auto"/>
          <w:szCs w:val="21"/>
          <w:highlight w:val="none"/>
        </w:rPr>
      </w:pPr>
    </w:p>
    <w:p w14:paraId="0A73056F">
      <w:pPr>
        <w:rPr>
          <w:rFonts w:hint="eastAsia" w:ascii="宋体" w:hAnsi="宋体" w:cs="宋体"/>
          <w:b/>
          <w:color w:val="auto"/>
          <w:highlight w:val="none"/>
        </w:rPr>
      </w:pPr>
      <w:r>
        <w:rPr>
          <w:rFonts w:hint="eastAsia" w:ascii="宋体" w:hAnsi="宋体" w:cs="宋体"/>
          <w:b/>
          <w:color w:val="auto"/>
          <w:highlight w:val="none"/>
        </w:rPr>
        <w:t>1-</w:t>
      </w:r>
      <w:r>
        <w:rPr>
          <w:rFonts w:hint="eastAsia" w:ascii="宋体" w:hAnsi="宋体" w:cs="宋体"/>
          <w:b/>
          <w:color w:val="auto"/>
          <w:highlight w:val="none"/>
          <w:lang w:val="en-US" w:eastAsia="zh-CN"/>
        </w:rPr>
        <w:t>3</w:t>
      </w:r>
      <w:r>
        <w:rPr>
          <w:rFonts w:hint="eastAsia" w:ascii="宋体" w:hAnsi="宋体" w:cs="宋体"/>
          <w:b/>
          <w:color w:val="auto"/>
          <w:highlight w:val="none"/>
        </w:rPr>
        <w:t>其他相关</w:t>
      </w:r>
      <w:r>
        <w:rPr>
          <w:rFonts w:hint="eastAsia" w:ascii="宋体" w:hAnsi="宋体" w:cs="宋体"/>
          <w:b/>
          <w:color w:val="auto"/>
          <w:szCs w:val="21"/>
          <w:highlight w:val="none"/>
        </w:rPr>
        <w:t>资</w:t>
      </w:r>
      <w:r>
        <w:rPr>
          <w:rFonts w:hint="eastAsia" w:ascii="宋体" w:hAnsi="宋体" w:cs="宋体"/>
          <w:b/>
          <w:color w:val="auto"/>
          <w:szCs w:val="21"/>
          <w:highlight w:val="none"/>
          <w:lang w:val="en-US" w:eastAsia="zh-CN"/>
        </w:rPr>
        <w:t>格</w:t>
      </w:r>
      <w:r>
        <w:rPr>
          <w:rFonts w:hint="eastAsia" w:ascii="宋体" w:hAnsi="宋体" w:cs="宋体"/>
          <w:b/>
          <w:color w:val="auto"/>
          <w:szCs w:val="21"/>
          <w:highlight w:val="none"/>
        </w:rPr>
        <w:t>证明材料</w:t>
      </w:r>
      <w:r>
        <w:rPr>
          <w:rFonts w:hint="eastAsia" w:ascii="宋体" w:hAnsi="宋体" w:cs="宋体"/>
          <w:b/>
          <w:color w:val="auto"/>
          <w:highlight w:val="none"/>
        </w:rPr>
        <w:t>（如有）</w:t>
      </w:r>
    </w:p>
    <w:p w14:paraId="53CAB18D">
      <w:pPr>
        <w:widowControl/>
        <w:tabs>
          <w:tab w:val="left" w:pos="5580"/>
        </w:tabs>
        <w:spacing w:line="360" w:lineRule="auto"/>
        <w:rPr>
          <w:rFonts w:hint="eastAsia" w:ascii="宋体" w:hAnsi="宋体" w:cs="宋体"/>
          <w:color w:val="auto"/>
          <w:szCs w:val="21"/>
          <w:highlight w:val="none"/>
        </w:rPr>
      </w:pPr>
    </w:p>
    <w:p w14:paraId="086B182F">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注意对照采购公告及</w:t>
      </w:r>
      <w:r>
        <w:rPr>
          <w:rFonts w:hint="eastAsia" w:ascii="宋体" w:hAnsi="宋体" w:cs="宋体"/>
          <w:b/>
          <w:color w:val="auto"/>
          <w:szCs w:val="21"/>
          <w:highlight w:val="none"/>
          <w:lang w:val="en-US" w:eastAsia="zh-CN"/>
        </w:rPr>
        <w:t>第四章</w:t>
      </w:r>
      <w:r>
        <w:rPr>
          <w:rFonts w:hint="eastAsia" w:ascii="宋体" w:hAnsi="宋体" w:cs="宋体"/>
          <w:b/>
          <w:color w:val="auto"/>
          <w:szCs w:val="21"/>
          <w:highlight w:val="none"/>
        </w:rPr>
        <w:t>规定，提供各类</w:t>
      </w:r>
      <w:r>
        <w:rPr>
          <w:rFonts w:hint="eastAsia" w:ascii="宋体" w:hAnsi="宋体" w:cs="宋体"/>
          <w:b/>
          <w:color w:val="auto"/>
          <w:szCs w:val="21"/>
          <w:highlight w:val="none"/>
          <w:lang w:val="en-US" w:eastAsia="zh-CN"/>
        </w:rPr>
        <w:t>资格</w:t>
      </w:r>
      <w:r>
        <w:rPr>
          <w:rFonts w:hint="eastAsia" w:ascii="宋体" w:hAnsi="宋体" w:cs="宋体"/>
          <w:b/>
          <w:color w:val="auto"/>
          <w:szCs w:val="21"/>
          <w:highlight w:val="none"/>
        </w:rPr>
        <w:t>证明材料</w:t>
      </w:r>
    </w:p>
    <w:p w14:paraId="772E9A3C">
      <w:pPr>
        <w:widowControl/>
        <w:tabs>
          <w:tab w:val="left" w:pos="5580"/>
        </w:tabs>
        <w:spacing w:line="360" w:lineRule="auto"/>
        <w:jc w:val="center"/>
        <w:outlineLvl w:val="2"/>
        <w:rPr>
          <w:rFonts w:hint="eastAsia" w:ascii="宋体" w:hAnsi="宋体" w:cs="宋体"/>
          <w:b/>
          <w:color w:val="auto"/>
          <w:sz w:val="24"/>
          <w:szCs w:val="24"/>
          <w:highlight w:val="none"/>
        </w:rPr>
      </w:pPr>
      <w:r>
        <w:rPr>
          <w:rFonts w:hint="eastAsia" w:ascii="宋体" w:hAnsi="宋体" w:cs="宋体"/>
          <w:b/>
          <w:color w:val="auto"/>
          <w:szCs w:val="21"/>
          <w:highlight w:val="none"/>
        </w:rPr>
        <w:br w:type="page"/>
      </w:r>
      <w:r>
        <w:rPr>
          <w:rFonts w:hint="eastAsia" w:ascii="宋体" w:hAnsi="宋体" w:eastAsia="宋体" w:cs="宋体"/>
          <w:b/>
          <w:bCs/>
          <w:color w:val="auto"/>
          <w:kern w:val="0"/>
          <w:sz w:val="24"/>
          <w:szCs w:val="24"/>
          <w:highlight w:val="none"/>
          <w:lang w:eastAsia="zh-CN" w:bidi="en-US"/>
        </w:rPr>
        <w:t>（</w:t>
      </w:r>
      <w:r>
        <w:rPr>
          <w:rFonts w:hint="eastAsia" w:ascii="宋体" w:hAnsi="宋体" w:eastAsia="宋体" w:cs="宋体"/>
          <w:b/>
          <w:bCs/>
          <w:color w:val="auto"/>
          <w:kern w:val="0"/>
          <w:sz w:val="24"/>
          <w:szCs w:val="24"/>
          <w:highlight w:val="none"/>
          <w:lang w:val="en-US" w:eastAsia="zh-CN" w:bidi="en-US"/>
        </w:rPr>
        <w:t>二</w:t>
      </w:r>
      <w:r>
        <w:rPr>
          <w:rFonts w:hint="eastAsia" w:ascii="宋体" w:hAnsi="宋体" w:eastAsia="宋体" w:cs="宋体"/>
          <w:b/>
          <w:bCs/>
          <w:color w:val="auto"/>
          <w:kern w:val="0"/>
          <w:sz w:val="24"/>
          <w:szCs w:val="24"/>
          <w:highlight w:val="none"/>
          <w:lang w:eastAsia="zh-CN" w:bidi="en-US"/>
        </w:rPr>
        <w:t>）</w:t>
      </w:r>
      <w:r>
        <w:rPr>
          <w:rFonts w:hint="eastAsia" w:ascii="宋体" w:hAnsi="宋体" w:eastAsia="宋体" w:cs="宋体"/>
          <w:b/>
          <w:bCs/>
          <w:color w:val="auto"/>
          <w:kern w:val="0"/>
          <w:sz w:val="24"/>
          <w:szCs w:val="24"/>
          <w:highlight w:val="none"/>
          <w:lang w:bidi="en-US"/>
        </w:rPr>
        <w:t>政府采购供应商资格承诺函</w:t>
      </w:r>
    </w:p>
    <w:p w14:paraId="467A3D19">
      <w:pPr>
        <w:snapToGrid w:val="0"/>
        <w:spacing w:line="360" w:lineRule="auto"/>
        <w:rPr>
          <w:rFonts w:hint="eastAsia" w:ascii="宋体" w:hAnsi="宋体" w:eastAsia="宋体" w:cs="宋体"/>
          <w:color w:val="auto"/>
          <w:highlight w:val="none"/>
          <w:u w:val="single"/>
          <w:lang w:bidi="en-US"/>
        </w:rPr>
      </w:pPr>
      <w:r>
        <w:rPr>
          <w:rFonts w:hint="eastAsia" w:ascii="宋体" w:hAnsi="宋体" w:eastAsia="宋体" w:cs="宋体"/>
          <w:color w:val="auto"/>
          <w:highlight w:val="none"/>
          <w:lang w:bidi="en-US"/>
        </w:rPr>
        <w:t>致：</w:t>
      </w:r>
      <w:r>
        <w:rPr>
          <w:rFonts w:hint="eastAsia" w:ascii="宋体" w:hAnsi="宋体" w:eastAsia="宋体" w:cs="宋体"/>
          <w:color w:val="auto"/>
          <w:highlight w:val="none"/>
          <w:u w:val="none"/>
          <w:lang w:eastAsia="zh-CN" w:bidi="en-US"/>
        </w:rPr>
        <w:t>安徽医科大学第一附属医院</w:t>
      </w:r>
    </w:p>
    <w:p w14:paraId="124172D5">
      <w:pPr>
        <w:snapToGrid w:val="0"/>
        <w:spacing w:line="360" w:lineRule="auto"/>
        <w:rPr>
          <w:rFonts w:hint="eastAsia" w:ascii="宋体" w:hAnsi="宋体" w:eastAsia="宋体" w:cs="宋体"/>
          <w:color w:val="auto"/>
          <w:highlight w:val="none"/>
          <w:lang w:bidi="en-US"/>
        </w:rPr>
      </w:pPr>
      <w:r>
        <w:rPr>
          <w:rFonts w:hint="eastAsia" w:ascii="宋体" w:hAnsi="宋体" w:eastAsia="宋体" w:cs="宋体"/>
          <w:color w:val="auto"/>
          <w:highlight w:val="none"/>
          <w:lang w:bidi="en-US"/>
        </w:rPr>
        <w:t xml:space="preserve">   </w:t>
      </w:r>
      <w:r>
        <w:rPr>
          <w:rFonts w:hint="eastAsia" w:ascii="宋体" w:hAnsi="宋体" w:eastAsia="宋体" w:cs="宋体"/>
          <w:color w:val="auto"/>
          <w:highlight w:val="none"/>
          <w:u w:val="none"/>
          <w:lang w:bidi="en-US"/>
        </w:rPr>
        <w:t xml:space="preserve"> 安徽省招标集团股份有限公司</w:t>
      </w:r>
    </w:p>
    <w:p w14:paraId="67D62DEE">
      <w:pPr>
        <w:widowControl/>
        <w:tabs>
          <w:tab w:val="left" w:pos="5580"/>
        </w:tabs>
        <w:spacing w:before="0"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highlight w:val="none"/>
          <w:lang w:bidi="en-US"/>
        </w:rPr>
        <w:t>郑重</w:t>
      </w:r>
      <w:r>
        <w:rPr>
          <w:rFonts w:hint="eastAsia" w:ascii="宋体" w:hAnsi="宋体" w:eastAsia="宋体" w:cs="宋体"/>
          <w:color w:val="auto"/>
          <w:highlight w:val="none"/>
          <w:lang w:val="en-US" w:eastAsia="zh-CN" w:bidi="en-US"/>
        </w:rPr>
        <w:t>承诺</w:t>
      </w:r>
      <w:r>
        <w:rPr>
          <w:rFonts w:hint="eastAsia" w:ascii="宋体" w:hAnsi="宋体" w:eastAsia="宋体" w:cs="宋体"/>
          <w:color w:val="auto"/>
          <w:highlight w:val="none"/>
          <w:lang w:bidi="en-US"/>
        </w:rPr>
        <w:t>，根据《中华人民共和国政府采购法》及《中华人民共和国政府采购法实施条例》的规定，</w:t>
      </w:r>
      <w:r>
        <w:rPr>
          <w:rFonts w:hint="eastAsia" w:ascii="宋体" w:hAnsi="宋体" w:eastAsia="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3A7C1D66">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（一）具有独立承担民事责任的能力。</w:t>
      </w:r>
    </w:p>
    <w:p w14:paraId="7B3C3869">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（二）具有良好的商业信誉和健全的财务会计制度。</w:t>
      </w:r>
    </w:p>
    <w:p w14:paraId="081E5EB8">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三</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具有履行合同所必需的设备和专业技术能力。</w:t>
      </w:r>
    </w:p>
    <w:p w14:paraId="38C467F7">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四</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有</w:t>
      </w:r>
      <w:r>
        <w:rPr>
          <w:rFonts w:hint="eastAsia" w:ascii="宋体" w:hAnsi="宋体" w:eastAsia="宋体" w:cs="宋体"/>
          <w:b w:val="0"/>
          <w:bCs/>
          <w:color w:val="auto"/>
          <w:szCs w:val="21"/>
          <w:highlight w:val="none"/>
        </w:rPr>
        <w:t>依法缴纳税收</w:t>
      </w:r>
      <w:r>
        <w:rPr>
          <w:rFonts w:hint="eastAsia" w:ascii="宋体" w:hAnsi="宋体" w:eastAsia="宋体" w:cs="宋体"/>
          <w:b w:val="0"/>
          <w:bCs/>
          <w:color w:val="auto"/>
          <w:szCs w:val="21"/>
          <w:highlight w:val="none"/>
          <w:lang w:val="en-US" w:eastAsia="zh-CN"/>
        </w:rPr>
        <w:t>和社会保障资金</w:t>
      </w:r>
      <w:r>
        <w:rPr>
          <w:rFonts w:hint="eastAsia" w:ascii="宋体" w:hAnsi="宋体" w:eastAsia="宋体" w:cs="宋体"/>
          <w:b w:val="0"/>
          <w:bCs/>
          <w:color w:val="auto"/>
          <w:szCs w:val="21"/>
          <w:highlight w:val="none"/>
        </w:rPr>
        <w:t>的良好记录</w:t>
      </w:r>
      <w:r>
        <w:rPr>
          <w:rFonts w:hint="eastAsia" w:ascii="宋体" w:hAnsi="宋体" w:eastAsia="宋体" w:cs="宋体"/>
          <w:b w:val="0"/>
          <w:bCs/>
          <w:color w:val="auto"/>
          <w:szCs w:val="21"/>
          <w:highlight w:val="none"/>
          <w:lang w:eastAsia="zh-CN"/>
        </w:rPr>
        <w:t>。</w:t>
      </w:r>
    </w:p>
    <w:p w14:paraId="44A4560D">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五</w:t>
      </w:r>
      <w:r>
        <w:rPr>
          <w:rFonts w:hint="eastAsia" w:ascii="宋体" w:hAnsi="宋体" w:eastAsia="宋体" w:cs="宋体"/>
          <w:b w:val="0"/>
          <w:bCs/>
          <w:color w:val="auto"/>
          <w:szCs w:val="21"/>
          <w:highlight w:val="none"/>
        </w:rPr>
        <w:t>）参加本次政府采购活动前三年内，</w:t>
      </w:r>
      <w:r>
        <w:rPr>
          <w:rFonts w:hint="eastAsia" w:ascii="宋体" w:hAnsi="宋体" w:eastAsia="宋体" w:cs="宋体"/>
          <w:b w:val="0"/>
          <w:bCs/>
          <w:color w:val="auto"/>
          <w:szCs w:val="21"/>
          <w:highlight w:val="none"/>
          <w:lang w:val="en-US" w:eastAsia="zh-CN"/>
        </w:rPr>
        <w:t>我方</w:t>
      </w:r>
      <w:r>
        <w:rPr>
          <w:rFonts w:hint="eastAsia" w:ascii="宋体" w:hAnsi="宋体" w:eastAsia="宋体" w:cs="宋体"/>
          <w:b w:val="0"/>
          <w:bCs/>
          <w:color w:val="auto"/>
          <w:szCs w:val="21"/>
          <w:highlight w:val="none"/>
        </w:rPr>
        <w:t>在经营活动中没有重大违法记录，没有因违法经营受到刑事处罚或者责令停产停业、吊销许可证或者执照、较大数额罚款等行政处罚，且未在被禁止参加政府采购活动的处罚期限内。</w:t>
      </w:r>
    </w:p>
    <w:p w14:paraId="23CA9D63">
      <w:pPr>
        <w:widowControl/>
        <w:tabs>
          <w:tab w:val="left" w:pos="5580"/>
        </w:tabs>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六</w:t>
      </w:r>
      <w:r>
        <w:rPr>
          <w:rFonts w:hint="eastAsia" w:ascii="宋体" w:hAnsi="宋体" w:eastAsia="宋体" w:cs="宋体"/>
          <w:b w:val="0"/>
          <w:bCs/>
          <w:color w:val="auto"/>
          <w:szCs w:val="21"/>
          <w:highlight w:val="none"/>
          <w:lang w:eastAsia="zh-CN"/>
        </w:rPr>
        <w:t>）</w:t>
      </w:r>
      <w:r>
        <w:rPr>
          <w:rFonts w:hint="eastAsia" w:ascii="宋体" w:hAnsi="宋体" w:eastAsia="宋体" w:cs="宋体"/>
          <w:bCs/>
          <w:color w:val="auto"/>
          <w:szCs w:val="21"/>
          <w:highlight w:val="none"/>
        </w:rPr>
        <w:t>我</w:t>
      </w:r>
      <w:r>
        <w:rPr>
          <w:rFonts w:hint="eastAsia" w:ascii="宋体" w:hAnsi="宋体" w:eastAsia="宋体" w:cs="宋体"/>
          <w:bCs/>
          <w:color w:val="auto"/>
          <w:szCs w:val="21"/>
          <w:highlight w:val="none"/>
          <w:lang w:val="en-US" w:eastAsia="zh-CN"/>
        </w:rPr>
        <w:t>方</w:t>
      </w:r>
      <w:r>
        <w:rPr>
          <w:rFonts w:hint="eastAsia" w:ascii="宋体" w:hAnsi="宋体" w:eastAsia="宋体" w:cs="宋体"/>
          <w:bCs/>
          <w:color w:val="auto"/>
          <w:szCs w:val="21"/>
          <w:highlight w:val="none"/>
        </w:rPr>
        <w:t>不属于政府采购法律、行政法规规定的公益一类事业单位、或使用事业编制且由财政拨款保障的群团组织（仅适用于政府购买服务项目）</w:t>
      </w:r>
      <w:r>
        <w:rPr>
          <w:rFonts w:hint="eastAsia" w:ascii="宋体" w:hAnsi="宋体" w:eastAsia="宋体" w:cs="宋体"/>
          <w:bCs/>
          <w:color w:val="auto"/>
          <w:szCs w:val="21"/>
          <w:highlight w:val="none"/>
          <w:lang w:eastAsia="zh-CN"/>
        </w:rPr>
        <w:t>。</w:t>
      </w:r>
    </w:p>
    <w:p w14:paraId="4252744D">
      <w:pPr>
        <w:widowControl/>
        <w:tabs>
          <w:tab w:val="left" w:pos="5580"/>
        </w:tabs>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七</w:t>
      </w:r>
      <w:r>
        <w:rPr>
          <w:rFonts w:hint="eastAsia" w:ascii="宋体" w:hAnsi="宋体" w:eastAsia="宋体" w:cs="宋体"/>
          <w:bCs/>
          <w:color w:val="auto"/>
          <w:szCs w:val="21"/>
          <w:highlight w:val="none"/>
          <w:lang w:eastAsia="zh-CN"/>
        </w:rPr>
        <w:t>）</w:t>
      </w:r>
      <w:r>
        <w:rPr>
          <w:rFonts w:hint="eastAsia" w:ascii="宋体" w:hAnsi="宋体" w:eastAsia="宋体" w:cs="宋体"/>
          <w:b w:val="0"/>
          <w:bCs/>
          <w:color w:val="auto"/>
          <w:szCs w:val="21"/>
          <w:highlight w:val="none"/>
          <w:lang w:val="en-US" w:eastAsia="zh-CN"/>
        </w:rPr>
        <w:t>我方</w:t>
      </w:r>
      <w:r>
        <w:rPr>
          <w:rFonts w:hint="eastAsia" w:ascii="宋体" w:hAnsi="宋体" w:eastAsia="宋体" w:cs="宋体"/>
          <w:b w:val="0"/>
          <w:bCs/>
          <w:color w:val="auto"/>
          <w:szCs w:val="21"/>
          <w:highlight w:val="none"/>
        </w:rPr>
        <w:t>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012ADF8B">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八</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符合其他法律法规规定的政府采购供应商条件</w:t>
      </w:r>
      <w:r>
        <w:rPr>
          <w:rFonts w:hint="eastAsia" w:ascii="宋体" w:hAnsi="宋体" w:eastAsia="宋体" w:cs="宋体"/>
          <w:b w:val="0"/>
          <w:bCs/>
          <w:color w:val="auto"/>
          <w:szCs w:val="21"/>
          <w:highlight w:val="none"/>
          <w:lang w:eastAsia="zh-CN"/>
        </w:rPr>
        <w:t>。</w:t>
      </w:r>
    </w:p>
    <w:p w14:paraId="45CFD54E">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p>
    <w:p w14:paraId="62075C68">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我方对上述承诺事项的真实性负责，授权并配合采购人所在同级财政部门及其委托机构，对上述承诺事项进行查证。</w:t>
      </w:r>
    </w:p>
    <w:p w14:paraId="60D83C22">
      <w:pPr>
        <w:widowControl/>
        <w:tabs>
          <w:tab w:val="left" w:pos="5580"/>
        </w:tabs>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2A19C469">
      <w:pPr>
        <w:jc w:val="right"/>
        <w:rPr>
          <w:rFonts w:hint="eastAsia" w:ascii="宋体" w:hAnsi="宋体" w:eastAsia="宋体" w:cs="宋体"/>
          <w:color w:val="auto"/>
          <w:highlight w:val="none"/>
          <w:u w:val="single"/>
          <w:lang w:bidi="en-US"/>
        </w:rPr>
      </w:pPr>
      <w:r>
        <w:rPr>
          <w:rFonts w:hint="eastAsia" w:ascii="宋体" w:hAnsi="宋体" w:eastAsia="宋体" w:cs="宋体"/>
          <w:color w:val="auto"/>
          <w:highlight w:val="none"/>
          <w:lang w:bidi="en-US"/>
        </w:rPr>
        <w:t>投标人：</w:t>
      </w:r>
      <w:r>
        <w:rPr>
          <w:rFonts w:hint="eastAsia" w:ascii="宋体" w:hAnsi="宋体" w:eastAsia="宋体" w:cs="宋体"/>
          <w:color w:val="auto"/>
          <w:highlight w:val="none"/>
          <w:u w:val="single"/>
          <w:lang w:bidi="en-US"/>
        </w:rPr>
        <w:t xml:space="preserve">       （盖单位章）</w:t>
      </w:r>
    </w:p>
    <w:p w14:paraId="51C06C73">
      <w:pPr>
        <w:bidi/>
        <w:jc w:val="left"/>
        <w:rPr>
          <w:rFonts w:hint="eastAsia" w:ascii="仿宋" w:hAnsi="仿宋" w:eastAsia="仿宋" w:cs="仿宋"/>
          <w:color w:val="auto"/>
          <w:highlight w:val="none"/>
          <w:u w:val="none"/>
          <w:lang w:bidi="en-US"/>
        </w:rPr>
      </w:pPr>
      <w:r>
        <w:rPr>
          <w:rFonts w:hint="eastAsia" w:ascii="宋体" w:hAnsi="宋体" w:eastAsia="宋体" w:cs="宋体"/>
          <w:color w:val="auto"/>
          <w:highlight w:val="none"/>
          <w:lang w:bidi="en-US"/>
        </w:rPr>
        <w:t>日  期：</w:t>
      </w:r>
      <w:r>
        <w:rPr>
          <w:rFonts w:hint="eastAsia" w:ascii="宋体" w:hAnsi="宋体" w:eastAsia="宋体" w:cs="宋体"/>
          <w:color w:val="auto"/>
          <w:highlight w:val="none"/>
          <w:u w:val="single"/>
          <w:lang w:bidi="en-US"/>
        </w:rPr>
        <w:t xml:space="preserve">                   </w:t>
      </w:r>
    </w:p>
    <w:p w14:paraId="0DB5D674">
      <w:pPr>
        <w:tabs>
          <w:tab w:val="left" w:pos="5580"/>
        </w:tabs>
        <w:jc w:val="center"/>
        <w:outlineLvl w:val="2"/>
        <w:rPr>
          <w:rFonts w:hint="default" w:ascii="宋体" w:hAnsi="宋体" w:eastAsia="宋体" w:cs="宋体"/>
          <w:b/>
          <w:bCs/>
          <w:color w:val="auto"/>
          <w:kern w:val="0"/>
          <w:sz w:val="24"/>
          <w:szCs w:val="24"/>
          <w:highlight w:val="none"/>
          <w:lang w:val="en-US" w:eastAsia="zh-CN" w:bidi="en-US"/>
        </w:rPr>
      </w:pPr>
      <w:r>
        <w:rPr>
          <w:rFonts w:hint="eastAsia" w:ascii="宋体" w:hAnsi="宋体" w:cs="宋体"/>
          <w:color w:val="auto"/>
          <w:szCs w:val="21"/>
          <w:highlight w:val="none"/>
        </w:rPr>
        <w:br w:type="page"/>
      </w:r>
      <w:r>
        <w:rPr>
          <w:rFonts w:hint="eastAsia" w:ascii="宋体" w:hAnsi="宋体" w:eastAsia="宋体" w:cs="宋体"/>
          <w:b/>
          <w:bCs/>
          <w:color w:val="auto"/>
          <w:kern w:val="0"/>
          <w:sz w:val="24"/>
          <w:szCs w:val="24"/>
          <w:highlight w:val="none"/>
          <w:lang w:eastAsia="zh-CN" w:bidi="en-US"/>
        </w:rPr>
        <w:t>（</w:t>
      </w:r>
      <w:r>
        <w:rPr>
          <w:rFonts w:hint="eastAsia" w:ascii="宋体" w:hAnsi="宋体" w:eastAsia="宋体" w:cs="宋体"/>
          <w:b/>
          <w:bCs/>
          <w:color w:val="auto"/>
          <w:kern w:val="0"/>
          <w:sz w:val="24"/>
          <w:szCs w:val="24"/>
          <w:highlight w:val="none"/>
          <w:lang w:val="en-US" w:eastAsia="zh-CN" w:bidi="en-US"/>
        </w:rPr>
        <w:t>三</w:t>
      </w:r>
      <w:r>
        <w:rPr>
          <w:rFonts w:hint="eastAsia" w:ascii="宋体" w:hAnsi="宋体" w:eastAsia="宋体" w:cs="宋体"/>
          <w:b/>
          <w:bCs/>
          <w:color w:val="auto"/>
          <w:kern w:val="0"/>
          <w:sz w:val="24"/>
          <w:szCs w:val="24"/>
          <w:highlight w:val="none"/>
          <w:lang w:eastAsia="zh-CN" w:bidi="en-US"/>
        </w:rPr>
        <w:t>）</w:t>
      </w:r>
      <w:r>
        <w:rPr>
          <w:rFonts w:hint="eastAsia" w:ascii="宋体" w:hAnsi="宋体" w:eastAsia="宋体" w:cs="宋体"/>
          <w:b/>
          <w:bCs/>
          <w:color w:val="auto"/>
          <w:kern w:val="0"/>
          <w:sz w:val="24"/>
          <w:szCs w:val="24"/>
          <w:highlight w:val="none"/>
          <w:lang w:val="en-US" w:eastAsia="zh-CN" w:bidi="en-US"/>
        </w:rPr>
        <w:t>用于资格审查的</w:t>
      </w:r>
      <w:r>
        <w:rPr>
          <w:rFonts w:hint="eastAsia" w:ascii="宋体" w:hAnsi="宋体" w:eastAsia="宋体" w:cs="宋体"/>
          <w:b/>
          <w:bCs/>
          <w:color w:val="auto"/>
          <w:kern w:val="0"/>
          <w:sz w:val="24"/>
          <w:szCs w:val="24"/>
          <w:highlight w:val="none"/>
          <w:lang w:eastAsia="zh-CN" w:bidi="en-US"/>
        </w:rPr>
        <w:t>业绩证明材料（如有）</w:t>
      </w:r>
    </w:p>
    <w:p w14:paraId="33AF0735">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0BFCF3E4">
      <w:pPr>
        <w:pStyle w:val="25"/>
        <w:spacing w:line="360" w:lineRule="auto"/>
        <w:rPr>
          <w:rFonts w:hint="eastAsia" w:hAnsi="宋体" w:eastAsia="宋体" w:cs="宋体"/>
          <w:b/>
          <w:color w:val="auto"/>
          <w:sz w:val="21"/>
          <w:highlight w:val="none"/>
          <w:u w:val="single"/>
          <w:lang w:eastAsia="zh-CN"/>
        </w:rPr>
      </w:pPr>
      <w:r>
        <w:rPr>
          <w:rFonts w:hint="eastAsia" w:hAnsi="宋体" w:cs="宋体"/>
          <w:color w:val="auto"/>
          <w:sz w:val="21"/>
          <w:highlight w:val="none"/>
        </w:rPr>
        <w:t>致：</w:t>
      </w:r>
      <w:r>
        <w:rPr>
          <w:rFonts w:hint="eastAsia" w:hAnsi="宋体" w:cs="宋体"/>
          <w:color w:val="auto"/>
          <w:sz w:val="21"/>
          <w:highlight w:val="none"/>
          <w:lang w:eastAsia="zh-CN"/>
        </w:rPr>
        <w:t>安徽医科大学第一附属医院</w:t>
      </w:r>
    </w:p>
    <w:p w14:paraId="6DC14527">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5736D5FB">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0E347D1F">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0984871C">
      <w:pPr>
        <w:jc w:val="center"/>
        <w:rPr>
          <w:rFonts w:hint="eastAsia" w:ascii="宋体" w:hAnsi="宋体" w:cs="宋体"/>
          <w:color w:val="auto"/>
          <w:sz w:val="28"/>
          <w:highlight w:val="none"/>
        </w:rPr>
      </w:pPr>
    </w:p>
    <w:p w14:paraId="550CDE58">
      <w:pPr>
        <w:jc w:val="center"/>
        <w:rPr>
          <w:rFonts w:hint="eastAsia" w:ascii="宋体" w:hAnsi="宋体" w:cs="宋体"/>
          <w:color w:val="auto"/>
          <w:sz w:val="28"/>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业绩汇总表</w:t>
      </w:r>
    </w:p>
    <w:tbl>
      <w:tblPr>
        <w:tblStyle w:val="45"/>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5773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832ACDA">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700E9087">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6AA2F549">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568906B3">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0E85E6FC">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49D00ED0">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44C7015D">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30A7896D">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1274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E8027D5">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12C7898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757E652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338B71C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7A9A8D8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4CCE738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432613B3">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E92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B8E59E7">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214291D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0879A3E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14F26A8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7CD9308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64F1B81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75B2D0D7">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644D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B27659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3DA643F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61C60B3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3C31D38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3AD34F6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7FE8DE2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15527F23">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5068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12" w:type="pct"/>
            <w:noWrap w:val="0"/>
            <w:vAlign w:val="center"/>
          </w:tcPr>
          <w:p w14:paraId="17AF5507">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2BEEBB1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1DEB2C8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1286F3D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84B11E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33290DE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064DC48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25D0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12" w:type="pct"/>
            <w:noWrap w:val="0"/>
            <w:vAlign w:val="center"/>
          </w:tcPr>
          <w:p w14:paraId="6FD72EF9">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3C73C7A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38698CD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7B96626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135CCBB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2819762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08540F9D">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67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4914011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4BE65D3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26F5A6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62DC453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211F89B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1947631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5F15BDFA">
            <w:pPr>
              <w:keepNext w:val="0"/>
              <w:keepLines w:val="0"/>
              <w:suppressLineNumbers w:val="0"/>
              <w:spacing w:before="0" w:beforeAutospacing="0" w:after="0" w:afterAutospacing="0"/>
              <w:ind w:left="0" w:right="0"/>
              <w:rPr>
                <w:rFonts w:hint="eastAsia" w:ascii="宋体" w:hAnsi="宋体" w:cs="宋体"/>
                <w:color w:val="auto"/>
                <w:highlight w:val="none"/>
              </w:rPr>
            </w:pPr>
          </w:p>
        </w:tc>
      </w:tr>
    </w:tbl>
    <w:p w14:paraId="1EF1A129">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w:t>
      </w:r>
      <w:r>
        <w:rPr>
          <w:rFonts w:hint="eastAsia" w:ascii="宋体" w:hAnsi="宋体" w:eastAsia="宋体" w:cs="宋体"/>
          <w:color w:val="auto"/>
          <w:szCs w:val="21"/>
          <w:highlight w:val="none"/>
        </w:rPr>
        <w:t>中</w:t>
      </w:r>
      <w:r>
        <w:rPr>
          <w:rFonts w:hint="eastAsia" w:ascii="宋体" w:hAnsi="宋体" w:cs="宋体"/>
          <w:color w:val="auto"/>
          <w:szCs w:val="21"/>
          <w:highlight w:val="none"/>
        </w:rPr>
        <w:t>标</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通知书（如有）和合同协议书，以及验收</w:t>
      </w:r>
      <w:r>
        <w:rPr>
          <w:rFonts w:hint="eastAsia" w:ascii="宋体" w:hAnsi="宋体" w:cs="宋体"/>
          <w:color w:val="auto"/>
          <w:szCs w:val="21"/>
          <w:highlight w:val="none"/>
          <w:lang w:val="en-US" w:eastAsia="zh-CN"/>
        </w:rPr>
        <w:t>报告</w:t>
      </w:r>
      <w:r>
        <w:rPr>
          <w:rFonts w:hint="eastAsia" w:ascii="宋体" w:hAnsi="宋体" w:cs="宋体"/>
          <w:color w:val="auto"/>
          <w:szCs w:val="21"/>
          <w:highlight w:val="none"/>
        </w:rPr>
        <w:t>（验收证明文件）（如有）等材料（具体以评标办法章节、投标须知前附表要求为准），具体年份时间要求见</w:t>
      </w:r>
      <w:r>
        <w:rPr>
          <w:rFonts w:hint="eastAsia" w:ascii="宋体" w:hAnsi="宋体" w:cs="宋体"/>
          <w:color w:val="auto"/>
          <w:szCs w:val="21"/>
          <w:highlight w:val="none"/>
          <w:lang w:val="en-US" w:eastAsia="zh-CN"/>
        </w:rPr>
        <w:t>招标公告</w:t>
      </w:r>
      <w:r>
        <w:rPr>
          <w:rFonts w:hint="eastAsia" w:ascii="宋体" w:hAnsi="宋体" w:cs="宋体"/>
          <w:color w:val="auto"/>
          <w:szCs w:val="21"/>
          <w:highlight w:val="none"/>
        </w:rPr>
        <w:t>。</w:t>
      </w:r>
    </w:p>
    <w:p w14:paraId="303938EF">
      <w:pPr>
        <w:rPr>
          <w:rFonts w:hint="eastAsia" w:ascii="宋体" w:hAnsi="宋体" w:cs="宋体"/>
          <w:color w:val="auto"/>
          <w:highlight w:val="none"/>
          <w:lang w:bidi="en-US"/>
        </w:rPr>
      </w:pPr>
    </w:p>
    <w:p w14:paraId="42F6082B">
      <w:pPr>
        <w:rPr>
          <w:rFonts w:hint="eastAsia" w:ascii="宋体" w:hAnsi="宋体" w:cs="宋体"/>
          <w:color w:val="auto"/>
          <w:highlight w:val="none"/>
          <w:lang w:bidi="en-US"/>
        </w:rPr>
      </w:pPr>
    </w:p>
    <w:p w14:paraId="159C31D7">
      <w:pPr>
        <w:pStyle w:val="3"/>
        <w:widowControl/>
        <w:spacing w:before="120" w:after="120" w:line="240" w:lineRule="auto"/>
        <w:jc w:val="center"/>
        <w:rPr>
          <w:rStyle w:val="101"/>
          <w:rFonts w:hint="eastAsia" w:ascii="宋体" w:hAnsi="宋体" w:eastAsia="宋体" w:cs="宋体"/>
          <w:b/>
          <w:bCs/>
          <w:color w:val="auto"/>
          <w:sz w:val="30"/>
          <w:szCs w:val="30"/>
          <w:highlight w:val="none"/>
          <w:lang w:val="en-US"/>
        </w:rPr>
      </w:pPr>
      <w:r>
        <w:rPr>
          <w:rFonts w:hint="eastAsia" w:ascii="宋体" w:hAnsi="宋体" w:cs="宋体"/>
          <w:color w:val="auto"/>
          <w:kern w:val="0"/>
          <w:szCs w:val="21"/>
          <w:highlight w:val="none"/>
        </w:rPr>
        <w:br w:type="page"/>
      </w:r>
      <w:r>
        <w:rPr>
          <w:rStyle w:val="101"/>
          <w:rFonts w:hint="eastAsia" w:ascii="宋体" w:hAnsi="宋体" w:eastAsia="宋体" w:cs="宋体"/>
          <w:b/>
          <w:bCs w:val="0"/>
          <w:color w:val="auto"/>
          <w:sz w:val="30"/>
          <w:szCs w:val="30"/>
          <w:highlight w:val="none"/>
          <w:lang w:val="en-US"/>
        </w:rPr>
        <w:t>十</w:t>
      </w:r>
      <w:r>
        <w:rPr>
          <w:rStyle w:val="101"/>
          <w:rFonts w:hint="eastAsia" w:ascii="宋体" w:hAnsi="宋体" w:eastAsia="宋体" w:cs="宋体"/>
          <w:b/>
          <w:bCs/>
          <w:color w:val="auto"/>
          <w:sz w:val="30"/>
          <w:szCs w:val="30"/>
          <w:highlight w:val="none"/>
          <w:lang w:val="en-US"/>
        </w:rPr>
        <w:t>、符合性审查与详细评审材料</w:t>
      </w:r>
    </w:p>
    <w:p w14:paraId="1F911EC4">
      <w:pPr>
        <w:widowControl/>
        <w:tabs>
          <w:tab w:val="left" w:pos="5580"/>
        </w:tabs>
        <w:wordWrap w:val="0"/>
        <w:adjustRightInd w:val="0"/>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w:t>
      </w:r>
    </w:p>
    <w:p w14:paraId="1D4E011B">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1．提供证明材料</w:t>
      </w:r>
      <w:r>
        <w:rPr>
          <w:rFonts w:hint="eastAsia" w:ascii="宋体" w:hAnsi="宋体" w:eastAsia="宋体" w:cs="宋体"/>
          <w:b/>
          <w:color w:val="auto"/>
          <w:sz w:val="21"/>
          <w:szCs w:val="21"/>
          <w:highlight w:val="none"/>
          <w:lang w:eastAsia="zh-CN"/>
        </w:rPr>
        <w:t>扫描件</w:t>
      </w:r>
      <w:r>
        <w:rPr>
          <w:rFonts w:hint="eastAsia" w:ascii="宋体" w:hAnsi="宋体" w:eastAsia="宋体" w:cs="宋体"/>
          <w:b/>
          <w:color w:val="auto"/>
          <w:sz w:val="21"/>
          <w:szCs w:val="21"/>
          <w:highlight w:val="none"/>
          <w:lang w:val="en-US" w:eastAsia="zh-CN"/>
        </w:rPr>
        <w:t>或电子证照</w:t>
      </w:r>
      <w:r>
        <w:rPr>
          <w:rFonts w:hint="eastAsia" w:ascii="宋体" w:hAnsi="宋体" w:eastAsia="宋体" w:cs="宋体"/>
          <w:color w:val="auto"/>
          <w:sz w:val="21"/>
          <w:szCs w:val="21"/>
          <w:highlight w:val="none"/>
        </w:rPr>
        <w:t>；</w:t>
      </w:r>
    </w:p>
    <w:p w14:paraId="1D56970C">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2．建议设置评审索引，以便评标委员会顺利开展评审工作；</w:t>
      </w:r>
    </w:p>
    <w:p w14:paraId="3C53A01F">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3．内容须清晰、明确，若提供相关资料内容模糊不清或无法辨认，评标委员会有权不予认可。</w:t>
      </w:r>
    </w:p>
    <w:p w14:paraId="2730C2AC">
      <w:pPr>
        <w:pStyle w:val="4"/>
        <w:widowControl/>
        <w:spacing w:before="120" w:after="120" w:line="240" w:lineRule="auto"/>
        <w:jc w:val="center"/>
        <w:outlineLvl w:val="2"/>
        <w:rPr>
          <w:rStyle w:val="101"/>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en-US"/>
        </w:rPr>
        <w:t>（一）商务要求偏离表</w:t>
      </w:r>
    </w:p>
    <w:p w14:paraId="0F492872">
      <w:pPr>
        <w:widowControl/>
        <w:spacing w:line="261" w:lineRule="auto"/>
        <w:ind w:left="120" w:right="40"/>
        <w:rPr>
          <w:rFonts w:hint="eastAsia" w:ascii="宋体" w:hAnsi="宋体" w:cs="宋体"/>
          <w:color w:val="auto"/>
          <w:kern w:val="0"/>
          <w:szCs w:val="21"/>
          <w:highlight w:val="none"/>
        </w:rPr>
      </w:pPr>
    </w:p>
    <w:tbl>
      <w:tblPr>
        <w:tblStyle w:val="45"/>
        <w:tblW w:w="9978" w:type="dxa"/>
        <w:tblInd w:w="0" w:type="dxa"/>
        <w:tblLayout w:type="fixed"/>
        <w:tblCellMar>
          <w:top w:w="0" w:type="dxa"/>
          <w:left w:w="108" w:type="dxa"/>
          <w:bottom w:w="0" w:type="dxa"/>
          <w:right w:w="108" w:type="dxa"/>
        </w:tblCellMar>
      </w:tblPr>
      <w:tblGrid>
        <w:gridCol w:w="738"/>
        <w:gridCol w:w="1370"/>
        <w:gridCol w:w="2382"/>
        <w:gridCol w:w="2553"/>
        <w:gridCol w:w="1570"/>
        <w:gridCol w:w="1365"/>
      </w:tblGrid>
      <w:tr w14:paraId="75CCE1D8">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4153BB7">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0" w:type="dxa"/>
            <w:tcBorders>
              <w:top w:val="single" w:color="000000" w:sz="4" w:space="0"/>
              <w:left w:val="nil"/>
              <w:bottom w:val="single" w:color="000000" w:sz="4" w:space="0"/>
              <w:right w:val="single" w:color="000000" w:sz="4" w:space="0"/>
            </w:tcBorders>
            <w:noWrap w:val="0"/>
            <w:vAlign w:val="center"/>
          </w:tcPr>
          <w:p w14:paraId="5370DAF2">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eastAsia="宋体" w:cs="宋体"/>
                <w:b/>
                <w:color w:val="auto"/>
                <w:kern w:val="0"/>
                <w:szCs w:val="21"/>
                <w:highlight w:val="none"/>
                <w:lang w:val="en-US" w:eastAsia="zh-CN"/>
              </w:rPr>
              <w:t>商务要求项</w:t>
            </w:r>
          </w:p>
        </w:tc>
        <w:tc>
          <w:tcPr>
            <w:tcW w:w="2382" w:type="dxa"/>
            <w:tcBorders>
              <w:top w:val="single" w:color="000000" w:sz="4" w:space="0"/>
              <w:left w:val="nil"/>
              <w:bottom w:val="single" w:color="000000" w:sz="4" w:space="0"/>
              <w:right w:val="single" w:color="000000" w:sz="4" w:space="0"/>
            </w:tcBorders>
            <w:noWrap w:val="0"/>
            <w:vAlign w:val="center"/>
          </w:tcPr>
          <w:p w14:paraId="1204AEF0">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79526B3F">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3E6D355C">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2F808452">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14E14FB8">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E634BB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70" w:type="dxa"/>
            <w:tcBorders>
              <w:top w:val="single" w:color="000000" w:sz="4" w:space="0"/>
              <w:left w:val="nil"/>
              <w:bottom w:val="single" w:color="000000" w:sz="4" w:space="0"/>
              <w:right w:val="single" w:color="000000" w:sz="4" w:space="0"/>
            </w:tcBorders>
            <w:noWrap w:val="0"/>
            <w:vAlign w:val="center"/>
          </w:tcPr>
          <w:p w14:paraId="59D4D6E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382" w:type="dxa"/>
            <w:tcBorders>
              <w:top w:val="single" w:color="000000" w:sz="4" w:space="0"/>
              <w:left w:val="nil"/>
              <w:bottom w:val="single" w:color="000000" w:sz="4" w:space="0"/>
              <w:right w:val="single" w:color="000000" w:sz="4" w:space="0"/>
            </w:tcBorders>
            <w:noWrap w:val="0"/>
            <w:vAlign w:val="center"/>
          </w:tcPr>
          <w:p w14:paraId="4A8706D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366FB0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6C6CED3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0D4CE36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1993A5AD">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D3E599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70" w:type="dxa"/>
            <w:tcBorders>
              <w:top w:val="single" w:color="000000" w:sz="4" w:space="0"/>
              <w:left w:val="nil"/>
              <w:bottom w:val="single" w:color="000000" w:sz="4" w:space="0"/>
              <w:right w:val="single" w:color="000000" w:sz="4" w:space="0"/>
            </w:tcBorders>
            <w:noWrap w:val="0"/>
            <w:vAlign w:val="center"/>
          </w:tcPr>
          <w:p w14:paraId="048C92C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382" w:type="dxa"/>
            <w:tcBorders>
              <w:top w:val="single" w:color="000000" w:sz="4" w:space="0"/>
              <w:left w:val="nil"/>
              <w:bottom w:val="single" w:color="000000" w:sz="4" w:space="0"/>
              <w:right w:val="single" w:color="000000" w:sz="4" w:space="0"/>
            </w:tcBorders>
            <w:noWrap w:val="0"/>
            <w:vAlign w:val="center"/>
          </w:tcPr>
          <w:p w14:paraId="009C922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283210E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6EF5E90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DC70D3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BC6AA35">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5BB1CDE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70" w:type="dxa"/>
            <w:tcBorders>
              <w:top w:val="single" w:color="000000" w:sz="4" w:space="0"/>
              <w:left w:val="nil"/>
              <w:bottom w:val="single" w:color="000000" w:sz="4" w:space="0"/>
              <w:right w:val="single" w:color="000000" w:sz="4" w:space="0"/>
            </w:tcBorders>
            <w:noWrap w:val="0"/>
            <w:vAlign w:val="center"/>
          </w:tcPr>
          <w:p w14:paraId="4C2DA3C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382" w:type="dxa"/>
            <w:tcBorders>
              <w:top w:val="single" w:color="000000" w:sz="4" w:space="0"/>
              <w:left w:val="nil"/>
              <w:bottom w:val="single" w:color="000000" w:sz="4" w:space="0"/>
              <w:right w:val="single" w:color="000000" w:sz="4" w:space="0"/>
            </w:tcBorders>
            <w:noWrap w:val="0"/>
            <w:vAlign w:val="center"/>
          </w:tcPr>
          <w:p w14:paraId="169858F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A2119C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5777E74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1417C12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219F062">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A84FC8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370" w:type="dxa"/>
            <w:tcBorders>
              <w:top w:val="single" w:color="000000" w:sz="4" w:space="0"/>
              <w:left w:val="nil"/>
              <w:bottom w:val="single" w:color="000000" w:sz="4" w:space="0"/>
              <w:right w:val="single" w:color="000000" w:sz="4" w:space="0"/>
            </w:tcBorders>
            <w:noWrap w:val="0"/>
            <w:vAlign w:val="center"/>
          </w:tcPr>
          <w:p w14:paraId="25844D9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382" w:type="dxa"/>
            <w:tcBorders>
              <w:top w:val="single" w:color="000000" w:sz="4" w:space="0"/>
              <w:left w:val="nil"/>
              <w:bottom w:val="single" w:color="000000" w:sz="4" w:space="0"/>
              <w:right w:val="single" w:color="000000" w:sz="4" w:space="0"/>
            </w:tcBorders>
            <w:noWrap w:val="0"/>
            <w:vAlign w:val="center"/>
          </w:tcPr>
          <w:p w14:paraId="506FB3C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3E95F92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6A10F7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3E4C8E3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084382A">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53D6CAC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70" w:type="dxa"/>
            <w:tcBorders>
              <w:top w:val="single" w:color="000000" w:sz="4" w:space="0"/>
              <w:left w:val="nil"/>
              <w:bottom w:val="single" w:color="000000" w:sz="4" w:space="0"/>
              <w:right w:val="single" w:color="000000" w:sz="4" w:space="0"/>
            </w:tcBorders>
            <w:noWrap w:val="0"/>
            <w:vAlign w:val="center"/>
          </w:tcPr>
          <w:p w14:paraId="0DBD27C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382" w:type="dxa"/>
            <w:tcBorders>
              <w:top w:val="single" w:color="000000" w:sz="4" w:space="0"/>
              <w:left w:val="nil"/>
              <w:bottom w:val="single" w:color="000000" w:sz="4" w:space="0"/>
              <w:right w:val="single" w:color="000000" w:sz="4" w:space="0"/>
            </w:tcBorders>
            <w:noWrap w:val="0"/>
            <w:vAlign w:val="center"/>
          </w:tcPr>
          <w:p w14:paraId="2B14617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AA3028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02AF7F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54761C3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036B961B">
      <w:pPr>
        <w:rPr>
          <w:rFonts w:hint="eastAsia" w:ascii="宋体" w:hAnsi="宋体" w:cs="宋体"/>
          <w:color w:val="auto"/>
          <w:szCs w:val="21"/>
          <w:highlight w:val="none"/>
        </w:rPr>
      </w:pPr>
      <w:r>
        <w:rPr>
          <w:rFonts w:hint="eastAsia" w:ascii="宋体" w:hAnsi="宋体" w:cs="宋体"/>
          <w:color w:val="auto"/>
          <w:szCs w:val="21"/>
          <w:highlight w:val="none"/>
        </w:rPr>
        <w:t>投标人保证：除商务</w:t>
      </w:r>
      <w:r>
        <w:rPr>
          <w:rFonts w:hint="eastAsia" w:ascii="宋体" w:hAnsi="宋体" w:cs="宋体"/>
          <w:color w:val="auto"/>
          <w:szCs w:val="21"/>
          <w:highlight w:val="none"/>
          <w:lang w:val="en-US" w:eastAsia="zh-CN"/>
        </w:rPr>
        <w:t>要求偏离</w:t>
      </w:r>
      <w:r>
        <w:rPr>
          <w:rFonts w:hint="eastAsia" w:ascii="宋体" w:hAnsi="宋体" w:cs="宋体"/>
          <w:color w:val="auto"/>
          <w:szCs w:val="21"/>
          <w:highlight w:val="none"/>
        </w:rPr>
        <w:t>表列出的偏差外，投标人响应招标文件的全部要求。</w:t>
      </w:r>
    </w:p>
    <w:p w14:paraId="7E02F7AC">
      <w:pPr>
        <w:widowControl/>
        <w:spacing w:line="360" w:lineRule="exact"/>
        <w:ind w:firstLine="411" w:firstLineChars="196"/>
        <w:rPr>
          <w:rFonts w:hint="eastAsia" w:ascii="宋体" w:hAnsi="宋体" w:cs="宋体"/>
          <w:color w:val="auto"/>
          <w:highlight w:val="none"/>
        </w:rPr>
      </w:pPr>
    </w:p>
    <w:p w14:paraId="30D3B993">
      <w:pPr>
        <w:pStyle w:val="4"/>
        <w:widowControl/>
        <w:spacing w:before="120" w:after="120" w:line="240" w:lineRule="auto"/>
        <w:jc w:val="center"/>
        <w:outlineLvl w:val="2"/>
        <w:rPr>
          <w:rStyle w:val="101"/>
          <w:rFonts w:hint="eastAsia" w:ascii="宋体" w:hAnsi="宋体" w:eastAsia="宋体" w:cs="宋体"/>
          <w:b/>
          <w:bCs w:val="0"/>
          <w:color w:val="auto"/>
          <w:sz w:val="30"/>
          <w:szCs w:val="30"/>
          <w:highlight w:val="none"/>
        </w:rPr>
      </w:pPr>
      <w:r>
        <w:rPr>
          <w:rFonts w:hint="eastAsia" w:ascii="宋体" w:hAnsi="宋体" w:eastAsia="宋体" w:cs="宋体"/>
          <w:b/>
          <w:bCs/>
          <w:color w:val="auto"/>
          <w:kern w:val="0"/>
          <w:sz w:val="24"/>
          <w:szCs w:val="24"/>
          <w:highlight w:val="none"/>
          <w:lang w:val="en-US" w:eastAsia="zh-CN" w:bidi="en-US"/>
        </w:rPr>
        <w:t>（二）技术要求偏离表</w:t>
      </w:r>
    </w:p>
    <w:tbl>
      <w:tblPr>
        <w:tblStyle w:val="45"/>
        <w:tblW w:w="9938" w:type="dxa"/>
        <w:tblInd w:w="93" w:type="dxa"/>
        <w:tblLayout w:type="fixed"/>
        <w:tblCellMar>
          <w:top w:w="0" w:type="dxa"/>
          <w:left w:w="108" w:type="dxa"/>
          <w:bottom w:w="0" w:type="dxa"/>
          <w:right w:w="108" w:type="dxa"/>
        </w:tblCellMar>
      </w:tblPr>
      <w:tblGrid>
        <w:gridCol w:w="1023"/>
        <w:gridCol w:w="1372"/>
        <w:gridCol w:w="2173"/>
        <w:gridCol w:w="2107"/>
        <w:gridCol w:w="1845"/>
        <w:gridCol w:w="1418"/>
      </w:tblGrid>
      <w:tr w14:paraId="191E6EAC">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auto" w:sz="4" w:space="0"/>
              <w:right w:val="single" w:color="000000" w:sz="4" w:space="0"/>
            </w:tcBorders>
            <w:noWrap w:val="0"/>
            <w:vAlign w:val="center"/>
          </w:tcPr>
          <w:p w14:paraId="6F6E9B85">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r>
              <w:rPr>
                <w:rFonts w:hint="eastAsia" w:ascii="宋体" w:hAnsi="宋体" w:cs="宋体"/>
                <w:b/>
                <w:bCs w:val="0"/>
                <w:color w:val="auto"/>
                <w:kern w:val="0"/>
                <w:sz w:val="21"/>
                <w:szCs w:val="21"/>
                <w:highlight w:val="none"/>
              </w:rPr>
              <w:t>序号</w:t>
            </w:r>
          </w:p>
        </w:tc>
        <w:tc>
          <w:tcPr>
            <w:tcW w:w="1372" w:type="dxa"/>
            <w:tcBorders>
              <w:top w:val="single" w:color="000000" w:sz="4" w:space="0"/>
              <w:left w:val="nil"/>
              <w:bottom w:val="single" w:color="auto" w:sz="4" w:space="0"/>
              <w:right w:val="single" w:color="000000" w:sz="4" w:space="0"/>
            </w:tcBorders>
            <w:noWrap w:val="0"/>
            <w:vAlign w:val="center"/>
          </w:tcPr>
          <w:p w14:paraId="221242FD">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技术要求项</w:t>
            </w:r>
          </w:p>
          <w:p w14:paraId="07687D5E">
            <w:pPr>
              <w:keepNext w:val="0"/>
              <w:keepLines w:val="0"/>
              <w:widowControl/>
              <w:suppressLineNumbers w:val="0"/>
              <w:spacing w:before="0" w:beforeAutospacing="0" w:after="0" w:afterAutospacing="0"/>
              <w:ind w:left="0" w:right="0"/>
              <w:jc w:val="center"/>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条款号</w:t>
            </w:r>
          </w:p>
        </w:tc>
        <w:tc>
          <w:tcPr>
            <w:tcW w:w="2173" w:type="dxa"/>
            <w:tcBorders>
              <w:top w:val="single" w:color="000000" w:sz="4" w:space="0"/>
              <w:left w:val="nil"/>
              <w:bottom w:val="single" w:color="000000" w:sz="4" w:space="0"/>
              <w:right w:val="single" w:color="000000" w:sz="4" w:space="0"/>
            </w:tcBorders>
            <w:noWrap w:val="0"/>
            <w:vAlign w:val="center"/>
          </w:tcPr>
          <w:p w14:paraId="3CE29C36">
            <w:pPr>
              <w:keepNext w:val="0"/>
              <w:keepLines w:val="0"/>
              <w:widowControl/>
              <w:suppressLineNumbers w:val="0"/>
              <w:spacing w:before="0" w:beforeAutospacing="0" w:after="0" w:afterAutospacing="0"/>
              <w:ind w:left="0" w:right="0"/>
              <w:jc w:val="center"/>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rPr>
              <w:t>招标</w:t>
            </w:r>
            <w:r>
              <w:rPr>
                <w:rFonts w:hint="eastAsia" w:ascii="宋体" w:hAnsi="宋体" w:cs="宋体"/>
                <w:b/>
                <w:bCs w:val="0"/>
                <w:color w:val="auto"/>
                <w:kern w:val="0"/>
                <w:sz w:val="21"/>
                <w:szCs w:val="21"/>
                <w:highlight w:val="none"/>
                <w:lang w:val="en-US" w:eastAsia="zh-CN"/>
              </w:rPr>
              <w:t>文件的条款</w:t>
            </w:r>
          </w:p>
        </w:tc>
        <w:tc>
          <w:tcPr>
            <w:tcW w:w="2107" w:type="dxa"/>
            <w:tcBorders>
              <w:top w:val="single" w:color="000000" w:sz="4" w:space="0"/>
              <w:left w:val="nil"/>
              <w:bottom w:val="single" w:color="000000" w:sz="4" w:space="0"/>
              <w:right w:val="single" w:color="000000" w:sz="4" w:space="0"/>
            </w:tcBorders>
            <w:noWrap w:val="0"/>
            <w:vAlign w:val="center"/>
          </w:tcPr>
          <w:p w14:paraId="1583A64D">
            <w:pPr>
              <w:keepNext w:val="0"/>
              <w:keepLines w:val="0"/>
              <w:widowControl/>
              <w:suppressLineNumbers w:val="0"/>
              <w:spacing w:before="0" w:beforeAutospacing="0" w:after="0" w:afterAutospacing="0"/>
              <w:ind w:left="0" w:right="0"/>
              <w:jc w:val="center"/>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rPr>
              <w:t>投标</w:t>
            </w:r>
            <w:r>
              <w:rPr>
                <w:rFonts w:hint="eastAsia" w:ascii="宋体" w:hAnsi="宋体" w:cs="宋体"/>
                <w:b/>
                <w:bCs w:val="0"/>
                <w:color w:val="auto"/>
                <w:kern w:val="0"/>
                <w:sz w:val="21"/>
                <w:szCs w:val="21"/>
                <w:highlight w:val="none"/>
                <w:lang w:val="en-US" w:eastAsia="zh-CN"/>
              </w:rPr>
              <w:t>文件的条款</w:t>
            </w:r>
          </w:p>
        </w:tc>
        <w:tc>
          <w:tcPr>
            <w:tcW w:w="1845" w:type="dxa"/>
            <w:tcBorders>
              <w:top w:val="single" w:color="000000" w:sz="4" w:space="0"/>
              <w:left w:val="nil"/>
              <w:bottom w:val="single" w:color="000000" w:sz="4" w:space="0"/>
              <w:right w:val="single" w:color="000000" w:sz="4" w:space="0"/>
            </w:tcBorders>
            <w:noWrap w:val="0"/>
            <w:vAlign w:val="center"/>
          </w:tcPr>
          <w:p w14:paraId="64D856B9">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r>
              <w:rPr>
                <w:rFonts w:hint="eastAsia" w:ascii="宋体" w:hAnsi="宋体" w:cs="宋体"/>
                <w:b/>
                <w:bCs w:val="0"/>
                <w:color w:val="auto"/>
                <w:kern w:val="0"/>
                <w:sz w:val="21"/>
                <w:szCs w:val="21"/>
                <w:highlight w:val="none"/>
              </w:rPr>
              <w:t>偏离说明</w:t>
            </w:r>
          </w:p>
        </w:tc>
        <w:tc>
          <w:tcPr>
            <w:tcW w:w="1418" w:type="dxa"/>
            <w:tcBorders>
              <w:top w:val="single" w:color="000000" w:sz="4" w:space="0"/>
              <w:left w:val="nil"/>
              <w:bottom w:val="single" w:color="000000" w:sz="4" w:space="0"/>
              <w:right w:val="single" w:color="000000" w:sz="4" w:space="0"/>
            </w:tcBorders>
            <w:noWrap w:val="0"/>
            <w:vAlign w:val="top"/>
          </w:tcPr>
          <w:p w14:paraId="44D2FD2A">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r>
              <w:rPr>
                <w:rFonts w:hint="eastAsia" w:ascii="宋体" w:hAnsi="宋体" w:cs="宋体"/>
                <w:b/>
                <w:bCs w:val="0"/>
                <w:color w:val="auto"/>
                <w:kern w:val="0"/>
                <w:sz w:val="21"/>
                <w:szCs w:val="21"/>
                <w:highlight w:val="none"/>
              </w:rPr>
              <w:t>备注</w:t>
            </w:r>
          </w:p>
        </w:tc>
      </w:tr>
      <w:tr w14:paraId="3A05577C">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4AF5DDEF">
            <w:pPr>
              <w:keepNext w:val="0"/>
              <w:keepLines w:val="0"/>
              <w:widowControl/>
              <w:suppressLineNumbers w:val="0"/>
              <w:spacing w:before="0" w:beforeAutospacing="0" w:after="0" w:afterAutospacing="0"/>
              <w:ind w:left="0" w:right="0"/>
              <w:rPr>
                <w:rFonts w:hint="eastAsia" w:ascii="宋体" w:hAnsi="宋体" w:cs="宋体"/>
                <w:b/>
                <w:bCs w:val="0"/>
                <w:color w:val="auto"/>
                <w:kern w:val="0"/>
                <w:sz w:val="21"/>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3E27E6B1">
            <w:pPr>
              <w:keepNext w:val="0"/>
              <w:keepLines w:val="0"/>
              <w:widowControl/>
              <w:suppressLineNumbers w:val="0"/>
              <w:spacing w:before="0" w:beforeAutospacing="0" w:after="0" w:afterAutospacing="0"/>
              <w:ind w:left="0" w:right="0"/>
              <w:rPr>
                <w:rFonts w:hint="eastAsia" w:ascii="宋体" w:hAnsi="宋体" w:cs="宋体"/>
                <w:b/>
                <w:bCs w:val="0"/>
                <w:color w:val="auto"/>
                <w:kern w:val="0"/>
                <w:sz w:val="21"/>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68914524">
            <w:pPr>
              <w:keepNext w:val="0"/>
              <w:keepLines w:val="0"/>
              <w:widowControl/>
              <w:suppressLineNumbers w:val="0"/>
              <w:spacing w:before="0" w:beforeAutospacing="0" w:after="0" w:afterAutospacing="0"/>
              <w:ind w:left="0" w:right="0"/>
              <w:rPr>
                <w:rFonts w:hint="eastAsia" w:ascii="宋体" w:hAnsi="宋体" w:cs="宋体"/>
                <w:b/>
                <w:bCs w:val="0"/>
                <w:color w:val="auto"/>
                <w:kern w:val="0"/>
                <w:sz w:val="21"/>
                <w:szCs w:val="21"/>
                <w:highlight w:val="none"/>
              </w:rPr>
            </w:pPr>
          </w:p>
        </w:tc>
        <w:tc>
          <w:tcPr>
            <w:tcW w:w="2107" w:type="dxa"/>
            <w:tcBorders>
              <w:top w:val="single" w:color="000000" w:sz="4" w:space="0"/>
              <w:left w:val="nil"/>
              <w:bottom w:val="single" w:color="000000" w:sz="4" w:space="0"/>
              <w:right w:val="single" w:color="000000" w:sz="4" w:space="0"/>
            </w:tcBorders>
            <w:noWrap w:val="0"/>
            <w:vAlign w:val="center"/>
          </w:tcPr>
          <w:p w14:paraId="4D62D18A">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80A2005">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371603D1">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r>
      <w:tr w14:paraId="7C674178">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6D5C23AF">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66DC3027">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9C71B34">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7AFDC4A3">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E413DAE">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55D1E7CD">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r>
      <w:tr w14:paraId="0BBBE726">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auto" w:sz="4" w:space="0"/>
              <w:right w:val="single" w:color="000000" w:sz="4" w:space="0"/>
            </w:tcBorders>
            <w:noWrap w:val="0"/>
            <w:vAlign w:val="center"/>
          </w:tcPr>
          <w:p w14:paraId="4D3ADF91">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1372" w:type="dxa"/>
            <w:vMerge w:val="continue"/>
            <w:tcBorders>
              <w:top w:val="nil"/>
              <w:left w:val="nil"/>
              <w:bottom w:val="single" w:color="auto" w:sz="4" w:space="0"/>
              <w:right w:val="single" w:color="000000" w:sz="4" w:space="0"/>
            </w:tcBorders>
            <w:noWrap w:val="0"/>
            <w:vAlign w:val="center"/>
          </w:tcPr>
          <w:p w14:paraId="71844765">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3DB5C60A">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2991CFDB">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79FB6962">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4A2D138">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r>
      <w:tr w14:paraId="0DF8DE09">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662B0FE2">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11C6C880">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59CF4146">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31F1CA9D">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A608FBD">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506004C">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r>
      <w:tr w14:paraId="62028394">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72A4C17F">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2FF74E0A">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4AE40131">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7FD9003E">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56E28E0F">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4D2C343D">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r>
      <w:tr w14:paraId="75C12F6A">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188357E6">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3B69A2DB">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413A7BB8">
            <w:pPr>
              <w:keepNext w:val="0"/>
              <w:keepLines w:val="0"/>
              <w:widowControl/>
              <w:suppressLineNumbers w:val="0"/>
              <w:spacing w:before="0" w:beforeAutospacing="0" w:after="0" w:afterAutospacing="0"/>
              <w:ind w:left="0" w:right="0"/>
              <w:jc w:val="left"/>
              <w:rPr>
                <w:rFonts w:hint="eastAsia" w:ascii="宋体" w:hAnsi="宋体" w:cs="宋体"/>
                <w:b/>
                <w:bCs w:val="0"/>
                <w:color w:val="auto"/>
                <w:kern w:val="0"/>
                <w:sz w:val="21"/>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2A06ADB8">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372EFFF7">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4070E471">
            <w:pPr>
              <w:keepNext w:val="0"/>
              <w:keepLines w:val="0"/>
              <w:widowControl/>
              <w:suppressLineNumbers w:val="0"/>
              <w:spacing w:before="0" w:beforeAutospacing="0" w:after="0" w:afterAutospacing="0"/>
              <w:ind w:left="0" w:right="0"/>
              <w:jc w:val="center"/>
              <w:rPr>
                <w:rFonts w:hint="eastAsia" w:ascii="宋体" w:hAnsi="宋体" w:cs="宋体"/>
                <w:b/>
                <w:bCs w:val="0"/>
                <w:color w:val="auto"/>
                <w:kern w:val="0"/>
                <w:sz w:val="21"/>
                <w:szCs w:val="21"/>
                <w:highlight w:val="none"/>
              </w:rPr>
            </w:pPr>
          </w:p>
        </w:tc>
      </w:tr>
    </w:tbl>
    <w:p w14:paraId="7B25B207">
      <w:pPr>
        <w:rPr>
          <w:rFonts w:hint="eastAsia" w:ascii="宋体" w:hAnsi="宋体" w:cs="宋体"/>
          <w:color w:val="auto"/>
          <w:szCs w:val="21"/>
          <w:highlight w:val="none"/>
        </w:rPr>
      </w:pPr>
      <w:r>
        <w:rPr>
          <w:rFonts w:hint="eastAsia" w:ascii="宋体" w:hAnsi="宋体" w:cs="宋体"/>
          <w:color w:val="auto"/>
          <w:szCs w:val="21"/>
          <w:highlight w:val="none"/>
        </w:rPr>
        <w:t>投标人保证：除技术</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偏</w:t>
      </w:r>
      <w:r>
        <w:rPr>
          <w:rFonts w:hint="eastAsia" w:ascii="宋体" w:hAnsi="宋体" w:cs="宋体"/>
          <w:color w:val="auto"/>
          <w:szCs w:val="21"/>
          <w:highlight w:val="none"/>
          <w:lang w:val="en-US" w:eastAsia="zh-CN"/>
        </w:rPr>
        <w:t>离</w:t>
      </w:r>
      <w:r>
        <w:rPr>
          <w:rFonts w:hint="eastAsia" w:ascii="宋体" w:hAnsi="宋体" w:cs="宋体"/>
          <w:color w:val="auto"/>
          <w:szCs w:val="21"/>
          <w:highlight w:val="none"/>
        </w:rPr>
        <w:t>表列出的偏差外，投标人响应招标文件的全部要求。</w:t>
      </w:r>
    </w:p>
    <w:p w14:paraId="1487D77F">
      <w:pPr>
        <w:widowControl/>
        <w:spacing w:line="360" w:lineRule="exact"/>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734B5C84">
      <w:pPr>
        <w:widowControl/>
        <w:spacing w:line="360" w:lineRule="exact"/>
        <w:ind w:firstLine="470" w:firstLineChars="196"/>
        <w:rPr>
          <w:rFonts w:hint="eastAsia" w:ascii="宋体" w:hAnsi="宋体" w:cs="宋体"/>
          <w:color w:val="auto"/>
          <w:kern w:val="0"/>
          <w:sz w:val="24"/>
          <w:highlight w:val="none"/>
        </w:rPr>
      </w:pPr>
    </w:p>
    <w:p w14:paraId="43913C62">
      <w:pPr>
        <w:pStyle w:val="4"/>
        <w:bidi w:val="0"/>
        <w:jc w:val="center"/>
        <w:rPr>
          <w:rStyle w:val="101"/>
          <w:rFonts w:hint="eastAsia" w:ascii="宋体" w:hAnsi="宋体" w:eastAsia="宋体" w:cs="宋体"/>
          <w:b/>
          <w:bCs w:val="0"/>
          <w:color w:val="auto"/>
          <w:sz w:val="24"/>
          <w:szCs w:val="24"/>
          <w:highlight w:val="none"/>
        </w:rPr>
      </w:pPr>
      <w:r>
        <w:rPr>
          <w:rFonts w:hint="eastAsia" w:ascii="宋体" w:hAnsi="宋体" w:cs="宋体"/>
          <w:color w:val="auto"/>
          <w:highlight w:val="none"/>
        </w:rPr>
        <w:br w:type="page"/>
      </w:r>
      <w:bookmarkStart w:id="849" w:name="_Toc445554795"/>
      <w:bookmarkStart w:id="850" w:name="_Toc466024598"/>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）服务方案</w:t>
      </w:r>
    </w:p>
    <w:bookmarkEnd w:id="849"/>
    <w:bookmarkEnd w:id="850"/>
    <w:p w14:paraId="7C3D9A5F">
      <w:pPr>
        <w:autoSpaceDE w:val="0"/>
        <w:autoSpaceDN w:val="0"/>
        <w:spacing w:line="360" w:lineRule="auto"/>
        <w:jc w:val="left"/>
        <w:rPr>
          <w:rFonts w:ascii="宋体" w:hAnsi="宋体" w:eastAsia="宋体" w:cs="仿宋_GB2312"/>
          <w:color w:val="auto"/>
          <w:sz w:val="24"/>
          <w:szCs w:val="24"/>
          <w:highlight w:val="none"/>
        </w:rPr>
      </w:pPr>
      <w:bookmarkStart w:id="851" w:name="_Toc445554798"/>
      <w:bookmarkStart w:id="852" w:name="_Toc455587133"/>
      <w:r>
        <w:rPr>
          <w:rFonts w:hint="eastAsia" w:ascii="宋体" w:hAnsi="宋体" w:eastAsia="宋体" w:cs="仿宋_GB2312"/>
          <w:color w:val="auto"/>
          <w:sz w:val="24"/>
          <w:szCs w:val="24"/>
          <w:highlight w:val="none"/>
        </w:rPr>
        <w:t>（由</w:t>
      </w:r>
      <w:r>
        <w:rPr>
          <w:rFonts w:hint="eastAsia" w:ascii="宋体" w:hAnsi="宋体" w:eastAsia="宋体" w:cs="仿宋_GB2312"/>
          <w:color w:val="auto"/>
          <w:kern w:val="0"/>
          <w:sz w:val="24"/>
          <w:szCs w:val="24"/>
          <w:highlight w:val="none"/>
        </w:rPr>
        <w:t>供应商</w:t>
      </w:r>
      <w:r>
        <w:rPr>
          <w:rFonts w:hint="eastAsia" w:ascii="宋体" w:hAnsi="宋体" w:eastAsia="宋体" w:cs="仿宋_GB2312"/>
          <w:color w:val="auto"/>
          <w:sz w:val="24"/>
          <w:szCs w:val="24"/>
          <w:highlight w:val="none"/>
        </w:rPr>
        <w:t>根据</w:t>
      </w:r>
      <w:r>
        <w:rPr>
          <w:rFonts w:hint="eastAsia" w:ascii="宋体" w:hAnsi="宋体" w:eastAsia="宋体" w:cs="仿宋_GB2312"/>
          <w:color w:val="auto"/>
          <w:sz w:val="24"/>
          <w:szCs w:val="24"/>
          <w:highlight w:val="none"/>
          <w:lang w:val="en-US" w:eastAsia="zh-CN"/>
        </w:rPr>
        <w:t>招标</w:t>
      </w:r>
      <w:r>
        <w:rPr>
          <w:rFonts w:hint="eastAsia" w:ascii="宋体" w:hAnsi="宋体" w:eastAsia="宋体" w:cs="仿宋_GB2312"/>
          <w:color w:val="auto"/>
          <w:sz w:val="24"/>
          <w:szCs w:val="24"/>
          <w:highlight w:val="none"/>
        </w:rPr>
        <w:t>文件要求自行编制）</w:t>
      </w:r>
    </w:p>
    <w:bookmarkEnd w:id="851"/>
    <w:bookmarkEnd w:id="852"/>
    <w:p w14:paraId="2B8CA86E">
      <w:pPr>
        <w:widowControl/>
        <w:jc w:val="left"/>
        <w:rPr>
          <w:rFonts w:hint="eastAsia" w:ascii="宋体" w:hAnsi="宋体" w:cs="宋体"/>
          <w:color w:val="auto"/>
          <w:highlight w:val="none"/>
        </w:rPr>
      </w:pPr>
    </w:p>
    <w:p w14:paraId="5EB0F0A4">
      <w:pPr>
        <w:widowControl/>
        <w:jc w:val="left"/>
        <w:rPr>
          <w:rFonts w:hint="eastAsia" w:ascii="宋体" w:hAnsi="宋体" w:cs="宋体"/>
          <w:color w:val="auto"/>
          <w:highlight w:val="none"/>
        </w:rPr>
      </w:pPr>
    </w:p>
    <w:p w14:paraId="3066BA2C">
      <w:pPr>
        <w:widowControl/>
        <w:jc w:val="left"/>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7CA83FE2">
      <w:pPr>
        <w:spacing w:line="360" w:lineRule="auto"/>
        <w:jc w:val="center"/>
        <w:outlineLvl w:val="2"/>
        <w:rPr>
          <w:rFonts w:hint="eastAsia" w:ascii="宋体" w:hAnsi="宋体" w:eastAsia="宋体" w:cs="宋体"/>
          <w:b/>
          <w:bCs/>
          <w:color w:val="auto"/>
          <w:kern w:val="0"/>
          <w:sz w:val="24"/>
          <w:szCs w:val="24"/>
          <w:highlight w:val="none"/>
          <w:lang w:eastAsia="zh-CN" w:bidi="en-US"/>
        </w:rPr>
      </w:pPr>
      <w:r>
        <w:rPr>
          <w:rFonts w:hint="eastAsia" w:ascii="宋体" w:hAnsi="宋体" w:eastAsia="宋体" w:cs="宋体"/>
          <w:b/>
          <w:bCs/>
          <w:iCs w:val="0"/>
          <w:color w:val="auto"/>
          <w:kern w:val="0"/>
          <w:sz w:val="24"/>
          <w:szCs w:val="24"/>
          <w:highlight w:val="none"/>
          <w:lang w:val="en-US" w:eastAsia="zh-CN" w:bidi="en-US"/>
        </w:rPr>
        <w:t>（四）</w:t>
      </w:r>
      <w:r>
        <w:rPr>
          <w:rFonts w:hint="eastAsia" w:ascii="宋体" w:hAnsi="宋体" w:eastAsia="宋体" w:cs="宋体"/>
          <w:b/>
          <w:bCs/>
          <w:color w:val="auto"/>
          <w:kern w:val="0"/>
          <w:sz w:val="24"/>
          <w:szCs w:val="24"/>
          <w:highlight w:val="none"/>
          <w:lang w:val="en-US" w:eastAsia="zh-CN" w:bidi="en-US"/>
        </w:rPr>
        <w:t>用于评标的</w:t>
      </w:r>
      <w:r>
        <w:rPr>
          <w:rFonts w:hint="eastAsia" w:ascii="宋体" w:hAnsi="宋体" w:eastAsia="宋体" w:cs="宋体"/>
          <w:b/>
          <w:bCs/>
          <w:color w:val="auto"/>
          <w:kern w:val="0"/>
          <w:sz w:val="24"/>
          <w:szCs w:val="24"/>
          <w:highlight w:val="none"/>
          <w:lang w:eastAsia="zh-CN" w:bidi="en-US"/>
        </w:rPr>
        <w:t>业绩证明材料</w:t>
      </w:r>
    </w:p>
    <w:p w14:paraId="72487534">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业绩承诺函</w:t>
      </w:r>
    </w:p>
    <w:p w14:paraId="3858A63B">
      <w:pPr>
        <w:pStyle w:val="25"/>
        <w:spacing w:line="360" w:lineRule="auto"/>
        <w:rPr>
          <w:rFonts w:hint="eastAsia" w:hAnsi="宋体" w:eastAsia="宋体" w:cs="宋体"/>
          <w:b/>
          <w:color w:val="auto"/>
          <w:sz w:val="21"/>
          <w:highlight w:val="none"/>
          <w:u w:val="single"/>
          <w:lang w:eastAsia="zh-CN"/>
        </w:rPr>
      </w:pPr>
      <w:r>
        <w:rPr>
          <w:rFonts w:hint="eastAsia" w:hAnsi="宋体" w:cs="宋体"/>
          <w:color w:val="auto"/>
          <w:sz w:val="21"/>
          <w:highlight w:val="none"/>
        </w:rPr>
        <w:t>致：</w:t>
      </w:r>
      <w:r>
        <w:rPr>
          <w:rFonts w:hint="eastAsia" w:hAnsi="宋体" w:cs="宋体"/>
          <w:color w:val="auto"/>
          <w:sz w:val="21"/>
          <w:highlight w:val="none"/>
          <w:lang w:eastAsia="zh-CN"/>
        </w:rPr>
        <w:t>安徽医科大学第一附属医院</w:t>
      </w:r>
    </w:p>
    <w:p w14:paraId="363E6B3A">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6804FEF6">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20609A60">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783FB715">
      <w:pPr>
        <w:jc w:val="center"/>
        <w:rPr>
          <w:rFonts w:hint="eastAsia" w:ascii="宋体" w:hAnsi="宋体" w:cs="宋体"/>
          <w:color w:val="auto"/>
          <w:sz w:val="28"/>
          <w:highlight w:val="none"/>
        </w:rPr>
      </w:pPr>
    </w:p>
    <w:p w14:paraId="033B576A">
      <w:pPr>
        <w:jc w:val="center"/>
        <w:rPr>
          <w:rFonts w:hint="eastAsia" w:ascii="宋体" w:hAnsi="宋体" w:cs="宋体"/>
          <w:color w:val="auto"/>
          <w:sz w:val="28"/>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业绩汇总表</w:t>
      </w:r>
    </w:p>
    <w:tbl>
      <w:tblPr>
        <w:tblStyle w:val="45"/>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3BA1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3D76516">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54213EA0">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72F3B46E">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64FD341E">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4073B2B0">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398AFE99">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094A8C51">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12E99F74">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46D4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0FBF196">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4B56E09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1E72697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1998282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22FF280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27B8577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2AFB5890">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5898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874C07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640EF4D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38E1F18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2EEDB8F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70A108A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7DD8DE5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472FFB79">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A9C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D298380">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40CEFC8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3A8C786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57EE070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4248906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4F9A010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0DEB238A">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E8B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9A5CD35">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775F87F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15297F1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79FE75C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F60F05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179A905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4E9E435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287C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2965A7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65A64C2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42C3088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13772D9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B752FC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4917970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61057E8D">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B59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841CDFD">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22E29A3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987D60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6858846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3BD04EA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6CAC3C0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2B001D67">
            <w:pPr>
              <w:keepNext w:val="0"/>
              <w:keepLines w:val="0"/>
              <w:suppressLineNumbers w:val="0"/>
              <w:spacing w:before="0" w:beforeAutospacing="0" w:after="0" w:afterAutospacing="0"/>
              <w:ind w:left="0" w:right="0"/>
              <w:rPr>
                <w:rFonts w:hint="eastAsia" w:ascii="宋体" w:hAnsi="宋体" w:cs="宋体"/>
                <w:color w:val="auto"/>
                <w:highlight w:val="none"/>
              </w:rPr>
            </w:pPr>
          </w:p>
        </w:tc>
      </w:tr>
    </w:tbl>
    <w:p w14:paraId="2C2883F3">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w:t>
      </w:r>
      <w:r>
        <w:rPr>
          <w:rFonts w:hint="eastAsia" w:ascii="宋体" w:hAnsi="宋体" w:eastAsia="宋体" w:cs="宋体"/>
          <w:color w:val="auto"/>
          <w:szCs w:val="21"/>
          <w:highlight w:val="none"/>
        </w:rPr>
        <w:t>中</w:t>
      </w:r>
      <w:r>
        <w:rPr>
          <w:rFonts w:hint="eastAsia" w:ascii="宋体" w:hAnsi="宋体" w:cs="宋体"/>
          <w:color w:val="auto"/>
          <w:szCs w:val="21"/>
          <w:highlight w:val="none"/>
        </w:rPr>
        <w:t>标</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通知书（如有）和合同协议书，以及验收</w:t>
      </w:r>
      <w:r>
        <w:rPr>
          <w:rFonts w:hint="eastAsia" w:ascii="宋体" w:hAnsi="宋体" w:cs="宋体"/>
          <w:color w:val="auto"/>
          <w:szCs w:val="21"/>
          <w:highlight w:val="none"/>
          <w:lang w:val="en-US" w:eastAsia="zh-CN"/>
        </w:rPr>
        <w:t>报告</w:t>
      </w:r>
      <w:r>
        <w:rPr>
          <w:rFonts w:hint="eastAsia" w:ascii="宋体" w:hAnsi="宋体" w:cs="宋体"/>
          <w:color w:val="auto"/>
          <w:szCs w:val="21"/>
          <w:highlight w:val="none"/>
        </w:rPr>
        <w:t>（验收证明文件）（如有）等材料（具体以评标办法章节要求为准），具体年份时间要求见评标办法章节。</w:t>
      </w:r>
    </w:p>
    <w:p w14:paraId="151FFA39">
      <w:pPr>
        <w:rPr>
          <w:rFonts w:hint="eastAsia" w:ascii="宋体" w:hAnsi="宋体" w:cs="宋体"/>
          <w:color w:val="auto"/>
          <w:highlight w:val="none"/>
          <w:lang w:bidi="en-US"/>
        </w:rPr>
      </w:pPr>
    </w:p>
    <w:p w14:paraId="29F17667">
      <w:pPr>
        <w:rPr>
          <w:rFonts w:hint="eastAsia" w:ascii="宋体" w:hAnsi="宋体" w:cs="宋体"/>
          <w:color w:val="auto"/>
          <w:highlight w:val="none"/>
          <w:lang w:bidi="en-US"/>
        </w:rPr>
      </w:pPr>
    </w:p>
    <w:p w14:paraId="6C2CD532">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64C00945">
      <w:pPr>
        <w:pStyle w:val="4"/>
        <w:tabs>
          <w:tab w:val="left" w:pos="1260"/>
        </w:tabs>
        <w:jc w:val="center"/>
        <w:outlineLvl w:val="2"/>
        <w:rPr>
          <w:rFonts w:hint="eastAsia" w:ascii="宋体" w:hAnsi="宋体" w:eastAsia="宋体" w:cs="宋体"/>
          <w:b/>
          <w:bCs/>
          <w:iCs w:val="0"/>
          <w:color w:val="auto"/>
          <w:kern w:val="0"/>
          <w:sz w:val="24"/>
          <w:szCs w:val="24"/>
          <w:highlight w:val="none"/>
          <w:lang w:val="en-US" w:eastAsia="zh-CN" w:bidi="en-US"/>
        </w:rPr>
      </w:pPr>
      <w:r>
        <w:rPr>
          <w:rFonts w:hint="eastAsia" w:ascii="宋体" w:hAnsi="宋体" w:eastAsia="宋体" w:cs="宋体"/>
          <w:b/>
          <w:bCs/>
          <w:iCs w:val="0"/>
          <w:color w:val="auto"/>
          <w:kern w:val="0"/>
          <w:sz w:val="24"/>
          <w:szCs w:val="24"/>
          <w:highlight w:val="none"/>
          <w:lang w:val="en-US" w:eastAsia="zh-CN" w:bidi="en-US"/>
        </w:rPr>
        <w:t>（五）样品（如有）</w:t>
      </w:r>
    </w:p>
    <w:p w14:paraId="3B2928F5">
      <w:pPr>
        <w:jc w:val="center"/>
        <w:rPr>
          <w:rFonts w:hint="eastAsia"/>
          <w:color w:val="auto"/>
          <w:highlight w:val="none"/>
          <w:lang w:val="en-US" w:eastAsia="zh-CN"/>
        </w:rPr>
      </w:pPr>
      <w:r>
        <w:rPr>
          <w:rFonts w:hint="eastAsia" w:ascii="宋体" w:hAnsi="宋体" w:cs="宋体"/>
          <w:color w:val="auto"/>
          <w:highlight w:val="none"/>
        </w:rPr>
        <w:t>如招标文件要求提供样品，请按规定提供。</w:t>
      </w:r>
    </w:p>
    <w:p w14:paraId="730B8B2F">
      <w:pPr>
        <w:rPr>
          <w:rFonts w:hint="default"/>
          <w:color w:val="auto"/>
          <w:highlight w:val="none"/>
          <w:lang w:val="en-US" w:eastAsia="zh-CN"/>
        </w:rPr>
      </w:pPr>
    </w:p>
    <w:p w14:paraId="084163FA">
      <w:pPr>
        <w:pStyle w:val="4"/>
        <w:tabs>
          <w:tab w:val="left" w:pos="1260"/>
        </w:tabs>
        <w:jc w:val="center"/>
        <w:outlineLvl w:val="2"/>
        <w:rPr>
          <w:rFonts w:hint="default" w:ascii="宋体" w:hAnsi="宋体" w:eastAsia="宋体" w:cs="宋体"/>
          <w:b/>
          <w:bCs/>
          <w:i w:val="0"/>
          <w:iCs w:val="0"/>
          <w:color w:val="auto"/>
          <w:sz w:val="24"/>
          <w:szCs w:val="24"/>
          <w:highlight w:val="none"/>
          <w:lang w:val="en-US" w:eastAsia="zh-CN"/>
        </w:rPr>
      </w:pPr>
      <w:r>
        <w:rPr>
          <w:rFonts w:hint="eastAsia" w:ascii="宋体" w:hAnsi="宋体" w:eastAsia="宋体" w:cs="宋体"/>
          <w:b/>
          <w:bCs/>
          <w:iCs w:val="0"/>
          <w:color w:val="auto"/>
          <w:kern w:val="0"/>
          <w:sz w:val="24"/>
          <w:szCs w:val="24"/>
          <w:highlight w:val="none"/>
          <w:lang w:val="en-US" w:eastAsia="zh-CN" w:bidi="en-US"/>
        </w:rPr>
        <w:t>（六）其他材料</w:t>
      </w:r>
    </w:p>
    <w:p w14:paraId="132C3DB7">
      <w:pPr>
        <w:spacing w:line="360" w:lineRule="auto"/>
        <w:jc w:val="center"/>
        <w:outlineLvl w:val="1"/>
        <w:rPr>
          <w:rFonts w:hint="eastAsia" w:ascii="宋体" w:hAnsi="宋体" w:eastAsia="宋体"/>
          <w:b/>
          <w:color w:val="auto"/>
          <w:sz w:val="24"/>
          <w:highlight w:val="none"/>
        </w:rPr>
      </w:pPr>
      <w:bookmarkStart w:id="853" w:name="_Hlk11531103"/>
      <w:r>
        <w:rPr>
          <w:rStyle w:val="101"/>
          <w:rFonts w:hint="eastAsia" w:ascii="宋体" w:hAnsi="宋体" w:eastAsia="宋体" w:cs="宋体"/>
          <w:b/>
          <w:bCs/>
          <w:color w:val="auto"/>
          <w:sz w:val="30"/>
          <w:szCs w:val="30"/>
          <w:highlight w:val="none"/>
        </w:rPr>
        <w:br w:type="page"/>
      </w:r>
      <w:r>
        <w:rPr>
          <w:rStyle w:val="101"/>
          <w:rFonts w:hint="eastAsia" w:ascii="宋体" w:hAnsi="宋体" w:eastAsia="宋体" w:cs="宋体"/>
          <w:b/>
          <w:bCs/>
          <w:color w:val="auto"/>
          <w:sz w:val="30"/>
          <w:szCs w:val="30"/>
          <w:highlight w:val="none"/>
        </w:rPr>
        <w:t>十</w:t>
      </w:r>
      <w:r>
        <w:rPr>
          <w:rStyle w:val="101"/>
          <w:rFonts w:hint="eastAsia" w:ascii="宋体" w:hAnsi="宋体" w:eastAsia="宋体" w:cs="宋体"/>
          <w:b/>
          <w:bCs/>
          <w:color w:val="auto"/>
          <w:sz w:val="30"/>
          <w:szCs w:val="30"/>
          <w:highlight w:val="none"/>
          <w:lang w:val="en-US"/>
        </w:rPr>
        <w:t>一</w:t>
      </w:r>
      <w:r>
        <w:rPr>
          <w:rStyle w:val="101"/>
          <w:rFonts w:hint="eastAsia" w:ascii="宋体" w:hAnsi="宋体" w:eastAsia="宋体" w:cs="宋体"/>
          <w:b/>
          <w:bCs/>
          <w:color w:val="auto"/>
          <w:sz w:val="30"/>
          <w:szCs w:val="30"/>
          <w:highlight w:val="none"/>
        </w:rPr>
        <w:t>、主要标的承诺函</w:t>
      </w:r>
    </w:p>
    <w:p w14:paraId="62194796">
      <w:pPr>
        <w:keepNext w:val="0"/>
        <w:keepLines w:val="0"/>
        <w:pageBreakBefore w:val="0"/>
        <w:widowControl/>
        <w:tabs>
          <w:tab w:val="left" w:leader="underscore" w:pos="288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安徽医科大学第一附属医院</w:t>
      </w:r>
      <w:r>
        <w:rPr>
          <w:rFonts w:hint="eastAsia" w:ascii="宋体" w:hAnsi="宋体" w:eastAsia="宋体" w:cs="宋体"/>
          <w:color w:val="auto"/>
          <w:szCs w:val="21"/>
          <w:highlight w:val="none"/>
        </w:rPr>
        <w:t>（采购人名称)</w:t>
      </w:r>
    </w:p>
    <w:p w14:paraId="297EBA6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安徽省招标集团股份有限公司  </w:t>
      </w:r>
      <w:r>
        <w:rPr>
          <w:rFonts w:hint="eastAsia" w:ascii="宋体" w:hAnsi="宋体" w:eastAsia="宋体" w:cs="宋体"/>
          <w:color w:val="auto"/>
          <w:szCs w:val="21"/>
          <w:highlight w:val="none"/>
        </w:rPr>
        <w:t>（采购代理名称)</w:t>
      </w:r>
    </w:p>
    <w:p w14:paraId="782E9784">
      <w:pPr>
        <w:spacing w:line="360" w:lineRule="auto"/>
        <w:ind w:firstLine="435"/>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我单位同意中标结果公告中公</w:t>
      </w:r>
      <w:r>
        <w:rPr>
          <w:rFonts w:hint="eastAsia" w:ascii="宋体" w:hAnsi="宋体" w:eastAsia="宋体"/>
          <w:color w:val="auto"/>
          <w:sz w:val="21"/>
          <w:szCs w:val="21"/>
          <w:highlight w:val="none"/>
          <w:lang w:val="en-US" w:eastAsia="zh-CN"/>
        </w:rPr>
        <w:t>告</w:t>
      </w:r>
      <w:r>
        <w:rPr>
          <w:rFonts w:hint="eastAsia" w:ascii="宋体" w:hAnsi="宋体" w:eastAsia="宋体"/>
          <w:color w:val="auto"/>
          <w:sz w:val="21"/>
          <w:szCs w:val="21"/>
          <w:highlight w:val="none"/>
        </w:rPr>
        <w:t>以下主要标的信息并承诺：投标文件中所提供的主要标的信息均真实有效。若被发现存在任何虚假、隐瞒情况，我单位承担由此产生的一切后果。</w:t>
      </w:r>
    </w:p>
    <w:tbl>
      <w:tblPr>
        <w:tblStyle w:val="45"/>
        <w:tblW w:w="2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3867"/>
      </w:tblGrid>
      <w:tr w14:paraId="48D0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3" w:type="pct"/>
            <w:noWrap w:val="0"/>
            <w:vAlign w:val="center"/>
          </w:tcPr>
          <w:p w14:paraId="6695B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名称</w:t>
            </w:r>
          </w:p>
        </w:tc>
        <w:tc>
          <w:tcPr>
            <w:tcW w:w="3366" w:type="pct"/>
            <w:noWrap w:val="0"/>
            <w:vAlign w:val="center"/>
          </w:tcPr>
          <w:p w14:paraId="2028A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项目名称</w:t>
            </w:r>
            <w:r>
              <w:rPr>
                <w:rFonts w:hint="eastAsia" w:ascii="宋体" w:hAnsi="宋体" w:eastAsia="宋体" w:cs="宋体"/>
                <w:color w:val="auto"/>
                <w:szCs w:val="21"/>
                <w:highlight w:val="none"/>
                <w:lang w:eastAsia="zh-CN"/>
              </w:rPr>
              <w:t>】</w:t>
            </w:r>
          </w:p>
        </w:tc>
      </w:tr>
      <w:tr w14:paraId="72BD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3" w:type="pct"/>
            <w:noWrap w:val="0"/>
            <w:vAlign w:val="center"/>
          </w:tcPr>
          <w:p w14:paraId="3AB35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服务范围</w:t>
            </w:r>
          </w:p>
        </w:tc>
        <w:tc>
          <w:tcPr>
            <w:tcW w:w="3366" w:type="pct"/>
            <w:noWrap w:val="0"/>
            <w:vAlign w:val="center"/>
          </w:tcPr>
          <w:p w14:paraId="43569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文件所要求的服务范围</w:t>
            </w:r>
          </w:p>
        </w:tc>
      </w:tr>
      <w:tr w14:paraId="357E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3" w:type="pct"/>
            <w:noWrap w:val="0"/>
            <w:vAlign w:val="center"/>
          </w:tcPr>
          <w:p w14:paraId="71FA5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服务要求</w:t>
            </w:r>
          </w:p>
        </w:tc>
        <w:tc>
          <w:tcPr>
            <w:tcW w:w="3366" w:type="pct"/>
            <w:noWrap w:val="0"/>
            <w:vAlign w:val="center"/>
          </w:tcPr>
          <w:p w14:paraId="56735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国家及地方相关法律要求、</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文件约定、采购人要求以及合同约定</w:t>
            </w:r>
          </w:p>
        </w:tc>
      </w:tr>
      <w:tr w14:paraId="6D8B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3" w:type="pct"/>
            <w:noWrap w:val="0"/>
            <w:vAlign w:val="center"/>
          </w:tcPr>
          <w:p w14:paraId="45E0A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服务时间</w:t>
            </w:r>
          </w:p>
        </w:tc>
        <w:tc>
          <w:tcPr>
            <w:tcW w:w="3366" w:type="pct"/>
            <w:noWrap w:val="0"/>
            <w:vAlign w:val="center"/>
          </w:tcPr>
          <w:p w14:paraId="7248B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r>
      <w:tr w14:paraId="08B2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3" w:type="pct"/>
            <w:noWrap w:val="0"/>
            <w:vAlign w:val="center"/>
          </w:tcPr>
          <w:p w14:paraId="1C412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服务标准</w:t>
            </w:r>
          </w:p>
        </w:tc>
        <w:tc>
          <w:tcPr>
            <w:tcW w:w="3366" w:type="pct"/>
            <w:noWrap w:val="0"/>
            <w:vAlign w:val="center"/>
          </w:tcPr>
          <w:p w14:paraId="3B6CFC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符合中华人民共和国相关标准及规范、</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文件中的相关</w:t>
            </w:r>
            <w:r>
              <w:rPr>
                <w:rFonts w:hint="eastAsia" w:ascii="宋体" w:hAnsi="宋体" w:eastAsia="宋体" w:cs="宋体"/>
                <w:color w:val="auto"/>
                <w:sz w:val="21"/>
                <w:szCs w:val="21"/>
                <w:highlight w:val="none"/>
                <w:lang w:val="en-US" w:eastAsia="zh-CN"/>
              </w:rPr>
              <w:t>规定</w:t>
            </w:r>
          </w:p>
        </w:tc>
      </w:tr>
    </w:tbl>
    <w:p w14:paraId="14115404">
      <w:pPr>
        <w:adjustRightInd w:val="0"/>
        <w:snapToGrid w:val="0"/>
        <w:spacing w:line="360" w:lineRule="auto"/>
        <w:rPr>
          <w:rFonts w:ascii="宋体" w:hAnsi="宋体" w:eastAsia="宋体"/>
          <w:b/>
          <w:bCs/>
          <w:color w:val="auto"/>
          <w:sz w:val="21"/>
          <w:szCs w:val="21"/>
          <w:highlight w:val="none"/>
        </w:rPr>
      </w:pPr>
    </w:p>
    <w:p w14:paraId="413541AD">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（2）若我司中标，我司将承诺做到响应本项目</w:t>
      </w:r>
      <w:r>
        <w:rPr>
          <w:rFonts w:hint="eastAsia" w:ascii="宋体" w:hAnsi="宋体" w:eastAsia="宋体" w:cs="宋体"/>
          <w:b w:val="0"/>
          <w:bCs w:val="0"/>
          <w:color w:val="auto"/>
          <w:sz w:val="21"/>
          <w:szCs w:val="21"/>
          <w:highlight w:val="none"/>
        </w:rPr>
        <w:t>改造设备清单</w:t>
      </w:r>
      <w:r>
        <w:rPr>
          <w:rFonts w:hint="eastAsia" w:ascii="宋体" w:hAnsi="宋体" w:eastAsia="宋体" w:cs="宋体"/>
          <w:b w:val="0"/>
          <w:bCs w:val="0"/>
          <w:color w:val="auto"/>
          <w:sz w:val="21"/>
          <w:szCs w:val="21"/>
          <w:highlight w:val="none"/>
          <w:lang w:val="en-US" w:eastAsia="zh-CN"/>
        </w:rPr>
        <w:t>且无负偏离</w:t>
      </w:r>
      <w:r>
        <w:rPr>
          <w:rFonts w:hint="eastAsia" w:ascii="宋体" w:hAnsi="宋体" w:eastAsia="宋体" w:cs="宋体"/>
          <w:b w:val="0"/>
          <w:bCs w:val="0"/>
          <w:color w:val="auto"/>
          <w:sz w:val="21"/>
          <w:szCs w:val="21"/>
          <w:highlight w:val="none"/>
        </w:rPr>
        <w:t>：</w:t>
      </w:r>
    </w:p>
    <w:tbl>
      <w:tblPr>
        <w:tblStyle w:val="45"/>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803"/>
        <w:gridCol w:w="2124"/>
        <w:gridCol w:w="792"/>
        <w:gridCol w:w="843"/>
        <w:gridCol w:w="2161"/>
        <w:gridCol w:w="1461"/>
      </w:tblGrid>
      <w:tr w14:paraId="0B3C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72" w:type="pct"/>
            <w:noWrap w:val="0"/>
            <w:vAlign w:val="center"/>
          </w:tcPr>
          <w:p w14:paraId="67B9503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908" w:type="pct"/>
            <w:noWrap w:val="0"/>
            <w:vAlign w:val="center"/>
          </w:tcPr>
          <w:p w14:paraId="2A8B49D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名称</w:t>
            </w:r>
          </w:p>
        </w:tc>
        <w:tc>
          <w:tcPr>
            <w:tcW w:w="1070" w:type="pct"/>
            <w:noWrap w:val="0"/>
            <w:vAlign w:val="center"/>
          </w:tcPr>
          <w:p w14:paraId="5EBCF6A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参数</w:t>
            </w:r>
          </w:p>
        </w:tc>
        <w:tc>
          <w:tcPr>
            <w:tcW w:w="399" w:type="pct"/>
            <w:noWrap w:val="0"/>
            <w:vAlign w:val="center"/>
          </w:tcPr>
          <w:p w14:paraId="5466631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424" w:type="pct"/>
            <w:noWrap w:val="0"/>
            <w:vAlign w:val="center"/>
          </w:tcPr>
          <w:p w14:paraId="0089519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w:t>
            </w:r>
          </w:p>
        </w:tc>
        <w:tc>
          <w:tcPr>
            <w:tcW w:w="1088" w:type="pct"/>
            <w:noWrap w:val="0"/>
            <w:vAlign w:val="center"/>
          </w:tcPr>
          <w:p w14:paraId="1635812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推荐品牌</w:t>
            </w:r>
          </w:p>
        </w:tc>
        <w:tc>
          <w:tcPr>
            <w:tcW w:w="736" w:type="pct"/>
            <w:noWrap w:val="0"/>
            <w:vAlign w:val="center"/>
          </w:tcPr>
          <w:p w14:paraId="6C60D20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14:paraId="6254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2" w:type="pct"/>
            <w:noWrap w:val="0"/>
            <w:vAlign w:val="center"/>
          </w:tcPr>
          <w:p w14:paraId="68AF84B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908" w:type="pct"/>
            <w:noWrap w:val="0"/>
            <w:vAlign w:val="center"/>
          </w:tcPr>
          <w:p w14:paraId="7A7E2548">
            <w:pPr>
              <w:keepNext w:val="0"/>
              <w:keepLines w:val="0"/>
              <w:suppressLineNumbers w:val="0"/>
              <w:snapToGrid w:val="0"/>
              <w:spacing w:before="0" w:beforeAutospacing="0" w:after="0" w:afterAutospacing="0"/>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磁悬浮变频离心式冷水机组</w:t>
            </w:r>
          </w:p>
        </w:tc>
        <w:tc>
          <w:tcPr>
            <w:tcW w:w="1070" w:type="pct"/>
            <w:noWrap w:val="0"/>
            <w:vAlign w:val="center"/>
          </w:tcPr>
          <w:p w14:paraId="25EC5B96">
            <w:pPr>
              <w:keepNext w:val="0"/>
              <w:keepLines w:val="0"/>
              <w:suppressLineNumbers w:val="0"/>
              <w:snapToGrid w:val="0"/>
              <w:spacing w:before="0" w:beforeAutospacing="0" w:after="0" w:afterAutospacing="0"/>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单台制冷量不低于1045KW</w:t>
            </w:r>
          </w:p>
        </w:tc>
        <w:tc>
          <w:tcPr>
            <w:tcW w:w="399" w:type="pct"/>
            <w:noWrap w:val="0"/>
            <w:vAlign w:val="center"/>
          </w:tcPr>
          <w:p w14:paraId="1AF7884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424" w:type="pct"/>
            <w:noWrap w:val="0"/>
            <w:vAlign w:val="center"/>
          </w:tcPr>
          <w:p w14:paraId="7B859C8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1088" w:type="pct"/>
            <w:noWrap w:val="0"/>
            <w:vAlign w:val="center"/>
          </w:tcPr>
          <w:p w14:paraId="65B2AA1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远大、日立、</w:t>
            </w:r>
            <w:r>
              <w:rPr>
                <w:rFonts w:hint="eastAsia" w:ascii="宋体" w:hAnsi="宋体" w:eastAsia="宋体" w:cs="宋体"/>
                <w:b w:val="0"/>
                <w:bCs w:val="0"/>
                <w:color w:val="auto"/>
                <w:sz w:val="21"/>
                <w:szCs w:val="21"/>
                <w:highlight w:val="none"/>
                <w:lang w:val="en-US" w:eastAsia="zh-CN"/>
              </w:rPr>
              <w:t>开利</w:t>
            </w:r>
          </w:p>
        </w:tc>
        <w:tc>
          <w:tcPr>
            <w:tcW w:w="736" w:type="pct"/>
            <w:vMerge w:val="restart"/>
            <w:noWrap w:val="0"/>
            <w:vAlign w:val="center"/>
          </w:tcPr>
          <w:p w14:paraId="68374C6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建议投标单位自行到现场勘察。</w:t>
            </w:r>
          </w:p>
        </w:tc>
      </w:tr>
      <w:tr w14:paraId="32FE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2" w:type="pct"/>
            <w:noWrap w:val="0"/>
            <w:vAlign w:val="center"/>
          </w:tcPr>
          <w:p w14:paraId="50A297A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908" w:type="pct"/>
            <w:noWrap w:val="0"/>
            <w:vAlign w:val="center"/>
          </w:tcPr>
          <w:p w14:paraId="3B962BD1">
            <w:pPr>
              <w:keepNext w:val="0"/>
              <w:keepLines w:val="0"/>
              <w:suppressLineNumbers w:val="0"/>
              <w:snapToGrid w:val="0"/>
              <w:spacing w:before="0" w:beforeAutospacing="0" w:after="0" w:afterAutospacing="0"/>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汽水换热器</w:t>
            </w:r>
          </w:p>
        </w:tc>
        <w:tc>
          <w:tcPr>
            <w:tcW w:w="1070" w:type="pct"/>
            <w:noWrap w:val="0"/>
            <w:vAlign w:val="center"/>
          </w:tcPr>
          <w:p w14:paraId="485A03A9">
            <w:pPr>
              <w:keepNext w:val="0"/>
              <w:keepLines w:val="0"/>
              <w:suppressLineNumbers w:val="0"/>
              <w:snapToGrid w:val="0"/>
              <w:spacing w:before="0" w:beforeAutospacing="0" w:after="0" w:afterAutospacing="0"/>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换</w:t>
            </w:r>
            <w:r>
              <w:rPr>
                <w:rFonts w:hint="eastAsia" w:ascii="宋体" w:hAnsi="宋体" w:eastAsia="宋体" w:cs="宋体"/>
                <w:b w:val="0"/>
                <w:bCs w:val="0"/>
                <w:color w:val="auto"/>
                <w:sz w:val="21"/>
                <w:szCs w:val="21"/>
                <w:highlight w:val="none"/>
              </w:rPr>
              <w:t>热量：不低于</w:t>
            </w:r>
            <w:r>
              <w:rPr>
                <w:rFonts w:hint="eastAsia" w:ascii="宋体" w:hAnsi="宋体" w:eastAsia="宋体" w:cs="宋体"/>
                <w:b w:val="0"/>
                <w:bCs w:val="0"/>
                <w:color w:val="auto"/>
                <w:sz w:val="21"/>
                <w:szCs w:val="21"/>
                <w:highlight w:val="none"/>
                <w:lang w:val="en-US" w:eastAsia="zh-CN"/>
              </w:rPr>
              <w:t>120</w:t>
            </w:r>
            <w:r>
              <w:rPr>
                <w:rFonts w:hint="eastAsia" w:ascii="宋体" w:hAnsi="宋体" w:eastAsia="宋体" w:cs="宋体"/>
                <w:b w:val="0"/>
                <w:bCs w:val="0"/>
                <w:color w:val="auto"/>
                <w:sz w:val="21"/>
                <w:szCs w:val="21"/>
                <w:highlight w:val="none"/>
              </w:rPr>
              <w:t>0KW</w:t>
            </w:r>
          </w:p>
        </w:tc>
        <w:tc>
          <w:tcPr>
            <w:tcW w:w="399" w:type="pct"/>
            <w:noWrap w:val="0"/>
            <w:vAlign w:val="center"/>
          </w:tcPr>
          <w:p w14:paraId="4F33B7F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424" w:type="pct"/>
            <w:noWrap w:val="0"/>
            <w:vAlign w:val="center"/>
          </w:tcPr>
          <w:p w14:paraId="257D676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1088" w:type="pct"/>
            <w:noWrap w:val="0"/>
            <w:vAlign w:val="center"/>
          </w:tcPr>
          <w:p w14:paraId="05968AA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阿法拉伐、平电、丹弗斯</w:t>
            </w:r>
          </w:p>
        </w:tc>
        <w:tc>
          <w:tcPr>
            <w:tcW w:w="736" w:type="pct"/>
            <w:vMerge w:val="continue"/>
            <w:noWrap w:val="0"/>
            <w:vAlign w:val="center"/>
          </w:tcPr>
          <w:p w14:paraId="60A702D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p>
        </w:tc>
      </w:tr>
      <w:tr w14:paraId="04BB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2" w:type="pct"/>
            <w:noWrap w:val="0"/>
            <w:vAlign w:val="center"/>
          </w:tcPr>
          <w:p w14:paraId="3192A2CC">
            <w:pPr>
              <w:keepNext w:val="0"/>
              <w:keepLines w:val="0"/>
              <w:suppressLineNumbers w:val="0"/>
              <w:spacing w:before="0" w:beforeAutospacing="0" w:after="0" w:afterAutospacing="0"/>
              <w:ind w:left="0" w:right="0"/>
              <w:jc w:val="center"/>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3</w:t>
            </w:r>
          </w:p>
        </w:tc>
        <w:tc>
          <w:tcPr>
            <w:tcW w:w="908" w:type="pct"/>
            <w:noWrap w:val="0"/>
            <w:vAlign w:val="center"/>
          </w:tcPr>
          <w:p w14:paraId="0046E089">
            <w:pPr>
              <w:keepNext w:val="0"/>
              <w:keepLines w:val="0"/>
              <w:suppressLineNumbers w:val="0"/>
              <w:snapToGrid w:val="0"/>
              <w:spacing w:before="0" w:beforeAutospacing="0" w:after="0" w:afterAutospacing="0"/>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风机盘管</w:t>
            </w:r>
          </w:p>
        </w:tc>
        <w:tc>
          <w:tcPr>
            <w:tcW w:w="1070" w:type="pct"/>
            <w:noWrap w:val="0"/>
            <w:vAlign w:val="center"/>
          </w:tcPr>
          <w:p w14:paraId="5A0FB415">
            <w:pPr>
              <w:keepNext w:val="0"/>
              <w:keepLines w:val="0"/>
              <w:suppressLineNumbers w:val="0"/>
              <w:snapToGrid w:val="0"/>
              <w:spacing w:before="0" w:beforeAutospacing="0" w:after="0" w:afterAutospacing="0"/>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val="en-US" w:eastAsia="zh-CN"/>
              </w:rPr>
              <w:t>末端盘管情况确定</w:t>
            </w:r>
          </w:p>
        </w:tc>
        <w:tc>
          <w:tcPr>
            <w:tcW w:w="399" w:type="pct"/>
            <w:noWrap w:val="0"/>
            <w:vAlign w:val="center"/>
          </w:tcPr>
          <w:p w14:paraId="7361D2A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50</w:t>
            </w:r>
          </w:p>
        </w:tc>
        <w:tc>
          <w:tcPr>
            <w:tcW w:w="424" w:type="pct"/>
            <w:noWrap w:val="0"/>
            <w:vAlign w:val="center"/>
          </w:tcPr>
          <w:p w14:paraId="68DD126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1088" w:type="pct"/>
            <w:noWrap w:val="0"/>
            <w:vAlign w:val="center"/>
          </w:tcPr>
          <w:p w14:paraId="4624CCDC">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麦克维尔</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约克</w:t>
            </w:r>
            <w:r>
              <w:rPr>
                <w:rFonts w:hint="eastAsia" w:ascii="宋体" w:hAnsi="宋体" w:eastAsia="宋体" w:cs="宋体"/>
                <w:b w:val="0"/>
                <w:bCs w:val="0"/>
                <w:color w:val="auto"/>
                <w:sz w:val="21"/>
                <w:szCs w:val="21"/>
                <w:highlight w:val="none"/>
              </w:rPr>
              <w:t>、开利</w:t>
            </w:r>
          </w:p>
        </w:tc>
        <w:tc>
          <w:tcPr>
            <w:tcW w:w="736" w:type="pct"/>
            <w:vMerge w:val="continue"/>
            <w:noWrap w:val="0"/>
            <w:vAlign w:val="center"/>
          </w:tcPr>
          <w:p w14:paraId="7BF4EB4B">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sz w:val="21"/>
                <w:szCs w:val="21"/>
                <w:highlight w:val="none"/>
              </w:rPr>
            </w:pPr>
          </w:p>
        </w:tc>
      </w:tr>
      <w:tr w14:paraId="71F3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72" w:type="pct"/>
            <w:noWrap w:val="0"/>
            <w:vAlign w:val="center"/>
          </w:tcPr>
          <w:p w14:paraId="01C1F5EC">
            <w:pPr>
              <w:keepNext w:val="0"/>
              <w:keepLines w:val="0"/>
              <w:suppressLineNumbers w:val="0"/>
              <w:spacing w:before="0" w:beforeAutospacing="0" w:after="0" w:afterAutospacing="0"/>
              <w:ind w:left="0" w:right="0"/>
              <w:jc w:val="center"/>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4</w:t>
            </w:r>
          </w:p>
        </w:tc>
        <w:tc>
          <w:tcPr>
            <w:tcW w:w="908" w:type="pct"/>
            <w:noWrap w:val="0"/>
            <w:vAlign w:val="center"/>
          </w:tcPr>
          <w:p w14:paraId="73D3DAB8">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电气改造</w:t>
            </w:r>
          </w:p>
        </w:tc>
        <w:tc>
          <w:tcPr>
            <w:tcW w:w="1070" w:type="pct"/>
            <w:noWrap w:val="0"/>
            <w:vAlign w:val="center"/>
          </w:tcPr>
          <w:p w14:paraId="4D8C419B">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电缆、</w:t>
            </w:r>
            <w:r>
              <w:rPr>
                <w:rFonts w:hint="eastAsia" w:ascii="宋体" w:hAnsi="宋体" w:eastAsia="宋体" w:cs="宋体"/>
                <w:b w:val="0"/>
                <w:bCs w:val="0"/>
                <w:color w:val="auto"/>
                <w:sz w:val="21"/>
                <w:szCs w:val="21"/>
                <w:highlight w:val="none"/>
                <w:lang w:val="en-US" w:eastAsia="zh-CN"/>
              </w:rPr>
              <w:t>桥架</w:t>
            </w:r>
            <w:r>
              <w:rPr>
                <w:rFonts w:hint="eastAsia" w:ascii="宋体" w:hAnsi="宋体" w:eastAsia="宋体" w:cs="宋体"/>
                <w:b w:val="0"/>
                <w:bCs w:val="0"/>
                <w:color w:val="auto"/>
                <w:sz w:val="21"/>
                <w:szCs w:val="21"/>
                <w:highlight w:val="none"/>
              </w:rPr>
              <w:t>控制柜</w:t>
            </w:r>
          </w:p>
        </w:tc>
        <w:tc>
          <w:tcPr>
            <w:tcW w:w="399" w:type="pct"/>
            <w:noWrap w:val="0"/>
            <w:vAlign w:val="center"/>
          </w:tcPr>
          <w:p w14:paraId="0AB3717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424" w:type="pct"/>
            <w:noWrap w:val="0"/>
            <w:vAlign w:val="center"/>
          </w:tcPr>
          <w:p w14:paraId="77CB73E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w:t>
            </w:r>
          </w:p>
        </w:tc>
        <w:tc>
          <w:tcPr>
            <w:tcW w:w="1088" w:type="pct"/>
            <w:noWrap w:val="0"/>
            <w:vAlign w:val="center"/>
          </w:tcPr>
          <w:p w14:paraId="79F7820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电缆：上上、远东、太平洋</w:t>
            </w:r>
          </w:p>
          <w:p w14:paraId="6173938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配电柜：ABB、施耐德、西门子</w:t>
            </w:r>
          </w:p>
        </w:tc>
        <w:tc>
          <w:tcPr>
            <w:tcW w:w="736" w:type="pct"/>
            <w:vMerge w:val="continue"/>
            <w:noWrap w:val="0"/>
            <w:vAlign w:val="center"/>
          </w:tcPr>
          <w:p w14:paraId="7C20D7E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p>
        </w:tc>
      </w:tr>
      <w:tr w14:paraId="6840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72" w:type="pct"/>
            <w:noWrap w:val="0"/>
            <w:vAlign w:val="center"/>
          </w:tcPr>
          <w:p w14:paraId="1FB813CF">
            <w:pPr>
              <w:keepNext w:val="0"/>
              <w:keepLines w:val="0"/>
              <w:suppressLineNumbers w:val="0"/>
              <w:spacing w:before="0" w:beforeAutospacing="0" w:after="0" w:afterAutospacing="0"/>
              <w:ind w:left="0" w:right="0"/>
              <w:jc w:val="center"/>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5</w:t>
            </w:r>
          </w:p>
        </w:tc>
        <w:tc>
          <w:tcPr>
            <w:tcW w:w="908" w:type="pct"/>
            <w:noWrap w:val="0"/>
            <w:vAlign w:val="center"/>
          </w:tcPr>
          <w:p w14:paraId="7A0FCED8">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标准化机房建设</w:t>
            </w:r>
          </w:p>
        </w:tc>
        <w:tc>
          <w:tcPr>
            <w:tcW w:w="1070" w:type="pct"/>
            <w:noWrap w:val="0"/>
            <w:vAlign w:val="center"/>
          </w:tcPr>
          <w:p w14:paraId="58EF149C">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墙面</w:t>
            </w:r>
            <w:r>
              <w:rPr>
                <w:rFonts w:hint="eastAsia" w:ascii="宋体" w:hAnsi="宋体" w:eastAsia="宋体" w:cs="宋体"/>
                <w:b w:val="0"/>
                <w:bCs w:val="0"/>
                <w:color w:val="auto"/>
                <w:sz w:val="21"/>
                <w:szCs w:val="21"/>
                <w:highlight w:val="none"/>
                <w:lang w:val="en-US" w:eastAsia="zh-CN"/>
              </w:rPr>
              <w:t>地面</w:t>
            </w:r>
            <w:r>
              <w:rPr>
                <w:rFonts w:hint="eastAsia" w:ascii="宋体" w:hAnsi="宋体" w:eastAsia="宋体" w:cs="宋体"/>
                <w:b w:val="0"/>
                <w:bCs w:val="0"/>
                <w:color w:val="auto"/>
                <w:sz w:val="21"/>
                <w:szCs w:val="21"/>
                <w:highlight w:val="none"/>
              </w:rPr>
              <w:t>亮化、标识标牌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标准化制度看板</w:t>
            </w:r>
          </w:p>
        </w:tc>
        <w:tc>
          <w:tcPr>
            <w:tcW w:w="399" w:type="pct"/>
            <w:noWrap w:val="0"/>
            <w:vAlign w:val="center"/>
          </w:tcPr>
          <w:p w14:paraId="54D217F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424" w:type="pct"/>
            <w:noWrap w:val="0"/>
            <w:vAlign w:val="center"/>
          </w:tcPr>
          <w:p w14:paraId="3293D4B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w:t>
            </w:r>
          </w:p>
        </w:tc>
        <w:tc>
          <w:tcPr>
            <w:tcW w:w="1088" w:type="pct"/>
            <w:noWrap w:val="0"/>
            <w:vAlign w:val="center"/>
          </w:tcPr>
          <w:p w14:paraId="0A4CC43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满足技术要求</w:t>
            </w:r>
          </w:p>
        </w:tc>
        <w:tc>
          <w:tcPr>
            <w:tcW w:w="736" w:type="pct"/>
            <w:vMerge w:val="continue"/>
            <w:noWrap w:val="0"/>
            <w:vAlign w:val="center"/>
          </w:tcPr>
          <w:p w14:paraId="382FDDB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p>
        </w:tc>
      </w:tr>
      <w:tr w14:paraId="7F2D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72" w:type="pct"/>
            <w:noWrap w:val="0"/>
            <w:vAlign w:val="center"/>
          </w:tcPr>
          <w:p w14:paraId="3D14D82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p>
        </w:tc>
        <w:tc>
          <w:tcPr>
            <w:tcW w:w="908" w:type="pct"/>
            <w:noWrap w:val="0"/>
            <w:vAlign w:val="center"/>
          </w:tcPr>
          <w:p w14:paraId="232B1EAE">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系统升级</w:t>
            </w:r>
          </w:p>
        </w:tc>
        <w:tc>
          <w:tcPr>
            <w:tcW w:w="1070" w:type="pct"/>
            <w:noWrap w:val="0"/>
            <w:vAlign w:val="center"/>
          </w:tcPr>
          <w:p w14:paraId="528E1BB3">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原有保留蒸汽机控制系统升级（含溴化锂溶液的溶液再生），主机、水泵、冷却塔系统联控，机房安防</w:t>
            </w:r>
          </w:p>
        </w:tc>
        <w:tc>
          <w:tcPr>
            <w:tcW w:w="399" w:type="pct"/>
            <w:noWrap w:val="0"/>
            <w:vAlign w:val="center"/>
          </w:tcPr>
          <w:p w14:paraId="3E4506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424" w:type="pct"/>
            <w:noWrap w:val="0"/>
            <w:vAlign w:val="center"/>
          </w:tcPr>
          <w:p w14:paraId="7008A7B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w:t>
            </w:r>
          </w:p>
        </w:tc>
        <w:tc>
          <w:tcPr>
            <w:tcW w:w="1088" w:type="pct"/>
            <w:noWrap w:val="0"/>
            <w:vAlign w:val="center"/>
          </w:tcPr>
          <w:p w14:paraId="6330256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满足技术要求</w:t>
            </w:r>
          </w:p>
        </w:tc>
        <w:tc>
          <w:tcPr>
            <w:tcW w:w="736" w:type="pct"/>
            <w:vMerge w:val="continue"/>
            <w:noWrap w:val="0"/>
            <w:vAlign w:val="center"/>
          </w:tcPr>
          <w:p w14:paraId="06ADA5D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p>
        </w:tc>
      </w:tr>
    </w:tbl>
    <w:p w14:paraId="2E779DD0">
      <w:pPr>
        <w:widowControl/>
        <w:spacing w:before="143" w:beforeLines="50"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对于招标人参考品牌的材料、设备，投标人可选用参考品牌或不低于参考品牌技术性能指标的其他品牌；采用其他品牌的应在投标文件中注明并提供相关技术性能指标、业绩等供评标委员会评审，未在投标文件中注明且未提供相关技术性能指标、业绩，或经评标委员会评审未通过的，中标后只能从招标人参考品牌中进行选择，合同价格不予调整。</w:t>
      </w:r>
    </w:p>
    <w:p w14:paraId="4ED76B6D">
      <w:pPr>
        <w:spacing w:line="360" w:lineRule="auto"/>
        <w:ind w:firstLine="435"/>
        <w:rPr>
          <w:rFonts w:hint="eastAsia" w:ascii="宋体" w:hAnsi="宋体" w:eastAsia="宋体" w:cs="宋体"/>
          <w:b w:val="0"/>
          <w:bCs w:val="0"/>
          <w:color w:val="auto"/>
          <w:sz w:val="21"/>
          <w:szCs w:val="21"/>
          <w:highlight w:val="none"/>
        </w:rPr>
      </w:pPr>
    </w:p>
    <w:bookmarkEnd w:id="853"/>
    <w:p w14:paraId="0F1FBC52">
      <w:pPr>
        <w:pStyle w:val="3"/>
        <w:widowControl/>
        <w:spacing w:before="120" w:after="120" w:line="240" w:lineRule="auto"/>
        <w:jc w:val="both"/>
        <w:rPr>
          <w:rStyle w:val="101"/>
          <w:rFonts w:hint="eastAsia" w:ascii="宋体" w:hAnsi="宋体" w:eastAsia="宋体" w:cs="宋体"/>
          <w:b w:val="0"/>
          <w:bCs w:val="0"/>
          <w:color w:val="auto"/>
          <w:sz w:val="21"/>
          <w:szCs w:val="21"/>
          <w:highlight w:val="none"/>
          <w:lang w:val="en-US"/>
        </w:rPr>
      </w:pPr>
      <w:r>
        <w:rPr>
          <w:rStyle w:val="101"/>
          <w:rFonts w:hint="eastAsia" w:ascii="宋体" w:hAnsi="宋体" w:eastAsia="宋体" w:cs="宋体"/>
          <w:b w:val="0"/>
          <w:bCs w:val="0"/>
          <w:color w:val="auto"/>
          <w:sz w:val="21"/>
          <w:szCs w:val="21"/>
          <w:highlight w:val="none"/>
        </w:rPr>
        <w:t>（</w:t>
      </w:r>
      <w:r>
        <w:rPr>
          <w:rStyle w:val="101"/>
          <w:rFonts w:hint="eastAsia" w:ascii="宋体" w:hAnsi="宋体" w:eastAsia="宋体" w:cs="宋体"/>
          <w:b w:val="0"/>
          <w:bCs w:val="0"/>
          <w:color w:val="auto"/>
          <w:sz w:val="21"/>
          <w:szCs w:val="21"/>
          <w:highlight w:val="none"/>
          <w:lang w:val="en-US"/>
        </w:rPr>
        <w:t>3</w:t>
      </w:r>
      <w:r>
        <w:rPr>
          <w:rStyle w:val="101"/>
          <w:rFonts w:hint="eastAsia" w:ascii="宋体" w:hAnsi="宋体" w:eastAsia="宋体" w:cs="宋体"/>
          <w:b w:val="0"/>
          <w:bCs w:val="0"/>
          <w:color w:val="auto"/>
          <w:sz w:val="21"/>
          <w:szCs w:val="21"/>
          <w:highlight w:val="none"/>
        </w:rPr>
        <w:t>）</w:t>
      </w:r>
      <w:r>
        <w:rPr>
          <w:rStyle w:val="101"/>
          <w:rFonts w:hint="eastAsia" w:ascii="宋体" w:hAnsi="宋体" w:eastAsia="宋体" w:cs="宋体"/>
          <w:b w:val="0"/>
          <w:bCs w:val="0"/>
          <w:color w:val="auto"/>
          <w:sz w:val="21"/>
          <w:szCs w:val="21"/>
          <w:highlight w:val="none"/>
          <w:lang w:val="en-US"/>
        </w:rPr>
        <w:t>若我司中标，我司承诺：</w:t>
      </w:r>
    </w:p>
    <w:p w14:paraId="3FBD0FB2">
      <w:pPr>
        <w:pStyle w:val="3"/>
        <w:widowControl/>
        <w:spacing w:before="120" w:after="120" w:line="240" w:lineRule="auto"/>
        <w:ind w:firstLine="420" w:firstLineChars="200"/>
        <w:jc w:val="both"/>
        <w:rPr>
          <w:rStyle w:val="101"/>
          <w:rFonts w:hint="eastAsia" w:ascii="宋体" w:hAnsi="宋体" w:eastAsia="宋体" w:cs="宋体"/>
          <w:b w:val="0"/>
          <w:bCs w:val="0"/>
          <w:color w:val="auto"/>
          <w:sz w:val="21"/>
          <w:szCs w:val="21"/>
          <w:highlight w:val="none"/>
          <w:lang w:val="en-US"/>
        </w:rPr>
      </w:pPr>
      <w:r>
        <w:rPr>
          <w:rStyle w:val="101"/>
          <w:rFonts w:hint="eastAsia" w:ascii="宋体" w:hAnsi="宋体" w:eastAsia="宋体" w:cs="宋体"/>
          <w:b w:val="0"/>
          <w:bCs w:val="0"/>
          <w:color w:val="auto"/>
          <w:sz w:val="21"/>
          <w:szCs w:val="21"/>
          <w:highlight w:val="none"/>
          <w:lang w:val="en-US"/>
        </w:rPr>
        <w:t>1）我司作为投资主体，本次改造节能率不低于10%，奖补资金64万元已到医院账户，后期若因我司节能率未达到或因施工等节能验收未通过导致奖补资金收回，此收回资金64万元由中标人承担，并从合同能源管理费中扣除。</w:t>
      </w:r>
    </w:p>
    <w:p w14:paraId="403108E9">
      <w:pPr>
        <w:pStyle w:val="3"/>
        <w:widowControl/>
        <w:spacing w:before="120" w:after="120" w:line="240" w:lineRule="auto"/>
        <w:ind w:firstLine="420" w:firstLineChars="200"/>
        <w:jc w:val="both"/>
        <w:rPr>
          <w:rStyle w:val="101"/>
          <w:rFonts w:hint="eastAsia" w:ascii="宋体" w:hAnsi="宋体" w:eastAsia="宋体" w:cs="宋体"/>
          <w:b w:val="0"/>
          <w:bCs w:val="0"/>
          <w:color w:val="auto"/>
          <w:sz w:val="21"/>
          <w:szCs w:val="21"/>
          <w:highlight w:val="none"/>
          <w:lang w:val="en-US"/>
        </w:rPr>
      </w:pPr>
      <w:r>
        <w:rPr>
          <w:rStyle w:val="101"/>
          <w:rFonts w:hint="eastAsia" w:ascii="宋体" w:hAnsi="宋体" w:eastAsia="宋体" w:cs="宋体"/>
          <w:b w:val="0"/>
          <w:bCs w:val="0"/>
          <w:color w:val="auto"/>
          <w:sz w:val="21"/>
          <w:szCs w:val="21"/>
          <w:highlight w:val="none"/>
          <w:lang w:val="en-US"/>
        </w:rPr>
        <w:t>2）在合同期限内仅拥有我司所投资设备的产权，合同期满后我司将所投设备的产权移交给招标人，我司应保证项目设备资产正常运行，项目设备资产的所有权移交时，应同时移交本项目继续运行所必需的资料。如该项目设备资产的继续使用涉及第三方的服务，该服务的费用由招标人承担。</w:t>
      </w:r>
    </w:p>
    <w:p w14:paraId="5E819911">
      <w:pPr>
        <w:pStyle w:val="3"/>
        <w:widowControl/>
        <w:spacing w:before="120" w:after="120" w:line="240" w:lineRule="auto"/>
        <w:ind w:firstLine="420" w:firstLineChars="200"/>
        <w:jc w:val="both"/>
        <w:rPr>
          <w:rStyle w:val="101"/>
          <w:rFonts w:hint="eastAsia" w:ascii="宋体" w:hAnsi="宋体" w:eastAsia="宋体" w:cs="宋体"/>
          <w:b w:val="0"/>
          <w:bCs w:val="0"/>
          <w:color w:val="auto"/>
          <w:sz w:val="21"/>
          <w:szCs w:val="21"/>
          <w:highlight w:val="none"/>
          <w:lang w:val="en-US"/>
        </w:rPr>
      </w:pPr>
    </w:p>
    <w:p w14:paraId="07D34832">
      <w:pPr>
        <w:pStyle w:val="3"/>
        <w:widowControl/>
        <w:spacing w:before="120" w:after="120" w:line="240" w:lineRule="auto"/>
        <w:ind w:firstLine="420" w:firstLineChars="200"/>
        <w:jc w:val="both"/>
        <w:rPr>
          <w:rStyle w:val="101"/>
          <w:rFonts w:hint="eastAsia" w:ascii="宋体" w:hAnsi="宋体" w:eastAsia="宋体" w:cs="宋体"/>
          <w:b w:val="0"/>
          <w:bCs w:val="0"/>
          <w:color w:val="auto"/>
          <w:sz w:val="21"/>
          <w:szCs w:val="21"/>
          <w:highlight w:val="none"/>
          <w:lang w:val="en-US"/>
        </w:rPr>
      </w:pPr>
    </w:p>
    <w:p w14:paraId="7009D020">
      <w:pPr>
        <w:pStyle w:val="3"/>
        <w:widowControl/>
        <w:spacing w:before="120" w:after="120" w:line="240" w:lineRule="auto"/>
        <w:ind w:firstLine="420" w:firstLineChars="200"/>
        <w:jc w:val="both"/>
        <w:rPr>
          <w:rStyle w:val="101"/>
          <w:rFonts w:hint="eastAsia" w:ascii="宋体" w:hAnsi="宋体" w:eastAsia="宋体" w:cs="宋体"/>
          <w:b w:val="0"/>
          <w:bCs w:val="0"/>
          <w:color w:val="auto"/>
          <w:sz w:val="21"/>
          <w:szCs w:val="21"/>
          <w:highlight w:val="none"/>
          <w:lang w:val="en-US"/>
        </w:rPr>
      </w:pPr>
    </w:p>
    <w:p w14:paraId="4C594C89">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00CFAB98">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0CD1250E">
      <w:pPr>
        <w:pStyle w:val="3"/>
        <w:widowControl/>
        <w:spacing w:before="120" w:after="120" w:line="240" w:lineRule="auto"/>
        <w:ind w:firstLine="420" w:firstLineChars="200"/>
        <w:jc w:val="both"/>
        <w:rPr>
          <w:rStyle w:val="101"/>
          <w:rFonts w:hint="eastAsia" w:ascii="宋体" w:hAnsi="宋体" w:eastAsia="宋体" w:cs="宋体"/>
          <w:b/>
          <w:bCs/>
          <w:color w:val="auto"/>
          <w:sz w:val="30"/>
          <w:szCs w:val="30"/>
          <w:highlight w:val="none"/>
        </w:rPr>
      </w:pPr>
      <w:r>
        <w:rPr>
          <w:rStyle w:val="101"/>
          <w:rFonts w:hint="eastAsia" w:ascii="宋体" w:hAnsi="宋体" w:eastAsia="宋体" w:cs="宋体"/>
          <w:b w:val="0"/>
          <w:bCs w:val="0"/>
          <w:color w:val="auto"/>
          <w:sz w:val="21"/>
          <w:szCs w:val="21"/>
          <w:highlight w:val="none"/>
        </w:rPr>
        <w:br w:type="page"/>
      </w:r>
      <w:r>
        <w:rPr>
          <w:rStyle w:val="101"/>
          <w:rFonts w:hint="eastAsia" w:ascii="宋体" w:hAnsi="宋体" w:eastAsia="宋体" w:cs="宋体"/>
          <w:b/>
          <w:bCs/>
          <w:color w:val="auto"/>
          <w:sz w:val="30"/>
          <w:szCs w:val="30"/>
          <w:highlight w:val="none"/>
        </w:rPr>
        <w:t>十二、投标人认为应该提供的其他资料</w:t>
      </w:r>
    </w:p>
    <w:p w14:paraId="06D80537">
      <w:pPr>
        <w:widowControl/>
        <w:jc w:val="left"/>
        <w:rPr>
          <w:rFonts w:hint="eastAsia" w:ascii="宋体" w:hAnsi="宋体" w:cs="宋体"/>
          <w:color w:val="auto"/>
          <w:szCs w:val="21"/>
          <w:highlight w:val="none"/>
        </w:rPr>
      </w:pPr>
    </w:p>
    <w:sectPr>
      <w:footerReference r:id="rId9" w:type="even"/>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简体">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S Mincho">
    <w:altName w:val="MS UI Gothic"/>
    <w:panose1 w:val="02020609040205080304"/>
    <w:charset w:val="80"/>
    <w:family w:val="modern"/>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CC08B">
    <w:pPr>
      <w:pStyle w:val="29"/>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A01C">
    <w:pPr>
      <w:pStyle w:val="29"/>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9980">
    <w:pPr>
      <w:pStyle w:val="29"/>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0532B">
    <w:pPr>
      <w:pStyle w:val="29"/>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9</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10AC">
    <w:pPr>
      <w:pStyle w:val="29"/>
      <w:framePr w:wrap="around" w:vAnchor="text" w:hAnchor="margin" w:xAlign="center" w:y="1"/>
      <w:rPr>
        <w:rStyle w:val="50"/>
      </w:rPr>
    </w:pPr>
    <w:r>
      <w:fldChar w:fldCharType="begin"/>
    </w:r>
    <w:r>
      <w:rPr>
        <w:rStyle w:val="50"/>
      </w:rPr>
      <w:instrText xml:space="preserve">PAGE  </w:instrText>
    </w:r>
    <w:r>
      <w:fldChar w:fldCharType="separate"/>
    </w:r>
    <w:r>
      <w:fldChar w:fldCharType="end"/>
    </w:r>
  </w:p>
  <w:p w14:paraId="51E8703A">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A8F5F24">
      <w:pPr>
        <w:widowControl/>
        <w:jc w:val="left"/>
        <w:rPr>
          <w:rFonts w:eastAsia="仿宋"/>
        </w:rPr>
      </w:pPr>
      <w:r>
        <w:rPr>
          <w:rStyle w:val="57"/>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A1B66">
    <w:pPr>
      <w:pStyle w:val="30"/>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E1A65"/>
    <w:multiLevelType w:val="singleLevel"/>
    <w:tmpl w:val="B1CE1A65"/>
    <w:lvl w:ilvl="0" w:tentative="0">
      <w:start w:val="2"/>
      <w:numFmt w:val="decimal"/>
      <w:suff w:val="nothing"/>
      <w:lvlText w:val="（%1）"/>
      <w:lvlJc w:val="left"/>
    </w:lvl>
  </w:abstractNum>
  <w:abstractNum w:abstractNumId="1">
    <w:nsid w:val="CD7CA6A8"/>
    <w:multiLevelType w:val="singleLevel"/>
    <w:tmpl w:val="CD7CA6A8"/>
    <w:lvl w:ilvl="0" w:tentative="0">
      <w:start w:val="1"/>
      <w:numFmt w:val="chineseCounting"/>
      <w:suff w:val="nothing"/>
      <w:lvlText w:val="%1、"/>
      <w:lvlJc w:val="left"/>
      <w:rPr>
        <w:rFonts w:hint="eastAsia"/>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ZWY5YTRiNjUyOGY0NGQ4NjBlZDczYzUzYzRkOTYifQ=="/>
  </w:docVars>
  <w:rsids>
    <w:rsidRoot w:val="00172A27"/>
    <w:rsid w:val="00000EE6"/>
    <w:rsid w:val="000015DE"/>
    <w:rsid w:val="00003E42"/>
    <w:rsid w:val="00004E49"/>
    <w:rsid w:val="0000515D"/>
    <w:rsid w:val="000051EC"/>
    <w:rsid w:val="00005E04"/>
    <w:rsid w:val="0000746E"/>
    <w:rsid w:val="00010114"/>
    <w:rsid w:val="0001038B"/>
    <w:rsid w:val="00010F47"/>
    <w:rsid w:val="000124DF"/>
    <w:rsid w:val="00012FFE"/>
    <w:rsid w:val="00013B67"/>
    <w:rsid w:val="000155DE"/>
    <w:rsid w:val="00020481"/>
    <w:rsid w:val="000218DB"/>
    <w:rsid w:val="00023307"/>
    <w:rsid w:val="0002356B"/>
    <w:rsid w:val="000246C1"/>
    <w:rsid w:val="00024F3F"/>
    <w:rsid w:val="000255A6"/>
    <w:rsid w:val="00025A74"/>
    <w:rsid w:val="00025AC2"/>
    <w:rsid w:val="00026830"/>
    <w:rsid w:val="00027256"/>
    <w:rsid w:val="0002748A"/>
    <w:rsid w:val="0002784F"/>
    <w:rsid w:val="00031C00"/>
    <w:rsid w:val="00032599"/>
    <w:rsid w:val="0003297D"/>
    <w:rsid w:val="00033736"/>
    <w:rsid w:val="00034B9D"/>
    <w:rsid w:val="00036A83"/>
    <w:rsid w:val="000375C2"/>
    <w:rsid w:val="00037C3C"/>
    <w:rsid w:val="000404FE"/>
    <w:rsid w:val="00041449"/>
    <w:rsid w:val="0004245A"/>
    <w:rsid w:val="000427C4"/>
    <w:rsid w:val="00042C11"/>
    <w:rsid w:val="00043439"/>
    <w:rsid w:val="000439A3"/>
    <w:rsid w:val="00043D27"/>
    <w:rsid w:val="00043E94"/>
    <w:rsid w:val="000468AA"/>
    <w:rsid w:val="000468B6"/>
    <w:rsid w:val="000473AB"/>
    <w:rsid w:val="0005058F"/>
    <w:rsid w:val="00050D28"/>
    <w:rsid w:val="00052113"/>
    <w:rsid w:val="00053E8B"/>
    <w:rsid w:val="000547D3"/>
    <w:rsid w:val="00054E5C"/>
    <w:rsid w:val="00056D97"/>
    <w:rsid w:val="00057923"/>
    <w:rsid w:val="00060A4A"/>
    <w:rsid w:val="00063445"/>
    <w:rsid w:val="00063931"/>
    <w:rsid w:val="00064B9A"/>
    <w:rsid w:val="00065650"/>
    <w:rsid w:val="0006576D"/>
    <w:rsid w:val="00070A25"/>
    <w:rsid w:val="00073AF9"/>
    <w:rsid w:val="00074DF9"/>
    <w:rsid w:val="00075412"/>
    <w:rsid w:val="00075935"/>
    <w:rsid w:val="000761BE"/>
    <w:rsid w:val="000772D3"/>
    <w:rsid w:val="00077482"/>
    <w:rsid w:val="00081489"/>
    <w:rsid w:val="000816E1"/>
    <w:rsid w:val="00083268"/>
    <w:rsid w:val="0008541F"/>
    <w:rsid w:val="00090E07"/>
    <w:rsid w:val="000916C1"/>
    <w:rsid w:val="0009475E"/>
    <w:rsid w:val="00094F75"/>
    <w:rsid w:val="00096107"/>
    <w:rsid w:val="000976ED"/>
    <w:rsid w:val="000979EA"/>
    <w:rsid w:val="00097DC6"/>
    <w:rsid w:val="000A0F60"/>
    <w:rsid w:val="000A128E"/>
    <w:rsid w:val="000A12FF"/>
    <w:rsid w:val="000A16B8"/>
    <w:rsid w:val="000A3B07"/>
    <w:rsid w:val="000A3D79"/>
    <w:rsid w:val="000A4340"/>
    <w:rsid w:val="000A5BF7"/>
    <w:rsid w:val="000A5C0C"/>
    <w:rsid w:val="000A61DD"/>
    <w:rsid w:val="000A6FC0"/>
    <w:rsid w:val="000A70D0"/>
    <w:rsid w:val="000A77EE"/>
    <w:rsid w:val="000A79DD"/>
    <w:rsid w:val="000A7DC5"/>
    <w:rsid w:val="000B0EE4"/>
    <w:rsid w:val="000B46DA"/>
    <w:rsid w:val="000B6A03"/>
    <w:rsid w:val="000C0ECE"/>
    <w:rsid w:val="000C5A16"/>
    <w:rsid w:val="000C5BA6"/>
    <w:rsid w:val="000C5D50"/>
    <w:rsid w:val="000C7096"/>
    <w:rsid w:val="000C7736"/>
    <w:rsid w:val="000D279E"/>
    <w:rsid w:val="000D3FE0"/>
    <w:rsid w:val="000D4E5D"/>
    <w:rsid w:val="000D7B48"/>
    <w:rsid w:val="000E11B8"/>
    <w:rsid w:val="000E21BD"/>
    <w:rsid w:val="000E4AD6"/>
    <w:rsid w:val="000E5ADA"/>
    <w:rsid w:val="000E6D50"/>
    <w:rsid w:val="000F01D6"/>
    <w:rsid w:val="000F0D8B"/>
    <w:rsid w:val="000F2211"/>
    <w:rsid w:val="000F2F23"/>
    <w:rsid w:val="000F4ADB"/>
    <w:rsid w:val="000F53CC"/>
    <w:rsid w:val="000F584F"/>
    <w:rsid w:val="000F5D14"/>
    <w:rsid w:val="000F667F"/>
    <w:rsid w:val="000F7880"/>
    <w:rsid w:val="000F7E56"/>
    <w:rsid w:val="001025F4"/>
    <w:rsid w:val="0010348B"/>
    <w:rsid w:val="00107FD5"/>
    <w:rsid w:val="00112587"/>
    <w:rsid w:val="00112E2C"/>
    <w:rsid w:val="00112EE6"/>
    <w:rsid w:val="0011378C"/>
    <w:rsid w:val="001152D7"/>
    <w:rsid w:val="00116812"/>
    <w:rsid w:val="00116960"/>
    <w:rsid w:val="00117B7B"/>
    <w:rsid w:val="00117FBE"/>
    <w:rsid w:val="00121B37"/>
    <w:rsid w:val="00121B69"/>
    <w:rsid w:val="001223FC"/>
    <w:rsid w:val="00122F13"/>
    <w:rsid w:val="001234D6"/>
    <w:rsid w:val="001238B9"/>
    <w:rsid w:val="00124A16"/>
    <w:rsid w:val="00127355"/>
    <w:rsid w:val="00127B39"/>
    <w:rsid w:val="001308B8"/>
    <w:rsid w:val="001312B3"/>
    <w:rsid w:val="001332F5"/>
    <w:rsid w:val="00133B1E"/>
    <w:rsid w:val="00134BF1"/>
    <w:rsid w:val="00134D87"/>
    <w:rsid w:val="0013669F"/>
    <w:rsid w:val="00140F5C"/>
    <w:rsid w:val="00141914"/>
    <w:rsid w:val="00142F60"/>
    <w:rsid w:val="00143525"/>
    <w:rsid w:val="001445A3"/>
    <w:rsid w:val="0014469A"/>
    <w:rsid w:val="0014502C"/>
    <w:rsid w:val="001460C4"/>
    <w:rsid w:val="00146FD4"/>
    <w:rsid w:val="00147984"/>
    <w:rsid w:val="00147A4D"/>
    <w:rsid w:val="00150872"/>
    <w:rsid w:val="001535DC"/>
    <w:rsid w:val="00155032"/>
    <w:rsid w:val="001572C7"/>
    <w:rsid w:val="00160C40"/>
    <w:rsid w:val="00161BC7"/>
    <w:rsid w:val="001626E4"/>
    <w:rsid w:val="00163D7D"/>
    <w:rsid w:val="00164A8E"/>
    <w:rsid w:val="00164BCE"/>
    <w:rsid w:val="001651AB"/>
    <w:rsid w:val="001661D2"/>
    <w:rsid w:val="00166FE9"/>
    <w:rsid w:val="00167340"/>
    <w:rsid w:val="001703F4"/>
    <w:rsid w:val="0017148F"/>
    <w:rsid w:val="00171F36"/>
    <w:rsid w:val="001728C2"/>
    <w:rsid w:val="00172A35"/>
    <w:rsid w:val="00175802"/>
    <w:rsid w:val="001771D6"/>
    <w:rsid w:val="0018065B"/>
    <w:rsid w:val="00180FD4"/>
    <w:rsid w:val="001828E4"/>
    <w:rsid w:val="00182FAC"/>
    <w:rsid w:val="001841F8"/>
    <w:rsid w:val="00186E39"/>
    <w:rsid w:val="00187020"/>
    <w:rsid w:val="00190C19"/>
    <w:rsid w:val="00191926"/>
    <w:rsid w:val="001934F7"/>
    <w:rsid w:val="0019476E"/>
    <w:rsid w:val="00195BD9"/>
    <w:rsid w:val="00196B3C"/>
    <w:rsid w:val="00196DDF"/>
    <w:rsid w:val="001A06B0"/>
    <w:rsid w:val="001A0D56"/>
    <w:rsid w:val="001A140C"/>
    <w:rsid w:val="001A14D6"/>
    <w:rsid w:val="001A19C8"/>
    <w:rsid w:val="001A19EC"/>
    <w:rsid w:val="001A1FBB"/>
    <w:rsid w:val="001A2C11"/>
    <w:rsid w:val="001A2D1D"/>
    <w:rsid w:val="001A2E92"/>
    <w:rsid w:val="001A44E4"/>
    <w:rsid w:val="001A4A07"/>
    <w:rsid w:val="001A5724"/>
    <w:rsid w:val="001A6276"/>
    <w:rsid w:val="001A79D1"/>
    <w:rsid w:val="001A7D2C"/>
    <w:rsid w:val="001A7D6D"/>
    <w:rsid w:val="001B02CF"/>
    <w:rsid w:val="001B042A"/>
    <w:rsid w:val="001B07F0"/>
    <w:rsid w:val="001B282E"/>
    <w:rsid w:val="001B2929"/>
    <w:rsid w:val="001B3E90"/>
    <w:rsid w:val="001C11DF"/>
    <w:rsid w:val="001C200A"/>
    <w:rsid w:val="001C243D"/>
    <w:rsid w:val="001C265C"/>
    <w:rsid w:val="001C5CE1"/>
    <w:rsid w:val="001C754D"/>
    <w:rsid w:val="001D02FB"/>
    <w:rsid w:val="001D1122"/>
    <w:rsid w:val="001D1C3E"/>
    <w:rsid w:val="001D238A"/>
    <w:rsid w:val="001D29AE"/>
    <w:rsid w:val="001D3E51"/>
    <w:rsid w:val="001D7CF6"/>
    <w:rsid w:val="001E0418"/>
    <w:rsid w:val="001E044A"/>
    <w:rsid w:val="001E09CE"/>
    <w:rsid w:val="001E1E9A"/>
    <w:rsid w:val="001E2297"/>
    <w:rsid w:val="001E2782"/>
    <w:rsid w:val="001E6D55"/>
    <w:rsid w:val="001E7EDC"/>
    <w:rsid w:val="001F0114"/>
    <w:rsid w:val="001F353B"/>
    <w:rsid w:val="001F66E1"/>
    <w:rsid w:val="001F68D4"/>
    <w:rsid w:val="001F6A1B"/>
    <w:rsid w:val="0020035B"/>
    <w:rsid w:val="0020458B"/>
    <w:rsid w:val="00204F51"/>
    <w:rsid w:val="00206CE4"/>
    <w:rsid w:val="00210DFF"/>
    <w:rsid w:val="002112BC"/>
    <w:rsid w:val="0021199B"/>
    <w:rsid w:val="002128A6"/>
    <w:rsid w:val="002128BE"/>
    <w:rsid w:val="00212B56"/>
    <w:rsid w:val="002164FE"/>
    <w:rsid w:val="00216CD9"/>
    <w:rsid w:val="00217E32"/>
    <w:rsid w:val="00217FAC"/>
    <w:rsid w:val="00222380"/>
    <w:rsid w:val="00222456"/>
    <w:rsid w:val="00224C6E"/>
    <w:rsid w:val="0022505B"/>
    <w:rsid w:val="00226066"/>
    <w:rsid w:val="00226DBD"/>
    <w:rsid w:val="00230331"/>
    <w:rsid w:val="00231005"/>
    <w:rsid w:val="00231053"/>
    <w:rsid w:val="002321B7"/>
    <w:rsid w:val="00232795"/>
    <w:rsid w:val="00233F42"/>
    <w:rsid w:val="00233FC5"/>
    <w:rsid w:val="00236181"/>
    <w:rsid w:val="00237227"/>
    <w:rsid w:val="0023767B"/>
    <w:rsid w:val="00237A6E"/>
    <w:rsid w:val="00242711"/>
    <w:rsid w:val="00244D65"/>
    <w:rsid w:val="00245699"/>
    <w:rsid w:val="00245A12"/>
    <w:rsid w:val="00246076"/>
    <w:rsid w:val="0025032C"/>
    <w:rsid w:val="00251733"/>
    <w:rsid w:val="00255049"/>
    <w:rsid w:val="00257657"/>
    <w:rsid w:val="0026067A"/>
    <w:rsid w:val="00260BEB"/>
    <w:rsid w:val="00261B38"/>
    <w:rsid w:val="00263356"/>
    <w:rsid w:val="0026531B"/>
    <w:rsid w:val="00265615"/>
    <w:rsid w:val="00266066"/>
    <w:rsid w:val="00266565"/>
    <w:rsid w:val="00266B0E"/>
    <w:rsid w:val="0027098A"/>
    <w:rsid w:val="002715A1"/>
    <w:rsid w:val="00271C5D"/>
    <w:rsid w:val="00272008"/>
    <w:rsid w:val="00273E55"/>
    <w:rsid w:val="00274241"/>
    <w:rsid w:val="00274F39"/>
    <w:rsid w:val="00276080"/>
    <w:rsid w:val="00276280"/>
    <w:rsid w:val="002769A2"/>
    <w:rsid w:val="00276FE3"/>
    <w:rsid w:val="00277535"/>
    <w:rsid w:val="00281123"/>
    <w:rsid w:val="00281D54"/>
    <w:rsid w:val="00281D9F"/>
    <w:rsid w:val="0028213E"/>
    <w:rsid w:val="00283136"/>
    <w:rsid w:val="0028363E"/>
    <w:rsid w:val="00284E56"/>
    <w:rsid w:val="00286EAC"/>
    <w:rsid w:val="0028769B"/>
    <w:rsid w:val="00287DFF"/>
    <w:rsid w:val="0029320E"/>
    <w:rsid w:val="00295C13"/>
    <w:rsid w:val="00296F58"/>
    <w:rsid w:val="002A01F0"/>
    <w:rsid w:val="002A0879"/>
    <w:rsid w:val="002A1C9C"/>
    <w:rsid w:val="002A444F"/>
    <w:rsid w:val="002A5D60"/>
    <w:rsid w:val="002A5EBD"/>
    <w:rsid w:val="002A5F75"/>
    <w:rsid w:val="002B08BA"/>
    <w:rsid w:val="002B12B6"/>
    <w:rsid w:val="002B1A96"/>
    <w:rsid w:val="002B1C7D"/>
    <w:rsid w:val="002B2078"/>
    <w:rsid w:val="002B2FA7"/>
    <w:rsid w:val="002B4A27"/>
    <w:rsid w:val="002B4AE4"/>
    <w:rsid w:val="002B70C1"/>
    <w:rsid w:val="002C14FE"/>
    <w:rsid w:val="002C1B39"/>
    <w:rsid w:val="002C213A"/>
    <w:rsid w:val="002C2FB0"/>
    <w:rsid w:val="002C3F6A"/>
    <w:rsid w:val="002C53B6"/>
    <w:rsid w:val="002C5E6B"/>
    <w:rsid w:val="002C73EB"/>
    <w:rsid w:val="002C790A"/>
    <w:rsid w:val="002D06CF"/>
    <w:rsid w:val="002D0E61"/>
    <w:rsid w:val="002D2007"/>
    <w:rsid w:val="002D27C9"/>
    <w:rsid w:val="002D43C3"/>
    <w:rsid w:val="002D5B6E"/>
    <w:rsid w:val="002D5D09"/>
    <w:rsid w:val="002D6122"/>
    <w:rsid w:val="002D6A1E"/>
    <w:rsid w:val="002D7BCC"/>
    <w:rsid w:val="002E0475"/>
    <w:rsid w:val="002E0DEC"/>
    <w:rsid w:val="002E4A98"/>
    <w:rsid w:val="002E4CE5"/>
    <w:rsid w:val="002E5F09"/>
    <w:rsid w:val="002E7141"/>
    <w:rsid w:val="002F3EC6"/>
    <w:rsid w:val="002F4654"/>
    <w:rsid w:val="002F4E5D"/>
    <w:rsid w:val="002F6329"/>
    <w:rsid w:val="002F66AC"/>
    <w:rsid w:val="002F705A"/>
    <w:rsid w:val="002F7BEE"/>
    <w:rsid w:val="002F7F61"/>
    <w:rsid w:val="0030379C"/>
    <w:rsid w:val="00305BFF"/>
    <w:rsid w:val="00306B25"/>
    <w:rsid w:val="00307CC9"/>
    <w:rsid w:val="00307FD1"/>
    <w:rsid w:val="00310097"/>
    <w:rsid w:val="00312774"/>
    <w:rsid w:val="003148AA"/>
    <w:rsid w:val="0031711F"/>
    <w:rsid w:val="003177DA"/>
    <w:rsid w:val="00320D03"/>
    <w:rsid w:val="00321FF9"/>
    <w:rsid w:val="00322124"/>
    <w:rsid w:val="003225EC"/>
    <w:rsid w:val="00324B74"/>
    <w:rsid w:val="00326F79"/>
    <w:rsid w:val="00327B3D"/>
    <w:rsid w:val="00330AD8"/>
    <w:rsid w:val="003326B1"/>
    <w:rsid w:val="00333A18"/>
    <w:rsid w:val="00333F38"/>
    <w:rsid w:val="00334351"/>
    <w:rsid w:val="0033453F"/>
    <w:rsid w:val="00334582"/>
    <w:rsid w:val="003353AB"/>
    <w:rsid w:val="00341733"/>
    <w:rsid w:val="003427DF"/>
    <w:rsid w:val="00342D2D"/>
    <w:rsid w:val="003437C7"/>
    <w:rsid w:val="003444B5"/>
    <w:rsid w:val="00345B7C"/>
    <w:rsid w:val="00346313"/>
    <w:rsid w:val="00346964"/>
    <w:rsid w:val="00347BA6"/>
    <w:rsid w:val="00347E8F"/>
    <w:rsid w:val="00350B6E"/>
    <w:rsid w:val="003513F2"/>
    <w:rsid w:val="00351711"/>
    <w:rsid w:val="00353053"/>
    <w:rsid w:val="00353D04"/>
    <w:rsid w:val="00355AF1"/>
    <w:rsid w:val="0035676B"/>
    <w:rsid w:val="00356F67"/>
    <w:rsid w:val="00357CA1"/>
    <w:rsid w:val="00360F32"/>
    <w:rsid w:val="0036138D"/>
    <w:rsid w:val="00362C07"/>
    <w:rsid w:val="00363705"/>
    <w:rsid w:val="00364313"/>
    <w:rsid w:val="0036551F"/>
    <w:rsid w:val="00365B2C"/>
    <w:rsid w:val="00367E0D"/>
    <w:rsid w:val="0037008C"/>
    <w:rsid w:val="003700A0"/>
    <w:rsid w:val="0037148A"/>
    <w:rsid w:val="00371C23"/>
    <w:rsid w:val="0037310B"/>
    <w:rsid w:val="00373D8A"/>
    <w:rsid w:val="00374BB0"/>
    <w:rsid w:val="003760BB"/>
    <w:rsid w:val="003762AC"/>
    <w:rsid w:val="003775F4"/>
    <w:rsid w:val="003806EA"/>
    <w:rsid w:val="00381246"/>
    <w:rsid w:val="00382560"/>
    <w:rsid w:val="00384920"/>
    <w:rsid w:val="00385E7A"/>
    <w:rsid w:val="00387913"/>
    <w:rsid w:val="003905F9"/>
    <w:rsid w:val="0039071F"/>
    <w:rsid w:val="003932B9"/>
    <w:rsid w:val="003967E2"/>
    <w:rsid w:val="00397F08"/>
    <w:rsid w:val="003A001C"/>
    <w:rsid w:val="003A00E8"/>
    <w:rsid w:val="003A07AC"/>
    <w:rsid w:val="003A0D61"/>
    <w:rsid w:val="003A1760"/>
    <w:rsid w:val="003A4BED"/>
    <w:rsid w:val="003A51FF"/>
    <w:rsid w:val="003A53B1"/>
    <w:rsid w:val="003A654E"/>
    <w:rsid w:val="003A675D"/>
    <w:rsid w:val="003B330F"/>
    <w:rsid w:val="003B3926"/>
    <w:rsid w:val="003B66B5"/>
    <w:rsid w:val="003B6922"/>
    <w:rsid w:val="003C0F55"/>
    <w:rsid w:val="003C1CE5"/>
    <w:rsid w:val="003C1E21"/>
    <w:rsid w:val="003C2C89"/>
    <w:rsid w:val="003C3393"/>
    <w:rsid w:val="003C64C5"/>
    <w:rsid w:val="003C704C"/>
    <w:rsid w:val="003C7640"/>
    <w:rsid w:val="003D16BD"/>
    <w:rsid w:val="003D4199"/>
    <w:rsid w:val="003D6C18"/>
    <w:rsid w:val="003E1306"/>
    <w:rsid w:val="003E17B3"/>
    <w:rsid w:val="003E2432"/>
    <w:rsid w:val="003E2CEC"/>
    <w:rsid w:val="003E2FDF"/>
    <w:rsid w:val="003E415B"/>
    <w:rsid w:val="003E468D"/>
    <w:rsid w:val="003E5E25"/>
    <w:rsid w:val="003E6BB5"/>
    <w:rsid w:val="003E7687"/>
    <w:rsid w:val="003F0D0F"/>
    <w:rsid w:val="003F101B"/>
    <w:rsid w:val="003F1CA3"/>
    <w:rsid w:val="003F23C9"/>
    <w:rsid w:val="003F2746"/>
    <w:rsid w:val="003F2BE8"/>
    <w:rsid w:val="003F38D7"/>
    <w:rsid w:val="003F4C1E"/>
    <w:rsid w:val="003F59A5"/>
    <w:rsid w:val="003F7E4F"/>
    <w:rsid w:val="0040042C"/>
    <w:rsid w:val="00400523"/>
    <w:rsid w:val="00402FF0"/>
    <w:rsid w:val="00404B45"/>
    <w:rsid w:val="004053F3"/>
    <w:rsid w:val="004054D1"/>
    <w:rsid w:val="00406417"/>
    <w:rsid w:val="00406A90"/>
    <w:rsid w:val="00410D35"/>
    <w:rsid w:val="00412C19"/>
    <w:rsid w:val="00413192"/>
    <w:rsid w:val="00413208"/>
    <w:rsid w:val="00422301"/>
    <w:rsid w:val="00425ABC"/>
    <w:rsid w:val="00431932"/>
    <w:rsid w:val="004347EE"/>
    <w:rsid w:val="00434D17"/>
    <w:rsid w:val="00435BA2"/>
    <w:rsid w:val="00436185"/>
    <w:rsid w:val="004371D0"/>
    <w:rsid w:val="004372C8"/>
    <w:rsid w:val="00437397"/>
    <w:rsid w:val="00440C74"/>
    <w:rsid w:val="00444894"/>
    <w:rsid w:val="00450901"/>
    <w:rsid w:val="00451450"/>
    <w:rsid w:val="004516C9"/>
    <w:rsid w:val="00455BFC"/>
    <w:rsid w:val="004560B8"/>
    <w:rsid w:val="0046162D"/>
    <w:rsid w:val="00461BED"/>
    <w:rsid w:val="00461C22"/>
    <w:rsid w:val="004628D7"/>
    <w:rsid w:val="004628DE"/>
    <w:rsid w:val="00462BB9"/>
    <w:rsid w:val="00463827"/>
    <w:rsid w:val="00463E9B"/>
    <w:rsid w:val="00464A87"/>
    <w:rsid w:val="00465F99"/>
    <w:rsid w:val="00470D00"/>
    <w:rsid w:val="0047292D"/>
    <w:rsid w:val="00472BFF"/>
    <w:rsid w:val="00474201"/>
    <w:rsid w:val="004743F1"/>
    <w:rsid w:val="00474D7B"/>
    <w:rsid w:val="00475316"/>
    <w:rsid w:val="00475814"/>
    <w:rsid w:val="004763FB"/>
    <w:rsid w:val="004818A1"/>
    <w:rsid w:val="00482683"/>
    <w:rsid w:val="00482BA3"/>
    <w:rsid w:val="00483EBD"/>
    <w:rsid w:val="004851D5"/>
    <w:rsid w:val="004877F5"/>
    <w:rsid w:val="00490556"/>
    <w:rsid w:val="00490764"/>
    <w:rsid w:val="004911F3"/>
    <w:rsid w:val="00493FBE"/>
    <w:rsid w:val="00494B58"/>
    <w:rsid w:val="004954D9"/>
    <w:rsid w:val="00495CAE"/>
    <w:rsid w:val="004A0EC8"/>
    <w:rsid w:val="004A1EC5"/>
    <w:rsid w:val="004A381C"/>
    <w:rsid w:val="004A5C6C"/>
    <w:rsid w:val="004A5C87"/>
    <w:rsid w:val="004B02A6"/>
    <w:rsid w:val="004B1E33"/>
    <w:rsid w:val="004B3DB4"/>
    <w:rsid w:val="004B46A2"/>
    <w:rsid w:val="004B528A"/>
    <w:rsid w:val="004B569C"/>
    <w:rsid w:val="004B6068"/>
    <w:rsid w:val="004B6333"/>
    <w:rsid w:val="004B724B"/>
    <w:rsid w:val="004B7403"/>
    <w:rsid w:val="004B7AC5"/>
    <w:rsid w:val="004C0D1D"/>
    <w:rsid w:val="004C4DD2"/>
    <w:rsid w:val="004C53E7"/>
    <w:rsid w:val="004C618F"/>
    <w:rsid w:val="004D1339"/>
    <w:rsid w:val="004D1387"/>
    <w:rsid w:val="004D2495"/>
    <w:rsid w:val="004D4E39"/>
    <w:rsid w:val="004D5913"/>
    <w:rsid w:val="004D6D3C"/>
    <w:rsid w:val="004E0C6D"/>
    <w:rsid w:val="004E2397"/>
    <w:rsid w:val="004E2AC2"/>
    <w:rsid w:val="004E3242"/>
    <w:rsid w:val="004E3821"/>
    <w:rsid w:val="004E6F07"/>
    <w:rsid w:val="004F03D0"/>
    <w:rsid w:val="004F08DE"/>
    <w:rsid w:val="004F4659"/>
    <w:rsid w:val="004F5655"/>
    <w:rsid w:val="004F57F5"/>
    <w:rsid w:val="004F5C59"/>
    <w:rsid w:val="004F7AB7"/>
    <w:rsid w:val="00501A38"/>
    <w:rsid w:val="005026C3"/>
    <w:rsid w:val="00503933"/>
    <w:rsid w:val="0050448F"/>
    <w:rsid w:val="00504B58"/>
    <w:rsid w:val="005051FB"/>
    <w:rsid w:val="00505B66"/>
    <w:rsid w:val="005068A9"/>
    <w:rsid w:val="00510991"/>
    <w:rsid w:val="005109D2"/>
    <w:rsid w:val="005112C9"/>
    <w:rsid w:val="00511F1D"/>
    <w:rsid w:val="0051266C"/>
    <w:rsid w:val="005160D5"/>
    <w:rsid w:val="0051720C"/>
    <w:rsid w:val="00517537"/>
    <w:rsid w:val="00517580"/>
    <w:rsid w:val="0052142D"/>
    <w:rsid w:val="00521A3E"/>
    <w:rsid w:val="005228C0"/>
    <w:rsid w:val="00522ABB"/>
    <w:rsid w:val="00522CC7"/>
    <w:rsid w:val="005269E9"/>
    <w:rsid w:val="005323B2"/>
    <w:rsid w:val="00532557"/>
    <w:rsid w:val="00532F96"/>
    <w:rsid w:val="005334BC"/>
    <w:rsid w:val="005425C4"/>
    <w:rsid w:val="00542B90"/>
    <w:rsid w:val="005436DB"/>
    <w:rsid w:val="00543B7C"/>
    <w:rsid w:val="00544428"/>
    <w:rsid w:val="00544533"/>
    <w:rsid w:val="0054740D"/>
    <w:rsid w:val="00550089"/>
    <w:rsid w:val="00550AC5"/>
    <w:rsid w:val="00550C4F"/>
    <w:rsid w:val="00552515"/>
    <w:rsid w:val="005532C5"/>
    <w:rsid w:val="005535C2"/>
    <w:rsid w:val="00562BF2"/>
    <w:rsid w:val="005662F7"/>
    <w:rsid w:val="005678BA"/>
    <w:rsid w:val="00570194"/>
    <w:rsid w:val="005725D1"/>
    <w:rsid w:val="00573644"/>
    <w:rsid w:val="00573714"/>
    <w:rsid w:val="00574ABD"/>
    <w:rsid w:val="0057601A"/>
    <w:rsid w:val="00580C15"/>
    <w:rsid w:val="00581065"/>
    <w:rsid w:val="0058138D"/>
    <w:rsid w:val="00583396"/>
    <w:rsid w:val="00584087"/>
    <w:rsid w:val="0058523D"/>
    <w:rsid w:val="00587D01"/>
    <w:rsid w:val="00590704"/>
    <w:rsid w:val="005915AC"/>
    <w:rsid w:val="005921FC"/>
    <w:rsid w:val="00595FA3"/>
    <w:rsid w:val="00596FBF"/>
    <w:rsid w:val="005A1BFB"/>
    <w:rsid w:val="005A1E00"/>
    <w:rsid w:val="005A2E2F"/>
    <w:rsid w:val="005A57AB"/>
    <w:rsid w:val="005A6E70"/>
    <w:rsid w:val="005A78C5"/>
    <w:rsid w:val="005A7E35"/>
    <w:rsid w:val="005B11CF"/>
    <w:rsid w:val="005B1718"/>
    <w:rsid w:val="005B218E"/>
    <w:rsid w:val="005B2767"/>
    <w:rsid w:val="005B3A3A"/>
    <w:rsid w:val="005B5115"/>
    <w:rsid w:val="005C1942"/>
    <w:rsid w:val="005C2719"/>
    <w:rsid w:val="005C2FD6"/>
    <w:rsid w:val="005C5BB9"/>
    <w:rsid w:val="005C7C99"/>
    <w:rsid w:val="005D02C9"/>
    <w:rsid w:val="005D3220"/>
    <w:rsid w:val="005D3A70"/>
    <w:rsid w:val="005D67F1"/>
    <w:rsid w:val="005D7854"/>
    <w:rsid w:val="005D78EB"/>
    <w:rsid w:val="005E0238"/>
    <w:rsid w:val="005E174D"/>
    <w:rsid w:val="005E177A"/>
    <w:rsid w:val="005E22E1"/>
    <w:rsid w:val="005E5081"/>
    <w:rsid w:val="005E5E31"/>
    <w:rsid w:val="005E7108"/>
    <w:rsid w:val="005F0B98"/>
    <w:rsid w:val="005F6552"/>
    <w:rsid w:val="005F6E1C"/>
    <w:rsid w:val="005F71AF"/>
    <w:rsid w:val="005F79BC"/>
    <w:rsid w:val="0060066E"/>
    <w:rsid w:val="00600E56"/>
    <w:rsid w:val="006011D5"/>
    <w:rsid w:val="00601AB9"/>
    <w:rsid w:val="00601BE8"/>
    <w:rsid w:val="00602420"/>
    <w:rsid w:val="006033DF"/>
    <w:rsid w:val="006038FB"/>
    <w:rsid w:val="00604264"/>
    <w:rsid w:val="00605DD2"/>
    <w:rsid w:val="0060652C"/>
    <w:rsid w:val="00606ABA"/>
    <w:rsid w:val="00607743"/>
    <w:rsid w:val="00607D8D"/>
    <w:rsid w:val="00612482"/>
    <w:rsid w:val="006128E2"/>
    <w:rsid w:val="006132F9"/>
    <w:rsid w:val="006139AE"/>
    <w:rsid w:val="00613A30"/>
    <w:rsid w:val="00613A8D"/>
    <w:rsid w:val="00613F12"/>
    <w:rsid w:val="00620484"/>
    <w:rsid w:val="0062098B"/>
    <w:rsid w:val="00621D5C"/>
    <w:rsid w:val="0062338C"/>
    <w:rsid w:val="0062359C"/>
    <w:rsid w:val="0062741C"/>
    <w:rsid w:val="00627C85"/>
    <w:rsid w:val="00633F6A"/>
    <w:rsid w:val="00634BF7"/>
    <w:rsid w:val="006354E6"/>
    <w:rsid w:val="00635F79"/>
    <w:rsid w:val="00636108"/>
    <w:rsid w:val="00637B8B"/>
    <w:rsid w:val="00641649"/>
    <w:rsid w:val="0064285F"/>
    <w:rsid w:val="006451E1"/>
    <w:rsid w:val="00645757"/>
    <w:rsid w:val="006468BE"/>
    <w:rsid w:val="00646E39"/>
    <w:rsid w:val="006522D1"/>
    <w:rsid w:val="00652CC5"/>
    <w:rsid w:val="00654E52"/>
    <w:rsid w:val="00655B10"/>
    <w:rsid w:val="00656B43"/>
    <w:rsid w:val="00660164"/>
    <w:rsid w:val="00660B27"/>
    <w:rsid w:val="00661004"/>
    <w:rsid w:val="00661783"/>
    <w:rsid w:val="00661E73"/>
    <w:rsid w:val="00663504"/>
    <w:rsid w:val="00663F63"/>
    <w:rsid w:val="0066508F"/>
    <w:rsid w:val="00665ED2"/>
    <w:rsid w:val="00666592"/>
    <w:rsid w:val="0066676B"/>
    <w:rsid w:val="006725DA"/>
    <w:rsid w:val="006726D4"/>
    <w:rsid w:val="00675871"/>
    <w:rsid w:val="00675F31"/>
    <w:rsid w:val="00680778"/>
    <w:rsid w:val="0068090C"/>
    <w:rsid w:val="00681014"/>
    <w:rsid w:val="00681EC0"/>
    <w:rsid w:val="00686738"/>
    <w:rsid w:val="00687651"/>
    <w:rsid w:val="0069052F"/>
    <w:rsid w:val="00690EB4"/>
    <w:rsid w:val="00691D8C"/>
    <w:rsid w:val="006942C5"/>
    <w:rsid w:val="0069652E"/>
    <w:rsid w:val="0069703B"/>
    <w:rsid w:val="006973D4"/>
    <w:rsid w:val="00697617"/>
    <w:rsid w:val="006A01E6"/>
    <w:rsid w:val="006A052D"/>
    <w:rsid w:val="006A1AE6"/>
    <w:rsid w:val="006A21C2"/>
    <w:rsid w:val="006A25F4"/>
    <w:rsid w:val="006A33EC"/>
    <w:rsid w:val="006A75F1"/>
    <w:rsid w:val="006B0D53"/>
    <w:rsid w:val="006B14E8"/>
    <w:rsid w:val="006B17F3"/>
    <w:rsid w:val="006B2B87"/>
    <w:rsid w:val="006B2DB9"/>
    <w:rsid w:val="006B40C5"/>
    <w:rsid w:val="006B4AA2"/>
    <w:rsid w:val="006B5B8C"/>
    <w:rsid w:val="006B5D1A"/>
    <w:rsid w:val="006B6329"/>
    <w:rsid w:val="006B6BD3"/>
    <w:rsid w:val="006B7769"/>
    <w:rsid w:val="006C205A"/>
    <w:rsid w:val="006C2213"/>
    <w:rsid w:val="006C3263"/>
    <w:rsid w:val="006D1D18"/>
    <w:rsid w:val="006D2135"/>
    <w:rsid w:val="006D3E2B"/>
    <w:rsid w:val="006D4460"/>
    <w:rsid w:val="006D5F5C"/>
    <w:rsid w:val="006E18D3"/>
    <w:rsid w:val="006E26B6"/>
    <w:rsid w:val="006E2A24"/>
    <w:rsid w:val="006E3D11"/>
    <w:rsid w:val="006E4886"/>
    <w:rsid w:val="006E541D"/>
    <w:rsid w:val="006E5FE0"/>
    <w:rsid w:val="006E6F2C"/>
    <w:rsid w:val="006E7EA8"/>
    <w:rsid w:val="006F0993"/>
    <w:rsid w:val="006F1D64"/>
    <w:rsid w:val="006F1E6B"/>
    <w:rsid w:val="006F21A2"/>
    <w:rsid w:val="006F3A5E"/>
    <w:rsid w:val="006F3EDE"/>
    <w:rsid w:val="006F4111"/>
    <w:rsid w:val="006F6705"/>
    <w:rsid w:val="006F683B"/>
    <w:rsid w:val="007009EE"/>
    <w:rsid w:val="00701671"/>
    <w:rsid w:val="0070168D"/>
    <w:rsid w:val="007025FA"/>
    <w:rsid w:val="007030DF"/>
    <w:rsid w:val="00703354"/>
    <w:rsid w:val="00704D25"/>
    <w:rsid w:val="007069B7"/>
    <w:rsid w:val="00706E96"/>
    <w:rsid w:val="0070700C"/>
    <w:rsid w:val="0070704E"/>
    <w:rsid w:val="0071003D"/>
    <w:rsid w:val="00710F99"/>
    <w:rsid w:val="007120A9"/>
    <w:rsid w:val="00712EE9"/>
    <w:rsid w:val="00715789"/>
    <w:rsid w:val="007159AE"/>
    <w:rsid w:val="00716901"/>
    <w:rsid w:val="007203FC"/>
    <w:rsid w:val="00720E95"/>
    <w:rsid w:val="007249ED"/>
    <w:rsid w:val="007251E8"/>
    <w:rsid w:val="007268ED"/>
    <w:rsid w:val="00730DE9"/>
    <w:rsid w:val="00731D64"/>
    <w:rsid w:val="0073257C"/>
    <w:rsid w:val="0073499C"/>
    <w:rsid w:val="007349BC"/>
    <w:rsid w:val="007356AA"/>
    <w:rsid w:val="007357B7"/>
    <w:rsid w:val="00735D2F"/>
    <w:rsid w:val="0073689F"/>
    <w:rsid w:val="00737077"/>
    <w:rsid w:val="007400EE"/>
    <w:rsid w:val="0074084E"/>
    <w:rsid w:val="007411FF"/>
    <w:rsid w:val="00741253"/>
    <w:rsid w:val="00742917"/>
    <w:rsid w:val="007436FC"/>
    <w:rsid w:val="007446E1"/>
    <w:rsid w:val="007456C5"/>
    <w:rsid w:val="00746A36"/>
    <w:rsid w:val="007478D7"/>
    <w:rsid w:val="0075111C"/>
    <w:rsid w:val="0075176F"/>
    <w:rsid w:val="007529F3"/>
    <w:rsid w:val="0075311D"/>
    <w:rsid w:val="007578C3"/>
    <w:rsid w:val="007601AE"/>
    <w:rsid w:val="0076097B"/>
    <w:rsid w:val="00763814"/>
    <w:rsid w:val="00763ED9"/>
    <w:rsid w:val="0076594E"/>
    <w:rsid w:val="00767AB0"/>
    <w:rsid w:val="00767D49"/>
    <w:rsid w:val="007712AD"/>
    <w:rsid w:val="00771F5E"/>
    <w:rsid w:val="00775002"/>
    <w:rsid w:val="00783F52"/>
    <w:rsid w:val="007848FF"/>
    <w:rsid w:val="00785AD2"/>
    <w:rsid w:val="00786E84"/>
    <w:rsid w:val="00787122"/>
    <w:rsid w:val="0078781A"/>
    <w:rsid w:val="0079058B"/>
    <w:rsid w:val="0079402B"/>
    <w:rsid w:val="007941A9"/>
    <w:rsid w:val="00794949"/>
    <w:rsid w:val="00796FF4"/>
    <w:rsid w:val="007A0B9A"/>
    <w:rsid w:val="007A12CB"/>
    <w:rsid w:val="007A1581"/>
    <w:rsid w:val="007A4536"/>
    <w:rsid w:val="007A464A"/>
    <w:rsid w:val="007A47B8"/>
    <w:rsid w:val="007A6FAB"/>
    <w:rsid w:val="007B0381"/>
    <w:rsid w:val="007B1397"/>
    <w:rsid w:val="007B1C65"/>
    <w:rsid w:val="007B2044"/>
    <w:rsid w:val="007B63B7"/>
    <w:rsid w:val="007C028F"/>
    <w:rsid w:val="007C134E"/>
    <w:rsid w:val="007C240D"/>
    <w:rsid w:val="007C360F"/>
    <w:rsid w:val="007C3AA7"/>
    <w:rsid w:val="007C3CCD"/>
    <w:rsid w:val="007C6621"/>
    <w:rsid w:val="007D0465"/>
    <w:rsid w:val="007D1CE7"/>
    <w:rsid w:val="007D3F55"/>
    <w:rsid w:val="007D44C4"/>
    <w:rsid w:val="007D457C"/>
    <w:rsid w:val="007D5D54"/>
    <w:rsid w:val="007D61A9"/>
    <w:rsid w:val="007D6A50"/>
    <w:rsid w:val="007D6AEA"/>
    <w:rsid w:val="007E0956"/>
    <w:rsid w:val="007E1A18"/>
    <w:rsid w:val="007E31E6"/>
    <w:rsid w:val="007E375B"/>
    <w:rsid w:val="007E3B79"/>
    <w:rsid w:val="007E45E3"/>
    <w:rsid w:val="007E5654"/>
    <w:rsid w:val="007E5FAC"/>
    <w:rsid w:val="007E60C8"/>
    <w:rsid w:val="007E74EA"/>
    <w:rsid w:val="007E76A5"/>
    <w:rsid w:val="007F03A2"/>
    <w:rsid w:val="007F45F2"/>
    <w:rsid w:val="007F4C9D"/>
    <w:rsid w:val="007F6137"/>
    <w:rsid w:val="007F6C54"/>
    <w:rsid w:val="00800003"/>
    <w:rsid w:val="00801C95"/>
    <w:rsid w:val="00801CEE"/>
    <w:rsid w:val="0080258D"/>
    <w:rsid w:val="0080287B"/>
    <w:rsid w:val="00806C9D"/>
    <w:rsid w:val="00806F4E"/>
    <w:rsid w:val="008075DA"/>
    <w:rsid w:val="00807713"/>
    <w:rsid w:val="0081199D"/>
    <w:rsid w:val="00812D4B"/>
    <w:rsid w:val="00813899"/>
    <w:rsid w:val="008139D0"/>
    <w:rsid w:val="00813B81"/>
    <w:rsid w:val="00814C40"/>
    <w:rsid w:val="008151B1"/>
    <w:rsid w:val="008151D9"/>
    <w:rsid w:val="0081644A"/>
    <w:rsid w:val="00816893"/>
    <w:rsid w:val="00816C41"/>
    <w:rsid w:val="008213E0"/>
    <w:rsid w:val="0082268C"/>
    <w:rsid w:val="008237E3"/>
    <w:rsid w:val="00823AB7"/>
    <w:rsid w:val="00824037"/>
    <w:rsid w:val="00824FE8"/>
    <w:rsid w:val="008274FD"/>
    <w:rsid w:val="00827C6A"/>
    <w:rsid w:val="0083147B"/>
    <w:rsid w:val="00832D12"/>
    <w:rsid w:val="00833492"/>
    <w:rsid w:val="00833644"/>
    <w:rsid w:val="00833680"/>
    <w:rsid w:val="00833D0E"/>
    <w:rsid w:val="0083528A"/>
    <w:rsid w:val="00835A10"/>
    <w:rsid w:val="0084156E"/>
    <w:rsid w:val="00841B62"/>
    <w:rsid w:val="00842D8A"/>
    <w:rsid w:val="00842FC1"/>
    <w:rsid w:val="008439D6"/>
    <w:rsid w:val="008440CA"/>
    <w:rsid w:val="008444A8"/>
    <w:rsid w:val="008454AE"/>
    <w:rsid w:val="008511BF"/>
    <w:rsid w:val="00851262"/>
    <w:rsid w:val="00852730"/>
    <w:rsid w:val="008538EF"/>
    <w:rsid w:val="008551CC"/>
    <w:rsid w:val="0086283F"/>
    <w:rsid w:val="00862AE0"/>
    <w:rsid w:val="00862E3A"/>
    <w:rsid w:val="00865AA7"/>
    <w:rsid w:val="00865BAF"/>
    <w:rsid w:val="00867433"/>
    <w:rsid w:val="00870B60"/>
    <w:rsid w:val="008723C3"/>
    <w:rsid w:val="00873FED"/>
    <w:rsid w:val="00874CD5"/>
    <w:rsid w:val="00874F8C"/>
    <w:rsid w:val="0087724E"/>
    <w:rsid w:val="00881457"/>
    <w:rsid w:val="0088324D"/>
    <w:rsid w:val="00883428"/>
    <w:rsid w:val="00887C47"/>
    <w:rsid w:val="0089116B"/>
    <w:rsid w:val="008921F1"/>
    <w:rsid w:val="00893C36"/>
    <w:rsid w:val="00894241"/>
    <w:rsid w:val="00894B7F"/>
    <w:rsid w:val="00894DAA"/>
    <w:rsid w:val="0089574F"/>
    <w:rsid w:val="00896A76"/>
    <w:rsid w:val="00897999"/>
    <w:rsid w:val="008A0A66"/>
    <w:rsid w:val="008A1D97"/>
    <w:rsid w:val="008A349B"/>
    <w:rsid w:val="008A4200"/>
    <w:rsid w:val="008A54F2"/>
    <w:rsid w:val="008A5DDC"/>
    <w:rsid w:val="008B0D44"/>
    <w:rsid w:val="008B4BFF"/>
    <w:rsid w:val="008B7236"/>
    <w:rsid w:val="008B752F"/>
    <w:rsid w:val="008C0579"/>
    <w:rsid w:val="008C247E"/>
    <w:rsid w:val="008C2562"/>
    <w:rsid w:val="008C4030"/>
    <w:rsid w:val="008C4745"/>
    <w:rsid w:val="008C4811"/>
    <w:rsid w:val="008C529A"/>
    <w:rsid w:val="008C5C3F"/>
    <w:rsid w:val="008C6A0F"/>
    <w:rsid w:val="008D0075"/>
    <w:rsid w:val="008D0160"/>
    <w:rsid w:val="008D1571"/>
    <w:rsid w:val="008D2307"/>
    <w:rsid w:val="008D4898"/>
    <w:rsid w:val="008D6494"/>
    <w:rsid w:val="008D7057"/>
    <w:rsid w:val="008D789A"/>
    <w:rsid w:val="008E0428"/>
    <w:rsid w:val="008E052C"/>
    <w:rsid w:val="008E05E7"/>
    <w:rsid w:val="008E0BD8"/>
    <w:rsid w:val="008E1748"/>
    <w:rsid w:val="008E2ACD"/>
    <w:rsid w:val="008E2FC7"/>
    <w:rsid w:val="008E5FBC"/>
    <w:rsid w:val="008E6AD7"/>
    <w:rsid w:val="008E70A4"/>
    <w:rsid w:val="008E7533"/>
    <w:rsid w:val="008F08FF"/>
    <w:rsid w:val="008F092F"/>
    <w:rsid w:val="008F40D8"/>
    <w:rsid w:val="008F655A"/>
    <w:rsid w:val="008F6E5A"/>
    <w:rsid w:val="008F7063"/>
    <w:rsid w:val="008F71E1"/>
    <w:rsid w:val="0090006F"/>
    <w:rsid w:val="00900763"/>
    <w:rsid w:val="00900A9D"/>
    <w:rsid w:val="009010D5"/>
    <w:rsid w:val="00903814"/>
    <w:rsid w:val="009050D5"/>
    <w:rsid w:val="009058DE"/>
    <w:rsid w:val="00906CBB"/>
    <w:rsid w:val="0090732E"/>
    <w:rsid w:val="00910279"/>
    <w:rsid w:val="009109D5"/>
    <w:rsid w:val="00910CFA"/>
    <w:rsid w:val="009117AA"/>
    <w:rsid w:val="00913646"/>
    <w:rsid w:val="00915E53"/>
    <w:rsid w:val="0091687D"/>
    <w:rsid w:val="00916D36"/>
    <w:rsid w:val="00920C96"/>
    <w:rsid w:val="00921934"/>
    <w:rsid w:val="00922A9D"/>
    <w:rsid w:val="0092413B"/>
    <w:rsid w:val="00927238"/>
    <w:rsid w:val="00933B9E"/>
    <w:rsid w:val="0093412B"/>
    <w:rsid w:val="009369DD"/>
    <w:rsid w:val="009400C7"/>
    <w:rsid w:val="00941127"/>
    <w:rsid w:val="00941DA2"/>
    <w:rsid w:val="00942484"/>
    <w:rsid w:val="00943649"/>
    <w:rsid w:val="00944BED"/>
    <w:rsid w:val="00944E56"/>
    <w:rsid w:val="00947140"/>
    <w:rsid w:val="0095107C"/>
    <w:rsid w:val="009520D2"/>
    <w:rsid w:val="00952EB0"/>
    <w:rsid w:val="0095321B"/>
    <w:rsid w:val="00953F92"/>
    <w:rsid w:val="00954D1F"/>
    <w:rsid w:val="00955751"/>
    <w:rsid w:val="00956646"/>
    <w:rsid w:val="00956E71"/>
    <w:rsid w:val="00957645"/>
    <w:rsid w:val="00957BC2"/>
    <w:rsid w:val="00957C69"/>
    <w:rsid w:val="00957FE3"/>
    <w:rsid w:val="0096003D"/>
    <w:rsid w:val="00961054"/>
    <w:rsid w:val="009634DD"/>
    <w:rsid w:val="00963F9A"/>
    <w:rsid w:val="00964429"/>
    <w:rsid w:val="009671CD"/>
    <w:rsid w:val="00967BD9"/>
    <w:rsid w:val="0097036A"/>
    <w:rsid w:val="009708A5"/>
    <w:rsid w:val="009711D3"/>
    <w:rsid w:val="00971518"/>
    <w:rsid w:val="00972574"/>
    <w:rsid w:val="00972CCD"/>
    <w:rsid w:val="009740FB"/>
    <w:rsid w:val="0097433D"/>
    <w:rsid w:val="00974DAF"/>
    <w:rsid w:val="009767B0"/>
    <w:rsid w:val="00977953"/>
    <w:rsid w:val="00977B3D"/>
    <w:rsid w:val="00977FB5"/>
    <w:rsid w:val="00981DC6"/>
    <w:rsid w:val="0098201A"/>
    <w:rsid w:val="00982905"/>
    <w:rsid w:val="00984359"/>
    <w:rsid w:val="0098592B"/>
    <w:rsid w:val="00986C3C"/>
    <w:rsid w:val="00990BD1"/>
    <w:rsid w:val="00993110"/>
    <w:rsid w:val="00994862"/>
    <w:rsid w:val="009954E5"/>
    <w:rsid w:val="00995595"/>
    <w:rsid w:val="009964F2"/>
    <w:rsid w:val="009A0865"/>
    <w:rsid w:val="009A1ACC"/>
    <w:rsid w:val="009A2D43"/>
    <w:rsid w:val="009A2E3F"/>
    <w:rsid w:val="009A41ED"/>
    <w:rsid w:val="009A45E6"/>
    <w:rsid w:val="009A4B78"/>
    <w:rsid w:val="009A5DB5"/>
    <w:rsid w:val="009B154D"/>
    <w:rsid w:val="009B26AC"/>
    <w:rsid w:val="009B50E4"/>
    <w:rsid w:val="009B5640"/>
    <w:rsid w:val="009B63BE"/>
    <w:rsid w:val="009C29D1"/>
    <w:rsid w:val="009C3563"/>
    <w:rsid w:val="009C512B"/>
    <w:rsid w:val="009C528C"/>
    <w:rsid w:val="009C52F1"/>
    <w:rsid w:val="009C666F"/>
    <w:rsid w:val="009D0A16"/>
    <w:rsid w:val="009D36B3"/>
    <w:rsid w:val="009D52D4"/>
    <w:rsid w:val="009D724D"/>
    <w:rsid w:val="009E11C6"/>
    <w:rsid w:val="009E17F8"/>
    <w:rsid w:val="009E2219"/>
    <w:rsid w:val="009E2815"/>
    <w:rsid w:val="009E2FDE"/>
    <w:rsid w:val="009E409F"/>
    <w:rsid w:val="009E4144"/>
    <w:rsid w:val="009E6195"/>
    <w:rsid w:val="009E7D0E"/>
    <w:rsid w:val="009F0F8C"/>
    <w:rsid w:val="009F1398"/>
    <w:rsid w:val="009F2352"/>
    <w:rsid w:val="009F4DD3"/>
    <w:rsid w:val="009F611A"/>
    <w:rsid w:val="009F634D"/>
    <w:rsid w:val="009F6594"/>
    <w:rsid w:val="009F7949"/>
    <w:rsid w:val="00A002EC"/>
    <w:rsid w:val="00A0127A"/>
    <w:rsid w:val="00A0248B"/>
    <w:rsid w:val="00A0288A"/>
    <w:rsid w:val="00A03562"/>
    <w:rsid w:val="00A03869"/>
    <w:rsid w:val="00A04E62"/>
    <w:rsid w:val="00A0503A"/>
    <w:rsid w:val="00A0513E"/>
    <w:rsid w:val="00A114D4"/>
    <w:rsid w:val="00A12F4A"/>
    <w:rsid w:val="00A132A2"/>
    <w:rsid w:val="00A16E4A"/>
    <w:rsid w:val="00A17348"/>
    <w:rsid w:val="00A206D7"/>
    <w:rsid w:val="00A2103B"/>
    <w:rsid w:val="00A23E35"/>
    <w:rsid w:val="00A24F09"/>
    <w:rsid w:val="00A2607F"/>
    <w:rsid w:val="00A2695E"/>
    <w:rsid w:val="00A27CB8"/>
    <w:rsid w:val="00A30E48"/>
    <w:rsid w:val="00A32560"/>
    <w:rsid w:val="00A4092C"/>
    <w:rsid w:val="00A419CF"/>
    <w:rsid w:val="00A4249E"/>
    <w:rsid w:val="00A44DEE"/>
    <w:rsid w:val="00A45096"/>
    <w:rsid w:val="00A45599"/>
    <w:rsid w:val="00A45B14"/>
    <w:rsid w:val="00A50060"/>
    <w:rsid w:val="00A50CED"/>
    <w:rsid w:val="00A52CAE"/>
    <w:rsid w:val="00A54350"/>
    <w:rsid w:val="00A54E80"/>
    <w:rsid w:val="00A57508"/>
    <w:rsid w:val="00A57793"/>
    <w:rsid w:val="00A60C03"/>
    <w:rsid w:val="00A62E30"/>
    <w:rsid w:val="00A641B8"/>
    <w:rsid w:val="00A66080"/>
    <w:rsid w:val="00A67471"/>
    <w:rsid w:val="00A67DB7"/>
    <w:rsid w:val="00A714E9"/>
    <w:rsid w:val="00A715FE"/>
    <w:rsid w:val="00A71F03"/>
    <w:rsid w:val="00A7202D"/>
    <w:rsid w:val="00A73FDD"/>
    <w:rsid w:val="00A759EE"/>
    <w:rsid w:val="00A75EC1"/>
    <w:rsid w:val="00A76F89"/>
    <w:rsid w:val="00A812A7"/>
    <w:rsid w:val="00A81DF6"/>
    <w:rsid w:val="00A826BF"/>
    <w:rsid w:val="00A85DCC"/>
    <w:rsid w:val="00A85E5A"/>
    <w:rsid w:val="00A87BA8"/>
    <w:rsid w:val="00A87F74"/>
    <w:rsid w:val="00A929F6"/>
    <w:rsid w:val="00A92AD9"/>
    <w:rsid w:val="00A95E7D"/>
    <w:rsid w:val="00A96A66"/>
    <w:rsid w:val="00A96E1A"/>
    <w:rsid w:val="00A96F39"/>
    <w:rsid w:val="00A97345"/>
    <w:rsid w:val="00AA2449"/>
    <w:rsid w:val="00AA29AF"/>
    <w:rsid w:val="00AA3307"/>
    <w:rsid w:val="00AA3C9F"/>
    <w:rsid w:val="00AA4649"/>
    <w:rsid w:val="00AA7FCA"/>
    <w:rsid w:val="00AB0FF2"/>
    <w:rsid w:val="00AB2335"/>
    <w:rsid w:val="00AB329D"/>
    <w:rsid w:val="00AB3CD8"/>
    <w:rsid w:val="00AB6154"/>
    <w:rsid w:val="00AB6FD8"/>
    <w:rsid w:val="00AC0B3D"/>
    <w:rsid w:val="00AC18EE"/>
    <w:rsid w:val="00AC41FD"/>
    <w:rsid w:val="00AC45B9"/>
    <w:rsid w:val="00AC523C"/>
    <w:rsid w:val="00AC539E"/>
    <w:rsid w:val="00AC5F9F"/>
    <w:rsid w:val="00AC7D55"/>
    <w:rsid w:val="00AD1C4A"/>
    <w:rsid w:val="00AD2F11"/>
    <w:rsid w:val="00AD32C2"/>
    <w:rsid w:val="00AD570C"/>
    <w:rsid w:val="00AD5A48"/>
    <w:rsid w:val="00AD7391"/>
    <w:rsid w:val="00AD74BF"/>
    <w:rsid w:val="00AE1DC1"/>
    <w:rsid w:val="00AE3533"/>
    <w:rsid w:val="00AE528F"/>
    <w:rsid w:val="00AE5324"/>
    <w:rsid w:val="00AE570E"/>
    <w:rsid w:val="00AE5D4F"/>
    <w:rsid w:val="00AE6100"/>
    <w:rsid w:val="00AE656E"/>
    <w:rsid w:val="00AE7570"/>
    <w:rsid w:val="00AF08B8"/>
    <w:rsid w:val="00AF0D34"/>
    <w:rsid w:val="00AF15AA"/>
    <w:rsid w:val="00AF2ABD"/>
    <w:rsid w:val="00AF3F4B"/>
    <w:rsid w:val="00AF4211"/>
    <w:rsid w:val="00AF4AA0"/>
    <w:rsid w:val="00AF4B9F"/>
    <w:rsid w:val="00AF6749"/>
    <w:rsid w:val="00AF68BD"/>
    <w:rsid w:val="00AF6D81"/>
    <w:rsid w:val="00B0037B"/>
    <w:rsid w:val="00B00899"/>
    <w:rsid w:val="00B0216D"/>
    <w:rsid w:val="00B034AC"/>
    <w:rsid w:val="00B052C3"/>
    <w:rsid w:val="00B05D97"/>
    <w:rsid w:val="00B07CA0"/>
    <w:rsid w:val="00B11565"/>
    <w:rsid w:val="00B1179D"/>
    <w:rsid w:val="00B11988"/>
    <w:rsid w:val="00B1379A"/>
    <w:rsid w:val="00B13DB1"/>
    <w:rsid w:val="00B17D03"/>
    <w:rsid w:val="00B209E3"/>
    <w:rsid w:val="00B2115D"/>
    <w:rsid w:val="00B21E5B"/>
    <w:rsid w:val="00B238BD"/>
    <w:rsid w:val="00B23B30"/>
    <w:rsid w:val="00B24774"/>
    <w:rsid w:val="00B248DD"/>
    <w:rsid w:val="00B2494E"/>
    <w:rsid w:val="00B25616"/>
    <w:rsid w:val="00B300E7"/>
    <w:rsid w:val="00B306DF"/>
    <w:rsid w:val="00B322F1"/>
    <w:rsid w:val="00B3370B"/>
    <w:rsid w:val="00B337E3"/>
    <w:rsid w:val="00B34272"/>
    <w:rsid w:val="00B34D03"/>
    <w:rsid w:val="00B37E7C"/>
    <w:rsid w:val="00B40822"/>
    <w:rsid w:val="00B41E99"/>
    <w:rsid w:val="00B42894"/>
    <w:rsid w:val="00B43988"/>
    <w:rsid w:val="00B44E0A"/>
    <w:rsid w:val="00B455A6"/>
    <w:rsid w:val="00B457CD"/>
    <w:rsid w:val="00B4674F"/>
    <w:rsid w:val="00B46C41"/>
    <w:rsid w:val="00B51E45"/>
    <w:rsid w:val="00B51EA8"/>
    <w:rsid w:val="00B52858"/>
    <w:rsid w:val="00B5297E"/>
    <w:rsid w:val="00B552ED"/>
    <w:rsid w:val="00B57D63"/>
    <w:rsid w:val="00B64BCA"/>
    <w:rsid w:val="00B72F51"/>
    <w:rsid w:val="00B734D0"/>
    <w:rsid w:val="00B74A95"/>
    <w:rsid w:val="00B757AB"/>
    <w:rsid w:val="00B75B0C"/>
    <w:rsid w:val="00B76276"/>
    <w:rsid w:val="00B77ADD"/>
    <w:rsid w:val="00B77E4F"/>
    <w:rsid w:val="00B8378B"/>
    <w:rsid w:val="00B837B0"/>
    <w:rsid w:val="00B83DCA"/>
    <w:rsid w:val="00B84B88"/>
    <w:rsid w:val="00B90048"/>
    <w:rsid w:val="00B91A2E"/>
    <w:rsid w:val="00B92D15"/>
    <w:rsid w:val="00B92D9A"/>
    <w:rsid w:val="00B95A31"/>
    <w:rsid w:val="00B979A5"/>
    <w:rsid w:val="00B97BEB"/>
    <w:rsid w:val="00B97C94"/>
    <w:rsid w:val="00BA04BA"/>
    <w:rsid w:val="00BA1F5A"/>
    <w:rsid w:val="00BA268A"/>
    <w:rsid w:val="00BA4BA8"/>
    <w:rsid w:val="00BA4BC5"/>
    <w:rsid w:val="00BB0BCD"/>
    <w:rsid w:val="00BB2931"/>
    <w:rsid w:val="00BB5462"/>
    <w:rsid w:val="00BB7785"/>
    <w:rsid w:val="00BC05D4"/>
    <w:rsid w:val="00BC2449"/>
    <w:rsid w:val="00BC25A6"/>
    <w:rsid w:val="00BC2FBF"/>
    <w:rsid w:val="00BC4797"/>
    <w:rsid w:val="00BC6DDD"/>
    <w:rsid w:val="00BD1D25"/>
    <w:rsid w:val="00BD1EDE"/>
    <w:rsid w:val="00BD23CD"/>
    <w:rsid w:val="00BD28C1"/>
    <w:rsid w:val="00BD3126"/>
    <w:rsid w:val="00BD3E9D"/>
    <w:rsid w:val="00BD4880"/>
    <w:rsid w:val="00BD6195"/>
    <w:rsid w:val="00BD66C5"/>
    <w:rsid w:val="00BD6C67"/>
    <w:rsid w:val="00BE1F09"/>
    <w:rsid w:val="00BE2D05"/>
    <w:rsid w:val="00BE48CF"/>
    <w:rsid w:val="00BE4C93"/>
    <w:rsid w:val="00BE50B9"/>
    <w:rsid w:val="00BF0DEE"/>
    <w:rsid w:val="00BF0EC7"/>
    <w:rsid w:val="00BF1A5D"/>
    <w:rsid w:val="00BF23F6"/>
    <w:rsid w:val="00BF2B44"/>
    <w:rsid w:val="00BF3F28"/>
    <w:rsid w:val="00BF5EEB"/>
    <w:rsid w:val="00BF64DD"/>
    <w:rsid w:val="00BF7A93"/>
    <w:rsid w:val="00BF7B0B"/>
    <w:rsid w:val="00C00D5C"/>
    <w:rsid w:val="00C02486"/>
    <w:rsid w:val="00C04F90"/>
    <w:rsid w:val="00C05A4D"/>
    <w:rsid w:val="00C05C2F"/>
    <w:rsid w:val="00C07E7D"/>
    <w:rsid w:val="00C10318"/>
    <w:rsid w:val="00C10B98"/>
    <w:rsid w:val="00C10C67"/>
    <w:rsid w:val="00C119B7"/>
    <w:rsid w:val="00C120AF"/>
    <w:rsid w:val="00C126D9"/>
    <w:rsid w:val="00C127DF"/>
    <w:rsid w:val="00C138B3"/>
    <w:rsid w:val="00C15B04"/>
    <w:rsid w:val="00C170F7"/>
    <w:rsid w:val="00C2180A"/>
    <w:rsid w:val="00C24593"/>
    <w:rsid w:val="00C24D16"/>
    <w:rsid w:val="00C2569A"/>
    <w:rsid w:val="00C258FB"/>
    <w:rsid w:val="00C267C4"/>
    <w:rsid w:val="00C306E7"/>
    <w:rsid w:val="00C30778"/>
    <w:rsid w:val="00C31A9A"/>
    <w:rsid w:val="00C31F71"/>
    <w:rsid w:val="00C3203F"/>
    <w:rsid w:val="00C32803"/>
    <w:rsid w:val="00C32F38"/>
    <w:rsid w:val="00C4546B"/>
    <w:rsid w:val="00C45B7F"/>
    <w:rsid w:val="00C469F5"/>
    <w:rsid w:val="00C46DB0"/>
    <w:rsid w:val="00C500E6"/>
    <w:rsid w:val="00C5353C"/>
    <w:rsid w:val="00C54FED"/>
    <w:rsid w:val="00C565F8"/>
    <w:rsid w:val="00C578C6"/>
    <w:rsid w:val="00C60459"/>
    <w:rsid w:val="00C60BAB"/>
    <w:rsid w:val="00C610FA"/>
    <w:rsid w:val="00C613B4"/>
    <w:rsid w:val="00C61D83"/>
    <w:rsid w:val="00C62C44"/>
    <w:rsid w:val="00C632AB"/>
    <w:rsid w:val="00C634CA"/>
    <w:rsid w:val="00C644A8"/>
    <w:rsid w:val="00C65B1C"/>
    <w:rsid w:val="00C65C4D"/>
    <w:rsid w:val="00C663AC"/>
    <w:rsid w:val="00C66EE1"/>
    <w:rsid w:val="00C7356D"/>
    <w:rsid w:val="00C73771"/>
    <w:rsid w:val="00C74557"/>
    <w:rsid w:val="00C76C4B"/>
    <w:rsid w:val="00C77766"/>
    <w:rsid w:val="00C77883"/>
    <w:rsid w:val="00C806A3"/>
    <w:rsid w:val="00C81E19"/>
    <w:rsid w:val="00C845A6"/>
    <w:rsid w:val="00C85D23"/>
    <w:rsid w:val="00C863D5"/>
    <w:rsid w:val="00C92348"/>
    <w:rsid w:val="00C9239C"/>
    <w:rsid w:val="00C929EA"/>
    <w:rsid w:val="00C93756"/>
    <w:rsid w:val="00C93CD2"/>
    <w:rsid w:val="00C94B3C"/>
    <w:rsid w:val="00C96890"/>
    <w:rsid w:val="00C96BD7"/>
    <w:rsid w:val="00CA12B8"/>
    <w:rsid w:val="00CA1D7F"/>
    <w:rsid w:val="00CA2F68"/>
    <w:rsid w:val="00CA3A0E"/>
    <w:rsid w:val="00CA4149"/>
    <w:rsid w:val="00CA560C"/>
    <w:rsid w:val="00CA63AC"/>
    <w:rsid w:val="00CA6F4A"/>
    <w:rsid w:val="00CB11D3"/>
    <w:rsid w:val="00CB1CE8"/>
    <w:rsid w:val="00CB2237"/>
    <w:rsid w:val="00CB239A"/>
    <w:rsid w:val="00CB49C4"/>
    <w:rsid w:val="00CB4AE3"/>
    <w:rsid w:val="00CB7E0F"/>
    <w:rsid w:val="00CC0197"/>
    <w:rsid w:val="00CC0ACC"/>
    <w:rsid w:val="00CC112F"/>
    <w:rsid w:val="00CC1168"/>
    <w:rsid w:val="00CC28E2"/>
    <w:rsid w:val="00CC297E"/>
    <w:rsid w:val="00CC2F4D"/>
    <w:rsid w:val="00CC348A"/>
    <w:rsid w:val="00CC3E4C"/>
    <w:rsid w:val="00CC3EA4"/>
    <w:rsid w:val="00CC5092"/>
    <w:rsid w:val="00CC5796"/>
    <w:rsid w:val="00CC5E53"/>
    <w:rsid w:val="00CC63BE"/>
    <w:rsid w:val="00CC6DC8"/>
    <w:rsid w:val="00CD0444"/>
    <w:rsid w:val="00CD059B"/>
    <w:rsid w:val="00CD18B5"/>
    <w:rsid w:val="00CD1DCE"/>
    <w:rsid w:val="00CD35C5"/>
    <w:rsid w:val="00CD461C"/>
    <w:rsid w:val="00CD602D"/>
    <w:rsid w:val="00CD7B2C"/>
    <w:rsid w:val="00CE07F7"/>
    <w:rsid w:val="00CE258D"/>
    <w:rsid w:val="00CE4033"/>
    <w:rsid w:val="00CE6167"/>
    <w:rsid w:val="00CE64F8"/>
    <w:rsid w:val="00CE79A3"/>
    <w:rsid w:val="00CE79EB"/>
    <w:rsid w:val="00CF0B46"/>
    <w:rsid w:val="00CF1204"/>
    <w:rsid w:val="00CF28E5"/>
    <w:rsid w:val="00CF2CFA"/>
    <w:rsid w:val="00CF6780"/>
    <w:rsid w:val="00D01F56"/>
    <w:rsid w:val="00D0341C"/>
    <w:rsid w:val="00D044EA"/>
    <w:rsid w:val="00D047ED"/>
    <w:rsid w:val="00D057BC"/>
    <w:rsid w:val="00D05D49"/>
    <w:rsid w:val="00D066B9"/>
    <w:rsid w:val="00D078EB"/>
    <w:rsid w:val="00D11A8A"/>
    <w:rsid w:val="00D11B49"/>
    <w:rsid w:val="00D205E9"/>
    <w:rsid w:val="00D20F9F"/>
    <w:rsid w:val="00D221CA"/>
    <w:rsid w:val="00D235F4"/>
    <w:rsid w:val="00D240D1"/>
    <w:rsid w:val="00D30AE9"/>
    <w:rsid w:val="00D30C76"/>
    <w:rsid w:val="00D31EB3"/>
    <w:rsid w:val="00D32643"/>
    <w:rsid w:val="00D32B95"/>
    <w:rsid w:val="00D337F1"/>
    <w:rsid w:val="00D35D1C"/>
    <w:rsid w:val="00D365AB"/>
    <w:rsid w:val="00D409E5"/>
    <w:rsid w:val="00D40FA3"/>
    <w:rsid w:val="00D415C6"/>
    <w:rsid w:val="00D42421"/>
    <w:rsid w:val="00D436D0"/>
    <w:rsid w:val="00D47E7C"/>
    <w:rsid w:val="00D526AD"/>
    <w:rsid w:val="00D539FB"/>
    <w:rsid w:val="00D542A7"/>
    <w:rsid w:val="00D54E5A"/>
    <w:rsid w:val="00D55452"/>
    <w:rsid w:val="00D572A3"/>
    <w:rsid w:val="00D601BE"/>
    <w:rsid w:val="00D616FE"/>
    <w:rsid w:val="00D64024"/>
    <w:rsid w:val="00D6620B"/>
    <w:rsid w:val="00D66FCB"/>
    <w:rsid w:val="00D703D6"/>
    <w:rsid w:val="00D71509"/>
    <w:rsid w:val="00D720E2"/>
    <w:rsid w:val="00D72FA1"/>
    <w:rsid w:val="00D75A87"/>
    <w:rsid w:val="00D75E2E"/>
    <w:rsid w:val="00D776AA"/>
    <w:rsid w:val="00D77AF4"/>
    <w:rsid w:val="00D80EC1"/>
    <w:rsid w:val="00D8157E"/>
    <w:rsid w:val="00D81E72"/>
    <w:rsid w:val="00D82F78"/>
    <w:rsid w:val="00D8317D"/>
    <w:rsid w:val="00D83E92"/>
    <w:rsid w:val="00D86654"/>
    <w:rsid w:val="00D94B98"/>
    <w:rsid w:val="00D9606F"/>
    <w:rsid w:val="00D96341"/>
    <w:rsid w:val="00D96787"/>
    <w:rsid w:val="00DA488D"/>
    <w:rsid w:val="00DA4C68"/>
    <w:rsid w:val="00DA4FAA"/>
    <w:rsid w:val="00DA7577"/>
    <w:rsid w:val="00DA78C2"/>
    <w:rsid w:val="00DB17CE"/>
    <w:rsid w:val="00DB1C99"/>
    <w:rsid w:val="00DB1FC0"/>
    <w:rsid w:val="00DB2A4E"/>
    <w:rsid w:val="00DB502A"/>
    <w:rsid w:val="00DB7BB6"/>
    <w:rsid w:val="00DB7FDF"/>
    <w:rsid w:val="00DC091F"/>
    <w:rsid w:val="00DC0C0A"/>
    <w:rsid w:val="00DC0EC5"/>
    <w:rsid w:val="00DC35F0"/>
    <w:rsid w:val="00DC5E6F"/>
    <w:rsid w:val="00DC5E85"/>
    <w:rsid w:val="00DD0362"/>
    <w:rsid w:val="00DD06D4"/>
    <w:rsid w:val="00DD2F12"/>
    <w:rsid w:val="00DD2F67"/>
    <w:rsid w:val="00DD30A7"/>
    <w:rsid w:val="00DD3112"/>
    <w:rsid w:val="00DD5776"/>
    <w:rsid w:val="00DD5E77"/>
    <w:rsid w:val="00DD7E75"/>
    <w:rsid w:val="00DE0EFA"/>
    <w:rsid w:val="00DE2396"/>
    <w:rsid w:val="00DE2E2D"/>
    <w:rsid w:val="00DE364A"/>
    <w:rsid w:val="00DE5108"/>
    <w:rsid w:val="00DE6255"/>
    <w:rsid w:val="00DE6ED8"/>
    <w:rsid w:val="00DE7147"/>
    <w:rsid w:val="00DE7538"/>
    <w:rsid w:val="00DE7D27"/>
    <w:rsid w:val="00DF1310"/>
    <w:rsid w:val="00DF14F2"/>
    <w:rsid w:val="00DF1597"/>
    <w:rsid w:val="00DF1F45"/>
    <w:rsid w:val="00DF3AA2"/>
    <w:rsid w:val="00DF489C"/>
    <w:rsid w:val="00DF6756"/>
    <w:rsid w:val="00DF7F8D"/>
    <w:rsid w:val="00E02189"/>
    <w:rsid w:val="00E02272"/>
    <w:rsid w:val="00E02566"/>
    <w:rsid w:val="00E034F2"/>
    <w:rsid w:val="00E03BA0"/>
    <w:rsid w:val="00E042D5"/>
    <w:rsid w:val="00E0430A"/>
    <w:rsid w:val="00E049DC"/>
    <w:rsid w:val="00E07CD6"/>
    <w:rsid w:val="00E11E37"/>
    <w:rsid w:val="00E130CE"/>
    <w:rsid w:val="00E1311E"/>
    <w:rsid w:val="00E14B19"/>
    <w:rsid w:val="00E1536A"/>
    <w:rsid w:val="00E20377"/>
    <w:rsid w:val="00E205DD"/>
    <w:rsid w:val="00E20ABB"/>
    <w:rsid w:val="00E20D8D"/>
    <w:rsid w:val="00E20E04"/>
    <w:rsid w:val="00E21538"/>
    <w:rsid w:val="00E22504"/>
    <w:rsid w:val="00E24A79"/>
    <w:rsid w:val="00E2511C"/>
    <w:rsid w:val="00E3147F"/>
    <w:rsid w:val="00E334E4"/>
    <w:rsid w:val="00E344A1"/>
    <w:rsid w:val="00E34885"/>
    <w:rsid w:val="00E356C1"/>
    <w:rsid w:val="00E37A3A"/>
    <w:rsid w:val="00E40BBA"/>
    <w:rsid w:val="00E40E46"/>
    <w:rsid w:val="00E41D52"/>
    <w:rsid w:val="00E42E9B"/>
    <w:rsid w:val="00E432F8"/>
    <w:rsid w:val="00E4363F"/>
    <w:rsid w:val="00E43684"/>
    <w:rsid w:val="00E45C03"/>
    <w:rsid w:val="00E47532"/>
    <w:rsid w:val="00E47DF5"/>
    <w:rsid w:val="00E50937"/>
    <w:rsid w:val="00E51B41"/>
    <w:rsid w:val="00E52BA6"/>
    <w:rsid w:val="00E54501"/>
    <w:rsid w:val="00E561AF"/>
    <w:rsid w:val="00E56B27"/>
    <w:rsid w:val="00E628FC"/>
    <w:rsid w:val="00E62971"/>
    <w:rsid w:val="00E63C58"/>
    <w:rsid w:val="00E6589A"/>
    <w:rsid w:val="00E67D79"/>
    <w:rsid w:val="00E7242F"/>
    <w:rsid w:val="00E727C7"/>
    <w:rsid w:val="00E72A9D"/>
    <w:rsid w:val="00E7731C"/>
    <w:rsid w:val="00E77D66"/>
    <w:rsid w:val="00E80BF6"/>
    <w:rsid w:val="00E81003"/>
    <w:rsid w:val="00E83180"/>
    <w:rsid w:val="00E84C17"/>
    <w:rsid w:val="00E858EB"/>
    <w:rsid w:val="00E90FDC"/>
    <w:rsid w:val="00E93DC8"/>
    <w:rsid w:val="00EA0948"/>
    <w:rsid w:val="00EA1203"/>
    <w:rsid w:val="00EA15CF"/>
    <w:rsid w:val="00EA19FC"/>
    <w:rsid w:val="00EA2897"/>
    <w:rsid w:val="00EA4222"/>
    <w:rsid w:val="00EA4F54"/>
    <w:rsid w:val="00EA5743"/>
    <w:rsid w:val="00EA62D8"/>
    <w:rsid w:val="00EB004E"/>
    <w:rsid w:val="00EB0054"/>
    <w:rsid w:val="00EB049D"/>
    <w:rsid w:val="00EB04C8"/>
    <w:rsid w:val="00EB0FFF"/>
    <w:rsid w:val="00EB1299"/>
    <w:rsid w:val="00EB141F"/>
    <w:rsid w:val="00EB1660"/>
    <w:rsid w:val="00EB1A33"/>
    <w:rsid w:val="00EB21DD"/>
    <w:rsid w:val="00EB3FCC"/>
    <w:rsid w:val="00EB4B42"/>
    <w:rsid w:val="00EB52F1"/>
    <w:rsid w:val="00EB5368"/>
    <w:rsid w:val="00EB7969"/>
    <w:rsid w:val="00EC1ADE"/>
    <w:rsid w:val="00EC1D78"/>
    <w:rsid w:val="00EC334E"/>
    <w:rsid w:val="00EC3478"/>
    <w:rsid w:val="00EC34D3"/>
    <w:rsid w:val="00EC6A89"/>
    <w:rsid w:val="00ED11E4"/>
    <w:rsid w:val="00ED3390"/>
    <w:rsid w:val="00ED348F"/>
    <w:rsid w:val="00ED4EB9"/>
    <w:rsid w:val="00ED5F26"/>
    <w:rsid w:val="00ED6F13"/>
    <w:rsid w:val="00ED7E51"/>
    <w:rsid w:val="00EE05FC"/>
    <w:rsid w:val="00EE0785"/>
    <w:rsid w:val="00EE1257"/>
    <w:rsid w:val="00EE17F2"/>
    <w:rsid w:val="00EE38AE"/>
    <w:rsid w:val="00EE4459"/>
    <w:rsid w:val="00EE50B4"/>
    <w:rsid w:val="00EE5734"/>
    <w:rsid w:val="00EE5A78"/>
    <w:rsid w:val="00EE660A"/>
    <w:rsid w:val="00EF1590"/>
    <w:rsid w:val="00EF21EF"/>
    <w:rsid w:val="00EF2AF0"/>
    <w:rsid w:val="00EF3AF2"/>
    <w:rsid w:val="00EF4ED8"/>
    <w:rsid w:val="00EF54D3"/>
    <w:rsid w:val="00EF5652"/>
    <w:rsid w:val="00EF5CA2"/>
    <w:rsid w:val="00EF6406"/>
    <w:rsid w:val="00EF6626"/>
    <w:rsid w:val="00EF6EEA"/>
    <w:rsid w:val="00EF7297"/>
    <w:rsid w:val="00EF72DD"/>
    <w:rsid w:val="00EF73B9"/>
    <w:rsid w:val="00EF7BF7"/>
    <w:rsid w:val="00F03B89"/>
    <w:rsid w:val="00F04E29"/>
    <w:rsid w:val="00F05426"/>
    <w:rsid w:val="00F05594"/>
    <w:rsid w:val="00F077B5"/>
    <w:rsid w:val="00F108B3"/>
    <w:rsid w:val="00F10D18"/>
    <w:rsid w:val="00F13006"/>
    <w:rsid w:val="00F13AC4"/>
    <w:rsid w:val="00F148DD"/>
    <w:rsid w:val="00F151A0"/>
    <w:rsid w:val="00F16E9D"/>
    <w:rsid w:val="00F17058"/>
    <w:rsid w:val="00F17150"/>
    <w:rsid w:val="00F2192E"/>
    <w:rsid w:val="00F21FD2"/>
    <w:rsid w:val="00F2231D"/>
    <w:rsid w:val="00F22E1A"/>
    <w:rsid w:val="00F24A70"/>
    <w:rsid w:val="00F24DB5"/>
    <w:rsid w:val="00F250BF"/>
    <w:rsid w:val="00F251E8"/>
    <w:rsid w:val="00F26ABF"/>
    <w:rsid w:val="00F27817"/>
    <w:rsid w:val="00F30E39"/>
    <w:rsid w:val="00F30FBE"/>
    <w:rsid w:val="00F31952"/>
    <w:rsid w:val="00F31D3C"/>
    <w:rsid w:val="00F32070"/>
    <w:rsid w:val="00F32217"/>
    <w:rsid w:val="00F33F2E"/>
    <w:rsid w:val="00F347F4"/>
    <w:rsid w:val="00F414F2"/>
    <w:rsid w:val="00F41A20"/>
    <w:rsid w:val="00F41E6A"/>
    <w:rsid w:val="00F42430"/>
    <w:rsid w:val="00F42A03"/>
    <w:rsid w:val="00F42FF3"/>
    <w:rsid w:val="00F43401"/>
    <w:rsid w:val="00F43DDE"/>
    <w:rsid w:val="00F43FE9"/>
    <w:rsid w:val="00F44180"/>
    <w:rsid w:val="00F44F67"/>
    <w:rsid w:val="00F45205"/>
    <w:rsid w:val="00F45911"/>
    <w:rsid w:val="00F51017"/>
    <w:rsid w:val="00F51901"/>
    <w:rsid w:val="00F52082"/>
    <w:rsid w:val="00F52784"/>
    <w:rsid w:val="00F54E86"/>
    <w:rsid w:val="00F54EBD"/>
    <w:rsid w:val="00F5508E"/>
    <w:rsid w:val="00F554FB"/>
    <w:rsid w:val="00F557B0"/>
    <w:rsid w:val="00F55E0C"/>
    <w:rsid w:val="00F5694E"/>
    <w:rsid w:val="00F56E96"/>
    <w:rsid w:val="00F572B2"/>
    <w:rsid w:val="00F605E4"/>
    <w:rsid w:val="00F612A4"/>
    <w:rsid w:val="00F62CDB"/>
    <w:rsid w:val="00F6352E"/>
    <w:rsid w:val="00F63880"/>
    <w:rsid w:val="00F64D8F"/>
    <w:rsid w:val="00F65ABD"/>
    <w:rsid w:val="00F65B88"/>
    <w:rsid w:val="00F65DFE"/>
    <w:rsid w:val="00F663A3"/>
    <w:rsid w:val="00F677C3"/>
    <w:rsid w:val="00F7059D"/>
    <w:rsid w:val="00F71123"/>
    <w:rsid w:val="00F7155B"/>
    <w:rsid w:val="00F717EF"/>
    <w:rsid w:val="00F7338F"/>
    <w:rsid w:val="00F73B7B"/>
    <w:rsid w:val="00F74AF2"/>
    <w:rsid w:val="00F75115"/>
    <w:rsid w:val="00F752CF"/>
    <w:rsid w:val="00F770EC"/>
    <w:rsid w:val="00F81615"/>
    <w:rsid w:val="00F81B58"/>
    <w:rsid w:val="00F82F75"/>
    <w:rsid w:val="00F835BC"/>
    <w:rsid w:val="00F847B7"/>
    <w:rsid w:val="00F8772A"/>
    <w:rsid w:val="00F90A1B"/>
    <w:rsid w:val="00F93020"/>
    <w:rsid w:val="00F948C0"/>
    <w:rsid w:val="00F94FCE"/>
    <w:rsid w:val="00F95520"/>
    <w:rsid w:val="00FA0FA4"/>
    <w:rsid w:val="00FA139D"/>
    <w:rsid w:val="00FA4EFB"/>
    <w:rsid w:val="00FA5818"/>
    <w:rsid w:val="00FA5C1D"/>
    <w:rsid w:val="00FA5D33"/>
    <w:rsid w:val="00FA6AB1"/>
    <w:rsid w:val="00FA6E1F"/>
    <w:rsid w:val="00FA6E6A"/>
    <w:rsid w:val="00FB021D"/>
    <w:rsid w:val="00FB3C4E"/>
    <w:rsid w:val="00FB4750"/>
    <w:rsid w:val="00FB47A2"/>
    <w:rsid w:val="00FB5564"/>
    <w:rsid w:val="00FB7028"/>
    <w:rsid w:val="00FB7093"/>
    <w:rsid w:val="00FB7F98"/>
    <w:rsid w:val="00FC1631"/>
    <w:rsid w:val="00FC242F"/>
    <w:rsid w:val="00FC2484"/>
    <w:rsid w:val="00FC2BD9"/>
    <w:rsid w:val="00FC2D0F"/>
    <w:rsid w:val="00FC4AA8"/>
    <w:rsid w:val="00FC6A46"/>
    <w:rsid w:val="00FC79DA"/>
    <w:rsid w:val="00FD08D9"/>
    <w:rsid w:val="00FD235F"/>
    <w:rsid w:val="00FD4D1D"/>
    <w:rsid w:val="00FD626E"/>
    <w:rsid w:val="00FD64F7"/>
    <w:rsid w:val="00FD7415"/>
    <w:rsid w:val="00FE0199"/>
    <w:rsid w:val="00FE0647"/>
    <w:rsid w:val="00FE0B6C"/>
    <w:rsid w:val="00FE1553"/>
    <w:rsid w:val="00FE3B9C"/>
    <w:rsid w:val="00FE42B0"/>
    <w:rsid w:val="00FE5A40"/>
    <w:rsid w:val="00FE79B5"/>
    <w:rsid w:val="00FF0094"/>
    <w:rsid w:val="00FF200D"/>
    <w:rsid w:val="00FF3417"/>
    <w:rsid w:val="00FF412F"/>
    <w:rsid w:val="00FF4200"/>
    <w:rsid w:val="00FF589A"/>
    <w:rsid w:val="00FF7E9E"/>
    <w:rsid w:val="0100390C"/>
    <w:rsid w:val="011D3433"/>
    <w:rsid w:val="013A0E1B"/>
    <w:rsid w:val="01453498"/>
    <w:rsid w:val="01791910"/>
    <w:rsid w:val="018207C5"/>
    <w:rsid w:val="019D115B"/>
    <w:rsid w:val="01C43648"/>
    <w:rsid w:val="01E557E7"/>
    <w:rsid w:val="01F35904"/>
    <w:rsid w:val="02037798"/>
    <w:rsid w:val="021F7210"/>
    <w:rsid w:val="022E1C2A"/>
    <w:rsid w:val="025A2F9E"/>
    <w:rsid w:val="02775E4F"/>
    <w:rsid w:val="02954528"/>
    <w:rsid w:val="02A82138"/>
    <w:rsid w:val="02BF2AD7"/>
    <w:rsid w:val="02C40969"/>
    <w:rsid w:val="02EE11B9"/>
    <w:rsid w:val="02F72AEC"/>
    <w:rsid w:val="031B6DD5"/>
    <w:rsid w:val="033435C8"/>
    <w:rsid w:val="03353A41"/>
    <w:rsid w:val="036D7252"/>
    <w:rsid w:val="03A95345"/>
    <w:rsid w:val="03BB7FBE"/>
    <w:rsid w:val="03D64DF8"/>
    <w:rsid w:val="03D746CC"/>
    <w:rsid w:val="03E272F9"/>
    <w:rsid w:val="043F0BEF"/>
    <w:rsid w:val="046917C8"/>
    <w:rsid w:val="046948F3"/>
    <w:rsid w:val="047B2D9D"/>
    <w:rsid w:val="04912ACD"/>
    <w:rsid w:val="04B05EB6"/>
    <w:rsid w:val="04B74C29"/>
    <w:rsid w:val="04D030F6"/>
    <w:rsid w:val="04D72BD5"/>
    <w:rsid w:val="04E90B5B"/>
    <w:rsid w:val="04E946B7"/>
    <w:rsid w:val="04F0495F"/>
    <w:rsid w:val="04FD384B"/>
    <w:rsid w:val="05066DF9"/>
    <w:rsid w:val="05767713"/>
    <w:rsid w:val="057A55AD"/>
    <w:rsid w:val="05A52CD4"/>
    <w:rsid w:val="05D7202B"/>
    <w:rsid w:val="05E97064"/>
    <w:rsid w:val="05F477B7"/>
    <w:rsid w:val="06650974"/>
    <w:rsid w:val="067526A6"/>
    <w:rsid w:val="069F7723"/>
    <w:rsid w:val="06B63431"/>
    <w:rsid w:val="06C97263"/>
    <w:rsid w:val="06D0125C"/>
    <w:rsid w:val="06E423B0"/>
    <w:rsid w:val="06E4782C"/>
    <w:rsid w:val="06FE6C86"/>
    <w:rsid w:val="07061550"/>
    <w:rsid w:val="07262586"/>
    <w:rsid w:val="07287718"/>
    <w:rsid w:val="07572125"/>
    <w:rsid w:val="076C0976"/>
    <w:rsid w:val="077539C2"/>
    <w:rsid w:val="078057A6"/>
    <w:rsid w:val="07893F2F"/>
    <w:rsid w:val="07B45450"/>
    <w:rsid w:val="07DC0503"/>
    <w:rsid w:val="07F43A9E"/>
    <w:rsid w:val="08144141"/>
    <w:rsid w:val="08186CD8"/>
    <w:rsid w:val="08274BAD"/>
    <w:rsid w:val="08470072"/>
    <w:rsid w:val="085E56AE"/>
    <w:rsid w:val="08687981"/>
    <w:rsid w:val="086F1B39"/>
    <w:rsid w:val="08766CE3"/>
    <w:rsid w:val="08874912"/>
    <w:rsid w:val="08880DAB"/>
    <w:rsid w:val="088F37C7"/>
    <w:rsid w:val="08AE3F90"/>
    <w:rsid w:val="08B11C07"/>
    <w:rsid w:val="08B63438"/>
    <w:rsid w:val="08BD68A7"/>
    <w:rsid w:val="092B34F0"/>
    <w:rsid w:val="094F29F6"/>
    <w:rsid w:val="096C2B3B"/>
    <w:rsid w:val="097468F3"/>
    <w:rsid w:val="097A6225"/>
    <w:rsid w:val="09C15C02"/>
    <w:rsid w:val="09FA34EB"/>
    <w:rsid w:val="0A132C02"/>
    <w:rsid w:val="0A1C72DC"/>
    <w:rsid w:val="0A287A2F"/>
    <w:rsid w:val="0A557BB7"/>
    <w:rsid w:val="0A5A32F8"/>
    <w:rsid w:val="0A652A31"/>
    <w:rsid w:val="0A692E7A"/>
    <w:rsid w:val="0A8A5D79"/>
    <w:rsid w:val="0AA25A34"/>
    <w:rsid w:val="0AA6515F"/>
    <w:rsid w:val="0AB47859"/>
    <w:rsid w:val="0AD61B81"/>
    <w:rsid w:val="0ADC7FDF"/>
    <w:rsid w:val="0B0A1F19"/>
    <w:rsid w:val="0B36617C"/>
    <w:rsid w:val="0B57681E"/>
    <w:rsid w:val="0B61144B"/>
    <w:rsid w:val="0B693B26"/>
    <w:rsid w:val="0BA73406"/>
    <w:rsid w:val="0BBA6DAD"/>
    <w:rsid w:val="0BC96FF0"/>
    <w:rsid w:val="0BD172B9"/>
    <w:rsid w:val="0BE45BD8"/>
    <w:rsid w:val="0BE93BEF"/>
    <w:rsid w:val="0BEB340A"/>
    <w:rsid w:val="0C2506CA"/>
    <w:rsid w:val="0C322DE7"/>
    <w:rsid w:val="0C364685"/>
    <w:rsid w:val="0C3C5A14"/>
    <w:rsid w:val="0C4A304C"/>
    <w:rsid w:val="0C4F5747"/>
    <w:rsid w:val="0C566AD6"/>
    <w:rsid w:val="0C5F2EAB"/>
    <w:rsid w:val="0C9615C8"/>
    <w:rsid w:val="0CAD06C0"/>
    <w:rsid w:val="0CBC5489"/>
    <w:rsid w:val="0CE2480D"/>
    <w:rsid w:val="0CE916F8"/>
    <w:rsid w:val="0D4A7030"/>
    <w:rsid w:val="0D543BFA"/>
    <w:rsid w:val="0D870F11"/>
    <w:rsid w:val="0D8853B5"/>
    <w:rsid w:val="0D9D62C2"/>
    <w:rsid w:val="0DA467D8"/>
    <w:rsid w:val="0DBD78FC"/>
    <w:rsid w:val="0DE43DD8"/>
    <w:rsid w:val="0DE843A2"/>
    <w:rsid w:val="0DED5F96"/>
    <w:rsid w:val="0E2C4F72"/>
    <w:rsid w:val="0E364E11"/>
    <w:rsid w:val="0E372937"/>
    <w:rsid w:val="0E7476E7"/>
    <w:rsid w:val="0E8611C8"/>
    <w:rsid w:val="0E8C4A31"/>
    <w:rsid w:val="0E960DA4"/>
    <w:rsid w:val="0EB83A78"/>
    <w:rsid w:val="0ECC12D1"/>
    <w:rsid w:val="0ECC7523"/>
    <w:rsid w:val="0ED32660"/>
    <w:rsid w:val="0EE02FCE"/>
    <w:rsid w:val="0EE06B2A"/>
    <w:rsid w:val="0EF32D02"/>
    <w:rsid w:val="0EFE61C3"/>
    <w:rsid w:val="0F27226E"/>
    <w:rsid w:val="0F434C0A"/>
    <w:rsid w:val="0F4C2412"/>
    <w:rsid w:val="0F4F60D6"/>
    <w:rsid w:val="0F5F1EEF"/>
    <w:rsid w:val="0F655282"/>
    <w:rsid w:val="0F977D7B"/>
    <w:rsid w:val="0F984030"/>
    <w:rsid w:val="0FAE6C29"/>
    <w:rsid w:val="0FB352D7"/>
    <w:rsid w:val="0FCD5301"/>
    <w:rsid w:val="0FD536FB"/>
    <w:rsid w:val="0FEA6A6D"/>
    <w:rsid w:val="102562D8"/>
    <w:rsid w:val="1026403A"/>
    <w:rsid w:val="104355C3"/>
    <w:rsid w:val="107C2883"/>
    <w:rsid w:val="10826892"/>
    <w:rsid w:val="109B6D62"/>
    <w:rsid w:val="10B34A9A"/>
    <w:rsid w:val="11072A94"/>
    <w:rsid w:val="111156C1"/>
    <w:rsid w:val="112C24FB"/>
    <w:rsid w:val="113118BF"/>
    <w:rsid w:val="11407D54"/>
    <w:rsid w:val="11603F18"/>
    <w:rsid w:val="1160532F"/>
    <w:rsid w:val="117B6FDE"/>
    <w:rsid w:val="11877731"/>
    <w:rsid w:val="118869FA"/>
    <w:rsid w:val="118E6D12"/>
    <w:rsid w:val="11C646FD"/>
    <w:rsid w:val="11D5049D"/>
    <w:rsid w:val="120E7E53"/>
    <w:rsid w:val="12152F8F"/>
    <w:rsid w:val="1222745A"/>
    <w:rsid w:val="122B27B2"/>
    <w:rsid w:val="12301ADC"/>
    <w:rsid w:val="123A700C"/>
    <w:rsid w:val="12850115"/>
    <w:rsid w:val="12CF4E33"/>
    <w:rsid w:val="12DA1AE3"/>
    <w:rsid w:val="131F3AA2"/>
    <w:rsid w:val="13793F37"/>
    <w:rsid w:val="13B50586"/>
    <w:rsid w:val="13F20130"/>
    <w:rsid w:val="13F54E26"/>
    <w:rsid w:val="14073108"/>
    <w:rsid w:val="143D67CD"/>
    <w:rsid w:val="144769FF"/>
    <w:rsid w:val="146B333A"/>
    <w:rsid w:val="14A512BD"/>
    <w:rsid w:val="14B040EF"/>
    <w:rsid w:val="14B720DC"/>
    <w:rsid w:val="15264D8E"/>
    <w:rsid w:val="15545B7C"/>
    <w:rsid w:val="15785D0F"/>
    <w:rsid w:val="15A01BE5"/>
    <w:rsid w:val="15A9411A"/>
    <w:rsid w:val="15B52ECF"/>
    <w:rsid w:val="15B91CD3"/>
    <w:rsid w:val="15E92769"/>
    <w:rsid w:val="15F5735F"/>
    <w:rsid w:val="16066474"/>
    <w:rsid w:val="164125A5"/>
    <w:rsid w:val="16571DC8"/>
    <w:rsid w:val="167B0653"/>
    <w:rsid w:val="16A94950"/>
    <w:rsid w:val="16AA0906"/>
    <w:rsid w:val="16B8213B"/>
    <w:rsid w:val="16D70F4D"/>
    <w:rsid w:val="16F6136F"/>
    <w:rsid w:val="16F92E7F"/>
    <w:rsid w:val="16FD0098"/>
    <w:rsid w:val="172D0D7B"/>
    <w:rsid w:val="17342109"/>
    <w:rsid w:val="173E758D"/>
    <w:rsid w:val="174E431E"/>
    <w:rsid w:val="174E4322"/>
    <w:rsid w:val="17521617"/>
    <w:rsid w:val="17BD4979"/>
    <w:rsid w:val="17C012EF"/>
    <w:rsid w:val="17DB38DF"/>
    <w:rsid w:val="17F35B20"/>
    <w:rsid w:val="17F96393"/>
    <w:rsid w:val="18133ACD"/>
    <w:rsid w:val="1862744F"/>
    <w:rsid w:val="18F953B8"/>
    <w:rsid w:val="192B08D4"/>
    <w:rsid w:val="193C2941"/>
    <w:rsid w:val="19605C43"/>
    <w:rsid w:val="197762DD"/>
    <w:rsid w:val="19B4308D"/>
    <w:rsid w:val="19CF2F48"/>
    <w:rsid w:val="19EB5772"/>
    <w:rsid w:val="1A240213"/>
    <w:rsid w:val="1A400DC5"/>
    <w:rsid w:val="1A4F0751"/>
    <w:rsid w:val="1A580DF8"/>
    <w:rsid w:val="1A756CC1"/>
    <w:rsid w:val="1A782D25"/>
    <w:rsid w:val="1A8D159C"/>
    <w:rsid w:val="1A914743"/>
    <w:rsid w:val="1A9722F1"/>
    <w:rsid w:val="1A9B20BC"/>
    <w:rsid w:val="1ABB7E7A"/>
    <w:rsid w:val="1AD334BF"/>
    <w:rsid w:val="1AE950FA"/>
    <w:rsid w:val="1B1E3089"/>
    <w:rsid w:val="1B6D1746"/>
    <w:rsid w:val="1B7032B1"/>
    <w:rsid w:val="1B711290"/>
    <w:rsid w:val="1BBE1FA1"/>
    <w:rsid w:val="1BDE0896"/>
    <w:rsid w:val="1BE7599C"/>
    <w:rsid w:val="1BE97440"/>
    <w:rsid w:val="1C071B9A"/>
    <w:rsid w:val="1C1F5136"/>
    <w:rsid w:val="1C2C1601"/>
    <w:rsid w:val="1C2F2E9F"/>
    <w:rsid w:val="1C427076"/>
    <w:rsid w:val="1C4C7CC3"/>
    <w:rsid w:val="1C8A69E1"/>
    <w:rsid w:val="1CBA28AA"/>
    <w:rsid w:val="1CF15B94"/>
    <w:rsid w:val="1D047E88"/>
    <w:rsid w:val="1D156539"/>
    <w:rsid w:val="1D61442A"/>
    <w:rsid w:val="1D623D91"/>
    <w:rsid w:val="1D6F55A4"/>
    <w:rsid w:val="1D956452"/>
    <w:rsid w:val="1DED20B4"/>
    <w:rsid w:val="1E077C8E"/>
    <w:rsid w:val="1E1423D7"/>
    <w:rsid w:val="1E307789"/>
    <w:rsid w:val="1E3231A6"/>
    <w:rsid w:val="1E5352A7"/>
    <w:rsid w:val="1E5906A7"/>
    <w:rsid w:val="1E652102"/>
    <w:rsid w:val="1E652BA8"/>
    <w:rsid w:val="1E6E088F"/>
    <w:rsid w:val="1EB3600A"/>
    <w:rsid w:val="1F0028D1"/>
    <w:rsid w:val="1F02211F"/>
    <w:rsid w:val="1F126F73"/>
    <w:rsid w:val="1F170346"/>
    <w:rsid w:val="1F1A472F"/>
    <w:rsid w:val="1F1C0F96"/>
    <w:rsid w:val="1F4E5D32"/>
    <w:rsid w:val="1F725038"/>
    <w:rsid w:val="1F9A0F77"/>
    <w:rsid w:val="1FBB33C8"/>
    <w:rsid w:val="1FCD30FB"/>
    <w:rsid w:val="1FCF7AFB"/>
    <w:rsid w:val="1FFB3446"/>
    <w:rsid w:val="1FFF3F0C"/>
    <w:rsid w:val="204021EB"/>
    <w:rsid w:val="20436F19"/>
    <w:rsid w:val="20474C5B"/>
    <w:rsid w:val="207B1149"/>
    <w:rsid w:val="208B6917"/>
    <w:rsid w:val="20B00359"/>
    <w:rsid w:val="20D364EF"/>
    <w:rsid w:val="20EE50D7"/>
    <w:rsid w:val="20F87D04"/>
    <w:rsid w:val="21352D06"/>
    <w:rsid w:val="21475F62"/>
    <w:rsid w:val="21486EDD"/>
    <w:rsid w:val="216C7565"/>
    <w:rsid w:val="21B7296D"/>
    <w:rsid w:val="21F4671D"/>
    <w:rsid w:val="22145011"/>
    <w:rsid w:val="221B1EC0"/>
    <w:rsid w:val="222334A6"/>
    <w:rsid w:val="22266AF2"/>
    <w:rsid w:val="22511DC1"/>
    <w:rsid w:val="22AA51F5"/>
    <w:rsid w:val="22BD28C6"/>
    <w:rsid w:val="23021026"/>
    <w:rsid w:val="236560AB"/>
    <w:rsid w:val="23713D9D"/>
    <w:rsid w:val="2381161B"/>
    <w:rsid w:val="2381693A"/>
    <w:rsid w:val="239006C7"/>
    <w:rsid w:val="2393640A"/>
    <w:rsid w:val="239857CE"/>
    <w:rsid w:val="23B9512F"/>
    <w:rsid w:val="244F0582"/>
    <w:rsid w:val="24612064"/>
    <w:rsid w:val="247578BD"/>
    <w:rsid w:val="248C70E1"/>
    <w:rsid w:val="248D111F"/>
    <w:rsid w:val="249B37C8"/>
    <w:rsid w:val="24BE74B6"/>
    <w:rsid w:val="24DF5ADD"/>
    <w:rsid w:val="25107F16"/>
    <w:rsid w:val="253C4C2F"/>
    <w:rsid w:val="256B319A"/>
    <w:rsid w:val="256F74FA"/>
    <w:rsid w:val="2585493F"/>
    <w:rsid w:val="25866F31"/>
    <w:rsid w:val="25A154E8"/>
    <w:rsid w:val="26147007"/>
    <w:rsid w:val="261A4BC0"/>
    <w:rsid w:val="26343C96"/>
    <w:rsid w:val="264E03C6"/>
    <w:rsid w:val="266F0A68"/>
    <w:rsid w:val="26795443"/>
    <w:rsid w:val="267E1B60"/>
    <w:rsid w:val="267F3064"/>
    <w:rsid w:val="267F71C1"/>
    <w:rsid w:val="26B24DF9"/>
    <w:rsid w:val="26C16DEA"/>
    <w:rsid w:val="26F31699"/>
    <w:rsid w:val="278B7844"/>
    <w:rsid w:val="278C3449"/>
    <w:rsid w:val="27914A0E"/>
    <w:rsid w:val="27AC17B9"/>
    <w:rsid w:val="27BE67C9"/>
    <w:rsid w:val="27F31225"/>
    <w:rsid w:val="28090A48"/>
    <w:rsid w:val="284B1574"/>
    <w:rsid w:val="285C326E"/>
    <w:rsid w:val="28D23530"/>
    <w:rsid w:val="28F0207E"/>
    <w:rsid w:val="29546686"/>
    <w:rsid w:val="295E6B72"/>
    <w:rsid w:val="29647E78"/>
    <w:rsid w:val="29695805"/>
    <w:rsid w:val="29AA5A8A"/>
    <w:rsid w:val="29AF6C85"/>
    <w:rsid w:val="29BA6E37"/>
    <w:rsid w:val="29D05090"/>
    <w:rsid w:val="2A1F4553"/>
    <w:rsid w:val="2A7D3457"/>
    <w:rsid w:val="2AAF3B29"/>
    <w:rsid w:val="2ABC4E3A"/>
    <w:rsid w:val="2AD96DF8"/>
    <w:rsid w:val="2B125E66"/>
    <w:rsid w:val="2B4F0E68"/>
    <w:rsid w:val="2B6820A6"/>
    <w:rsid w:val="2B724B56"/>
    <w:rsid w:val="2B7862B7"/>
    <w:rsid w:val="2B991FF2"/>
    <w:rsid w:val="2BBA71F5"/>
    <w:rsid w:val="2BC94DDA"/>
    <w:rsid w:val="2BD3551E"/>
    <w:rsid w:val="2BF119AC"/>
    <w:rsid w:val="2C3D6F12"/>
    <w:rsid w:val="2C567FD4"/>
    <w:rsid w:val="2C8114F5"/>
    <w:rsid w:val="2CBE62A5"/>
    <w:rsid w:val="2CC82C80"/>
    <w:rsid w:val="2CEA07E7"/>
    <w:rsid w:val="2CF6099E"/>
    <w:rsid w:val="2D096723"/>
    <w:rsid w:val="2D2154E0"/>
    <w:rsid w:val="2D241E80"/>
    <w:rsid w:val="2DB61363"/>
    <w:rsid w:val="2DC62183"/>
    <w:rsid w:val="2DD91921"/>
    <w:rsid w:val="2DD935D3"/>
    <w:rsid w:val="2DE66F76"/>
    <w:rsid w:val="2E126BCA"/>
    <w:rsid w:val="2E3010A6"/>
    <w:rsid w:val="2E36329E"/>
    <w:rsid w:val="2E383E35"/>
    <w:rsid w:val="2E3C1B78"/>
    <w:rsid w:val="2E3C1BBC"/>
    <w:rsid w:val="2E564673"/>
    <w:rsid w:val="2E627104"/>
    <w:rsid w:val="2E7310E3"/>
    <w:rsid w:val="2E9D4821"/>
    <w:rsid w:val="2EAA5CB6"/>
    <w:rsid w:val="2EBA484A"/>
    <w:rsid w:val="2EBF4ACA"/>
    <w:rsid w:val="2EBF6305"/>
    <w:rsid w:val="2EFC41EE"/>
    <w:rsid w:val="2F6055E3"/>
    <w:rsid w:val="2FC02334"/>
    <w:rsid w:val="2FD7142C"/>
    <w:rsid w:val="30087265"/>
    <w:rsid w:val="30161F54"/>
    <w:rsid w:val="302477D8"/>
    <w:rsid w:val="30430644"/>
    <w:rsid w:val="304C7B53"/>
    <w:rsid w:val="3065199C"/>
    <w:rsid w:val="3078546E"/>
    <w:rsid w:val="309D61D2"/>
    <w:rsid w:val="30E62404"/>
    <w:rsid w:val="30E91A28"/>
    <w:rsid w:val="310D2C36"/>
    <w:rsid w:val="31440466"/>
    <w:rsid w:val="31865A40"/>
    <w:rsid w:val="3200767E"/>
    <w:rsid w:val="325B4596"/>
    <w:rsid w:val="325F5E35"/>
    <w:rsid w:val="329B78D9"/>
    <w:rsid w:val="32FE389F"/>
    <w:rsid w:val="3301294A"/>
    <w:rsid w:val="33114C55"/>
    <w:rsid w:val="33260700"/>
    <w:rsid w:val="33353039"/>
    <w:rsid w:val="334B63B9"/>
    <w:rsid w:val="33545CD9"/>
    <w:rsid w:val="335F1E64"/>
    <w:rsid w:val="33615BDC"/>
    <w:rsid w:val="33686F6B"/>
    <w:rsid w:val="336A3155"/>
    <w:rsid w:val="33754FA3"/>
    <w:rsid w:val="339636B4"/>
    <w:rsid w:val="33A317D4"/>
    <w:rsid w:val="33E16D1D"/>
    <w:rsid w:val="343706EB"/>
    <w:rsid w:val="34533777"/>
    <w:rsid w:val="34637732"/>
    <w:rsid w:val="346C2A8B"/>
    <w:rsid w:val="348C6C89"/>
    <w:rsid w:val="3495510D"/>
    <w:rsid w:val="34AE4E51"/>
    <w:rsid w:val="34B53812"/>
    <w:rsid w:val="34C74165"/>
    <w:rsid w:val="34C957E7"/>
    <w:rsid w:val="350B22A4"/>
    <w:rsid w:val="354B6B44"/>
    <w:rsid w:val="35703BE5"/>
    <w:rsid w:val="35771225"/>
    <w:rsid w:val="3598434D"/>
    <w:rsid w:val="35C64805"/>
    <w:rsid w:val="35CF6FF8"/>
    <w:rsid w:val="35ED589A"/>
    <w:rsid w:val="361D460D"/>
    <w:rsid w:val="36211653"/>
    <w:rsid w:val="3629779E"/>
    <w:rsid w:val="366559E4"/>
    <w:rsid w:val="369B1405"/>
    <w:rsid w:val="36A76752"/>
    <w:rsid w:val="36C579F2"/>
    <w:rsid w:val="3703111F"/>
    <w:rsid w:val="37490E61"/>
    <w:rsid w:val="37624C68"/>
    <w:rsid w:val="376E2676"/>
    <w:rsid w:val="377834F5"/>
    <w:rsid w:val="37820C94"/>
    <w:rsid w:val="37887006"/>
    <w:rsid w:val="37A97323"/>
    <w:rsid w:val="37B409D1"/>
    <w:rsid w:val="37CA01F4"/>
    <w:rsid w:val="37CE0538"/>
    <w:rsid w:val="37EF7C5B"/>
    <w:rsid w:val="37F16620"/>
    <w:rsid w:val="3848736B"/>
    <w:rsid w:val="386F2B4A"/>
    <w:rsid w:val="38A5581F"/>
    <w:rsid w:val="38D317F4"/>
    <w:rsid w:val="38E3051F"/>
    <w:rsid w:val="38FA7508"/>
    <w:rsid w:val="392032FC"/>
    <w:rsid w:val="39567866"/>
    <w:rsid w:val="396708A0"/>
    <w:rsid w:val="398322DC"/>
    <w:rsid w:val="39B20F40"/>
    <w:rsid w:val="39D03040"/>
    <w:rsid w:val="39D30EAD"/>
    <w:rsid w:val="39F06BFD"/>
    <w:rsid w:val="39F318CA"/>
    <w:rsid w:val="3A080B60"/>
    <w:rsid w:val="3A103EB8"/>
    <w:rsid w:val="3A2B1428"/>
    <w:rsid w:val="3A322081"/>
    <w:rsid w:val="3A900F1E"/>
    <w:rsid w:val="3A925E71"/>
    <w:rsid w:val="3AD34A1B"/>
    <w:rsid w:val="3B261CFB"/>
    <w:rsid w:val="3B3C4395"/>
    <w:rsid w:val="3B6F58DE"/>
    <w:rsid w:val="3B800BCA"/>
    <w:rsid w:val="3B882877"/>
    <w:rsid w:val="3BB54DB0"/>
    <w:rsid w:val="3BB56AC5"/>
    <w:rsid w:val="3BCE7B87"/>
    <w:rsid w:val="3BD333EF"/>
    <w:rsid w:val="3C0E4427"/>
    <w:rsid w:val="3C125DCE"/>
    <w:rsid w:val="3C1852A6"/>
    <w:rsid w:val="3C3E4D0D"/>
    <w:rsid w:val="3C422F3E"/>
    <w:rsid w:val="3C6504EB"/>
    <w:rsid w:val="3C713683"/>
    <w:rsid w:val="3C746980"/>
    <w:rsid w:val="3C797AF3"/>
    <w:rsid w:val="3C8A61A4"/>
    <w:rsid w:val="3C8B6ACE"/>
    <w:rsid w:val="3C9568F7"/>
    <w:rsid w:val="3CD25997"/>
    <w:rsid w:val="3CE07B72"/>
    <w:rsid w:val="3CE63BC8"/>
    <w:rsid w:val="3CEA09F1"/>
    <w:rsid w:val="3CED4621"/>
    <w:rsid w:val="3D0870C9"/>
    <w:rsid w:val="3D3A1978"/>
    <w:rsid w:val="3D3B56F0"/>
    <w:rsid w:val="3D591958"/>
    <w:rsid w:val="3D5F318D"/>
    <w:rsid w:val="3D6320AE"/>
    <w:rsid w:val="3D632551"/>
    <w:rsid w:val="3D6B67D2"/>
    <w:rsid w:val="3D70539A"/>
    <w:rsid w:val="3D73032B"/>
    <w:rsid w:val="3D7F04B3"/>
    <w:rsid w:val="3D7F382F"/>
    <w:rsid w:val="3D887631"/>
    <w:rsid w:val="3DD516A1"/>
    <w:rsid w:val="3DE418E4"/>
    <w:rsid w:val="3DEC0798"/>
    <w:rsid w:val="3E0856D8"/>
    <w:rsid w:val="3E186EBA"/>
    <w:rsid w:val="3E3D1DE7"/>
    <w:rsid w:val="3E546A69"/>
    <w:rsid w:val="3E8E1705"/>
    <w:rsid w:val="3EE31B9B"/>
    <w:rsid w:val="3EE6168C"/>
    <w:rsid w:val="3F0C10F2"/>
    <w:rsid w:val="3F161F71"/>
    <w:rsid w:val="3F1F34F0"/>
    <w:rsid w:val="3F3C12AC"/>
    <w:rsid w:val="3F593C0C"/>
    <w:rsid w:val="3F634A8A"/>
    <w:rsid w:val="3F8E439A"/>
    <w:rsid w:val="3F982986"/>
    <w:rsid w:val="3F984F0D"/>
    <w:rsid w:val="3FB541B9"/>
    <w:rsid w:val="3FC813FA"/>
    <w:rsid w:val="3FCA4B09"/>
    <w:rsid w:val="3FEE07F8"/>
    <w:rsid w:val="400224F5"/>
    <w:rsid w:val="405C7E57"/>
    <w:rsid w:val="406867FC"/>
    <w:rsid w:val="408019AE"/>
    <w:rsid w:val="40931A53"/>
    <w:rsid w:val="40B53071"/>
    <w:rsid w:val="40E045E4"/>
    <w:rsid w:val="41744230"/>
    <w:rsid w:val="41875415"/>
    <w:rsid w:val="419D4283"/>
    <w:rsid w:val="41A265EF"/>
    <w:rsid w:val="41D016DB"/>
    <w:rsid w:val="41E40104"/>
    <w:rsid w:val="42312604"/>
    <w:rsid w:val="423B3E49"/>
    <w:rsid w:val="42497F67"/>
    <w:rsid w:val="42562684"/>
    <w:rsid w:val="4258464E"/>
    <w:rsid w:val="42621029"/>
    <w:rsid w:val="427431DA"/>
    <w:rsid w:val="427521D5"/>
    <w:rsid w:val="427841F9"/>
    <w:rsid w:val="428B3394"/>
    <w:rsid w:val="429513FF"/>
    <w:rsid w:val="42A54AC6"/>
    <w:rsid w:val="42AF1AB8"/>
    <w:rsid w:val="42B23D5F"/>
    <w:rsid w:val="42F223AD"/>
    <w:rsid w:val="43010842"/>
    <w:rsid w:val="43056584"/>
    <w:rsid w:val="430D6FF5"/>
    <w:rsid w:val="4339622E"/>
    <w:rsid w:val="43482915"/>
    <w:rsid w:val="434846C3"/>
    <w:rsid w:val="43525542"/>
    <w:rsid w:val="43963F1E"/>
    <w:rsid w:val="43B43B06"/>
    <w:rsid w:val="43B92ECB"/>
    <w:rsid w:val="441822E7"/>
    <w:rsid w:val="44426629"/>
    <w:rsid w:val="44536D35"/>
    <w:rsid w:val="4462631A"/>
    <w:rsid w:val="44652ACA"/>
    <w:rsid w:val="447D039C"/>
    <w:rsid w:val="44936155"/>
    <w:rsid w:val="44A21BB1"/>
    <w:rsid w:val="44A44849"/>
    <w:rsid w:val="44A771C7"/>
    <w:rsid w:val="450C60CA"/>
    <w:rsid w:val="451F76A5"/>
    <w:rsid w:val="4555331B"/>
    <w:rsid w:val="45917D94"/>
    <w:rsid w:val="46184820"/>
    <w:rsid w:val="461E6DF1"/>
    <w:rsid w:val="46291A0F"/>
    <w:rsid w:val="46494FE1"/>
    <w:rsid w:val="464D0C32"/>
    <w:rsid w:val="466A4950"/>
    <w:rsid w:val="467557CF"/>
    <w:rsid w:val="467B0194"/>
    <w:rsid w:val="468E4AE3"/>
    <w:rsid w:val="46C04D47"/>
    <w:rsid w:val="472114B3"/>
    <w:rsid w:val="474004D4"/>
    <w:rsid w:val="474D2B65"/>
    <w:rsid w:val="476843AC"/>
    <w:rsid w:val="477F37B9"/>
    <w:rsid w:val="47971775"/>
    <w:rsid w:val="47AA2318"/>
    <w:rsid w:val="47BB2E28"/>
    <w:rsid w:val="47C167F2"/>
    <w:rsid w:val="47EE3067"/>
    <w:rsid w:val="48323EE8"/>
    <w:rsid w:val="48453261"/>
    <w:rsid w:val="48515DC8"/>
    <w:rsid w:val="486378A9"/>
    <w:rsid w:val="487F0EA0"/>
    <w:rsid w:val="489B1B33"/>
    <w:rsid w:val="48AE03C2"/>
    <w:rsid w:val="48AE5485"/>
    <w:rsid w:val="48B60321"/>
    <w:rsid w:val="48CB7CA6"/>
    <w:rsid w:val="48EC1A58"/>
    <w:rsid w:val="49172B6D"/>
    <w:rsid w:val="49706721"/>
    <w:rsid w:val="497E2BEC"/>
    <w:rsid w:val="498D1081"/>
    <w:rsid w:val="49AD1724"/>
    <w:rsid w:val="49C02B87"/>
    <w:rsid w:val="49D433EE"/>
    <w:rsid w:val="4A3B0ADD"/>
    <w:rsid w:val="4A4C2CEB"/>
    <w:rsid w:val="4A5E73C4"/>
    <w:rsid w:val="4A770517"/>
    <w:rsid w:val="4A8330FE"/>
    <w:rsid w:val="4A8C758B"/>
    <w:rsid w:val="4AAA17BF"/>
    <w:rsid w:val="4AB14E2D"/>
    <w:rsid w:val="4AB368C6"/>
    <w:rsid w:val="4AD50ED4"/>
    <w:rsid w:val="4AE747C1"/>
    <w:rsid w:val="4AF13892"/>
    <w:rsid w:val="4AF22945"/>
    <w:rsid w:val="4B0340A4"/>
    <w:rsid w:val="4B197B96"/>
    <w:rsid w:val="4B1F21AD"/>
    <w:rsid w:val="4BAF3531"/>
    <w:rsid w:val="4BC468B1"/>
    <w:rsid w:val="4BD44D46"/>
    <w:rsid w:val="4BD73BBC"/>
    <w:rsid w:val="4BDA4326"/>
    <w:rsid w:val="4BDC3289"/>
    <w:rsid w:val="4BFC604B"/>
    <w:rsid w:val="4C2542C6"/>
    <w:rsid w:val="4C2A2BB8"/>
    <w:rsid w:val="4C435E96"/>
    <w:rsid w:val="4C5A6C01"/>
    <w:rsid w:val="4C842195"/>
    <w:rsid w:val="4C8844D8"/>
    <w:rsid w:val="4C8A69D2"/>
    <w:rsid w:val="4CB07870"/>
    <w:rsid w:val="4CC21042"/>
    <w:rsid w:val="4D217F10"/>
    <w:rsid w:val="4D657A67"/>
    <w:rsid w:val="4DB36BDD"/>
    <w:rsid w:val="4DBE5CAD"/>
    <w:rsid w:val="4DD83BCC"/>
    <w:rsid w:val="4DEB6377"/>
    <w:rsid w:val="4DF1636E"/>
    <w:rsid w:val="4E016821"/>
    <w:rsid w:val="4E0765A5"/>
    <w:rsid w:val="4E1115CD"/>
    <w:rsid w:val="4E2E5373"/>
    <w:rsid w:val="4E54216E"/>
    <w:rsid w:val="4E745CB6"/>
    <w:rsid w:val="4EE27577"/>
    <w:rsid w:val="4F4665CF"/>
    <w:rsid w:val="4F49480A"/>
    <w:rsid w:val="4F561D44"/>
    <w:rsid w:val="4F6D0752"/>
    <w:rsid w:val="4F786D37"/>
    <w:rsid w:val="4FD0705F"/>
    <w:rsid w:val="4FDE142C"/>
    <w:rsid w:val="5011774A"/>
    <w:rsid w:val="50146059"/>
    <w:rsid w:val="50474295"/>
    <w:rsid w:val="505C6EFD"/>
    <w:rsid w:val="50630D8E"/>
    <w:rsid w:val="506F736F"/>
    <w:rsid w:val="5080549C"/>
    <w:rsid w:val="509E5922"/>
    <w:rsid w:val="50DE6667"/>
    <w:rsid w:val="51044B29"/>
    <w:rsid w:val="515A3F3F"/>
    <w:rsid w:val="515E7330"/>
    <w:rsid w:val="51944BC6"/>
    <w:rsid w:val="51AB05F0"/>
    <w:rsid w:val="51AC0513"/>
    <w:rsid w:val="51B24883"/>
    <w:rsid w:val="51B6604B"/>
    <w:rsid w:val="521F2A93"/>
    <w:rsid w:val="522E717A"/>
    <w:rsid w:val="523C1897"/>
    <w:rsid w:val="525D74C9"/>
    <w:rsid w:val="52B25C24"/>
    <w:rsid w:val="52C87D18"/>
    <w:rsid w:val="5325057D"/>
    <w:rsid w:val="53427D34"/>
    <w:rsid w:val="535B3F9E"/>
    <w:rsid w:val="53732ED6"/>
    <w:rsid w:val="539B439B"/>
    <w:rsid w:val="539F20DD"/>
    <w:rsid w:val="53A30849"/>
    <w:rsid w:val="53B43B75"/>
    <w:rsid w:val="53DE5743"/>
    <w:rsid w:val="53E329CC"/>
    <w:rsid w:val="53FA7313"/>
    <w:rsid w:val="54040192"/>
    <w:rsid w:val="545033D7"/>
    <w:rsid w:val="545C3887"/>
    <w:rsid w:val="545D78A2"/>
    <w:rsid w:val="549239F0"/>
    <w:rsid w:val="54CF07A0"/>
    <w:rsid w:val="55006BAB"/>
    <w:rsid w:val="551C775D"/>
    <w:rsid w:val="55525CA4"/>
    <w:rsid w:val="55545149"/>
    <w:rsid w:val="55604EE2"/>
    <w:rsid w:val="55776623"/>
    <w:rsid w:val="55885136"/>
    <w:rsid w:val="559957C1"/>
    <w:rsid w:val="559D0BD6"/>
    <w:rsid w:val="55CE055B"/>
    <w:rsid w:val="55D32512"/>
    <w:rsid w:val="55FE467F"/>
    <w:rsid w:val="56091A90"/>
    <w:rsid w:val="561B17C3"/>
    <w:rsid w:val="561F5757"/>
    <w:rsid w:val="562D159C"/>
    <w:rsid w:val="564A6822"/>
    <w:rsid w:val="56546D4A"/>
    <w:rsid w:val="56D022B5"/>
    <w:rsid w:val="56F52014"/>
    <w:rsid w:val="570D6F8A"/>
    <w:rsid w:val="571C70F4"/>
    <w:rsid w:val="574511ED"/>
    <w:rsid w:val="57511940"/>
    <w:rsid w:val="57742E61"/>
    <w:rsid w:val="57792C45"/>
    <w:rsid w:val="578F06BB"/>
    <w:rsid w:val="57A44166"/>
    <w:rsid w:val="57C14700"/>
    <w:rsid w:val="57D85BBE"/>
    <w:rsid w:val="57DC6353"/>
    <w:rsid w:val="57F80965"/>
    <w:rsid w:val="58507E4A"/>
    <w:rsid w:val="587353B9"/>
    <w:rsid w:val="587578B0"/>
    <w:rsid w:val="5878114F"/>
    <w:rsid w:val="589C0C1E"/>
    <w:rsid w:val="58AC2BA6"/>
    <w:rsid w:val="58B303D9"/>
    <w:rsid w:val="59050C34"/>
    <w:rsid w:val="59101387"/>
    <w:rsid w:val="592661DA"/>
    <w:rsid w:val="59367672"/>
    <w:rsid w:val="59397141"/>
    <w:rsid w:val="598633F7"/>
    <w:rsid w:val="599876AE"/>
    <w:rsid w:val="599C08D7"/>
    <w:rsid w:val="5A0233C6"/>
    <w:rsid w:val="5A1B6236"/>
    <w:rsid w:val="5A204D11"/>
    <w:rsid w:val="5A271555"/>
    <w:rsid w:val="5A427C66"/>
    <w:rsid w:val="5A7F77B0"/>
    <w:rsid w:val="5A8319A8"/>
    <w:rsid w:val="5A8453A2"/>
    <w:rsid w:val="5A9A35FE"/>
    <w:rsid w:val="5AA4622B"/>
    <w:rsid w:val="5AB04BD0"/>
    <w:rsid w:val="5AD563E4"/>
    <w:rsid w:val="5B383448"/>
    <w:rsid w:val="5B597015"/>
    <w:rsid w:val="5B9E711E"/>
    <w:rsid w:val="5BA341FE"/>
    <w:rsid w:val="5BB85C75"/>
    <w:rsid w:val="5BBA55DA"/>
    <w:rsid w:val="5BBB7CD0"/>
    <w:rsid w:val="5BBF7D40"/>
    <w:rsid w:val="5BF46D3E"/>
    <w:rsid w:val="5C062BE6"/>
    <w:rsid w:val="5C1271C4"/>
    <w:rsid w:val="5C272C70"/>
    <w:rsid w:val="5C95407D"/>
    <w:rsid w:val="5C981DBF"/>
    <w:rsid w:val="5CBF10FA"/>
    <w:rsid w:val="5D0E5BDE"/>
    <w:rsid w:val="5D1551BE"/>
    <w:rsid w:val="5D504448"/>
    <w:rsid w:val="5D7111F5"/>
    <w:rsid w:val="5D7E0FB5"/>
    <w:rsid w:val="5D814602"/>
    <w:rsid w:val="5D83037A"/>
    <w:rsid w:val="5DA07C8B"/>
    <w:rsid w:val="5DAD36A2"/>
    <w:rsid w:val="5DD010E5"/>
    <w:rsid w:val="5E1216FE"/>
    <w:rsid w:val="5E2145D5"/>
    <w:rsid w:val="5E233FFD"/>
    <w:rsid w:val="5E2532E6"/>
    <w:rsid w:val="5E624433"/>
    <w:rsid w:val="5E647C88"/>
    <w:rsid w:val="5E662E3D"/>
    <w:rsid w:val="5E955B49"/>
    <w:rsid w:val="5EB033F0"/>
    <w:rsid w:val="5ED668DC"/>
    <w:rsid w:val="5EF66843"/>
    <w:rsid w:val="5EFA0B0F"/>
    <w:rsid w:val="5F3670FF"/>
    <w:rsid w:val="5F3C14E7"/>
    <w:rsid w:val="5F43646F"/>
    <w:rsid w:val="5F531FCE"/>
    <w:rsid w:val="5F796DF2"/>
    <w:rsid w:val="5F830B05"/>
    <w:rsid w:val="5F8C7892"/>
    <w:rsid w:val="5F926F9A"/>
    <w:rsid w:val="5F9D6558"/>
    <w:rsid w:val="5FA0070D"/>
    <w:rsid w:val="5FA7456C"/>
    <w:rsid w:val="5FA75A77"/>
    <w:rsid w:val="5FAD7C21"/>
    <w:rsid w:val="5FCB425A"/>
    <w:rsid w:val="5FDC0215"/>
    <w:rsid w:val="5FE64BF0"/>
    <w:rsid w:val="60235E44"/>
    <w:rsid w:val="603142B4"/>
    <w:rsid w:val="604F3599"/>
    <w:rsid w:val="606A75CF"/>
    <w:rsid w:val="60C969EB"/>
    <w:rsid w:val="60F26B13"/>
    <w:rsid w:val="60FE7C06"/>
    <w:rsid w:val="611250B1"/>
    <w:rsid w:val="61137C66"/>
    <w:rsid w:val="61204131"/>
    <w:rsid w:val="61281925"/>
    <w:rsid w:val="615763BF"/>
    <w:rsid w:val="61A60ADB"/>
    <w:rsid w:val="61CA737D"/>
    <w:rsid w:val="61CB0541"/>
    <w:rsid w:val="61DB042F"/>
    <w:rsid w:val="61DB4C28"/>
    <w:rsid w:val="61E56882"/>
    <w:rsid w:val="61F1160C"/>
    <w:rsid w:val="622540F5"/>
    <w:rsid w:val="622A5268"/>
    <w:rsid w:val="62443927"/>
    <w:rsid w:val="6263240A"/>
    <w:rsid w:val="6296758D"/>
    <w:rsid w:val="62AA720C"/>
    <w:rsid w:val="62BF00A6"/>
    <w:rsid w:val="62C76F5B"/>
    <w:rsid w:val="62CD2097"/>
    <w:rsid w:val="62DA64E4"/>
    <w:rsid w:val="63141A74"/>
    <w:rsid w:val="633D546F"/>
    <w:rsid w:val="63646678"/>
    <w:rsid w:val="636C365E"/>
    <w:rsid w:val="638C3D00"/>
    <w:rsid w:val="63952BB5"/>
    <w:rsid w:val="639808F7"/>
    <w:rsid w:val="63D538F9"/>
    <w:rsid w:val="63E21F44"/>
    <w:rsid w:val="6405705D"/>
    <w:rsid w:val="64121A53"/>
    <w:rsid w:val="644833A9"/>
    <w:rsid w:val="644F7B8E"/>
    <w:rsid w:val="64836EB1"/>
    <w:rsid w:val="64850E7B"/>
    <w:rsid w:val="64C37BF6"/>
    <w:rsid w:val="64E75692"/>
    <w:rsid w:val="64F4744C"/>
    <w:rsid w:val="65075D34"/>
    <w:rsid w:val="652C579B"/>
    <w:rsid w:val="653C50AB"/>
    <w:rsid w:val="65534AD5"/>
    <w:rsid w:val="65644F35"/>
    <w:rsid w:val="656A1E1F"/>
    <w:rsid w:val="65744A4C"/>
    <w:rsid w:val="65782AB9"/>
    <w:rsid w:val="658253BB"/>
    <w:rsid w:val="658B078D"/>
    <w:rsid w:val="65A74E21"/>
    <w:rsid w:val="65D379C4"/>
    <w:rsid w:val="65DC0F6F"/>
    <w:rsid w:val="65E46529"/>
    <w:rsid w:val="65F52031"/>
    <w:rsid w:val="660364FC"/>
    <w:rsid w:val="66112985"/>
    <w:rsid w:val="6615622F"/>
    <w:rsid w:val="66195D1F"/>
    <w:rsid w:val="66236B9E"/>
    <w:rsid w:val="66352F1F"/>
    <w:rsid w:val="664663E8"/>
    <w:rsid w:val="6654401A"/>
    <w:rsid w:val="66846F11"/>
    <w:rsid w:val="66871EA3"/>
    <w:rsid w:val="66D165D2"/>
    <w:rsid w:val="671539F5"/>
    <w:rsid w:val="67193AFD"/>
    <w:rsid w:val="67395F4D"/>
    <w:rsid w:val="674E7C4A"/>
    <w:rsid w:val="67D85766"/>
    <w:rsid w:val="67DB403A"/>
    <w:rsid w:val="68055F4C"/>
    <w:rsid w:val="68057AA9"/>
    <w:rsid w:val="680D683A"/>
    <w:rsid w:val="6818150B"/>
    <w:rsid w:val="684B5F38"/>
    <w:rsid w:val="688A022F"/>
    <w:rsid w:val="68CD3AF2"/>
    <w:rsid w:val="690B02EE"/>
    <w:rsid w:val="69116484"/>
    <w:rsid w:val="69272501"/>
    <w:rsid w:val="69855479"/>
    <w:rsid w:val="69A57067"/>
    <w:rsid w:val="69C26753"/>
    <w:rsid w:val="69E14DA6"/>
    <w:rsid w:val="69F525FF"/>
    <w:rsid w:val="69F864CC"/>
    <w:rsid w:val="6A1360A0"/>
    <w:rsid w:val="6A1A0092"/>
    <w:rsid w:val="6A260884"/>
    <w:rsid w:val="6A4E7F61"/>
    <w:rsid w:val="6A507835"/>
    <w:rsid w:val="6A6631B8"/>
    <w:rsid w:val="6A70612A"/>
    <w:rsid w:val="6A7C062B"/>
    <w:rsid w:val="6A877238"/>
    <w:rsid w:val="6A95793E"/>
    <w:rsid w:val="6AA778F8"/>
    <w:rsid w:val="6AB56F01"/>
    <w:rsid w:val="6AB62B9C"/>
    <w:rsid w:val="6ABA1153"/>
    <w:rsid w:val="6ACD4FC1"/>
    <w:rsid w:val="6AD04302"/>
    <w:rsid w:val="6B146AB5"/>
    <w:rsid w:val="6B163FCD"/>
    <w:rsid w:val="6B8C2AEF"/>
    <w:rsid w:val="6BAA0E8B"/>
    <w:rsid w:val="6BBB1626"/>
    <w:rsid w:val="6BC26511"/>
    <w:rsid w:val="6BFD01D8"/>
    <w:rsid w:val="6C0E42DF"/>
    <w:rsid w:val="6C303DC2"/>
    <w:rsid w:val="6C3D1C31"/>
    <w:rsid w:val="6C5F4D83"/>
    <w:rsid w:val="6C6E48EB"/>
    <w:rsid w:val="6CFA1CDB"/>
    <w:rsid w:val="6D3451EC"/>
    <w:rsid w:val="6D3F05F3"/>
    <w:rsid w:val="6D5C4743"/>
    <w:rsid w:val="6D604F27"/>
    <w:rsid w:val="6D7872BE"/>
    <w:rsid w:val="6DAC1227"/>
    <w:rsid w:val="6DE8556D"/>
    <w:rsid w:val="6E11406C"/>
    <w:rsid w:val="6E151448"/>
    <w:rsid w:val="6E781A51"/>
    <w:rsid w:val="6E815015"/>
    <w:rsid w:val="6EB80735"/>
    <w:rsid w:val="6EC4144C"/>
    <w:rsid w:val="6EC95E08"/>
    <w:rsid w:val="6EF410D7"/>
    <w:rsid w:val="6F072A92"/>
    <w:rsid w:val="6F1B0286"/>
    <w:rsid w:val="6F4D3531"/>
    <w:rsid w:val="6F571EE4"/>
    <w:rsid w:val="6F6C5073"/>
    <w:rsid w:val="6F7C10CD"/>
    <w:rsid w:val="6FB70357"/>
    <w:rsid w:val="6FF12D2A"/>
    <w:rsid w:val="702B51F4"/>
    <w:rsid w:val="702C6118"/>
    <w:rsid w:val="706A53C9"/>
    <w:rsid w:val="707C1572"/>
    <w:rsid w:val="707F70C6"/>
    <w:rsid w:val="7080540B"/>
    <w:rsid w:val="70866D14"/>
    <w:rsid w:val="70B0102E"/>
    <w:rsid w:val="70C1148D"/>
    <w:rsid w:val="7105445C"/>
    <w:rsid w:val="71080E6A"/>
    <w:rsid w:val="711C24DA"/>
    <w:rsid w:val="713F0604"/>
    <w:rsid w:val="71520337"/>
    <w:rsid w:val="717E112C"/>
    <w:rsid w:val="71940C37"/>
    <w:rsid w:val="71A14E1B"/>
    <w:rsid w:val="71BA7C8A"/>
    <w:rsid w:val="71BB5EDC"/>
    <w:rsid w:val="71E644D0"/>
    <w:rsid w:val="72054E52"/>
    <w:rsid w:val="7224305C"/>
    <w:rsid w:val="723B0DCB"/>
    <w:rsid w:val="72404633"/>
    <w:rsid w:val="72554F0C"/>
    <w:rsid w:val="72AD0E60"/>
    <w:rsid w:val="72AF1B77"/>
    <w:rsid w:val="72D651FD"/>
    <w:rsid w:val="72DD1906"/>
    <w:rsid w:val="72E923EA"/>
    <w:rsid w:val="72F91763"/>
    <w:rsid w:val="73027B3B"/>
    <w:rsid w:val="73124222"/>
    <w:rsid w:val="73165394"/>
    <w:rsid w:val="733A5527"/>
    <w:rsid w:val="73506AF8"/>
    <w:rsid w:val="73AD7AA7"/>
    <w:rsid w:val="73D541D6"/>
    <w:rsid w:val="73DC65DE"/>
    <w:rsid w:val="73FD152F"/>
    <w:rsid w:val="73FE47A6"/>
    <w:rsid w:val="74132B02"/>
    <w:rsid w:val="743B5D19"/>
    <w:rsid w:val="746B4DE1"/>
    <w:rsid w:val="747A0724"/>
    <w:rsid w:val="74980757"/>
    <w:rsid w:val="74CB28DA"/>
    <w:rsid w:val="74DF47DB"/>
    <w:rsid w:val="74E474F8"/>
    <w:rsid w:val="74E55980"/>
    <w:rsid w:val="750A2CD7"/>
    <w:rsid w:val="7519750B"/>
    <w:rsid w:val="751C3136"/>
    <w:rsid w:val="751F2C26"/>
    <w:rsid w:val="75297059"/>
    <w:rsid w:val="754506F8"/>
    <w:rsid w:val="75842A89"/>
    <w:rsid w:val="75952EE8"/>
    <w:rsid w:val="75A650F5"/>
    <w:rsid w:val="75DB4288"/>
    <w:rsid w:val="762865F3"/>
    <w:rsid w:val="76297DEC"/>
    <w:rsid w:val="764E21C9"/>
    <w:rsid w:val="76531987"/>
    <w:rsid w:val="76763C9B"/>
    <w:rsid w:val="76AA190D"/>
    <w:rsid w:val="76B92C06"/>
    <w:rsid w:val="76B94B5B"/>
    <w:rsid w:val="76BD0317"/>
    <w:rsid w:val="76D57A40"/>
    <w:rsid w:val="77131B26"/>
    <w:rsid w:val="771B10EA"/>
    <w:rsid w:val="77512E3F"/>
    <w:rsid w:val="775E11DE"/>
    <w:rsid w:val="778803B6"/>
    <w:rsid w:val="77924BEB"/>
    <w:rsid w:val="77B57CE6"/>
    <w:rsid w:val="77CB2BF1"/>
    <w:rsid w:val="77D32616"/>
    <w:rsid w:val="77DA2E34"/>
    <w:rsid w:val="77E45A61"/>
    <w:rsid w:val="78350ECA"/>
    <w:rsid w:val="783B7D77"/>
    <w:rsid w:val="784F2557"/>
    <w:rsid w:val="78665094"/>
    <w:rsid w:val="78874D6A"/>
    <w:rsid w:val="78B35B5F"/>
    <w:rsid w:val="78E24DCB"/>
    <w:rsid w:val="78F849C2"/>
    <w:rsid w:val="78FC310E"/>
    <w:rsid w:val="79045E32"/>
    <w:rsid w:val="79294073"/>
    <w:rsid w:val="792A0134"/>
    <w:rsid w:val="79701CA2"/>
    <w:rsid w:val="79773031"/>
    <w:rsid w:val="797C0A9B"/>
    <w:rsid w:val="79AE1324"/>
    <w:rsid w:val="79C478F8"/>
    <w:rsid w:val="79C73545"/>
    <w:rsid w:val="79CD432C"/>
    <w:rsid w:val="79D93CE4"/>
    <w:rsid w:val="79E57CFB"/>
    <w:rsid w:val="7A0B3779"/>
    <w:rsid w:val="7A3E76AA"/>
    <w:rsid w:val="7A5E5F9F"/>
    <w:rsid w:val="7A7B13B1"/>
    <w:rsid w:val="7A831561"/>
    <w:rsid w:val="7A8F6158"/>
    <w:rsid w:val="7AAC4F5C"/>
    <w:rsid w:val="7ABB0CFB"/>
    <w:rsid w:val="7AEF309B"/>
    <w:rsid w:val="7AEF6BF7"/>
    <w:rsid w:val="7AF600C4"/>
    <w:rsid w:val="7B56326B"/>
    <w:rsid w:val="7B592AEB"/>
    <w:rsid w:val="7B5C2E58"/>
    <w:rsid w:val="7B7D06A6"/>
    <w:rsid w:val="7B931C78"/>
    <w:rsid w:val="7B9854E0"/>
    <w:rsid w:val="7BB10350"/>
    <w:rsid w:val="7BB33D4C"/>
    <w:rsid w:val="7BBA2624"/>
    <w:rsid w:val="7BD06A28"/>
    <w:rsid w:val="7BF00D90"/>
    <w:rsid w:val="7C142DB9"/>
    <w:rsid w:val="7C1639FF"/>
    <w:rsid w:val="7C3A6A8B"/>
    <w:rsid w:val="7C661068"/>
    <w:rsid w:val="7C743857"/>
    <w:rsid w:val="7CCF49B2"/>
    <w:rsid w:val="7CF404F4"/>
    <w:rsid w:val="7D0050EB"/>
    <w:rsid w:val="7D07647A"/>
    <w:rsid w:val="7D20217D"/>
    <w:rsid w:val="7D2F59D0"/>
    <w:rsid w:val="7D311748"/>
    <w:rsid w:val="7D440EB3"/>
    <w:rsid w:val="7D7D498E"/>
    <w:rsid w:val="7D93181C"/>
    <w:rsid w:val="7D9E69C0"/>
    <w:rsid w:val="7DF03702"/>
    <w:rsid w:val="7DFB301F"/>
    <w:rsid w:val="7E0B3D48"/>
    <w:rsid w:val="7E1075B0"/>
    <w:rsid w:val="7E190E44"/>
    <w:rsid w:val="7E2C4AFF"/>
    <w:rsid w:val="7E3A462D"/>
    <w:rsid w:val="7EF02F3D"/>
    <w:rsid w:val="7F1B6380"/>
    <w:rsid w:val="7F21759B"/>
    <w:rsid w:val="7F26481D"/>
    <w:rsid w:val="7F460DAF"/>
    <w:rsid w:val="7F631C00"/>
    <w:rsid w:val="7F761695"/>
    <w:rsid w:val="7FF151BF"/>
    <w:rsid w:val="7FF77C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unhideWhenUsed="0" w:uiPriority="0" w:semiHidden="0" w:name="Normal Indent"/>
    <w:lsdException w:qFormat="1" w:unhideWhenUsed="0" w:uiPriority="99" w:semiHidden="0" w:name="footnote text"/>
    <w:lsdException w:unhideWhenUsed="0" w:uiPriority="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61"/>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link w:val="62"/>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link w:val="63"/>
    <w:qFormat/>
    <w:uiPriority w:val="0"/>
    <w:pPr>
      <w:keepNext/>
      <w:keepLines/>
      <w:widowControl/>
      <w:spacing w:before="200" w:beforeLines="0" w:line="276" w:lineRule="auto"/>
      <w:jc w:val="left"/>
      <w:outlineLvl w:val="3"/>
    </w:pPr>
    <w:rPr>
      <w:rFonts w:ascii="Cambria" w:hAnsi="Cambria" w:eastAsia="宋体"/>
      <w:b/>
      <w:bCs/>
      <w:iCs/>
      <w:color w:val="000000"/>
      <w:kern w:val="0"/>
      <w:sz w:val="24"/>
      <w:lang w:eastAsia="en-US" w:bidi="en-US"/>
    </w:rPr>
  </w:style>
  <w:style w:type="paragraph" w:styleId="6">
    <w:name w:val="heading 5"/>
    <w:basedOn w:val="1"/>
    <w:next w:val="1"/>
    <w:link w:val="64"/>
    <w:qFormat/>
    <w:uiPriority w:val="0"/>
    <w:pPr>
      <w:keepNext/>
      <w:keepLines/>
      <w:widowControl/>
      <w:spacing w:before="200" w:beforeLines="0" w:line="276" w:lineRule="auto"/>
      <w:jc w:val="left"/>
      <w:outlineLvl w:val="4"/>
    </w:pPr>
    <w:rPr>
      <w:rFonts w:ascii="Cambria" w:hAnsi="Cambria"/>
      <w:color w:val="243F60"/>
      <w:kern w:val="0"/>
      <w:sz w:val="22"/>
      <w:lang w:eastAsia="en-US" w:bidi="en-US"/>
    </w:rPr>
  </w:style>
  <w:style w:type="paragraph" w:styleId="7">
    <w:name w:val="heading 6"/>
    <w:basedOn w:val="1"/>
    <w:next w:val="1"/>
    <w:link w:val="65"/>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8">
    <w:name w:val="heading 7"/>
    <w:basedOn w:val="1"/>
    <w:next w:val="1"/>
    <w:link w:val="66"/>
    <w:qFormat/>
    <w:uiPriority w:val="0"/>
    <w:pPr>
      <w:keepNext/>
      <w:keepLines/>
      <w:adjustRightInd w:val="0"/>
      <w:spacing w:before="240" w:beforeLines="0" w:after="64" w:afterLines="0" w:line="320" w:lineRule="atLeast"/>
      <w:textAlignment w:val="baseline"/>
      <w:outlineLvl w:val="6"/>
    </w:pPr>
    <w:rPr>
      <w:b/>
      <w:kern w:val="0"/>
      <w:sz w:val="24"/>
      <w:szCs w:val="20"/>
    </w:rPr>
  </w:style>
  <w:style w:type="paragraph" w:styleId="9">
    <w:name w:val="heading 8"/>
    <w:basedOn w:val="1"/>
    <w:next w:val="1"/>
    <w:link w:val="67"/>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0">
    <w:name w:val="heading 9"/>
    <w:basedOn w:val="1"/>
    <w:next w:val="1"/>
    <w:link w:val="68"/>
    <w:qFormat/>
    <w:uiPriority w:val="0"/>
    <w:pPr>
      <w:keepNext/>
      <w:keepLines/>
      <w:adjustRightInd w:val="0"/>
      <w:spacing w:before="240" w:beforeLines="0" w:after="64" w:afterLines="0" w:line="320" w:lineRule="atLeast"/>
      <w:textAlignment w:val="baseline"/>
      <w:outlineLvl w:val="8"/>
    </w:pPr>
    <w:rPr>
      <w:rFonts w:ascii="Arial" w:hAnsi="Arial" w:eastAsia="黑体"/>
      <w:kern w:val="0"/>
      <w:szCs w:val="20"/>
    </w:rPr>
  </w:style>
  <w:style w:type="character" w:default="1" w:styleId="47">
    <w:name w:val="Default Paragraph Font"/>
    <w:semiHidden/>
    <w:uiPriority w:val="0"/>
  </w:style>
  <w:style w:type="table" w:default="1" w:styleId="45">
    <w:name w:val="Normal Table"/>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uiPriority w:val="39"/>
    <w:pPr>
      <w:ind w:left="1260"/>
      <w:jc w:val="left"/>
    </w:pPr>
    <w:rPr>
      <w:rFonts w:ascii="Calibri" w:hAnsi="Calibri"/>
      <w:sz w:val="18"/>
      <w:szCs w:val="18"/>
    </w:rPr>
  </w:style>
  <w:style w:type="paragraph" w:styleId="12">
    <w:name w:val="Normal Indent"/>
    <w:basedOn w:val="1"/>
    <w:uiPriority w:val="0"/>
    <w:pPr>
      <w:ind w:firstLine="420" w:firstLineChars="200"/>
    </w:pPr>
  </w:style>
  <w:style w:type="paragraph" w:styleId="13">
    <w:name w:val="caption"/>
    <w:basedOn w:val="1"/>
    <w:next w:val="1"/>
    <w:qFormat/>
    <w:uiPriority w:val="0"/>
    <w:pPr>
      <w:adjustRightInd w:val="0"/>
      <w:spacing w:before="152" w:beforeLines="0" w:after="160" w:afterLines="0" w:line="360" w:lineRule="atLeast"/>
      <w:jc w:val="left"/>
      <w:textAlignment w:val="baseline"/>
    </w:pPr>
    <w:rPr>
      <w:rFonts w:ascii="Arial" w:hAnsi="Arial" w:eastAsia="黑体"/>
      <w:kern w:val="0"/>
      <w:sz w:val="24"/>
    </w:rPr>
  </w:style>
  <w:style w:type="paragraph" w:styleId="14">
    <w:name w:val="Document Map"/>
    <w:basedOn w:val="1"/>
    <w:link w:val="69"/>
    <w:semiHidden/>
    <w:uiPriority w:val="0"/>
    <w:pPr>
      <w:shd w:val="clear" w:color="auto" w:fill="000080"/>
    </w:pPr>
  </w:style>
  <w:style w:type="paragraph" w:styleId="15">
    <w:name w:val="toa heading"/>
    <w:next w:val="1"/>
    <w:qFormat/>
    <w:uiPriority w:val="99"/>
    <w:pPr>
      <w:widowControl w:val="0"/>
      <w:autoSpaceDE w:val="0"/>
      <w:autoSpaceDN w:val="0"/>
      <w:adjustRightInd w:val="0"/>
      <w:spacing w:before="120"/>
    </w:pPr>
    <w:rPr>
      <w:rFonts w:ascii="Arial" w:hAnsi="Arial" w:eastAsia="宋体" w:cs="Times New Roman"/>
      <w:sz w:val="24"/>
      <w:lang w:val="en-US" w:eastAsia="zh-CN" w:bidi="ar-SA"/>
    </w:rPr>
  </w:style>
  <w:style w:type="paragraph" w:styleId="16">
    <w:name w:val="annotation text"/>
    <w:basedOn w:val="1"/>
    <w:link w:val="70"/>
    <w:semiHidden/>
    <w:uiPriority w:val="0"/>
    <w:pPr>
      <w:jc w:val="left"/>
    </w:pPr>
  </w:style>
  <w:style w:type="paragraph" w:styleId="17">
    <w:name w:val="Body Text 3"/>
    <w:basedOn w:val="1"/>
    <w:link w:val="71"/>
    <w:uiPriority w:val="0"/>
    <w:pPr>
      <w:spacing w:after="120" w:afterLines="0"/>
    </w:pPr>
    <w:rPr>
      <w:sz w:val="16"/>
      <w:szCs w:val="16"/>
    </w:rPr>
  </w:style>
  <w:style w:type="paragraph" w:styleId="18">
    <w:name w:val="Body Text"/>
    <w:basedOn w:val="1"/>
    <w:link w:val="72"/>
    <w:qFormat/>
    <w:uiPriority w:val="0"/>
    <w:rPr>
      <w:rFonts w:eastAsia="黑体"/>
      <w:sz w:val="36"/>
    </w:rPr>
  </w:style>
  <w:style w:type="paragraph" w:styleId="19">
    <w:name w:val="Body Text Indent"/>
    <w:basedOn w:val="1"/>
    <w:link w:val="73"/>
    <w:uiPriority w:val="0"/>
    <w:pPr>
      <w:spacing w:after="120" w:afterLines="0"/>
      <w:ind w:left="420" w:leftChars="200"/>
    </w:pPr>
  </w:style>
  <w:style w:type="paragraph" w:styleId="20">
    <w:name w:val="Block Text"/>
    <w:basedOn w:val="1"/>
    <w:qFormat/>
    <w:uiPriority w:val="0"/>
    <w:pPr>
      <w:spacing w:after="120" w:afterLines="0"/>
      <w:ind w:left="1440" w:leftChars="700" w:right="1440" w:rightChars="700"/>
    </w:pPr>
  </w:style>
  <w:style w:type="paragraph" w:styleId="21">
    <w:name w:val="toc 5"/>
    <w:basedOn w:val="1"/>
    <w:next w:val="1"/>
    <w:uiPriority w:val="39"/>
    <w:pPr>
      <w:ind w:left="840"/>
      <w:jc w:val="left"/>
    </w:pPr>
    <w:rPr>
      <w:rFonts w:ascii="Calibri" w:hAnsi="Calibri"/>
      <w:sz w:val="18"/>
      <w:szCs w:val="18"/>
    </w:rPr>
  </w:style>
  <w:style w:type="paragraph" w:styleId="22">
    <w:name w:val="toc 3"/>
    <w:basedOn w:val="1"/>
    <w:next w:val="1"/>
    <w:uiPriority w:val="39"/>
    <w:pPr>
      <w:ind w:left="420"/>
      <w:jc w:val="left"/>
    </w:pPr>
    <w:rPr>
      <w:rFonts w:ascii="Calibri" w:hAnsi="Calibri"/>
      <w:i/>
      <w:iCs/>
      <w:sz w:val="20"/>
      <w:szCs w:val="20"/>
    </w:rPr>
  </w:style>
  <w:style w:type="paragraph" w:styleId="23">
    <w:name w:val="Plain Text"/>
    <w:basedOn w:val="1"/>
    <w:link w:val="74"/>
    <w:qFormat/>
    <w:uiPriority w:val="0"/>
    <w:rPr>
      <w:rFonts w:ascii="宋体" w:hAnsi="Courier New"/>
      <w:szCs w:val="21"/>
    </w:rPr>
  </w:style>
  <w:style w:type="paragraph" w:styleId="24">
    <w:name w:val="toc 8"/>
    <w:basedOn w:val="1"/>
    <w:next w:val="1"/>
    <w:unhideWhenUsed/>
    <w:uiPriority w:val="39"/>
    <w:pPr>
      <w:ind w:left="1470"/>
      <w:jc w:val="left"/>
    </w:pPr>
    <w:rPr>
      <w:rFonts w:ascii="Calibri" w:hAnsi="Calibri"/>
      <w:sz w:val="18"/>
      <w:szCs w:val="18"/>
    </w:rPr>
  </w:style>
  <w:style w:type="paragraph" w:styleId="25">
    <w:name w:val="Date"/>
    <w:basedOn w:val="1"/>
    <w:next w:val="1"/>
    <w:link w:val="75"/>
    <w:uiPriority w:val="0"/>
    <w:pPr>
      <w:adjustRightInd w:val="0"/>
      <w:spacing w:line="360" w:lineRule="atLeast"/>
    </w:pPr>
    <w:rPr>
      <w:rFonts w:ascii="宋体"/>
      <w:kern w:val="0"/>
      <w:sz w:val="24"/>
      <w:szCs w:val="20"/>
    </w:rPr>
  </w:style>
  <w:style w:type="paragraph" w:styleId="26">
    <w:name w:val="Body Text Indent 2"/>
    <w:basedOn w:val="1"/>
    <w:link w:val="76"/>
    <w:qFormat/>
    <w:uiPriority w:val="0"/>
    <w:pPr>
      <w:spacing w:after="120" w:afterLines="0" w:line="480" w:lineRule="auto"/>
      <w:ind w:left="420" w:leftChars="200"/>
    </w:pPr>
  </w:style>
  <w:style w:type="paragraph" w:styleId="27">
    <w:name w:val="endnote text"/>
    <w:basedOn w:val="1"/>
    <w:link w:val="77"/>
    <w:qFormat/>
    <w:uiPriority w:val="0"/>
    <w:pPr>
      <w:snapToGrid w:val="0"/>
      <w:jc w:val="left"/>
    </w:pPr>
  </w:style>
  <w:style w:type="paragraph" w:styleId="28">
    <w:name w:val="Balloon Text"/>
    <w:basedOn w:val="1"/>
    <w:link w:val="78"/>
    <w:semiHidden/>
    <w:qFormat/>
    <w:uiPriority w:val="0"/>
    <w:rPr>
      <w:sz w:val="18"/>
      <w:szCs w:val="18"/>
    </w:rPr>
  </w:style>
  <w:style w:type="paragraph" w:styleId="29">
    <w:name w:val="footer"/>
    <w:basedOn w:val="1"/>
    <w:link w:val="79"/>
    <w:unhideWhenUsed/>
    <w:qFormat/>
    <w:uiPriority w:val="99"/>
    <w:pPr>
      <w:tabs>
        <w:tab w:val="center" w:pos="4153"/>
        <w:tab w:val="right" w:pos="8306"/>
      </w:tabs>
      <w:snapToGrid w:val="0"/>
      <w:jc w:val="left"/>
    </w:pPr>
    <w:rPr>
      <w:kern w:val="0"/>
      <w:sz w:val="18"/>
      <w:szCs w:val="18"/>
    </w:rPr>
  </w:style>
  <w:style w:type="paragraph" w:styleId="30">
    <w:name w:val="header"/>
    <w:basedOn w:val="1"/>
    <w:link w:val="80"/>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rFonts w:ascii="Calibri" w:hAnsi="Calibri"/>
      <w:b/>
      <w:bCs/>
      <w:caps/>
      <w:sz w:val="20"/>
      <w:szCs w:val="20"/>
    </w:rPr>
  </w:style>
  <w:style w:type="paragraph" w:styleId="32">
    <w:name w:val="toc 4"/>
    <w:basedOn w:val="1"/>
    <w:next w:val="1"/>
    <w:qFormat/>
    <w:uiPriority w:val="39"/>
    <w:pPr>
      <w:ind w:left="630"/>
      <w:jc w:val="left"/>
    </w:pPr>
    <w:rPr>
      <w:rFonts w:ascii="Calibri" w:hAnsi="Calibri"/>
      <w:sz w:val="18"/>
      <w:szCs w:val="18"/>
    </w:rPr>
  </w:style>
  <w:style w:type="paragraph" w:styleId="33">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34">
    <w:name w:val="footnote text"/>
    <w:basedOn w:val="1"/>
    <w:link w:val="81"/>
    <w:qFormat/>
    <w:uiPriority w:val="99"/>
    <w:pPr>
      <w:snapToGrid w:val="0"/>
      <w:jc w:val="left"/>
    </w:pPr>
    <w:rPr>
      <w:sz w:val="18"/>
      <w:szCs w:val="18"/>
    </w:rPr>
  </w:style>
  <w:style w:type="paragraph" w:styleId="35">
    <w:name w:val="toc 6"/>
    <w:basedOn w:val="1"/>
    <w:next w:val="1"/>
    <w:unhideWhenUsed/>
    <w:qFormat/>
    <w:uiPriority w:val="39"/>
    <w:pPr>
      <w:ind w:left="1050"/>
      <w:jc w:val="left"/>
    </w:pPr>
    <w:rPr>
      <w:rFonts w:ascii="Calibri" w:hAnsi="Calibri"/>
      <w:sz w:val="18"/>
      <w:szCs w:val="18"/>
    </w:rPr>
  </w:style>
  <w:style w:type="paragraph" w:styleId="36">
    <w:name w:val="Body Text Indent 3"/>
    <w:basedOn w:val="1"/>
    <w:link w:val="82"/>
    <w:qFormat/>
    <w:uiPriority w:val="0"/>
    <w:pPr>
      <w:spacing w:after="120" w:afterLines="0"/>
      <w:ind w:left="420" w:leftChars="200"/>
    </w:pPr>
    <w:rPr>
      <w:sz w:val="16"/>
      <w:szCs w:val="16"/>
    </w:rPr>
  </w:style>
  <w:style w:type="paragraph" w:styleId="37">
    <w:name w:val="toc 2"/>
    <w:basedOn w:val="1"/>
    <w:next w:val="1"/>
    <w:qFormat/>
    <w:uiPriority w:val="39"/>
    <w:pPr>
      <w:ind w:left="210"/>
      <w:jc w:val="left"/>
    </w:pPr>
    <w:rPr>
      <w:rFonts w:ascii="Calibri" w:hAnsi="Calibri"/>
      <w:smallCaps/>
      <w:sz w:val="20"/>
      <w:szCs w:val="20"/>
    </w:rPr>
  </w:style>
  <w:style w:type="paragraph" w:styleId="38">
    <w:name w:val="toc 9"/>
    <w:basedOn w:val="1"/>
    <w:next w:val="1"/>
    <w:unhideWhenUsed/>
    <w:qFormat/>
    <w:uiPriority w:val="39"/>
    <w:pPr>
      <w:ind w:left="1680"/>
      <w:jc w:val="left"/>
    </w:pPr>
    <w:rPr>
      <w:rFonts w:ascii="Calibri" w:hAnsi="Calibri"/>
      <w:sz w:val="18"/>
      <w:szCs w:val="18"/>
    </w:rPr>
  </w:style>
  <w:style w:type="paragraph" w:styleId="39">
    <w:name w:val="Body Text 2"/>
    <w:basedOn w:val="1"/>
    <w:link w:val="83"/>
    <w:qFormat/>
    <w:uiPriority w:val="0"/>
    <w:pPr>
      <w:jc w:val="center"/>
    </w:pPr>
    <w:rPr>
      <w:rFonts w:eastAsia="黑体"/>
      <w:bCs/>
      <w:sz w:val="72"/>
    </w:rPr>
  </w:style>
  <w:style w:type="paragraph" w:styleId="40">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1">
    <w:name w:val="index 1"/>
    <w:basedOn w:val="1"/>
    <w:next w:val="1"/>
    <w:semiHidden/>
    <w:qFormat/>
    <w:uiPriority w:val="0"/>
    <w:pPr>
      <w:spacing w:line="220" w:lineRule="exact"/>
      <w:jc w:val="center"/>
    </w:pPr>
    <w:rPr>
      <w:rFonts w:ascii="仿宋_GB2312" w:eastAsia="仿宋_GB2312"/>
      <w:szCs w:val="21"/>
    </w:rPr>
  </w:style>
  <w:style w:type="paragraph" w:styleId="42">
    <w:name w:val="Title"/>
    <w:basedOn w:val="1"/>
    <w:link w:val="84"/>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3">
    <w:name w:val="annotation subject"/>
    <w:basedOn w:val="16"/>
    <w:next w:val="16"/>
    <w:link w:val="85"/>
    <w:semiHidden/>
    <w:qFormat/>
    <w:uiPriority w:val="0"/>
    <w:rPr>
      <w:b/>
      <w:bCs/>
    </w:rPr>
  </w:style>
  <w:style w:type="paragraph" w:styleId="44">
    <w:name w:val="Body Text First Indent"/>
    <w:basedOn w:val="18"/>
    <w:link w:val="86"/>
    <w:qFormat/>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table" w:styleId="46">
    <w:name w:val="Table Grid"/>
    <w:basedOn w:val="4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endnote reference"/>
    <w:qFormat/>
    <w:uiPriority w:val="0"/>
    <w:rPr>
      <w:vertAlign w:val="superscript"/>
    </w:rPr>
  </w:style>
  <w:style w:type="character" w:styleId="50">
    <w:name w:val="page number"/>
    <w:qFormat/>
    <w:uiPriority w:val="0"/>
  </w:style>
  <w:style w:type="character" w:styleId="51">
    <w:name w:val="FollowedHyperlink"/>
    <w:basedOn w:val="47"/>
    <w:qFormat/>
    <w:uiPriority w:val="0"/>
    <w:rPr>
      <w:color w:val="333333"/>
      <w:u w:val="none"/>
    </w:rPr>
  </w:style>
  <w:style w:type="character" w:styleId="52">
    <w:name w:val="HTML Definition"/>
    <w:basedOn w:val="47"/>
    <w:qFormat/>
    <w:uiPriority w:val="0"/>
    <w:rPr>
      <w:i/>
      <w:iCs/>
    </w:rPr>
  </w:style>
  <w:style w:type="character" w:styleId="53">
    <w:name w:val="HTML Acronym"/>
    <w:basedOn w:val="47"/>
    <w:qFormat/>
    <w:uiPriority w:val="0"/>
    <w:rPr>
      <w:color w:val="222E3A"/>
      <w:sz w:val="25"/>
      <w:szCs w:val="25"/>
    </w:rPr>
  </w:style>
  <w:style w:type="character" w:styleId="54">
    <w:name w:val="Hyperlink"/>
    <w:basedOn w:val="47"/>
    <w:qFormat/>
    <w:uiPriority w:val="99"/>
    <w:rPr>
      <w:color w:val="333333"/>
      <w:u w:val="none"/>
    </w:rPr>
  </w:style>
  <w:style w:type="character" w:styleId="55">
    <w:name w:val="HTML Code"/>
    <w:basedOn w:val="47"/>
    <w:qFormat/>
    <w:uiPriority w:val="0"/>
    <w:rPr>
      <w:rFonts w:hint="default" w:ascii="monospace" w:hAnsi="monospace" w:eastAsia="monospace" w:cs="monospace"/>
      <w:sz w:val="21"/>
      <w:szCs w:val="21"/>
    </w:rPr>
  </w:style>
  <w:style w:type="character" w:styleId="56">
    <w:name w:val="annotation reference"/>
    <w:qFormat/>
    <w:uiPriority w:val="0"/>
    <w:rPr>
      <w:sz w:val="21"/>
      <w:szCs w:val="21"/>
    </w:rPr>
  </w:style>
  <w:style w:type="character" w:styleId="57">
    <w:name w:val="footnote reference"/>
    <w:qFormat/>
    <w:uiPriority w:val="99"/>
    <w:rPr>
      <w:vertAlign w:val="superscript"/>
    </w:rPr>
  </w:style>
  <w:style w:type="character" w:styleId="58">
    <w:name w:val="HTML Keyboard"/>
    <w:basedOn w:val="47"/>
    <w:qFormat/>
    <w:uiPriority w:val="0"/>
    <w:rPr>
      <w:rFonts w:ascii="monospace" w:hAnsi="monospace" w:eastAsia="monospace" w:cs="monospace"/>
      <w:sz w:val="21"/>
      <w:szCs w:val="21"/>
    </w:rPr>
  </w:style>
  <w:style w:type="character" w:styleId="59">
    <w:name w:val="HTML Sample"/>
    <w:basedOn w:val="47"/>
    <w:qFormat/>
    <w:uiPriority w:val="0"/>
    <w:rPr>
      <w:rFonts w:hint="default" w:ascii="monospace" w:hAnsi="monospace" w:eastAsia="monospace" w:cs="monospace"/>
      <w:sz w:val="21"/>
      <w:szCs w:val="21"/>
    </w:rPr>
  </w:style>
  <w:style w:type="character" w:customStyle="1" w:styleId="60">
    <w:name w:val="标题 1 Char"/>
    <w:link w:val="2"/>
    <w:qFormat/>
    <w:uiPriority w:val="9"/>
    <w:rPr>
      <w:rFonts w:eastAsia="宋体"/>
      <w:b/>
      <w:bCs/>
      <w:kern w:val="44"/>
      <w:sz w:val="44"/>
      <w:szCs w:val="44"/>
      <w:lang w:val="en-US" w:eastAsia="zh-CN" w:bidi="ar-SA"/>
    </w:rPr>
  </w:style>
  <w:style w:type="character" w:customStyle="1" w:styleId="61">
    <w:name w:val="标题 2 Char"/>
    <w:link w:val="3"/>
    <w:qFormat/>
    <w:uiPriority w:val="9"/>
    <w:rPr>
      <w:rFonts w:ascii="Cambria" w:hAnsi="Cambria" w:eastAsia="宋体"/>
      <w:b/>
      <w:bCs/>
      <w:kern w:val="2"/>
      <w:sz w:val="32"/>
      <w:szCs w:val="32"/>
      <w:lang w:val="en-US" w:eastAsia="zh-CN" w:bidi="ar-SA"/>
    </w:rPr>
  </w:style>
  <w:style w:type="character" w:customStyle="1" w:styleId="62">
    <w:name w:val="标题 3 Char"/>
    <w:link w:val="4"/>
    <w:qFormat/>
    <w:uiPriority w:val="0"/>
    <w:rPr>
      <w:rFonts w:ascii="宋体" w:hAnsi="宋体"/>
      <w:b/>
      <w:bCs/>
      <w:sz w:val="28"/>
      <w:szCs w:val="24"/>
      <w:lang w:eastAsia="en-US" w:bidi="en-US"/>
    </w:rPr>
  </w:style>
  <w:style w:type="character" w:customStyle="1" w:styleId="63">
    <w:name w:val="标题 4 Char"/>
    <w:link w:val="5"/>
    <w:qFormat/>
    <w:uiPriority w:val="0"/>
    <w:rPr>
      <w:rFonts w:ascii="Cambria" w:hAnsi="Cambria" w:eastAsia="宋体"/>
      <w:b/>
      <w:bCs/>
      <w:iCs/>
      <w:color w:val="000000"/>
      <w:sz w:val="24"/>
      <w:szCs w:val="24"/>
      <w:lang w:val="en-US" w:eastAsia="en-US" w:bidi="en-US"/>
    </w:rPr>
  </w:style>
  <w:style w:type="character" w:customStyle="1" w:styleId="64">
    <w:name w:val="标题 5 Char"/>
    <w:link w:val="6"/>
    <w:qFormat/>
    <w:uiPriority w:val="0"/>
    <w:rPr>
      <w:rFonts w:ascii="Cambria" w:hAnsi="Cambria" w:eastAsia="宋体"/>
      <w:color w:val="243F60"/>
      <w:sz w:val="22"/>
      <w:szCs w:val="24"/>
      <w:lang w:val="en-US" w:eastAsia="en-US" w:bidi="en-US"/>
    </w:rPr>
  </w:style>
  <w:style w:type="character" w:customStyle="1" w:styleId="65">
    <w:name w:val="标题 6 Char"/>
    <w:link w:val="7"/>
    <w:qFormat/>
    <w:uiPriority w:val="0"/>
    <w:rPr>
      <w:rFonts w:ascii="Arial" w:hAnsi="Arial" w:eastAsia="黑体"/>
      <w:b/>
      <w:sz w:val="24"/>
      <w:lang w:val="en-US" w:eastAsia="zh-CN" w:bidi="ar-SA"/>
    </w:rPr>
  </w:style>
  <w:style w:type="character" w:customStyle="1" w:styleId="66">
    <w:name w:val="标题 7 Char"/>
    <w:link w:val="8"/>
    <w:qFormat/>
    <w:uiPriority w:val="0"/>
    <w:rPr>
      <w:rFonts w:eastAsia="宋体"/>
      <w:b/>
      <w:sz w:val="24"/>
      <w:lang w:val="en-US" w:eastAsia="zh-CN" w:bidi="ar-SA"/>
    </w:rPr>
  </w:style>
  <w:style w:type="character" w:customStyle="1" w:styleId="67">
    <w:name w:val="标题 8 Char"/>
    <w:link w:val="9"/>
    <w:qFormat/>
    <w:uiPriority w:val="0"/>
    <w:rPr>
      <w:rFonts w:ascii="Arial" w:hAnsi="Arial" w:eastAsia="黑体"/>
      <w:sz w:val="24"/>
      <w:lang w:val="en-US" w:eastAsia="zh-CN" w:bidi="ar-SA"/>
    </w:rPr>
  </w:style>
  <w:style w:type="character" w:customStyle="1" w:styleId="68">
    <w:name w:val="标题 9 Char"/>
    <w:link w:val="10"/>
    <w:qFormat/>
    <w:uiPriority w:val="0"/>
    <w:rPr>
      <w:rFonts w:ascii="Arial" w:hAnsi="Arial" w:eastAsia="黑体"/>
      <w:sz w:val="21"/>
      <w:lang w:val="en-US" w:eastAsia="zh-CN" w:bidi="ar-SA"/>
    </w:rPr>
  </w:style>
  <w:style w:type="character" w:customStyle="1" w:styleId="69">
    <w:name w:val="文档结构图 Char"/>
    <w:link w:val="14"/>
    <w:semiHidden/>
    <w:qFormat/>
    <w:uiPriority w:val="0"/>
    <w:rPr>
      <w:rFonts w:eastAsia="宋体"/>
      <w:kern w:val="2"/>
      <w:sz w:val="21"/>
      <w:szCs w:val="24"/>
      <w:lang w:val="en-US" w:eastAsia="zh-CN" w:bidi="ar-SA"/>
    </w:rPr>
  </w:style>
  <w:style w:type="character" w:customStyle="1" w:styleId="70">
    <w:name w:val="批注文字 Char"/>
    <w:link w:val="16"/>
    <w:semiHidden/>
    <w:qFormat/>
    <w:uiPriority w:val="0"/>
    <w:rPr>
      <w:rFonts w:eastAsia="宋体"/>
      <w:kern w:val="2"/>
      <w:sz w:val="21"/>
      <w:szCs w:val="24"/>
      <w:lang w:val="en-US" w:eastAsia="zh-CN" w:bidi="ar-SA"/>
    </w:rPr>
  </w:style>
  <w:style w:type="character" w:customStyle="1" w:styleId="71">
    <w:name w:val="正文文本 3 Char"/>
    <w:link w:val="17"/>
    <w:uiPriority w:val="0"/>
    <w:rPr>
      <w:rFonts w:eastAsia="宋体"/>
      <w:kern w:val="2"/>
      <w:sz w:val="16"/>
      <w:szCs w:val="16"/>
      <w:lang w:val="en-US" w:eastAsia="zh-CN" w:bidi="ar-SA"/>
    </w:rPr>
  </w:style>
  <w:style w:type="character" w:customStyle="1" w:styleId="72">
    <w:name w:val="正文文本 Char"/>
    <w:link w:val="18"/>
    <w:uiPriority w:val="0"/>
    <w:rPr>
      <w:rFonts w:eastAsia="黑体"/>
      <w:kern w:val="2"/>
      <w:sz w:val="36"/>
      <w:szCs w:val="24"/>
      <w:lang w:val="en-US" w:eastAsia="zh-CN" w:bidi="ar-SA"/>
    </w:rPr>
  </w:style>
  <w:style w:type="character" w:customStyle="1" w:styleId="73">
    <w:name w:val="正文文本缩进 Char"/>
    <w:link w:val="19"/>
    <w:qFormat/>
    <w:uiPriority w:val="0"/>
    <w:rPr>
      <w:rFonts w:eastAsia="宋体"/>
      <w:kern w:val="2"/>
      <w:sz w:val="21"/>
      <w:szCs w:val="24"/>
      <w:lang w:val="en-US" w:eastAsia="zh-CN" w:bidi="ar-SA"/>
    </w:rPr>
  </w:style>
  <w:style w:type="character" w:customStyle="1" w:styleId="74">
    <w:name w:val="纯文本 Char"/>
    <w:link w:val="23"/>
    <w:qFormat/>
    <w:uiPriority w:val="0"/>
    <w:rPr>
      <w:rFonts w:ascii="宋体" w:hAnsi="Courier New" w:eastAsia="宋体"/>
      <w:kern w:val="2"/>
      <w:sz w:val="21"/>
      <w:szCs w:val="21"/>
      <w:lang w:val="en-US" w:eastAsia="zh-CN" w:bidi="ar-SA"/>
    </w:rPr>
  </w:style>
  <w:style w:type="character" w:customStyle="1" w:styleId="75">
    <w:name w:val="日期 Char"/>
    <w:link w:val="25"/>
    <w:qFormat/>
    <w:uiPriority w:val="0"/>
    <w:rPr>
      <w:rFonts w:ascii="宋体" w:eastAsia="宋体"/>
      <w:sz w:val="24"/>
      <w:lang w:val="en-US" w:eastAsia="zh-CN" w:bidi="ar-SA"/>
    </w:rPr>
  </w:style>
  <w:style w:type="character" w:customStyle="1" w:styleId="76">
    <w:name w:val="正文文本缩进 2 Char"/>
    <w:link w:val="26"/>
    <w:qFormat/>
    <w:uiPriority w:val="0"/>
    <w:rPr>
      <w:rFonts w:eastAsia="宋体"/>
      <w:kern w:val="2"/>
      <w:sz w:val="21"/>
      <w:szCs w:val="24"/>
      <w:lang w:val="en-US" w:eastAsia="zh-CN" w:bidi="ar-SA"/>
    </w:rPr>
  </w:style>
  <w:style w:type="character" w:customStyle="1" w:styleId="77">
    <w:name w:val="尾注文本 Char"/>
    <w:link w:val="27"/>
    <w:qFormat/>
    <w:uiPriority w:val="0"/>
    <w:rPr>
      <w:kern w:val="2"/>
      <w:sz w:val="21"/>
      <w:szCs w:val="24"/>
    </w:rPr>
  </w:style>
  <w:style w:type="character" w:customStyle="1" w:styleId="78">
    <w:name w:val="批注框文本 Char"/>
    <w:link w:val="28"/>
    <w:semiHidden/>
    <w:uiPriority w:val="0"/>
    <w:rPr>
      <w:rFonts w:eastAsia="宋体"/>
      <w:kern w:val="2"/>
      <w:sz w:val="18"/>
      <w:szCs w:val="18"/>
      <w:lang w:val="en-US" w:eastAsia="zh-CN" w:bidi="ar-SA"/>
    </w:rPr>
  </w:style>
  <w:style w:type="character" w:customStyle="1" w:styleId="79">
    <w:name w:val="页脚 Char"/>
    <w:link w:val="29"/>
    <w:qFormat/>
    <w:uiPriority w:val="99"/>
    <w:rPr>
      <w:rFonts w:eastAsia="宋体"/>
      <w:sz w:val="18"/>
      <w:szCs w:val="18"/>
      <w:lang w:val="en-US" w:eastAsia="zh-CN" w:bidi="ar-SA"/>
    </w:rPr>
  </w:style>
  <w:style w:type="character" w:customStyle="1" w:styleId="80">
    <w:name w:val="页眉 Char"/>
    <w:link w:val="30"/>
    <w:uiPriority w:val="0"/>
    <w:rPr>
      <w:rFonts w:eastAsia="宋体"/>
      <w:sz w:val="18"/>
      <w:szCs w:val="18"/>
      <w:lang w:val="en-US" w:eastAsia="zh-CN" w:bidi="ar-SA"/>
    </w:rPr>
  </w:style>
  <w:style w:type="character" w:customStyle="1" w:styleId="81">
    <w:name w:val="脚注文本 Char"/>
    <w:link w:val="34"/>
    <w:uiPriority w:val="99"/>
    <w:rPr>
      <w:kern w:val="2"/>
      <w:sz w:val="18"/>
      <w:szCs w:val="18"/>
    </w:rPr>
  </w:style>
  <w:style w:type="character" w:customStyle="1" w:styleId="82">
    <w:name w:val="正文文本缩进 3 Char"/>
    <w:link w:val="36"/>
    <w:qFormat/>
    <w:uiPriority w:val="0"/>
    <w:rPr>
      <w:rFonts w:eastAsia="宋体"/>
      <w:kern w:val="2"/>
      <w:sz w:val="16"/>
      <w:szCs w:val="16"/>
      <w:lang w:val="en-US" w:eastAsia="zh-CN" w:bidi="ar-SA"/>
    </w:rPr>
  </w:style>
  <w:style w:type="character" w:customStyle="1" w:styleId="83">
    <w:name w:val="正文文本 2 Char"/>
    <w:link w:val="39"/>
    <w:qFormat/>
    <w:uiPriority w:val="0"/>
    <w:rPr>
      <w:rFonts w:eastAsia="黑体"/>
      <w:bCs/>
      <w:kern w:val="2"/>
      <w:sz w:val="72"/>
      <w:szCs w:val="24"/>
      <w:lang w:val="en-US" w:eastAsia="zh-CN" w:bidi="ar-SA"/>
    </w:rPr>
  </w:style>
  <w:style w:type="character" w:customStyle="1" w:styleId="84">
    <w:name w:val="标题 Char"/>
    <w:link w:val="42"/>
    <w:qFormat/>
    <w:uiPriority w:val="0"/>
    <w:rPr>
      <w:rFonts w:ascii="Arial" w:hAnsi="Arial" w:eastAsia="宋体"/>
      <w:b/>
      <w:sz w:val="32"/>
      <w:lang w:val="en-US" w:eastAsia="zh-CN" w:bidi="ar-SA"/>
    </w:rPr>
  </w:style>
  <w:style w:type="character" w:customStyle="1" w:styleId="85">
    <w:name w:val="批注主题 Char"/>
    <w:link w:val="43"/>
    <w:semiHidden/>
    <w:qFormat/>
    <w:uiPriority w:val="0"/>
    <w:rPr>
      <w:rFonts w:eastAsia="宋体"/>
      <w:b/>
      <w:bCs/>
      <w:kern w:val="2"/>
      <w:sz w:val="21"/>
      <w:szCs w:val="24"/>
      <w:lang w:val="en-US" w:eastAsia="zh-CN" w:bidi="ar-SA"/>
    </w:rPr>
  </w:style>
  <w:style w:type="character" w:customStyle="1" w:styleId="86">
    <w:name w:val="正文首行缩进 Char"/>
    <w:link w:val="44"/>
    <w:qFormat/>
    <w:uiPriority w:val="0"/>
    <w:rPr>
      <w:rFonts w:eastAsia="PMingLiU"/>
      <w:kern w:val="2"/>
      <w:sz w:val="36"/>
      <w:szCs w:val="24"/>
      <w:lang w:val="en-US" w:eastAsia="zh-TW" w:bidi="ar-SA"/>
    </w:rPr>
  </w:style>
  <w:style w:type="paragraph" w:customStyle="1" w:styleId="87">
    <w:name w:val="列出段落1"/>
    <w:basedOn w:val="1"/>
    <w:uiPriority w:val="0"/>
    <w:pPr>
      <w:ind w:firstLine="420" w:firstLineChars="200"/>
    </w:pPr>
  </w:style>
  <w:style w:type="character" w:customStyle="1" w:styleId="88">
    <w:name w:val="脚注文本 字符1"/>
    <w:qFormat/>
    <w:uiPriority w:val="0"/>
    <w:rPr>
      <w:kern w:val="2"/>
      <w:sz w:val="18"/>
      <w:szCs w:val="18"/>
    </w:rPr>
  </w:style>
  <w:style w:type="character" w:customStyle="1" w:styleId="89">
    <w:name w:val="font161"/>
    <w:qFormat/>
    <w:uiPriority w:val="0"/>
    <w:rPr>
      <w:b/>
      <w:bCs/>
      <w:sz w:val="32"/>
      <w:szCs w:val="32"/>
    </w:rPr>
  </w:style>
  <w:style w:type="character" w:customStyle="1" w:styleId="90">
    <w:name w:val="Char Char11"/>
    <w:uiPriority w:val="0"/>
    <w:rPr>
      <w:rFonts w:ascii="宋体" w:eastAsia="宋体" w:cs="Times New Roman"/>
      <w:sz w:val="24"/>
      <w:lang w:val="en-US" w:eastAsia="zh-CN" w:bidi="ar-SA"/>
    </w:rPr>
  </w:style>
  <w:style w:type="character" w:customStyle="1" w:styleId="91">
    <w:name w:val="Heading 1 Char"/>
    <w:locked/>
    <w:uiPriority w:val="0"/>
    <w:rPr>
      <w:rFonts w:ascii="Times New Roman" w:hAnsi="Times New Roman" w:eastAsia="宋体" w:cs="Times New Roman"/>
      <w:b/>
      <w:bCs/>
      <w:kern w:val="44"/>
      <w:sz w:val="44"/>
      <w:szCs w:val="44"/>
    </w:rPr>
  </w:style>
  <w:style w:type="character" w:customStyle="1" w:styleId="92">
    <w:name w:val="Footer Char"/>
    <w:locked/>
    <w:uiPriority w:val="0"/>
    <w:rPr>
      <w:rFonts w:ascii="宋体" w:cs="Times New Roman"/>
      <w:sz w:val="24"/>
      <w:szCs w:val="24"/>
    </w:rPr>
  </w:style>
  <w:style w:type="character" w:customStyle="1" w:styleId="93">
    <w:name w:val="Char Char1"/>
    <w:qFormat/>
    <w:uiPriority w:val="0"/>
    <w:rPr>
      <w:rFonts w:eastAsia="宋体"/>
      <w:kern w:val="2"/>
      <w:sz w:val="24"/>
      <w:lang w:val="en-US" w:eastAsia="zh-CN" w:bidi="ar-SA"/>
    </w:rPr>
  </w:style>
  <w:style w:type="character" w:customStyle="1" w:styleId="94">
    <w:name w:val="f14b1"/>
    <w:qFormat/>
    <w:uiPriority w:val="0"/>
    <w:rPr>
      <w:rFonts w:cs="Times New Roman"/>
      <w:b/>
      <w:bCs/>
      <w:sz w:val="21"/>
      <w:szCs w:val="21"/>
    </w:rPr>
  </w:style>
  <w:style w:type="character" w:customStyle="1" w:styleId="95">
    <w:name w:val="Plain Text Char"/>
    <w:qFormat/>
    <w:locked/>
    <w:uiPriority w:val="0"/>
    <w:rPr>
      <w:rFonts w:ascii="宋体" w:hAnsi="宋体" w:eastAsia="宋体" w:cs="宋体"/>
      <w:kern w:val="0"/>
      <w:sz w:val="24"/>
      <w:szCs w:val="24"/>
    </w:rPr>
  </w:style>
  <w:style w:type="character" w:customStyle="1" w:styleId="96">
    <w:name w:val="apple-converted-space"/>
    <w:uiPriority w:val="0"/>
  </w:style>
  <w:style w:type="character" w:customStyle="1" w:styleId="97">
    <w:name w:val="Heading 2 Char"/>
    <w:qFormat/>
    <w:locked/>
    <w:uiPriority w:val="0"/>
    <w:rPr>
      <w:rFonts w:ascii="宋体" w:hAnsi="宋体" w:eastAsia="宋体" w:cs="Times New Roman"/>
      <w:kern w:val="0"/>
      <w:sz w:val="20"/>
      <w:szCs w:val="20"/>
    </w:rPr>
  </w:style>
  <w:style w:type="character" w:customStyle="1" w:styleId="98">
    <w:name w:val="Char Char"/>
    <w:uiPriority w:val="0"/>
    <w:rPr>
      <w:rFonts w:ascii="Arial" w:hAnsi="Arial" w:eastAsia="黑体"/>
      <w:b/>
      <w:bCs/>
      <w:kern w:val="2"/>
      <w:sz w:val="32"/>
      <w:szCs w:val="32"/>
      <w:lang w:val="en-US" w:eastAsia="zh-CN" w:bidi="ar-SA"/>
    </w:rPr>
  </w:style>
  <w:style w:type="character" w:customStyle="1" w:styleId="99">
    <w:name w:val="Date Char"/>
    <w:qFormat/>
    <w:locked/>
    <w:uiPriority w:val="0"/>
    <w:rPr>
      <w:rFonts w:eastAsia="宋体"/>
      <w:sz w:val="24"/>
    </w:rPr>
  </w:style>
  <w:style w:type="character" w:customStyle="1" w:styleId="100">
    <w:name w:val="样式 粉红"/>
    <w:uiPriority w:val="0"/>
    <w:rPr>
      <w:color w:val="auto"/>
      <w:u w:val="none"/>
    </w:rPr>
  </w:style>
  <w:style w:type="character" w:customStyle="1" w:styleId="101">
    <w:name w:val="标题 2 Char Char"/>
    <w:uiPriority w:val="0"/>
    <w:rPr>
      <w:rFonts w:ascii="Arial" w:hAnsi="Arial" w:eastAsia="黑体" w:cs="Times New Roman"/>
      <w:b/>
      <w:bCs/>
      <w:kern w:val="2"/>
      <w:sz w:val="32"/>
      <w:szCs w:val="32"/>
      <w:lang w:val="en-US" w:eastAsia="zh-CN" w:bidi="ar-SA"/>
    </w:rPr>
  </w:style>
  <w:style w:type="character" w:customStyle="1" w:styleId="102">
    <w:name w:val="缩进正文 Char"/>
    <w:link w:val="103"/>
    <w:qFormat/>
    <w:locked/>
    <w:uiPriority w:val="0"/>
    <w:rPr>
      <w:rFonts w:ascii="宋体" w:hAnsi="宋体"/>
      <w:spacing w:val="30"/>
      <w:sz w:val="24"/>
      <w:szCs w:val="24"/>
      <w:lang w:val="en-GB" w:eastAsia="zh-CN" w:bidi="ar-SA"/>
    </w:rPr>
  </w:style>
  <w:style w:type="paragraph" w:customStyle="1" w:styleId="103">
    <w:name w:val="缩进正文"/>
    <w:link w:val="102"/>
    <w:uiPriority w:val="0"/>
    <w:pPr>
      <w:adjustRightInd w:val="0"/>
      <w:snapToGrid w:val="0"/>
      <w:spacing w:before="218" w:beforeLines="70" w:after="218"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104">
    <w:name w:val="样式3 Char Char"/>
    <w:link w:val="105"/>
    <w:qFormat/>
    <w:locked/>
    <w:uiPriority w:val="0"/>
    <w:rPr>
      <w:rFonts w:ascii="宋体" w:hAnsi="宋体" w:eastAsia="黑体"/>
      <w:sz w:val="36"/>
      <w:szCs w:val="36"/>
      <w:lang w:bidi="ar-SA"/>
    </w:rPr>
  </w:style>
  <w:style w:type="paragraph" w:customStyle="1" w:styleId="105">
    <w:name w:val="样式3"/>
    <w:basedOn w:val="1"/>
    <w:link w:val="104"/>
    <w:uiPriority w:val="0"/>
    <w:pPr>
      <w:spacing w:line="940" w:lineRule="exact"/>
      <w:jc w:val="center"/>
    </w:pPr>
    <w:rPr>
      <w:rFonts w:ascii="宋体" w:hAnsi="宋体" w:eastAsia="黑体"/>
      <w:kern w:val="0"/>
      <w:sz w:val="36"/>
      <w:szCs w:val="36"/>
    </w:rPr>
  </w:style>
  <w:style w:type="character" w:customStyle="1" w:styleId="106">
    <w:name w:val="普通文字1 Char"/>
    <w:qFormat/>
    <w:uiPriority w:val="0"/>
    <w:rPr>
      <w:rFonts w:ascii="宋体" w:hAnsi="Courier New" w:eastAsia="宋体"/>
      <w:kern w:val="2"/>
      <w:sz w:val="21"/>
      <w:lang w:val="en-US" w:eastAsia="zh-CN" w:bidi="ar-SA"/>
    </w:rPr>
  </w:style>
  <w:style w:type="character" w:customStyle="1" w:styleId="107">
    <w:name w:val="Char Char6"/>
    <w:qFormat/>
    <w:uiPriority w:val="0"/>
    <w:rPr>
      <w:rFonts w:eastAsia="宋体"/>
      <w:b/>
      <w:bCs/>
      <w:kern w:val="2"/>
      <w:sz w:val="32"/>
      <w:szCs w:val="32"/>
      <w:lang w:val="en-US" w:eastAsia="zh-CN" w:bidi="ar-SA"/>
    </w:rPr>
  </w:style>
  <w:style w:type="character" w:customStyle="1" w:styleId="108">
    <w:name w:val="Heading 3 Char"/>
    <w:qFormat/>
    <w:locked/>
    <w:uiPriority w:val="0"/>
    <w:rPr>
      <w:rFonts w:ascii="Cambria" w:hAnsi="Cambria" w:eastAsia="宋体" w:cs="Times New Roman"/>
      <w:b/>
      <w:bCs/>
      <w:color w:val="4F81BD"/>
      <w:kern w:val="0"/>
      <w:sz w:val="22"/>
      <w:lang w:eastAsia="en-US"/>
    </w:rPr>
  </w:style>
  <w:style w:type="character" w:customStyle="1" w:styleId="109">
    <w:name w:val="Header Char"/>
    <w:locked/>
    <w:uiPriority w:val="0"/>
    <w:rPr>
      <w:rFonts w:ascii="宋体" w:cs="Times New Roman"/>
      <w:sz w:val="24"/>
      <w:szCs w:val="24"/>
    </w:rPr>
  </w:style>
  <w:style w:type="paragraph" w:customStyle="1" w:styleId="110">
    <w:name w:val="2"/>
    <w:basedOn w:val="1"/>
    <w:next w:val="19"/>
    <w:uiPriority w:val="0"/>
    <w:pPr>
      <w:ind w:left="432"/>
    </w:pPr>
    <w:rPr>
      <w:szCs w:val="20"/>
    </w:rPr>
  </w:style>
  <w:style w:type="paragraph" w:customStyle="1" w:styleId="111">
    <w:name w:val="样式 标题 2 + (西文) 方正书宋简体 (中文) 方正黑体简体 非加粗 黑色 段前: 0 磅 段后: 0 磅 行..."/>
    <w:basedOn w:val="3"/>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12">
    <w:name w:val="Char Char Char Char"/>
    <w:basedOn w:val="1"/>
    <w:qFormat/>
    <w:uiPriority w:val="0"/>
    <w:rPr>
      <w:rFonts w:ascii="Tahoma" w:hAnsi="Tahoma"/>
      <w:sz w:val="24"/>
      <w:szCs w:val="20"/>
    </w:rPr>
  </w:style>
  <w:style w:type="paragraph" w:customStyle="1" w:styleId="113">
    <w:name w:val="1"/>
    <w:basedOn w:val="1"/>
    <w:qFormat/>
    <w:uiPriority w:val="0"/>
  </w:style>
  <w:style w:type="paragraph" w:customStyle="1" w:styleId="114">
    <w:name w:val="样式 标题 2 + Times New Roman 四号 非加粗 段前: 5 磅 段后: 0 磅 行距: 固定值 20..."/>
    <w:basedOn w:val="3"/>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15">
    <w:name w:val="3"/>
    <w:basedOn w:val="1"/>
    <w:next w:val="17"/>
    <w:uiPriority w:val="0"/>
    <w:rPr>
      <w:rFonts w:ascii="宋体"/>
      <w:sz w:val="24"/>
      <w:szCs w:val="20"/>
    </w:rPr>
  </w:style>
  <w:style w:type="paragraph" w:customStyle="1" w:styleId="116">
    <w:name w:val="Char Char Char1"/>
    <w:basedOn w:val="1"/>
    <w:qFormat/>
    <w:uiPriority w:val="0"/>
    <w:rPr>
      <w:szCs w:val="20"/>
    </w:rPr>
  </w:style>
  <w:style w:type="paragraph" w:customStyle="1" w:styleId="117">
    <w:name w:val="。"/>
    <w:basedOn w:val="1"/>
    <w:qFormat/>
    <w:uiPriority w:val="0"/>
    <w:pPr>
      <w:adjustRightInd w:val="0"/>
      <w:spacing w:line="360" w:lineRule="atLeast"/>
      <w:ind w:right="679"/>
      <w:jc w:val="left"/>
      <w:textAlignment w:val="baseline"/>
    </w:pPr>
    <w:rPr>
      <w:rFonts w:ascii="宋体"/>
      <w:sz w:val="24"/>
    </w:rPr>
  </w:style>
  <w:style w:type="paragraph" w:customStyle="1" w:styleId="118">
    <w:name w:val="Char1"/>
    <w:basedOn w:val="1"/>
    <w:uiPriority w:val="0"/>
    <w:rPr>
      <w:rFonts w:ascii="Tahoma" w:hAnsi="Tahoma"/>
      <w:sz w:val="24"/>
      <w:szCs w:val="20"/>
    </w:rPr>
  </w:style>
  <w:style w:type="paragraph" w:customStyle="1" w:styleId="119">
    <w:name w:val="p17"/>
    <w:basedOn w:val="1"/>
    <w:uiPriority w:val="0"/>
    <w:pPr>
      <w:widowControl/>
    </w:pPr>
    <w:rPr>
      <w:kern w:val="0"/>
      <w:szCs w:val="21"/>
    </w:rPr>
  </w:style>
  <w:style w:type="paragraph" w:customStyle="1" w:styleId="120">
    <w:name w:val="5"/>
    <w:basedOn w:val="1"/>
    <w:uiPriority w:val="0"/>
    <w:rPr>
      <w:rFonts w:ascii="Tahoma" w:hAnsi="Tahoma"/>
      <w:sz w:val="24"/>
      <w:szCs w:val="20"/>
    </w:rPr>
  </w:style>
  <w:style w:type="paragraph" w:customStyle="1" w:styleId="121">
    <w:name w:val="样式1"/>
    <w:basedOn w:val="1"/>
    <w:next w:val="12"/>
    <w:qFormat/>
    <w:uiPriority w:val="0"/>
    <w:rPr>
      <w:rFonts w:ascii="宋体" w:hAnsi="Arial Unicode MS"/>
      <w:color w:val="000000"/>
      <w:kern w:val="0"/>
      <w:sz w:val="24"/>
      <w:szCs w:val="36"/>
    </w:rPr>
  </w:style>
  <w:style w:type="paragraph" w:customStyle="1" w:styleId="122">
    <w:name w:val="列出段落2"/>
    <w:basedOn w:val="1"/>
    <w:qFormat/>
    <w:uiPriority w:val="0"/>
    <w:pPr>
      <w:ind w:firstLine="420" w:firstLineChars="200"/>
    </w:pPr>
  </w:style>
  <w:style w:type="paragraph" w:customStyle="1" w:styleId="123">
    <w:name w:val="Char Char Char"/>
    <w:basedOn w:val="1"/>
    <w:qFormat/>
    <w:uiPriority w:val="0"/>
    <w:rPr>
      <w:szCs w:val="20"/>
    </w:rPr>
  </w:style>
  <w:style w:type="paragraph" w:customStyle="1" w:styleId="124">
    <w:name w:val="表格"/>
    <w:basedOn w:val="1"/>
    <w:qFormat/>
    <w:uiPriority w:val="0"/>
    <w:pPr>
      <w:jc w:val="center"/>
      <w:textAlignment w:val="center"/>
    </w:pPr>
    <w:rPr>
      <w:rFonts w:ascii="华文细黑" w:hAnsi="华文细黑"/>
      <w:kern w:val="0"/>
      <w:szCs w:val="20"/>
    </w:rPr>
  </w:style>
  <w:style w:type="paragraph" w:customStyle="1" w:styleId="125">
    <w:name w:val="Char Char Char Char Char Char2 Char1"/>
    <w:basedOn w:val="1"/>
    <w:qFormat/>
    <w:uiPriority w:val="0"/>
    <w:pPr>
      <w:spacing w:line="360" w:lineRule="auto"/>
      <w:ind w:firstLine="200" w:firstLineChars="200"/>
    </w:pPr>
    <w:rPr>
      <w:rFonts w:ascii="宋体" w:hAnsi="宋体" w:cs="宋体"/>
      <w:sz w:val="24"/>
    </w:rPr>
  </w:style>
  <w:style w:type="paragraph" w:styleId="126">
    <w:name w:val="List Paragraph"/>
    <w:basedOn w:val="1"/>
    <w:qFormat/>
    <w:uiPriority w:val="34"/>
    <w:pPr>
      <w:ind w:firstLine="420" w:firstLineChars="200"/>
    </w:pPr>
  </w:style>
  <w:style w:type="paragraph" w:customStyle="1" w:styleId="127">
    <w:name w:val="样式 标题 2 + (西文) 方正书宋简体 (中文) 方正黑体简体 非加粗 黑色 行距: 固定值 15 磅1"/>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28">
    <w:name w:val="xl24"/>
    <w:basedOn w:val="1"/>
    <w:qFormat/>
    <w:uiPriority w:val="0"/>
    <w:pPr>
      <w:widowControl/>
      <w:spacing w:before="100" w:beforeLines="0" w:after="100" w:afterLines="0"/>
      <w:jc w:val="center"/>
      <w:textAlignment w:val="center"/>
    </w:pPr>
    <w:rPr>
      <w:rFonts w:ascii="宋体" w:hAnsi="宋体"/>
      <w:kern w:val="0"/>
      <w:sz w:val="24"/>
      <w:szCs w:val="20"/>
    </w:rPr>
  </w:style>
  <w:style w:type="paragraph" w:customStyle="1" w:styleId="129">
    <w:name w:val="Char Char Char Char Char Char Char Char Char Char Char Char Char"/>
    <w:basedOn w:val="1"/>
    <w:qFormat/>
    <w:uiPriority w:val="0"/>
    <w:rPr>
      <w:rFonts w:ascii="仿宋_GB2312" w:eastAsia="仿宋_GB2312"/>
      <w:b/>
      <w:sz w:val="32"/>
      <w:szCs w:val="32"/>
    </w:rPr>
  </w:style>
  <w:style w:type="paragraph" w:customStyle="1" w:styleId="130">
    <w:name w:val="表格文字"/>
    <w:basedOn w:val="1"/>
    <w:qFormat/>
    <w:uiPriority w:val="0"/>
    <w:pPr>
      <w:adjustRightInd w:val="0"/>
      <w:spacing w:line="420" w:lineRule="atLeast"/>
      <w:jc w:val="left"/>
      <w:textAlignment w:val="baseline"/>
    </w:pPr>
    <w:rPr>
      <w:kern w:val="0"/>
      <w:szCs w:val="20"/>
    </w:rPr>
  </w:style>
  <w:style w:type="paragraph" w:customStyle="1" w:styleId="13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32">
    <w:name w:val="样式 标题 3 + (中文) 黑体 小四 非加粗 段前: 7.8 磅 段后: 0 磅 行距: 固定值 20 磅"/>
    <w:basedOn w:val="4"/>
    <w:qFormat/>
    <w:uiPriority w:val="0"/>
    <w:pPr>
      <w:widowControl w:val="0"/>
      <w:spacing w:before="0" w:beforeLines="0" w:line="400" w:lineRule="exact"/>
      <w:jc w:val="both"/>
    </w:pPr>
    <w:rPr>
      <w:rFonts w:ascii="Times New Roman" w:hAnsi="Times New Roman" w:eastAsia="黑体"/>
      <w:b w:val="0"/>
      <w:bCs w:val="0"/>
      <w:color w:val="auto"/>
      <w:kern w:val="2"/>
      <w:sz w:val="24"/>
      <w:szCs w:val="20"/>
      <w:lang w:bidi="ar-SA"/>
    </w:rPr>
  </w:style>
  <w:style w:type="paragraph" w:customStyle="1" w:styleId="133">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134">
    <w:name w:val="_Style 133"/>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35">
    <w:name w:val="列出段落3"/>
    <w:basedOn w:val="1"/>
    <w:qFormat/>
    <w:uiPriority w:val="0"/>
    <w:pPr>
      <w:ind w:firstLine="420" w:firstLineChars="200"/>
    </w:p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8">
    <w:name w:val="XW正文"/>
    <w:basedOn w:val="19"/>
    <w:qFormat/>
    <w:uiPriority w:val="0"/>
    <w:pPr>
      <w:adjustRightInd w:val="0"/>
      <w:snapToGrid w:val="0"/>
      <w:spacing w:after="0" w:afterLines="0" w:line="300" w:lineRule="auto"/>
      <w:ind w:left="0" w:leftChars="0" w:firstLine="520" w:firstLineChars="200"/>
      <w:jc w:val="left"/>
    </w:pPr>
    <w:rPr>
      <w:kern w:val="0"/>
    </w:rPr>
  </w:style>
  <w:style w:type="paragraph" w:customStyle="1" w:styleId="139">
    <w:name w:val="Blockquote"/>
    <w:basedOn w:val="1"/>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40">
    <w:name w:val="金安桥正文"/>
    <w:basedOn w:val="19"/>
    <w:uiPriority w:val="0"/>
    <w:pPr>
      <w:adjustRightInd w:val="0"/>
      <w:spacing w:after="0" w:afterLines="0" w:line="300" w:lineRule="auto"/>
      <w:ind w:left="0" w:leftChars="0" w:firstLine="200" w:firstLineChars="200"/>
      <w:jc w:val="left"/>
    </w:pPr>
    <w:rPr>
      <w:kern w:val="0"/>
      <w:sz w:val="24"/>
      <w:szCs w:val="20"/>
    </w:rPr>
  </w:style>
  <w:style w:type="paragraph" w:customStyle="1" w:styleId="141">
    <w:name w:val="cntrt"/>
    <w:basedOn w:val="1"/>
    <w:qFormat/>
    <w:uiPriority w:val="0"/>
    <w:pPr>
      <w:widowControl/>
      <w:jc w:val="left"/>
    </w:pPr>
    <w:rPr>
      <w:rFonts w:ascii="Arial" w:hAnsi="Arial" w:cs="Arial"/>
      <w:kern w:val="0"/>
      <w:sz w:val="20"/>
      <w:szCs w:val="20"/>
      <w:lang w:val="en-AU"/>
    </w:rPr>
  </w:style>
  <w:style w:type="paragraph" w:customStyle="1" w:styleId="142">
    <w:name w:val="Char"/>
    <w:basedOn w:val="1"/>
    <w:qFormat/>
    <w:uiPriority w:val="0"/>
  </w:style>
  <w:style w:type="paragraph" w:customStyle="1" w:styleId="143">
    <w:name w:val="Char1 Char Char Char Char Char Char1 Char Char Char"/>
    <w:basedOn w:val="1"/>
    <w:uiPriority w:val="0"/>
    <w:pPr>
      <w:spacing w:line="360" w:lineRule="auto"/>
      <w:ind w:firstLine="200" w:firstLineChars="200"/>
    </w:pPr>
    <w:rPr>
      <w:rFonts w:ascii="宋体" w:hAnsi="宋体" w:cs="宋体"/>
      <w:sz w:val="24"/>
    </w:rPr>
  </w:style>
  <w:style w:type="paragraph" w:customStyle="1" w:styleId="144">
    <w:name w:val="默认段落字体 Para Char"/>
    <w:basedOn w:val="1"/>
    <w:qFormat/>
    <w:uiPriority w:val="0"/>
    <w:rPr>
      <w:szCs w:val="20"/>
    </w:rPr>
  </w:style>
  <w:style w:type="paragraph" w:customStyle="1" w:styleId="145">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46">
    <w:name w:val="4"/>
    <w:basedOn w:val="1"/>
    <w:qFormat/>
    <w:uiPriority w:val="0"/>
    <w:rPr>
      <w:rFonts w:ascii="Tahoma" w:hAnsi="Tahoma"/>
      <w:sz w:val="24"/>
      <w:szCs w:val="20"/>
    </w:rPr>
  </w:style>
  <w:style w:type="paragraph" w:customStyle="1" w:styleId="147">
    <w:name w:val="Char2"/>
    <w:basedOn w:val="1"/>
    <w:uiPriority w:val="0"/>
    <w:rPr>
      <w:rFonts w:ascii="Tahoma" w:hAnsi="Tahoma"/>
      <w:sz w:val="24"/>
      <w:szCs w:val="20"/>
    </w:rPr>
  </w:style>
  <w:style w:type="paragraph" w:customStyle="1" w:styleId="148">
    <w:name w:val="List Paragraph1"/>
    <w:basedOn w:val="1"/>
    <w:qFormat/>
    <w:uiPriority w:val="0"/>
    <w:pPr>
      <w:ind w:firstLine="420" w:firstLineChars="200"/>
    </w:pPr>
  </w:style>
  <w:style w:type="paragraph" w:customStyle="1" w:styleId="1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p0"/>
    <w:basedOn w:val="1"/>
    <w:uiPriority w:val="0"/>
    <w:pPr>
      <w:widowControl/>
    </w:pPr>
    <w:rPr>
      <w:kern w:val="0"/>
      <w:szCs w:val="21"/>
    </w:rPr>
  </w:style>
  <w:style w:type="paragraph" w:customStyle="1" w:styleId="151">
    <w:name w:val="p15"/>
    <w:basedOn w:val="1"/>
    <w:qFormat/>
    <w:uiPriority w:val="0"/>
    <w:pPr>
      <w:widowControl/>
      <w:spacing w:before="100" w:line="400" w:lineRule="atLeast"/>
    </w:pPr>
    <w:rPr>
      <w:kern w:val="0"/>
      <w:sz w:val="28"/>
      <w:szCs w:val="28"/>
    </w:rPr>
  </w:style>
  <w:style w:type="paragraph" w:customStyle="1" w:styleId="152">
    <w:name w:val="p18"/>
    <w:basedOn w:val="1"/>
    <w:qFormat/>
    <w:uiPriority w:val="0"/>
    <w:pPr>
      <w:widowControl/>
    </w:pPr>
    <w:rPr>
      <w:rFonts w:ascii="宋体" w:hAnsi="宋体" w:cs="宋体"/>
      <w:kern w:val="0"/>
      <w:szCs w:val="21"/>
    </w:rPr>
  </w:style>
  <w:style w:type="paragraph" w:customStyle="1" w:styleId="153">
    <w:name w:val="Default Paragraph Char Char Char Char"/>
    <w:basedOn w:val="1"/>
    <w:next w:val="1"/>
    <w:uiPriority w:val="0"/>
    <w:pPr>
      <w:widowControl/>
      <w:spacing w:line="360" w:lineRule="auto"/>
      <w:jc w:val="left"/>
    </w:pPr>
    <w:rPr>
      <w:kern w:val="0"/>
      <w:szCs w:val="20"/>
      <w:lang w:eastAsia="en-US"/>
    </w:rPr>
  </w:style>
  <w:style w:type="character" w:customStyle="1" w:styleId="154">
    <w:name w:val="正文文本缩进 2 Char1"/>
    <w:semiHidden/>
    <w:uiPriority w:val="99"/>
    <w:rPr>
      <w:kern w:val="2"/>
      <w:sz w:val="21"/>
      <w:szCs w:val="22"/>
    </w:rPr>
  </w:style>
  <w:style w:type="character" w:customStyle="1" w:styleId="155">
    <w:name w:val="页脚 Char1"/>
    <w:semiHidden/>
    <w:uiPriority w:val="99"/>
    <w:rPr>
      <w:kern w:val="2"/>
      <w:sz w:val="18"/>
      <w:szCs w:val="18"/>
    </w:rPr>
  </w:style>
  <w:style w:type="character" w:customStyle="1" w:styleId="156">
    <w:name w:val="正文文本缩进 Char1"/>
    <w:semiHidden/>
    <w:qFormat/>
    <w:uiPriority w:val="99"/>
    <w:rPr>
      <w:kern w:val="2"/>
      <w:sz w:val="21"/>
      <w:szCs w:val="22"/>
    </w:rPr>
  </w:style>
  <w:style w:type="character" w:customStyle="1" w:styleId="157">
    <w:name w:val="正文文本 3 Char1"/>
    <w:semiHidden/>
    <w:uiPriority w:val="99"/>
    <w:rPr>
      <w:kern w:val="2"/>
      <w:sz w:val="16"/>
      <w:szCs w:val="16"/>
    </w:rPr>
  </w:style>
  <w:style w:type="character" w:customStyle="1" w:styleId="158">
    <w:name w:val="批注文字 Char1"/>
    <w:semiHidden/>
    <w:qFormat/>
    <w:uiPriority w:val="0"/>
    <w:rPr>
      <w:rFonts w:ascii="Times New Roman" w:hAnsi="Times New Roman"/>
      <w:kern w:val="2"/>
      <w:sz w:val="21"/>
      <w:szCs w:val="24"/>
    </w:rPr>
  </w:style>
  <w:style w:type="character" w:customStyle="1" w:styleId="159">
    <w:name w:val="批注主题 Char1"/>
    <w:semiHidden/>
    <w:uiPriority w:val="99"/>
    <w:rPr>
      <w:rFonts w:ascii="Times New Roman" w:hAnsi="Times New Roman"/>
      <w:b/>
      <w:bCs/>
      <w:kern w:val="2"/>
      <w:sz w:val="21"/>
      <w:szCs w:val="24"/>
    </w:rPr>
  </w:style>
  <w:style w:type="character" w:customStyle="1" w:styleId="160">
    <w:name w:val="正文文本缩进 3 Char1"/>
    <w:semiHidden/>
    <w:qFormat/>
    <w:uiPriority w:val="99"/>
    <w:rPr>
      <w:kern w:val="2"/>
      <w:sz w:val="16"/>
      <w:szCs w:val="16"/>
    </w:rPr>
  </w:style>
  <w:style w:type="character" w:customStyle="1" w:styleId="161">
    <w:name w:val="批注框文本 Char1"/>
    <w:semiHidden/>
    <w:uiPriority w:val="99"/>
    <w:rPr>
      <w:kern w:val="2"/>
      <w:sz w:val="18"/>
      <w:szCs w:val="18"/>
    </w:rPr>
  </w:style>
  <w:style w:type="character" w:customStyle="1" w:styleId="162">
    <w:name w:val="正文文本 Char1"/>
    <w:semiHidden/>
    <w:uiPriority w:val="99"/>
    <w:rPr>
      <w:kern w:val="2"/>
      <w:sz w:val="21"/>
      <w:szCs w:val="22"/>
    </w:rPr>
  </w:style>
  <w:style w:type="character" w:customStyle="1" w:styleId="163">
    <w:name w:val="文档结构图 Char1"/>
    <w:semiHidden/>
    <w:uiPriority w:val="99"/>
    <w:rPr>
      <w:rFonts w:ascii="宋体"/>
      <w:kern w:val="2"/>
      <w:sz w:val="18"/>
      <w:szCs w:val="18"/>
    </w:rPr>
  </w:style>
  <w:style w:type="character" w:customStyle="1" w:styleId="164">
    <w:name w:val="页眉 Char1"/>
    <w:semiHidden/>
    <w:qFormat/>
    <w:uiPriority w:val="99"/>
    <w:rPr>
      <w:kern w:val="2"/>
      <w:sz w:val="18"/>
      <w:szCs w:val="18"/>
    </w:rPr>
  </w:style>
  <w:style w:type="character" w:customStyle="1" w:styleId="165">
    <w:name w:val="日期 Char1"/>
    <w:semiHidden/>
    <w:qFormat/>
    <w:uiPriority w:val="99"/>
    <w:rPr>
      <w:kern w:val="2"/>
      <w:sz w:val="21"/>
      <w:szCs w:val="22"/>
    </w:rPr>
  </w:style>
  <w:style w:type="character" w:customStyle="1" w:styleId="166">
    <w:name w:val="标题 Char1"/>
    <w:qFormat/>
    <w:uiPriority w:val="10"/>
    <w:rPr>
      <w:rFonts w:ascii="Cambria" w:hAnsi="Cambria" w:cs="Times New Roman"/>
      <w:b/>
      <w:bCs/>
      <w:kern w:val="2"/>
      <w:sz w:val="32"/>
      <w:szCs w:val="32"/>
    </w:rPr>
  </w:style>
  <w:style w:type="character" w:customStyle="1" w:styleId="167">
    <w:name w:val="纯文本 Char1"/>
    <w:semiHidden/>
    <w:qFormat/>
    <w:uiPriority w:val="99"/>
    <w:rPr>
      <w:rFonts w:ascii="宋体" w:hAnsi="Courier New" w:cs="Courier New"/>
      <w:kern w:val="2"/>
      <w:sz w:val="21"/>
      <w:szCs w:val="21"/>
    </w:rPr>
  </w:style>
  <w:style w:type="character" w:customStyle="1" w:styleId="168">
    <w:name w:val="正文首行缩进 Char1"/>
    <w:semiHidden/>
    <w:qFormat/>
    <w:uiPriority w:val="99"/>
  </w:style>
  <w:style w:type="character" w:customStyle="1" w:styleId="169">
    <w:name w:val="正文文本 2 Char1"/>
    <w:semiHidden/>
    <w:qFormat/>
    <w:uiPriority w:val="99"/>
    <w:rPr>
      <w:kern w:val="2"/>
      <w:sz w:val="21"/>
      <w:szCs w:val="22"/>
    </w:rPr>
  </w:style>
  <w:style w:type="paragraph" w:customStyle="1" w:styleId="170">
    <w:name w:val="paragraphindent"/>
    <w:basedOn w:val="1"/>
    <w:qFormat/>
    <w:uiPriority w:val="0"/>
    <w:pPr>
      <w:widowControl/>
      <w:spacing w:before="75" w:after="75"/>
      <w:jc w:val="left"/>
    </w:pPr>
    <w:rPr>
      <w:rFonts w:ascii="宋体" w:hAnsi="宋体" w:cs="宋体"/>
      <w:kern w:val="0"/>
      <w:sz w:val="24"/>
    </w:rPr>
  </w:style>
  <w:style w:type="character" w:customStyle="1" w:styleId="171">
    <w:name w:val="正文2 Char"/>
    <w:link w:val="172"/>
    <w:qFormat/>
    <w:uiPriority w:val="0"/>
    <w:rPr>
      <w:rFonts w:ascii="宋体" w:eastAsia="楷体"/>
      <w:b/>
      <w:color w:val="0000FF"/>
      <w:kern w:val="2"/>
      <w:sz w:val="21"/>
      <w:szCs w:val="22"/>
      <w:lang w:val="en-US" w:eastAsia="zh-CN" w:bidi="ar-SA"/>
    </w:rPr>
  </w:style>
  <w:style w:type="paragraph" w:customStyle="1" w:styleId="172">
    <w:name w:val="正文2"/>
    <w:link w:val="171"/>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173">
    <w:name w:val="_Style 172"/>
    <w:unhideWhenUsed/>
    <w:qFormat/>
    <w:uiPriority w:val="99"/>
    <w:rPr>
      <w:rFonts w:ascii="Times New Roman" w:hAnsi="Times New Roman" w:eastAsia="宋体" w:cs="Times New Roman"/>
      <w:kern w:val="2"/>
      <w:sz w:val="21"/>
      <w:szCs w:val="24"/>
      <w:lang w:val="en-US" w:eastAsia="zh-CN" w:bidi="ar-SA"/>
    </w:rPr>
  </w:style>
  <w:style w:type="paragraph" w:customStyle="1" w:styleId="174">
    <w:name w:val="msolistparagraph"/>
    <w:basedOn w:val="1"/>
    <w:qFormat/>
    <w:uiPriority w:val="0"/>
    <w:pPr>
      <w:keepNext w:val="0"/>
      <w:keepLines w:val="0"/>
      <w:widowControl w:val="0"/>
      <w:suppressLineNumbers w:val="0"/>
      <w:autoSpaceDE w:val="0"/>
      <w:autoSpaceDN w:val="0"/>
      <w:spacing w:before="0" w:beforeAutospacing="0" w:after="0" w:afterAutospacing="0"/>
      <w:ind w:left="205" w:right="169" w:firstLine="655"/>
      <w:jc w:val="left"/>
    </w:pPr>
    <w:rPr>
      <w:rFonts w:hint="eastAsia" w:ascii="仿宋" w:hAnsi="仿宋" w:eastAsia="仿宋" w:cs="仿宋"/>
      <w:kern w:val="0"/>
      <w:sz w:val="22"/>
      <w:szCs w:val="22"/>
      <w:u w:val="single" w:color="000000"/>
      <w:lang w:val="en-US" w:eastAsia="zh-CN" w:bidi="ar"/>
    </w:rPr>
  </w:style>
  <w:style w:type="character" w:customStyle="1" w:styleId="175">
    <w:name w:val="button"/>
    <w:basedOn w:val="47"/>
    <w:qFormat/>
    <w:uiPriority w:val="0"/>
  </w:style>
  <w:style w:type="paragraph" w:customStyle="1" w:styleId="176">
    <w:name w:val="D&amp;L"/>
    <w:basedOn w:val="3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77">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17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89</Pages>
  <Words>20991</Words>
  <Characters>23039</Characters>
  <Lines>464</Lines>
  <Paragraphs>130</Paragraphs>
  <TotalTime>61</TotalTime>
  <ScaleCrop>false</ScaleCrop>
  <LinksUpToDate>false</LinksUpToDate>
  <CharactersWithSpaces>24181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2023-02-28T09:16:00Z</dcterms:created>
  <dc:creator>孟凡金</dc:creator>
  <cp:lastModifiedBy>政采四部</cp:lastModifiedBy>
  <cp:lastPrinted>2020-06-16T06:07:00Z</cp:lastPrinted>
  <dcterms:modified xsi:type="dcterms:W3CDTF">2025-12-10T09:39:51Z</dcterms:modified>
  <dc:title>项目名称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468657AD1D5E4D808146D34038B1F8D1_13</vt:lpwstr>
  </property>
  <property fmtid="{D5CDD505-2E9C-101B-9397-08002B2CF9AE}" pid="4" name="KSOTemplateDocerSaveRecord">
    <vt:lpwstr>eyJoZGlkIjoiOGRlZTYyZTIzNmNlYWFjOWUzMjVhYWU1Y2JiMGFhOGQiLCJ1c2VySWQiOiIyODQyMDI3NDcifQ==</vt:lpwstr>
  </property>
</Properties>
</file>