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0D2EF">
      <w:pPr>
        <w:wordWrap w:val="0"/>
        <w:spacing w:line="360" w:lineRule="auto"/>
        <w:rPr>
          <w:rFonts w:hint="eastAsia" w:ascii="宋体" w:hAnsi="宋体" w:eastAsia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highlight w:val="none"/>
        </w:rPr>
        <w:t>前注：</w:t>
      </w:r>
    </w:p>
    <w:p w14:paraId="6565B06D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18"/>
          <w:highlight w:val="none"/>
        </w:rPr>
      </w:pPr>
      <w:bookmarkStart w:id="0" w:name="_Hlk16461016"/>
      <w:r>
        <w:rPr>
          <w:rFonts w:hint="eastAsia" w:ascii="宋体" w:hAnsi="宋体" w:eastAsia="宋体" w:cs="宋体"/>
          <w:color w:val="auto"/>
          <w:sz w:val="24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18"/>
          <w:highlight w:val="none"/>
        </w:rPr>
        <w:t>根据《关于规范政府采购进口产品有关工作的通知》及政府采购管理部门的相关规定，下列采购需求中标注进口产品的货物（科研仪器设备）均已履行相关论证手续，经核准采购进口产品，但不限制满足招标文件要求的国内产品参与竞争。未标注进口产品的货物均为拒绝采购进口产品。</w:t>
      </w:r>
    </w:p>
    <w:p w14:paraId="2871A496">
      <w:pPr>
        <w:wordWrap w:val="0"/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18"/>
          <w:highlight w:val="none"/>
        </w:rPr>
        <w:t>2.下列采购需求中：</w:t>
      </w:r>
    </w:p>
    <w:p w14:paraId="378F3558">
      <w:pPr>
        <w:wordWrap w:val="0"/>
        <w:spacing w:line="360" w:lineRule="auto"/>
        <w:ind w:firstLine="435"/>
        <w:rPr>
          <w:rFonts w:hint="eastAsia" w:ascii="宋体" w:hAnsi="宋体" w:eastAsia="宋体" w:cs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18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65BDA24D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0F296B1E">
      <w:pPr>
        <w:wordWrap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1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18"/>
          <w:highlight w:val="none"/>
        </w:rPr>
        <w:t>3.下列采购需求中：标注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▲</w:t>
      </w:r>
      <w:r>
        <w:rPr>
          <w:rFonts w:hint="eastAsia" w:ascii="宋体" w:hAnsi="宋体" w:eastAsia="宋体" w:cs="宋体"/>
          <w:color w:val="auto"/>
          <w:sz w:val="24"/>
          <w:szCs w:val="18"/>
          <w:highlight w:val="none"/>
        </w:rPr>
        <w:t>的产品（核心产品），投标人在投标文件《主要中标标的承诺函》中填写名称、品牌、规格、型号、数量、单价等信息。</w:t>
      </w:r>
    </w:p>
    <w:p w14:paraId="6FE3379B">
      <w:pPr>
        <w:keepNext/>
        <w:keepLines/>
        <w:widowControl w:val="0"/>
        <w:wordWrap w:val="0"/>
        <w:spacing w:before="240" w:line="360" w:lineRule="auto"/>
        <w:ind w:firstLine="0" w:firstLineChars="0"/>
        <w:jc w:val="left"/>
        <w:outlineLvl w:val="1"/>
        <w:rPr>
          <w:rFonts w:ascii="Arial" w:hAnsi="Arial" w:eastAsia="黑体" w:cs="Times New Roman"/>
          <w:bCs/>
          <w:color w:val="auto"/>
          <w:kern w:val="0"/>
          <w:sz w:val="28"/>
          <w:szCs w:val="32"/>
          <w:highlight w:val="none"/>
          <w:lang w:val="en-US" w:eastAsia="zh-CN" w:bidi="ar-SA"/>
        </w:rPr>
      </w:pPr>
      <w:bookmarkStart w:id="1" w:name="_Toc2025078090"/>
      <w:bookmarkStart w:id="2" w:name="_Toc337877615"/>
      <w:bookmarkStart w:id="3" w:name="_Toc1452677390"/>
      <w:bookmarkStart w:id="4" w:name="_Toc1437377518_WPSOffice_Level2"/>
      <w:bookmarkStart w:id="5" w:name="_Toc292361325"/>
      <w:bookmarkStart w:id="6" w:name="_Toc1899401549"/>
      <w:bookmarkStart w:id="7" w:name="_Toc1064185329"/>
      <w:bookmarkStart w:id="8" w:name="_Toc382548620"/>
      <w:r>
        <w:rPr>
          <w:rFonts w:hint="eastAsia" w:ascii="Arial" w:hAnsi="Arial" w:eastAsia="黑体" w:cs="Times New Roman"/>
          <w:bCs/>
          <w:color w:val="auto"/>
          <w:kern w:val="0"/>
          <w:sz w:val="28"/>
          <w:szCs w:val="32"/>
          <w:highlight w:val="none"/>
          <w:lang w:val="en-US" w:eastAsia="zh-CN" w:bidi="ar-SA"/>
        </w:rPr>
        <w:t>一、采购需求前附表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054"/>
        <w:gridCol w:w="5544"/>
      </w:tblGrid>
      <w:tr w14:paraId="7F0B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1BE0E90C">
            <w:pPr>
              <w:widowControl w:val="0"/>
              <w:pBdr>
                <w:bottom w:val="none" w:color="auto" w:sz="0" w:space="0"/>
              </w:pBdr>
              <w:wordWrap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054" w:type="dxa"/>
            <w:vAlign w:val="center"/>
          </w:tcPr>
          <w:p w14:paraId="62D0F6AC">
            <w:pPr>
              <w:widowControl w:val="0"/>
              <w:wordWrap w:val="0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条款名称</w:t>
            </w:r>
          </w:p>
        </w:tc>
        <w:tc>
          <w:tcPr>
            <w:tcW w:w="5544" w:type="dxa"/>
            <w:vAlign w:val="center"/>
          </w:tcPr>
          <w:p w14:paraId="27583994">
            <w:pPr>
              <w:widowControl w:val="0"/>
              <w:wordWrap w:val="0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内容、说明与要求</w:t>
            </w:r>
          </w:p>
        </w:tc>
      </w:tr>
      <w:tr w14:paraId="115F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7AF8E634">
            <w:pPr>
              <w:widowControl w:val="0"/>
              <w:pBdr>
                <w:bottom w:val="none" w:color="auto" w:sz="0" w:space="0"/>
              </w:pBdr>
              <w:wordWrap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054" w:type="dxa"/>
            <w:vAlign w:val="center"/>
          </w:tcPr>
          <w:p w14:paraId="3DE92837">
            <w:pPr>
              <w:widowControl w:val="0"/>
              <w:wordWrap w:val="0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5544" w:type="dxa"/>
            <w:vAlign w:val="center"/>
          </w:tcPr>
          <w:p w14:paraId="1B3BB3B9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合同签订生效后，采购人向中标人支付合同价款的70%预付款（中标人须同时向采购人递交等额预付款保函），全部货物安装调试完毕，剩余30%在验收合格后一次性付给中标人，同时退还预付款保函。</w:t>
            </w:r>
          </w:p>
          <w:p w14:paraId="3B28B5A3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注：</w:t>
            </w:r>
          </w:p>
          <w:p w14:paraId="32C686FA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（1）预付款保函形式：☑银行保函 ☑担保机构担保</w:t>
            </w:r>
          </w:p>
          <w:p w14:paraId="4A0A52C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（2）预付款保函递交要求：</w:t>
            </w:r>
          </w:p>
          <w:p w14:paraId="5CF3A0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①如采用银行保函，银行保函应为具有分支机构的银行出具的见索即付无条件保函。（例如A银行总部在合肥或者A银行在合肥行政区域（含四县一市）具有分支机构，那么A银行任一分支机构或者总部出具的见索即付无条件保函符合要求），且应将原件交至采购人保管。</w:t>
            </w:r>
          </w:p>
          <w:p w14:paraId="349DCAF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②如采用担保机构担保，应为具有备案资质的融资担保机构出具的见索即付无条件担保，且应将原件交至采购人保管。</w:t>
            </w:r>
          </w:p>
          <w:p w14:paraId="75C19291">
            <w:pPr>
              <w:widowControl w:val="0"/>
              <w:wordWrap w:val="0"/>
              <w:spacing w:before="0" w:beforeAutospacing="0" w:after="0" w:afterAutospacing="0" w:line="30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（3）在签订合同时，中标人书面明确表示无需预付款或者主动要求降低预付款比例的，采购人可不适用前述预付款规定。</w:t>
            </w:r>
          </w:p>
        </w:tc>
      </w:tr>
      <w:tr w14:paraId="7355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018" w:type="dxa"/>
            <w:vAlign w:val="center"/>
          </w:tcPr>
          <w:p w14:paraId="39CA709D">
            <w:pPr>
              <w:widowControl w:val="0"/>
              <w:pBdr>
                <w:bottom w:val="none" w:color="auto" w:sz="0" w:space="0"/>
              </w:pBdr>
              <w:wordWrap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054" w:type="dxa"/>
            <w:vAlign w:val="center"/>
          </w:tcPr>
          <w:p w14:paraId="328A10BA">
            <w:pPr>
              <w:widowControl w:val="0"/>
              <w:wordWrap w:val="0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供货及安装地点</w:t>
            </w:r>
          </w:p>
        </w:tc>
        <w:tc>
          <w:tcPr>
            <w:tcW w:w="5544" w:type="dxa"/>
            <w:vAlign w:val="center"/>
          </w:tcPr>
          <w:p w14:paraId="5CA8BB69">
            <w:pPr>
              <w:widowControl w:val="0"/>
              <w:wordWrap w:val="0"/>
              <w:spacing w:before="0" w:beforeAutospacing="0" w:after="0" w:afterAutospacing="0"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安徽大学，具体按采购人指定。</w:t>
            </w:r>
          </w:p>
        </w:tc>
      </w:tr>
      <w:tr w14:paraId="49BF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018" w:type="dxa"/>
            <w:vAlign w:val="center"/>
          </w:tcPr>
          <w:p w14:paraId="1E83A78A">
            <w:pPr>
              <w:widowControl w:val="0"/>
              <w:pBdr>
                <w:bottom w:val="none" w:color="auto" w:sz="0" w:space="0"/>
              </w:pBdr>
              <w:wordWrap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054" w:type="dxa"/>
            <w:vAlign w:val="center"/>
          </w:tcPr>
          <w:p w14:paraId="0EF3C940">
            <w:pPr>
              <w:widowControl w:val="0"/>
              <w:wordWrap w:val="0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供货及安装期限</w:t>
            </w:r>
          </w:p>
        </w:tc>
        <w:tc>
          <w:tcPr>
            <w:tcW w:w="5544" w:type="dxa"/>
            <w:vAlign w:val="center"/>
          </w:tcPr>
          <w:p w14:paraId="69A3DB45">
            <w:pPr>
              <w:widowControl w:val="0"/>
              <w:wordWrap w:val="0"/>
              <w:spacing w:before="0" w:beforeAutospacing="0" w:after="0" w:afterAutospacing="0"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合同签订后并接采购人通知之日起4个月内完成供货安装调试及验收等所有工作。</w:t>
            </w:r>
          </w:p>
        </w:tc>
      </w:tr>
      <w:tr w14:paraId="7ABCC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18" w:type="dxa"/>
            <w:vAlign w:val="center"/>
          </w:tcPr>
          <w:p w14:paraId="0E727340">
            <w:pPr>
              <w:widowControl w:val="0"/>
              <w:pBdr>
                <w:bottom w:val="none" w:color="auto" w:sz="0" w:space="0"/>
              </w:pBdr>
              <w:wordWrap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054" w:type="dxa"/>
            <w:vAlign w:val="center"/>
          </w:tcPr>
          <w:p w14:paraId="78EC222A">
            <w:pPr>
              <w:widowControl w:val="0"/>
              <w:wordWrap w:val="0"/>
              <w:spacing w:before="0" w:beforeAutospacing="0" w:after="0" w:afterAutospacing="0" w:line="30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免费质保期</w:t>
            </w:r>
          </w:p>
        </w:tc>
        <w:tc>
          <w:tcPr>
            <w:tcW w:w="5544" w:type="dxa"/>
            <w:vAlign w:val="center"/>
          </w:tcPr>
          <w:p w14:paraId="2A34C3E2">
            <w:pPr>
              <w:widowControl w:val="0"/>
              <w:wordWrap w:val="0"/>
              <w:spacing w:before="0" w:beforeAutospacing="0" w:after="0" w:afterAutospacing="0"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自验收合格之日起1年。</w:t>
            </w:r>
          </w:p>
          <w:p w14:paraId="47B3C011">
            <w:pPr>
              <w:widowControl w:val="0"/>
              <w:wordWrap w:val="0"/>
              <w:spacing w:before="0" w:beforeAutospacing="0" w:after="0" w:afterAutospacing="0" w:line="300" w:lineRule="auto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8"/>
                <w:highlight w:val="none"/>
                <w:lang w:val="en-US" w:eastAsia="zh-CN" w:bidi="ar-SA"/>
              </w:rPr>
              <w:t>注：免费质保期从验收合格之日起开始计算。</w:t>
            </w:r>
          </w:p>
        </w:tc>
      </w:tr>
    </w:tbl>
    <w:p w14:paraId="305F70E8">
      <w:pPr>
        <w:keepNext/>
        <w:keepLines/>
        <w:widowControl w:val="0"/>
        <w:wordWrap w:val="0"/>
        <w:spacing w:before="240" w:line="360" w:lineRule="auto"/>
        <w:ind w:firstLine="0" w:firstLineChars="0"/>
        <w:jc w:val="left"/>
        <w:outlineLvl w:val="1"/>
        <w:rPr>
          <w:rFonts w:ascii="Arial" w:hAnsi="Arial" w:eastAsia="黑体" w:cs="Times New Roman"/>
          <w:bCs/>
          <w:color w:val="auto"/>
          <w:kern w:val="0"/>
          <w:sz w:val="28"/>
          <w:szCs w:val="32"/>
          <w:highlight w:val="none"/>
          <w:lang w:val="en-US" w:eastAsia="zh-CN" w:bidi="ar-SA"/>
        </w:rPr>
      </w:pPr>
      <w:bookmarkStart w:id="9" w:name="_Toc1715351726"/>
      <w:bookmarkStart w:id="10" w:name="_Toc1693477008"/>
      <w:bookmarkStart w:id="11" w:name="_Toc1191965283_WPSOffice_Level2"/>
      <w:bookmarkStart w:id="12" w:name="_Toc369119811"/>
      <w:bookmarkStart w:id="13" w:name="_Toc626387511"/>
      <w:bookmarkStart w:id="14" w:name="_Toc302804901"/>
      <w:bookmarkStart w:id="15" w:name="_Toc717369146"/>
      <w:bookmarkStart w:id="16" w:name="_Toc58935147"/>
      <w:r>
        <w:rPr>
          <w:rFonts w:hint="eastAsia" w:ascii="Arial" w:hAnsi="Arial" w:eastAsia="黑体" w:cs="Times New Roman"/>
          <w:bCs/>
          <w:color w:val="auto"/>
          <w:kern w:val="0"/>
          <w:sz w:val="28"/>
          <w:szCs w:val="32"/>
          <w:highlight w:val="none"/>
          <w:lang w:val="en-US" w:eastAsia="zh-CN" w:bidi="ar-SA"/>
        </w:rPr>
        <w:t>二、货物需求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949BB50">
      <w:pPr>
        <w:widowControl w:val="0"/>
        <w:wordWrap w:val="0"/>
        <w:spacing w:line="360" w:lineRule="auto"/>
        <w:ind w:left="0"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（一）货物需求说明</w:t>
      </w:r>
    </w:p>
    <w:tbl>
      <w:tblPr>
        <w:tblStyle w:val="7"/>
        <w:tblW w:w="8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277"/>
        <w:gridCol w:w="5692"/>
      </w:tblGrid>
      <w:tr w14:paraId="61A7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</w:tcPr>
          <w:p w14:paraId="466DF435">
            <w:pPr>
              <w:widowControl w:val="0"/>
              <w:wordWrap w:val="0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需求内容类别</w:t>
            </w:r>
          </w:p>
        </w:tc>
        <w:tc>
          <w:tcPr>
            <w:tcW w:w="1277" w:type="dxa"/>
          </w:tcPr>
          <w:p w14:paraId="06D27AD7">
            <w:pPr>
              <w:widowControl w:val="0"/>
              <w:wordWrap w:val="0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标识符号</w:t>
            </w:r>
          </w:p>
        </w:tc>
        <w:tc>
          <w:tcPr>
            <w:tcW w:w="5692" w:type="dxa"/>
          </w:tcPr>
          <w:p w14:paraId="2482717C">
            <w:pPr>
              <w:widowControl w:val="0"/>
              <w:wordWrap w:val="0"/>
              <w:spacing w:line="30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投标要求</w:t>
            </w:r>
          </w:p>
        </w:tc>
      </w:tr>
      <w:tr w14:paraId="34F9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  <w:vAlign w:val="center"/>
          </w:tcPr>
          <w:p w14:paraId="1E8CAFE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highlight w:val="none"/>
              </w:rPr>
              <w:t>关键性指标项</w:t>
            </w:r>
          </w:p>
        </w:tc>
        <w:tc>
          <w:tcPr>
            <w:tcW w:w="1277" w:type="dxa"/>
            <w:vAlign w:val="center"/>
          </w:tcPr>
          <w:p w14:paraId="27F32408">
            <w:pPr>
              <w:widowControl w:val="0"/>
              <w:wordWrap w:val="0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★</w:t>
            </w:r>
          </w:p>
        </w:tc>
        <w:tc>
          <w:tcPr>
            <w:tcW w:w="5692" w:type="dxa"/>
            <w:vAlign w:val="center"/>
          </w:tcPr>
          <w:p w14:paraId="368C795B">
            <w:pPr>
              <w:widowControl w:val="0"/>
              <w:wordWrap w:val="0"/>
              <w:spacing w:line="30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符合性审查项，该指标项负偏离或未响应，将导致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投标无效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25C7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96" w:type="dxa"/>
            <w:vAlign w:val="center"/>
          </w:tcPr>
          <w:p w14:paraId="481326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highlight w:val="none"/>
              </w:rPr>
              <w:t>重要指标项</w:t>
            </w:r>
          </w:p>
        </w:tc>
        <w:tc>
          <w:tcPr>
            <w:tcW w:w="1277" w:type="dxa"/>
            <w:vAlign w:val="center"/>
          </w:tcPr>
          <w:p w14:paraId="255DAEA5">
            <w:pPr>
              <w:widowControl w:val="0"/>
              <w:wordWrap w:val="0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■</w:t>
            </w:r>
          </w:p>
        </w:tc>
        <w:tc>
          <w:tcPr>
            <w:tcW w:w="5692" w:type="dxa"/>
            <w:vAlign w:val="center"/>
          </w:tcPr>
          <w:p w14:paraId="530B0784">
            <w:pPr>
              <w:widowControl w:val="0"/>
              <w:wordWrap w:val="0"/>
              <w:spacing w:line="30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评分项，详见“第四章评标方法和标准”中评分细则。</w:t>
            </w:r>
          </w:p>
        </w:tc>
      </w:tr>
      <w:tr w14:paraId="3224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796" w:type="dxa"/>
            <w:vAlign w:val="center"/>
          </w:tcPr>
          <w:p w14:paraId="28CA8E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18"/>
                <w:highlight w:val="none"/>
              </w:rPr>
              <w:t>一般指标项</w:t>
            </w:r>
          </w:p>
        </w:tc>
        <w:tc>
          <w:tcPr>
            <w:tcW w:w="1277" w:type="dxa"/>
            <w:vAlign w:val="center"/>
          </w:tcPr>
          <w:p w14:paraId="0186838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szCs w:val="18"/>
                <w:highlight w:val="none"/>
              </w:rPr>
              <w:t>●</w:t>
            </w:r>
          </w:p>
        </w:tc>
        <w:tc>
          <w:tcPr>
            <w:tcW w:w="5692" w:type="dxa"/>
            <w:vAlign w:val="center"/>
          </w:tcPr>
          <w:p w14:paraId="6600800C"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评分项，详见“第四章评标方法和标准”中评分细则。</w:t>
            </w:r>
          </w:p>
        </w:tc>
      </w:tr>
      <w:tr w14:paraId="63D9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6" w:type="dxa"/>
            <w:vAlign w:val="center"/>
          </w:tcPr>
          <w:p w14:paraId="20A3CA7D">
            <w:pPr>
              <w:widowControl w:val="0"/>
              <w:wordWrap w:val="0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无标识项</w:t>
            </w:r>
          </w:p>
        </w:tc>
        <w:tc>
          <w:tcPr>
            <w:tcW w:w="1277" w:type="dxa"/>
            <w:vAlign w:val="center"/>
          </w:tcPr>
          <w:p w14:paraId="7902EB52">
            <w:pPr>
              <w:widowControl w:val="0"/>
              <w:wordWrap w:val="0"/>
              <w:spacing w:line="500" w:lineRule="exact"/>
              <w:ind w:left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692" w:type="dxa"/>
            <w:vAlign w:val="center"/>
          </w:tcPr>
          <w:p w14:paraId="28FDBED4">
            <w:pPr>
              <w:widowControl w:val="0"/>
              <w:wordWrap w:val="0"/>
              <w:spacing w:line="30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符合性审查项，该指标项最大允许负偏离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3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项，超过最大允许负偏离项数的，</w:t>
            </w:r>
            <w:r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投标无效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D8F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5" w:type="dxa"/>
            <w:gridSpan w:val="3"/>
            <w:vAlign w:val="center"/>
          </w:tcPr>
          <w:p w14:paraId="3937BC1B">
            <w:pPr>
              <w:widowControl w:val="0"/>
              <w:wordWrap w:val="0"/>
              <w:spacing w:line="30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注：</w:t>
            </w:r>
          </w:p>
          <w:p w14:paraId="42735D3E">
            <w:pPr>
              <w:widowControl w:val="0"/>
              <w:wordWrap w:val="0"/>
              <w:spacing w:line="30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.如某项标识中包含多条技术参数或要求，则该项标识所含内容均需满足或优于招标文件要求，否则不予认可。</w:t>
            </w:r>
          </w:p>
          <w:p w14:paraId="122EA06F">
            <w:pPr>
              <w:widowControl w:val="0"/>
              <w:wordWrap w:val="0"/>
              <w:spacing w:line="300" w:lineRule="auto"/>
              <w:ind w:left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.“所属行业”栏标注为“/”的项为所投产品配套的工程或服务，无需在《中小企业声明函》中列明。</w:t>
            </w:r>
          </w:p>
        </w:tc>
      </w:tr>
    </w:tbl>
    <w:p w14:paraId="100CB9FD">
      <w:pPr>
        <w:widowControl w:val="0"/>
        <w:wordWrap w:val="0"/>
        <w:ind w:left="0" w:firstLine="0" w:firstLineChars="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48957FAE">
      <w:pPr>
        <w:widowControl w:val="0"/>
        <w:wordWrap w:val="0"/>
        <w:spacing w:line="360" w:lineRule="auto"/>
        <w:ind w:left="0" w:firstLine="482" w:firstLineChars="200"/>
        <w:jc w:val="both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（二）货物需求清单</w:t>
      </w:r>
    </w:p>
    <w:tbl>
      <w:tblPr>
        <w:tblStyle w:val="7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30"/>
        <w:gridCol w:w="5175"/>
        <w:gridCol w:w="780"/>
        <w:gridCol w:w="795"/>
        <w:gridCol w:w="897"/>
      </w:tblGrid>
      <w:tr w14:paraId="49B3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vAlign w:val="center"/>
          </w:tcPr>
          <w:p w14:paraId="73A44173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instrText xml:space="preserve">ADDIN CNKISM.UserStyle</w:instrTex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30" w:type="dxa"/>
            <w:vAlign w:val="center"/>
          </w:tcPr>
          <w:p w14:paraId="4D51A5C1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5175" w:type="dxa"/>
            <w:vAlign w:val="center"/>
          </w:tcPr>
          <w:p w14:paraId="53898EE3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技术参数及要求</w:t>
            </w:r>
          </w:p>
        </w:tc>
        <w:tc>
          <w:tcPr>
            <w:tcW w:w="780" w:type="dxa"/>
            <w:vAlign w:val="center"/>
          </w:tcPr>
          <w:p w14:paraId="6241266A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  <w:p w14:paraId="2DECEE05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5" w:type="dxa"/>
            <w:vAlign w:val="center"/>
          </w:tcPr>
          <w:p w14:paraId="428DDAB3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897" w:type="dxa"/>
            <w:vAlign w:val="center"/>
          </w:tcPr>
          <w:p w14:paraId="06EE2531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备注（进口或强制节能）</w:t>
            </w:r>
          </w:p>
        </w:tc>
      </w:tr>
      <w:tr w14:paraId="303D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EFA3E4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0BCF69F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高精密三维光学微操与分子动力学分析测试系统</w:t>
            </w:r>
          </w:p>
        </w:tc>
        <w:tc>
          <w:tcPr>
            <w:tcW w:w="5175" w:type="dxa"/>
            <w:shd w:val="clear" w:color="auto" w:fill="auto"/>
          </w:tcPr>
          <w:p w14:paraId="464D507A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1.光源参数</w:t>
            </w:r>
          </w:p>
          <w:p w14:paraId="318A58B1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★1.1DUV波长：257nm±10nm。</w:t>
            </w:r>
          </w:p>
          <w:p w14:paraId="4B9909C0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■1.2单脉冲能量：≥10uJ。</w:t>
            </w:r>
          </w:p>
          <w:p w14:paraId="0BFA915C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■1.3重复频率：≥10Khz。</w:t>
            </w:r>
          </w:p>
          <w:p w14:paraId="73D15DAF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1.4输出激光脉宽≤500fs。</w:t>
            </w:r>
          </w:p>
          <w:p w14:paraId="3BA50713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1.5可承受最大泵浦功率≥10W@515nm。</w:t>
            </w:r>
          </w:p>
          <w:p w14:paraId="6F70391D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★1.6适配泵浦光源：515nm±10nm，290fs±30fs，1KHz~25KHz飞秒激光。</w:t>
            </w:r>
          </w:p>
          <w:p w14:paraId="75F11F64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2.三维运动控制参数：</w:t>
            </w:r>
          </w:p>
          <w:p w14:paraId="2F516090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★2.1行程：≥X200mm×Y200mm×Z5mm。</w:t>
            </w:r>
          </w:p>
          <w:p w14:paraId="2544DB80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★2.2重复精度：XY≤±0.1um，Z≤±0.2um。</w:t>
            </w:r>
          </w:p>
          <w:p w14:paraId="0875C319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■2.3分辨率≥10nm。</w:t>
            </w:r>
          </w:p>
          <w:p w14:paraId="6D4D7B44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■2.4xyz绝对定位精度：XYZ≤±0.2um。</w:t>
            </w:r>
          </w:p>
          <w:p w14:paraId="1BB2499B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■2.5平面度：±2um。</w:t>
            </w:r>
          </w:p>
          <w:p w14:paraId="068D6976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■2.6横摆(arcsec)：X/Y/Z10arcsec。</w:t>
            </w:r>
          </w:p>
          <w:p w14:paraId="32026E12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■2.7俯仰(arcsec)：X/Y/Z10arcsec。</w:t>
            </w:r>
          </w:p>
          <w:p w14:paraId="7F874561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■2.8最大速度x/y/z：≥200/200/100mm/s。</w:t>
            </w:r>
          </w:p>
          <w:p w14:paraId="0E969EB0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●2.9：最大加速度(mm/s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)：≥2000/2000/1000mm/s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51CECD61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■2.10负载≥10kg。</w:t>
            </w:r>
          </w:p>
          <w:p w14:paraId="02C10F59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2.11直线度≤2um。</w:t>
            </w:r>
          </w:p>
          <w:p w14:paraId="22FF2958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●2.12删尺类型：增量光栅。</w:t>
            </w:r>
          </w:p>
          <w:p w14:paraId="32D2F96E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●2.13读头分辨率：≤10nm。</w:t>
            </w:r>
          </w:p>
          <w:p w14:paraId="4D25F455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★2.14控制器满足振镜与平台多轴联动控制，支持运动分解功能，消除拼接误差。</w:t>
            </w:r>
          </w:p>
          <w:p w14:paraId="57905ECC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●2.15光束运动速度≥4m/s。</w:t>
            </w:r>
          </w:p>
          <w:p w14:paraId="51EE3432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●2.16光束重复定位精度≤20μrad。</w:t>
            </w:r>
          </w:p>
          <w:p w14:paraId="353AF44F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3.系统参数</w:t>
            </w:r>
          </w:p>
          <w:p w14:paraId="5525B381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★3.1大理石龙门结构。</w:t>
            </w:r>
          </w:p>
          <w:p w14:paraId="364E1A50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3.2控制器:≥16Khz伺服周期。</w:t>
            </w:r>
          </w:p>
          <w:p w14:paraId="2C492624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3.3包含双轴PSO、三轴插补、XY加减速消除。</w:t>
            </w:r>
          </w:p>
          <w:p w14:paraId="57DC2456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■3.4适用于多种材料和不同形态样品的加工，包括透明介质、玻璃、石英、晶体、聚合物、半导体、金属薄膜、功能涂层及生物兼容材料等。</w:t>
            </w:r>
          </w:p>
          <w:p w14:paraId="3445B2F1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■3.5集成显微观察、CCD/CMOS成像或等效视觉定位模块，观察系统与激光加工光路和运动控制系统协同工作。</w:t>
            </w:r>
          </w:p>
          <w:p w14:paraId="409EEE64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3.6配套专用控制软件，支持图形化加工路径设计、CAD图形或常用矢量文件导入、工艺参数设置、三维路径规划、分层加工控制满足实验中快速迭代和多参数优化需求。</w:t>
            </w:r>
          </w:p>
          <w:p w14:paraId="6BD9F99B">
            <w:pPr>
              <w:wordWrap w:val="0"/>
              <w:spacing w:line="312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●3.7系统传输光路采用全封闭结构。</w:t>
            </w:r>
          </w:p>
          <w:p w14:paraId="56AAF8CB">
            <w:pPr>
              <w:wordWrap w:val="0"/>
              <w:spacing w:line="312" w:lineRule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●3.8系统配备DUV波段物镜：≥两种（5X、20X、50X中任意两种）。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DC9B4E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1套</w:t>
            </w:r>
          </w:p>
        </w:tc>
        <w:tc>
          <w:tcPr>
            <w:tcW w:w="795" w:type="dxa"/>
            <w:vAlign w:val="center"/>
          </w:tcPr>
          <w:p w14:paraId="3A4B1DB9">
            <w:pPr>
              <w:spacing w:line="30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工业</w:t>
            </w:r>
          </w:p>
        </w:tc>
        <w:tc>
          <w:tcPr>
            <w:tcW w:w="897" w:type="dxa"/>
            <w:vAlign w:val="center"/>
          </w:tcPr>
          <w:p w14:paraId="62C38B5B">
            <w:pPr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bookmarkEnd w:id="0"/>
    </w:tbl>
    <w:p w14:paraId="6E3F0E80">
      <w:pPr>
        <w:keepNext/>
        <w:keepLines/>
        <w:widowControl w:val="0"/>
        <w:wordWrap w:val="0"/>
        <w:spacing w:before="0" w:line="360" w:lineRule="auto"/>
        <w:ind w:firstLine="0" w:firstLineChars="0"/>
        <w:jc w:val="left"/>
        <w:outlineLvl w:val="1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三、安装调试、质保及售后服务要求</w:t>
      </w:r>
    </w:p>
    <w:p w14:paraId="4F7C1922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1、安装调试：</w:t>
      </w:r>
    </w:p>
    <w:p w14:paraId="14067C98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（1）中标人需协助安装调试前的准备工作，中标人需提供相关安装调试服务及相应的技术指导服务。</w:t>
      </w:r>
    </w:p>
    <w:p w14:paraId="11D3E060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（2）货物到达采购人指定交货地点后，中标人在接到采购人通知后进行安装调试，直至验收通过，并就货物的性能、原理、操作、保养和维护等对用户技术人员（至少2人）进行培训，相关费用包含在本项目投标报价中。 </w:t>
      </w:r>
    </w:p>
    <w:p w14:paraId="6837D18A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2、售后服务：</w:t>
      </w:r>
    </w:p>
    <w:p w14:paraId="775DBEB1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质保期内，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中标人需提供7×24小时技术支持热线服务。如仪器出现故障时，中标人应在4小时内对采购人的维修要求作出响应，如未能解决故障中标人需在3个工作日内到</w:t>
      </w:r>
      <w:bookmarkStart w:id="17" w:name="_GoBack"/>
      <w:bookmarkEnd w:id="1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达现场维修直至故障解决。 </w:t>
      </w:r>
    </w:p>
    <w:p w14:paraId="678D063E">
      <w:pPr>
        <w:keepNext/>
        <w:keepLines/>
        <w:widowControl w:val="0"/>
        <w:wordWrap w:val="0"/>
        <w:spacing w:before="0" w:line="360" w:lineRule="auto"/>
        <w:ind w:firstLine="0" w:firstLineChars="0"/>
        <w:jc w:val="left"/>
        <w:outlineLvl w:val="1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DDFA7">
      <w:pPr>
        <w:keepNext/>
        <w:keepLines/>
        <w:widowControl w:val="0"/>
        <w:wordWrap w:val="0"/>
        <w:spacing w:before="0" w:line="360" w:lineRule="auto"/>
        <w:ind w:firstLine="0" w:firstLineChars="0"/>
        <w:jc w:val="left"/>
        <w:outlineLvl w:val="1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四、报价要求</w:t>
      </w:r>
    </w:p>
    <w:p w14:paraId="4AEDD41E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报投标总价，投标总价包含货物从设计、采购、制造、交货（包括运输至采购人指定地点卸车就位）至售后服务的一切费用、管理费、利润和税金，以及采购合同中明示或暗示的所有责任、义务和风险，履约期间采购人不再追加任何费用，投标人自行考虑报价风险。</w:t>
      </w:r>
    </w:p>
    <w:p w14:paraId="5BB2B5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60B4E"/>
    <w:rsid w:val="2D96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40" w:line="360" w:lineRule="auto"/>
      <w:ind w:firstLine="640" w:firstLineChars="200"/>
      <w:jc w:val="left"/>
      <w:outlineLvl w:val="1"/>
    </w:pPr>
    <w:rPr>
      <w:rFonts w:ascii="Arial" w:hAnsi="Arial" w:eastAsia="方正黑体_GBK" w:cs="Times New Roman"/>
      <w:bCs/>
      <w:kern w:val="0"/>
      <w:sz w:val="28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unhideWhenUsed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unhideWhenUsed/>
    <w:qFormat/>
    <w:uiPriority w:val="99"/>
    <w:pPr>
      <w:ind w:left="420" w:firstLine="420" w:firstLineChars="200"/>
    </w:pPr>
    <w:rPr>
      <w:rFonts w:ascii="Times New Roman" w:cs="Times New Roman"/>
    </w:rPr>
  </w:style>
  <w:style w:type="paragraph" w:customStyle="1" w:styleId="9">
    <w:name w:val="D&amp;L"/>
    <w:basedOn w:val="5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0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2026-07-03T08:44:00Z</dcterms:created>
  <dc:creator>xmy</dc:creator>
  <cp:lastModifiedBy>xmy</cp:lastModifiedBy>
  <dcterms:modified xsi:type="dcterms:W3CDTF">2026-07-03T08:45:18Z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29827355012442AFAA3E6024F708801C_11</vt:lpwstr>
  </property>
  <property fmtid="{D5CDD505-2E9C-101B-9397-08002B2CF9AE}" pid="4" name="KSOTemplateDocerSaveRecord">
    <vt:lpwstr>eyJoZGlkIjoiODI4Zjg3YzFiNTE4NmNhMjU4NTEyZjI0N2ViMDE0ZmIiLCJ1c2VySWQiOiIzMjQ4MTEwODkifQ==</vt:lpwstr>
  </property>
</Properties>
</file>