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0D5B7">
      <w:pPr>
        <w:spacing w:line="360" w:lineRule="auto"/>
        <w:jc w:val="center"/>
        <w:outlineLvl w:val="0"/>
        <w:rPr>
          <w:b/>
          <w:color w:val="auto"/>
          <w:sz w:val="28"/>
          <w:highlight w:val="none"/>
        </w:rPr>
      </w:pPr>
      <w:bookmarkStart w:id="0" w:name="_Toc190171166"/>
      <w:r>
        <w:rPr>
          <w:rFonts w:hint="eastAsia"/>
          <w:b/>
          <w:color w:val="auto"/>
          <w:sz w:val="28"/>
          <w:highlight w:val="none"/>
        </w:rPr>
        <w:t>第三章  采购需求</w:t>
      </w:r>
      <w:bookmarkEnd w:id="0"/>
    </w:p>
    <w:p w14:paraId="6022DFA7">
      <w:pPr>
        <w:adjustRightInd w:val="0"/>
        <w:snapToGrid w:val="0"/>
        <w:spacing w:line="360" w:lineRule="auto"/>
        <w:ind w:firstLine="422"/>
        <w:rPr>
          <w:b/>
          <w:color w:val="auto"/>
          <w:highlight w:val="none"/>
        </w:rPr>
      </w:pPr>
      <w:r>
        <w:rPr>
          <w:rFonts w:hint="eastAsia"/>
          <w:b/>
          <w:color w:val="auto"/>
          <w:highlight w:val="none"/>
        </w:rPr>
        <w:t>前注：</w:t>
      </w:r>
    </w:p>
    <w:p w14:paraId="25D003A1">
      <w:pPr>
        <w:adjustRightInd w:val="0"/>
        <w:snapToGrid w:val="0"/>
        <w:spacing w:line="360" w:lineRule="auto"/>
        <w:ind w:firstLine="420"/>
        <w:rPr>
          <w:color w:val="auto"/>
          <w:highlight w:val="none"/>
        </w:rPr>
      </w:pPr>
      <w:r>
        <w:rPr>
          <w:rFonts w:hint="eastAsia"/>
          <w:color w:val="auto"/>
          <w:highlight w:val="none"/>
        </w:rPr>
        <w:t>1.</w:t>
      </w:r>
      <w:r>
        <w:rPr>
          <w:color w:val="auto"/>
          <w:highlight w:val="none"/>
        </w:rPr>
        <w:t>根据《</w:t>
      </w:r>
      <w:r>
        <w:rPr>
          <w:rFonts w:hint="eastAsia"/>
          <w:color w:val="auto"/>
          <w:highlight w:val="none"/>
        </w:rPr>
        <w:t>政府采购进口产品管理办法</w:t>
      </w:r>
      <w:r>
        <w:rPr>
          <w:color w:val="auto"/>
          <w:highlight w:val="none"/>
        </w:rPr>
        <w:t>》及政府采购管理部门的相关规定，下列采购需求中</w:t>
      </w:r>
      <w:r>
        <w:rPr>
          <w:rFonts w:hint="eastAsia"/>
          <w:color w:val="auto"/>
          <w:highlight w:val="none"/>
        </w:rPr>
        <w:t>标注进口产品的货物均</w:t>
      </w:r>
      <w:r>
        <w:rPr>
          <w:color w:val="auto"/>
          <w:highlight w:val="none"/>
        </w:rPr>
        <w:t>已履行相关论证手续，经核准采购进口</w:t>
      </w:r>
      <w:r>
        <w:rPr>
          <w:rFonts w:hint="eastAsia"/>
          <w:color w:val="auto"/>
          <w:highlight w:val="none"/>
        </w:rPr>
        <w:t>产品</w:t>
      </w:r>
      <w:r>
        <w:rPr>
          <w:color w:val="auto"/>
          <w:highlight w:val="none"/>
        </w:rPr>
        <w:t>，但不限制满足招标文件要求的国内产品参与竞争</w:t>
      </w:r>
      <w:r>
        <w:rPr>
          <w:rFonts w:hint="eastAsia"/>
          <w:color w:val="auto"/>
          <w:highlight w:val="none"/>
        </w:rPr>
        <w:t>。未标注进口产品的货物均</w:t>
      </w:r>
      <w:r>
        <w:rPr>
          <w:color w:val="auto"/>
          <w:highlight w:val="none"/>
        </w:rPr>
        <w:t>为拒绝采购进口产品</w:t>
      </w:r>
      <w:r>
        <w:rPr>
          <w:rFonts w:hint="eastAsia"/>
          <w:color w:val="auto"/>
          <w:highlight w:val="none"/>
        </w:rPr>
        <w:t>。</w:t>
      </w:r>
    </w:p>
    <w:p w14:paraId="46B851FE">
      <w:pPr>
        <w:adjustRightInd w:val="0"/>
        <w:snapToGrid w:val="0"/>
        <w:spacing w:line="360" w:lineRule="auto"/>
        <w:ind w:firstLine="420"/>
        <w:rPr>
          <w:color w:val="auto"/>
          <w:highlight w:val="none"/>
        </w:rPr>
      </w:pPr>
      <w:r>
        <w:rPr>
          <w:rFonts w:hint="eastAsia"/>
          <w:color w:val="auto"/>
          <w:highlight w:val="none"/>
        </w:rPr>
        <w:t>2.</w:t>
      </w:r>
      <w:r>
        <w:rPr>
          <w:color w:val="auto"/>
          <w:highlight w:val="none"/>
        </w:rPr>
        <w:t>政府采购政策（包括但不限于下列具体政策要求</w:t>
      </w:r>
      <w:r>
        <w:rPr>
          <w:rFonts w:hint="eastAsia"/>
          <w:color w:val="auto"/>
          <w:highlight w:val="none"/>
        </w:rPr>
        <w:t>）：</w:t>
      </w:r>
    </w:p>
    <w:p w14:paraId="118AA8BF">
      <w:pPr>
        <w:adjustRightInd w:val="0"/>
        <w:snapToGrid w:val="0"/>
        <w:spacing w:line="360" w:lineRule="auto"/>
        <w:ind w:firstLine="420"/>
        <w:rPr>
          <w:color w:val="auto"/>
          <w:highlight w:val="none"/>
        </w:rPr>
      </w:pPr>
      <w:r>
        <w:rPr>
          <w:rFonts w:hint="eastAsia"/>
          <w:color w:val="auto"/>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37C6EE4">
      <w:pPr>
        <w:adjustRightInd w:val="0"/>
        <w:snapToGrid w:val="0"/>
        <w:spacing w:line="360" w:lineRule="auto"/>
        <w:ind w:firstLine="420"/>
        <w:rPr>
          <w:color w:val="auto"/>
          <w:highlight w:val="none"/>
        </w:rPr>
      </w:pPr>
      <w:r>
        <w:rPr>
          <w:rFonts w:hint="eastAsia"/>
          <w:color w:val="auto"/>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49D3EAC">
      <w:pPr>
        <w:adjustRightInd w:val="0"/>
        <w:snapToGrid w:val="0"/>
        <w:spacing w:line="360" w:lineRule="auto"/>
        <w:ind w:firstLine="420"/>
        <w:rPr>
          <w:color w:val="auto"/>
          <w:highlight w:val="none"/>
        </w:rPr>
      </w:pPr>
      <w:r>
        <w:rPr>
          <w:rFonts w:hint="eastAsia"/>
          <w:color w:val="auto"/>
          <w:highlight w:val="none"/>
        </w:rPr>
        <w:t>3.如采购人允许采用分包方式履行合同的，应当明确可以分包履行的相关内容。</w:t>
      </w:r>
    </w:p>
    <w:p w14:paraId="2CE21C6E">
      <w:pPr>
        <w:adjustRightInd w:val="0"/>
        <w:snapToGrid w:val="0"/>
        <w:spacing w:line="360" w:lineRule="auto"/>
        <w:ind w:firstLine="420"/>
        <w:rPr>
          <w:color w:val="auto"/>
          <w:highlight w:val="none"/>
        </w:rPr>
      </w:pPr>
      <w:r>
        <w:rPr>
          <w:rFonts w:hint="eastAsia"/>
          <w:color w:val="auto"/>
          <w:highlight w:val="none"/>
        </w:rPr>
        <w:t>4.下列采购需求中：标注▲的产品（核心产品），投标人在投标文件《主要中标标的承诺函》中填写名称、品牌、规格、型号、数量、单价等信息。</w:t>
      </w:r>
    </w:p>
    <w:p w14:paraId="7BF1519E">
      <w:pPr>
        <w:adjustRightInd w:val="0"/>
        <w:snapToGrid w:val="0"/>
        <w:spacing w:line="360" w:lineRule="auto"/>
        <w:ind w:firstLine="482"/>
        <w:outlineLvl w:val="1"/>
        <w:rPr>
          <w:rFonts w:hint="eastAsia"/>
          <w:b/>
          <w:color w:val="auto"/>
          <w:highlight w:val="none"/>
        </w:rPr>
      </w:pPr>
      <w:bookmarkStart w:id="1" w:name="_Toc190171076"/>
      <w:bookmarkStart w:id="2" w:name="_Toc2554"/>
      <w:bookmarkStart w:id="3" w:name="_Toc178465410"/>
      <w:bookmarkStart w:id="4" w:name="_Toc190171168"/>
      <w:bookmarkStart w:id="5" w:name="_Toc32151"/>
    </w:p>
    <w:p w14:paraId="066F5F12">
      <w:pPr>
        <w:adjustRightInd w:val="0"/>
        <w:snapToGrid w:val="0"/>
        <w:spacing w:line="360" w:lineRule="auto"/>
        <w:ind w:firstLine="482"/>
        <w:outlineLvl w:val="1"/>
        <w:rPr>
          <w:b/>
          <w:color w:val="auto"/>
          <w:highlight w:val="none"/>
        </w:rPr>
      </w:pPr>
      <w:r>
        <w:rPr>
          <w:rFonts w:hint="eastAsia"/>
          <w:b/>
          <w:color w:val="auto"/>
          <w:highlight w:val="none"/>
        </w:rPr>
        <w:t>一、采购需求前附表</w:t>
      </w:r>
      <w:bookmarkEnd w:id="1"/>
      <w:bookmarkEnd w:id="2"/>
      <w:bookmarkEnd w:id="3"/>
      <w:bookmarkEnd w:id="4"/>
      <w:bookmarkEnd w:id="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386"/>
        <w:gridCol w:w="6129"/>
      </w:tblGrid>
      <w:tr w14:paraId="493B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2C5A982B">
            <w:pPr>
              <w:pStyle w:val="12"/>
              <w:adjustRightInd w:val="0"/>
              <w:snapToGrid w:val="0"/>
              <w:spacing w:line="300" w:lineRule="auto"/>
              <w:rPr>
                <w:rFonts w:cs="@仿宋_GB2312"/>
                <w:b/>
                <w:color w:val="auto"/>
                <w:kern w:val="2"/>
                <w:sz w:val="21"/>
                <w:szCs w:val="21"/>
                <w:highlight w:val="none"/>
                <w:lang w:val="en-US" w:eastAsia="zh-CN"/>
              </w:rPr>
            </w:pPr>
            <w:r>
              <w:rPr>
                <w:rFonts w:hint="eastAsia" w:cs="@仿宋_GB2312"/>
                <w:b/>
                <w:color w:val="auto"/>
                <w:kern w:val="2"/>
                <w:sz w:val="21"/>
                <w:szCs w:val="21"/>
                <w:highlight w:val="none"/>
                <w:lang w:val="en-US" w:eastAsia="zh-CN"/>
              </w:rPr>
              <w:t>序号</w:t>
            </w:r>
          </w:p>
        </w:tc>
        <w:tc>
          <w:tcPr>
            <w:tcW w:w="1386" w:type="dxa"/>
            <w:noWrap w:val="0"/>
            <w:vAlign w:val="center"/>
          </w:tcPr>
          <w:p w14:paraId="25741222">
            <w:pPr>
              <w:pStyle w:val="13"/>
              <w:jc w:val="center"/>
              <w:rPr>
                <w:b/>
                <w:color w:val="auto"/>
                <w:highlight w:val="none"/>
              </w:rPr>
            </w:pPr>
            <w:r>
              <w:rPr>
                <w:rFonts w:hint="eastAsia"/>
                <w:b/>
                <w:color w:val="auto"/>
                <w:highlight w:val="none"/>
              </w:rPr>
              <w:t>条款名称</w:t>
            </w:r>
          </w:p>
        </w:tc>
        <w:tc>
          <w:tcPr>
            <w:tcW w:w="6129" w:type="dxa"/>
            <w:noWrap w:val="0"/>
            <w:vAlign w:val="center"/>
          </w:tcPr>
          <w:p w14:paraId="0A7A81FC">
            <w:pPr>
              <w:pStyle w:val="13"/>
              <w:jc w:val="center"/>
              <w:rPr>
                <w:b/>
                <w:color w:val="auto"/>
                <w:highlight w:val="none"/>
              </w:rPr>
            </w:pPr>
            <w:r>
              <w:rPr>
                <w:rFonts w:hint="eastAsia"/>
                <w:b/>
                <w:color w:val="auto"/>
                <w:highlight w:val="none"/>
              </w:rPr>
              <w:t>内容、说明与要求</w:t>
            </w:r>
          </w:p>
        </w:tc>
      </w:tr>
      <w:tr w14:paraId="2B6C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167A8AE1">
            <w:pPr>
              <w:pStyle w:val="12"/>
              <w:adjustRightInd w:val="0"/>
              <w:snapToGrid w:val="0"/>
              <w:spacing w:line="300" w:lineRule="auto"/>
              <w:rPr>
                <w:rFonts w:cs="@仿宋_GB2312"/>
                <w:color w:val="auto"/>
                <w:kern w:val="2"/>
                <w:sz w:val="21"/>
                <w:szCs w:val="21"/>
                <w:highlight w:val="none"/>
                <w:lang w:val="en-US" w:eastAsia="zh-CN"/>
              </w:rPr>
            </w:pPr>
            <w:r>
              <w:rPr>
                <w:rFonts w:hint="eastAsia" w:cs="@仿宋_GB2312"/>
                <w:color w:val="auto"/>
                <w:kern w:val="2"/>
                <w:sz w:val="21"/>
                <w:szCs w:val="21"/>
                <w:highlight w:val="none"/>
                <w:lang w:val="en-US" w:eastAsia="zh-CN"/>
              </w:rPr>
              <w:t>1</w:t>
            </w:r>
          </w:p>
        </w:tc>
        <w:tc>
          <w:tcPr>
            <w:tcW w:w="1386" w:type="dxa"/>
            <w:noWrap w:val="0"/>
            <w:vAlign w:val="center"/>
          </w:tcPr>
          <w:p w14:paraId="5227BB77">
            <w:pPr>
              <w:pStyle w:val="13"/>
              <w:rPr>
                <w:rFonts w:hint="eastAsia" w:ascii="宋体" w:hAnsi="宋体" w:eastAsia="宋体" w:cs="Times New Roman"/>
                <w:iCs/>
                <w:color w:val="auto"/>
                <w:highlight w:val="none"/>
              </w:rPr>
            </w:pPr>
            <w:r>
              <w:rPr>
                <w:rFonts w:hint="eastAsia" w:ascii="宋体" w:hAnsi="宋体" w:eastAsia="宋体" w:cs="Times New Roman"/>
                <w:iCs/>
                <w:color w:val="auto"/>
                <w:highlight w:val="none"/>
              </w:rPr>
              <w:t>付款方式</w:t>
            </w:r>
          </w:p>
        </w:tc>
        <w:tc>
          <w:tcPr>
            <w:tcW w:w="6129" w:type="dxa"/>
            <w:noWrap w:val="0"/>
            <w:vAlign w:val="center"/>
          </w:tcPr>
          <w:p w14:paraId="77E63EE9">
            <w:pPr>
              <w:pStyle w:val="13"/>
              <w:numPr>
                <w:ilvl w:val="0"/>
                <w:numId w:val="0"/>
              </w:numPr>
              <w:rPr>
                <w:rFonts w:hint="eastAsia" w:ascii="宋体" w:hAnsi="宋体" w:eastAsia="宋体" w:cs="Times New Roman"/>
                <w:iCs/>
                <w:color w:val="auto"/>
                <w:highlight w:val="none"/>
                <w:lang w:val="en-US" w:eastAsia="zh-CN"/>
              </w:rPr>
            </w:pPr>
            <w:r>
              <w:rPr>
                <w:rFonts w:hint="eastAsia" w:ascii="宋体" w:hAnsi="宋体" w:eastAsia="宋体" w:cs="Times New Roman"/>
                <w:iCs/>
                <w:color w:val="auto"/>
                <w:highlight w:val="none"/>
                <w:lang w:val="en-US" w:eastAsia="zh-CN"/>
              </w:rPr>
              <w:t>第2包：合同生效并具备实施条件5个工作日内,采购人付至合同价的70%(中标人须提供等额预付款担保)项目经验收合格且相关资料齐备已移交后，一次性付清合同余款。</w:t>
            </w:r>
          </w:p>
          <w:p w14:paraId="5B9EE80D">
            <w:pPr>
              <w:pStyle w:val="13"/>
              <w:numPr>
                <w:ilvl w:val="0"/>
                <w:numId w:val="0"/>
              </w:numPr>
              <w:rPr>
                <w:rFonts w:hint="eastAsia" w:ascii="宋体" w:hAnsi="宋体" w:eastAsia="宋体" w:cs="Times New Roman"/>
                <w:iCs/>
                <w:color w:val="auto"/>
                <w:highlight w:val="none"/>
                <w:lang w:val="en-US" w:eastAsia="zh-CN"/>
              </w:rPr>
            </w:pPr>
            <w:r>
              <w:rPr>
                <w:rFonts w:hint="eastAsia" w:ascii="宋体" w:hAnsi="宋体" w:eastAsia="宋体" w:cs="Times New Roman"/>
                <w:iCs/>
                <w:color w:val="auto"/>
                <w:highlight w:val="none"/>
                <w:lang w:val="en-US" w:eastAsia="zh-CN"/>
              </w:rPr>
              <w:t>注:</w:t>
            </w:r>
          </w:p>
          <w:p w14:paraId="28FC36A9">
            <w:pPr>
              <w:pStyle w:val="13"/>
              <w:numPr>
                <w:ilvl w:val="0"/>
                <w:numId w:val="1"/>
              </w:numPr>
              <w:rPr>
                <w:rFonts w:hint="eastAsia" w:ascii="宋体" w:hAnsi="宋体" w:eastAsia="宋体" w:cs="Times New Roman"/>
                <w:iCs/>
                <w:color w:val="auto"/>
                <w:highlight w:val="none"/>
                <w:lang w:val="en-US" w:eastAsia="zh-CN"/>
              </w:rPr>
            </w:pPr>
            <w:r>
              <w:rPr>
                <w:rFonts w:hint="eastAsia" w:ascii="宋体" w:hAnsi="宋体" w:eastAsia="宋体" w:cs="Times New Roman"/>
                <w:iCs/>
                <w:color w:val="auto"/>
                <w:highlight w:val="none"/>
                <w:lang w:val="en-US" w:eastAsia="zh-CN"/>
              </w:rPr>
              <w:t>中标人未按规定提供预付款担保的,视为放弃预付款；</w:t>
            </w:r>
          </w:p>
          <w:p w14:paraId="2E56339E">
            <w:pPr>
              <w:pStyle w:val="13"/>
              <w:numPr>
                <w:ilvl w:val="0"/>
                <w:numId w:val="1"/>
              </w:numPr>
              <w:rPr>
                <w:rFonts w:hint="eastAsia" w:ascii="宋体" w:hAnsi="宋体" w:eastAsia="宋体" w:cs="Times New Roman"/>
                <w:iCs/>
                <w:color w:val="auto"/>
                <w:highlight w:val="none"/>
              </w:rPr>
            </w:pPr>
            <w:r>
              <w:rPr>
                <w:rFonts w:hint="eastAsia" w:ascii="宋体" w:hAnsi="宋体" w:eastAsia="宋体" w:cs="Times New Roman"/>
                <w:iCs/>
                <w:color w:val="auto"/>
                <w:highlight w:val="none"/>
                <w:lang w:val="en-US" w:eastAsia="zh-CN"/>
              </w:rPr>
              <w:t>预付款担保要求:采用银行保函(或担保机构担保或保证保险)形式提交预付款担保的，必须具有明确有效的查询途径(二维码;或网址链接及查询方式)。以上各类机构出具的以担保函、保证保险承担责任的方式均须满足无条件见索即付条件。</w:t>
            </w:r>
          </w:p>
        </w:tc>
      </w:tr>
      <w:tr w14:paraId="34F7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9224E66">
            <w:pPr>
              <w:pStyle w:val="12"/>
              <w:adjustRightInd w:val="0"/>
              <w:snapToGrid w:val="0"/>
              <w:spacing w:line="300" w:lineRule="auto"/>
              <w:rPr>
                <w:rFonts w:cs="@仿宋_GB2312"/>
                <w:color w:val="auto"/>
                <w:kern w:val="2"/>
                <w:sz w:val="21"/>
                <w:szCs w:val="21"/>
                <w:highlight w:val="none"/>
                <w:lang w:val="en-US" w:eastAsia="zh-CN"/>
              </w:rPr>
            </w:pPr>
            <w:r>
              <w:rPr>
                <w:rFonts w:hint="eastAsia" w:cs="@仿宋_GB2312"/>
                <w:color w:val="auto"/>
                <w:kern w:val="2"/>
                <w:sz w:val="21"/>
                <w:szCs w:val="21"/>
                <w:highlight w:val="none"/>
                <w:lang w:val="en-US" w:eastAsia="zh-CN"/>
              </w:rPr>
              <w:t>2</w:t>
            </w:r>
          </w:p>
        </w:tc>
        <w:tc>
          <w:tcPr>
            <w:tcW w:w="1386" w:type="dxa"/>
            <w:noWrap w:val="0"/>
            <w:vAlign w:val="center"/>
          </w:tcPr>
          <w:p w14:paraId="54158BD5">
            <w:pPr>
              <w:pStyle w:val="13"/>
              <w:rPr>
                <w:b/>
                <w:color w:val="auto"/>
                <w:highlight w:val="none"/>
              </w:rPr>
            </w:pPr>
            <w:r>
              <w:rPr>
                <w:rFonts w:hint="eastAsia"/>
                <w:color w:val="auto"/>
                <w:highlight w:val="none"/>
              </w:rPr>
              <w:t>供货及安装地点</w:t>
            </w:r>
          </w:p>
        </w:tc>
        <w:tc>
          <w:tcPr>
            <w:tcW w:w="6129" w:type="dxa"/>
            <w:noWrap w:val="0"/>
            <w:vAlign w:val="center"/>
          </w:tcPr>
          <w:p w14:paraId="28F83E75">
            <w:pPr>
              <w:pStyle w:val="13"/>
              <w:rPr>
                <w:color w:val="auto"/>
                <w:highlight w:val="none"/>
              </w:rPr>
            </w:pPr>
            <w:r>
              <w:rPr>
                <w:rFonts w:hint="eastAsia" w:ascii="宋体" w:hAnsi="宋体" w:eastAsia="宋体" w:cs="Times New Roman"/>
                <w:iCs/>
                <w:color w:val="auto"/>
                <w:highlight w:val="none"/>
                <w:lang w:val="en-US" w:eastAsia="zh-CN"/>
              </w:rPr>
              <w:t>第2包：</w:t>
            </w:r>
            <w:r>
              <w:rPr>
                <w:rFonts w:hint="eastAsia"/>
                <w:color w:val="auto"/>
                <w:highlight w:val="none"/>
              </w:rPr>
              <w:t>安徽省图书馆，具体按采购人要求。</w:t>
            </w:r>
          </w:p>
        </w:tc>
      </w:tr>
      <w:tr w14:paraId="5BDA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C08AD58">
            <w:pPr>
              <w:pStyle w:val="12"/>
              <w:adjustRightInd w:val="0"/>
              <w:snapToGrid w:val="0"/>
              <w:spacing w:line="300" w:lineRule="auto"/>
              <w:rPr>
                <w:rFonts w:cs="@仿宋_GB2312"/>
                <w:color w:val="auto"/>
                <w:kern w:val="2"/>
                <w:sz w:val="21"/>
                <w:szCs w:val="21"/>
                <w:highlight w:val="none"/>
                <w:lang w:val="en-US" w:eastAsia="zh-CN"/>
              </w:rPr>
            </w:pPr>
            <w:r>
              <w:rPr>
                <w:rFonts w:hint="eastAsia" w:cs="@仿宋_GB2312"/>
                <w:color w:val="auto"/>
                <w:kern w:val="2"/>
                <w:sz w:val="21"/>
                <w:szCs w:val="21"/>
                <w:highlight w:val="none"/>
                <w:lang w:val="en-US" w:eastAsia="zh-CN"/>
              </w:rPr>
              <w:t>3</w:t>
            </w:r>
          </w:p>
        </w:tc>
        <w:tc>
          <w:tcPr>
            <w:tcW w:w="1386" w:type="dxa"/>
            <w:noWrap w:val="0"/>
            <w:vAlign w:val="center"/>
          </w:tcPr>
          <w:p w14:paraId="23906C66">
            <w:pPr>
              <w:pStyle w:val="13"/>
              <w:rPr>
                <w:b/>
                <w:color w:val="auto"/>
                <w:highlight w:val="none"/>
              </w:rPr>
            </w:pPr>
            <w:r>
              <w:rPr>
                <w:rFonts w:hint="eastAsia"/>
                <w:color w:val="auto"/>
                <w:highlight w:val="none"/>
              </w:rPr>
              <w:t>供货及安装期限</w:t>
            </w:r>
          </w:p>
        </w:tc>
        <w:tc>
          <w:tcPr>
            <w:tcW w:w="6129" w:type="dxa"/>
            <w:noWrap w:val="0"/>
            <w:vAlign w:val="center"/>
          </w:tcPr>
          <w:p w14:paraId="7D00F71D">
            <w:pPr>
              <w:pStyle w:val="13"/>
              <w:rPr>
                <w:rFonts w:hint="eastAsia"/>
                <w:color w:val="auto"/>
                <w:highlight w:val="none"/>
              </w:rPr>
            </w:pPr>
            <w:r>
              <w:rPr>
                <w:rFonts w:hint="eastAsia" w:cs="Times New Roman"/>
                <w:color w:val="auto"/>
                <w:highlight w:val="none"/>
                <w:lang w:val="en-US" w:eastAsia="zh-CN"/>
              </w:rPr>
              <w:t>第2包：</w:t>
            </w:r>
            <w:r>
              <w:rPr>
                <w:rFonts w:hint="eastAsia" w:cs="Times New Roman"/>
                <w:iCs/>
                <w:color w:val="auto"/>
                <w:highlight w:val="none"/>
              </w:rPr>
              <w:t>合同生效之日起，</w:t>
            </w:r>
            <w:r>
              <w:rPr>
                <w:rFonts w:hint="eastAsia" w:cs="Times New Roman"/>
                <w:iCs/>
                <w:color w:val="auto"/>
                <w:highlight w:val="none"/>
                <w:lang w:val="en-US" w:eastAsia="zh-CN"/>
              </w:rPr>
              <w:t>70</w:t>
            </w:r>
            <w:r>
              <w:rPr>
                <w:rFonts w:hint="eastAsia" w:cs="Times New Roman"/>
                <w:iCs/>
                <w:color w:val="auto"/>
                <w:highlight w:val="none"/>
              </w:rPr>
              <w:t>个</w:t>
            </w:r>
            <w:r>
              <w:rPr>
                <w:rFonts w:hint="eastAsia" w:cs="Times New Roman"/>
                <w:iCs/>
                <w:color w:val="auto"/>
                <w:highlight w:val="none"/>
                <w:lang w:val="en-US" w:eastAsia="zh-CN"/>
              </w:rPr>
              <w:t>日历</w:t>
            </w:r>
            <w:r>
              <w:rPr>
                <w:rFonts w:hint="eastAsia" w:cs="Times New Roman"/>
                <w:iCs/>
                <w:color w:val="auto"/>
                <w:highlight w:val="none"/>
              </w:rPr>
              <w:t>日内完成供货、安装、调试、培训等所有工作内容</w:t>
            </w:r>
            <w:r>
              <w:rPr>
                <w:rFonts w:hint="eastAsia" w:cs="Times New Roman"/>
                <w:iCs/>
                <w:color w:val="auto"/>
                <w:highlight w:val="none"/>
                <w:lang w:eastAsia="zh-CN"/>
              </w:rPr>
              <w:t>。</w:t>
            </w:r>
          </w:p>
        </w:tc>
      </w:tr>
      <w:tr w14:paraId="792D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2240E8D8">
            <w:pPr>
              <w:pStyle w:val="12"/>
              <w:adjustRightInd w:val="0"/>
              <w:snapToGrid w:val="0"/>
              <w:spacing w:line="300" w:lineRule="auto"/>
              <w:rPr>
                <w:rFonts w:cs="@仿宋_GB2312"/>
                <w:color w:val="auto"/>
                <w:kern w:val="2"/>
                <w:sz w:val="21"/>
                <w:szCs w:val="21"/>
                <w:highlight w:val="none"/>
                <w:lang w:val="en-US" w:eastAsia="zh-CN"/>
              </w:rPr>
            </w:pPr>
            <w:r>
              <w:rPr>
                <w:rFonts w:hint="eastAsia" w:cs="@仿宋_GB2312"/>
                <w:color w:val="auto"/>
                <w:kern w:val="2"/>
                <w:sz w:val="21"/>
                <w:szCs w:val="21"/>
                <w:highlight w:val="none"/>
                <w:lang w:val="en-US" w:eastAsia="zh-CN"/>
              </w:rPr>
              <w:t>4</w:t>
            </w:r>
          </w:p>
        </w:tc>
        <w:tc>
          <w:tcPr>
            <w:tcW w:w="1386" w:type="dxa"/>
            <w:noWrap w:val="0"/>
            <w:vAlign w:val="center"/>
          </w:tcPr>
          <w:p w14:paraId="7C5CBE47">
            <w:pPr>
              <w:pStyle w:val="13"/>
              <w:rPr>
                <w:b/>
                <w:color w:val="auto"/>
                <w:highlight w:val="none"/>
              </w:rPr>
            </w:pPr>
            <w:r>
              <w:rPr>
                <w:rFonts w:hint="eastAsia"/>
                <w:color w:val="auto"/>
                <w:highlight w:val="none"/>
              </w:rPr>
              <w:t>免费质保期</w:t>
            </w:r>
          </w:p>
        </w:tc>
        <w:tc>
          <w:tcPr>
            <w:tcW w:w="6129" w:type="dxa"/>
            <w:noWrap w:val="0"/>
            <w:vAlign w:val="center"/>
          </w:tcPr>
          <w:p w14:paraId="0CFE03C6">
            <w:pPr>
              <w:pStyle w:val="13"/>
              <w:rPr>
                <w:rFonts w:hint="default" w:eastAsia="宋体"/>
                <w:color w:val="auto"/>
                <w:highlight w:val="none"/>
                <w:lang w:val="en-US" w:eastAsia="zh-CN"/>
              </w:rPr>
            </w:pPr>
            <w:r>
              <w:rPr>
                <w:color w:val="auto"/>
                <w:highlight w:val="none"/>
              </w:rPr>
              <w:t>第</w:t>
            </w:r>
            <w:r>
              <w:rPr>
                <w:rFonts w:hint="eastAsia"/>
                <w:color w:val="auto"/>
                <w:highlight w:val="none"/>
                <w:lang w:val="en-US" w:eastAsia="zh-CN"/>
              </w:rPr>
              <w:t>2</w:t>
            </w:r>
            <w:r>
              <w:rPr>
                <w:rFonts w:hint="eastAsia"/>
                <w:color w:val="auto"/>
                <w:highlight w:val="none"/>
              </w:rPr>
              <w:t>包：</w:t>
            </w:r>
            <w:r>
              <w:rPr>
                <w:color w:val="auto"/>
                <w:highlight w:val="none"/>
              </w:rPr>
              <w:t>“技术参数及要求”中未明确的，免费质保期为自验收合格之日起</w:t>
            </w:r>
            <w:r>
              <w:rPr>
                <w:rFonts w:hint="eastAsia"/>
                <w:color w:val="auto"/>
                <w:highlight w:val="none"/>
                <w:u w:val="single"/>
                <w:lang w:val="en-US" w:eastAsia="zh-CN"/>
              </w:rPr>
              <w:t>2</w:t>
            </w:r>
            <w:r>
              <w:rPr>
                <w:color w:val="auto"/>
                <w:highlight w:val="none"/>
              </w:rPr>
              <w:t>年；“技术参数及要求”中明确的，免费质保期按“技术参数及要求”执行。</w:t>
            </w:r>
          </w:p>
        </w:tc>
      </w:tr>
    </w:tbl>
    <w:p w14:paraId="0C284021">
      <w:pPr>
        <w:pStyle w:val="3"/>
        <w:adjustRightInd w:val="0"/>
        <w:snapToGrid w:val="0"/>
        <w:spacing w:before="0" w:after="0" w:line="360" w:lineRule="auto"/>
        <w:rPr>
          <w:rFonts w:hint="eastAsia" w:ascii="宋体" w:hAnsi="宋体" w:eastAsia="宋体" w:cs="宋体"/>
          <w:bCs w:val="0"/>
          <w:color w:val="auto"/>
          <w:sz w:val="21"/>
          <w:szCs w:val="21"/>
          <w:highlight w:val="none"/>
        </w:rPr>
      </w:pPr>
      <w:bookmarkStart w:id="6" w:name="_Toc190171077"/>
      <w:bookmarkStart w:id="7" w:name="_Toc190171169"/>
      <w:bookmarkStart w:id="8" w:name="_Toc1191965283_WPSOffice_Level2"/>
      <w:bookmarkStart w:id="9" w:name="_Toc302804901"/>
      <w:bookmarkStart w:id="10" w:name="_Toc1715351726"/>
      <w:bookmarkStart w:id="11" w:name="_Toc1693477008"/>
      <w:bookmarkStart w:id="12" w:name="_Toc717369146"/>
      <w:bookmarkStart w:id="13" w:name="_Toc626387511"/>
      <w:bookmarkStart w:id="14" w:name="_Toc369119811"/>
      <w:bookmarkStart w:id="15" w:name="_Toc58935147"/>
    </w:p>
    <w:p w14:paraId="34A11651">
      <w:pPr>
        <w:pStyle w:val="3"/>
        <w:adjustRightInd w:val="0"/>
        <w:snapToGrid w:val="0"/>
        <w:spacing w:before="0" w:after="0" w:line="360" w:lineRule="auto"/>
        <w:rPr>
          <w:rFonts w:hint="eastAsia" w:ascii="宋体" w:hAnsi="宋体" w:eastAsia="宋体" w:cs="宋体"/>
          <w:bCs w:val="0"/>
          <w:color w:val="auto"/>
          <w:sz w:val="21"/>
          <w:szCs w:val="21"/>
          <w:highlight w:val="none"/>
        </w:rPr>
      </w:pPr>
    </w:p>
    <w:p w14:paraId="6DAAD441">
      <w:pPr>
        <w:pStyle w:val="3"/>
        <w:adjustRightInd w:val="0"/>
        <w:snapToGrid w:val="0"/>
        <w:spacing w:before="0" w:after="0" w:line="360" w:lineRule="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二、货物需求</w:t>
      </w:r>
      <w:bookmarkEnd w:id="6"/>
      <w:bookmarkEnd w:id="7"/>
      <w:bookmarkEnd w:id="8"/>
      <w:bookmarkEnd w:id="9"/>
      <w:bookmarkEnd w:id="10"/>
      <w:bookmarkEnd w:id="11"/>
      <w:bookmarkEnd w:id="12"/>
      <w:bookmarkEnd w:id="13"/>
      <w:bookmarkEnd w:id="14"/>
      <w:bookmarkEnd w:id="15"/>
    </w:p>
    <w:p w14:paraId="39C927FF">
      <w:pPr>
        <w:adjustRightInd w:val="0"/>
        <w:snapToGrid w:val="0"/>
        <w:spacing w:line="360" w:lineRule="auto"/>
        <w:ind w:firstLine="420"/>
        <w:rPr>
          <w:rFonts w:hint="eastAsia"/>
          <w:b/>
          <w:color w:val="auto"/>
          <w:highlight w:val="none"/>
        </w:rPr>
      </w:pPr>
      <w:bookmarkStart w:id="16" w:name="_Toc190171078"/>
      <w:bookmarkStart w:id="17" w:name="_Toc190171170"/>
      <w:r>
        <w:rPr>
          <w:rFonts w:hint="eastAsia"/>
          <w:b/>
          <w:color w:val="auto"/>
          <w:highlight w:val="none"/>
        </w:rPr>
        <w:t>（</w:t>
      </w:r>
      <w:r>
        <w:rPr>
          <w:rFonts w:hint="eastAsia"/>
          <w:b/>
          <w:color w:val="auto"/>
          <w:highlight w:val="none"/>
          <w:lang w:val="en-US" w:eastAsia="zh-CN"/>
        </w:rPr>
        <w:t>一</w:t>
      </w:r>
      <w:r>
        <w:rPr>
          <w:rFonts w:hint="eastAsia"/>
          <w:b/>
          <w:color w:val="auto"/>
          <w:highlight w:val="none"/>
        </w:rPr>
        <w:t>）第</w:t>
      </w:r>
      <w:r>
        <w:rPr>
          <w:rFonts w:hint="eastAsia"/>
          <w:b/>
          <w:color w:val="auto"/>
          <w:highlight w:val="none"/>
          <w:lang w:val="en-US" w:eastAsia="zh-CN"/>
        </w:rPr>
        <w:t>2</w:t>
      </w:r>
      <w:r>
        <w:rPr>
          <w:rFonts w:hint="eastAsia"/>
          <w:b/>
          <w:color w:val="auto"/>
          <w:highlight w:val="none"/>
        </w:rPr>
        <w:t>包</w:t>
      </w:r>
      <w:r>
        <w:rPr>
          <w:rFonts w:hint="eastAsia"/>
          <w:b/>
          <w:bCs/>
          <w:color w:val="auto"/>
          <w:highlight w:val="none"/>
        </w:rPr>
        <w:t>货物需求</w:t>
      </w:r>
    </w:p>
    <w:p w14:paraId="2C25A3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rPr>
          <w:rFonts w:hint="eastAsia"/>
          <w:b/>
          <w:bCs/>
          <w:color w:val="auto"/>
          <w:highlight w:val="none"/>
        </w:rPr>
      </w:pPr>
      <w:r>
        <w:rPr>
          <w:rFonts w:hint="eastAsia"/>
          <w:b/>
          <w:bCs/>
          <w:color w:val="auto"/>
          <w:highlight w:val="none"/>
          <w:lang w:val="en-US" w:eastAsia="zh-CN"/>
        </w:rPr>
        <w:t>1、</w:t>
      </w:r>
      <w:r>
        <w:rPr>
          <w:rFonts w:hint="eastAsia"/>
          <w:b/>
          <w:bCs/>
          <w:color w:val="auto"/>
          <w:highlight w:val="none"/>
        </w:rPr>
        <w:t>货物配置</w:t>
      </w:r>
      <w:r>
        <w:rPr>
          <w:rFonts w:hint="eastAsia" w:ascii="宋体" w:hAnsi="宋体" w:eastAsia="宋体" w:cs="宋体"/>
          <w:b/>
          <w:bCs/>
          <w:color w:val="auto"/>
          <w:highlight w:val="none"/>
        </w:rPr>
        <w:t>清单</w:t>
      </w:r>
    </w:p>
    <w:tbl>
      <w:tblPr>
        <w:tblStyle w:val="14"/>
        <w:tblW w:w="8699" w:type="dxa"/>
        <w:tblInd w:w="-2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991"/>
        <w:gridCol w:w="2042"/>
        <w:gridCol w:w="1067"/>
        <w:gridCol w:w="751"/>
        <w:gridCol w:w="557"/>
        <w:gridCol w:w="763"/>
        <w:gridCol w:w="1704"/>
      </w:tblGrid>
      <w:tr w14:paraId="367FF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24" w:type="dxa"/>
            <w:noWrap w:val="0"/>
            <w:vAlign w:val="center"/>
          </w:tcPr>
          <w:p w14:paraId="4C5CDCBF">
            <w:pPr>
              <w:keepNext w:val="0"/>
              <w:keepLines w:val="0"/>
              <w:pageBreakBefore w:val="0"/>
              <w:widowControl w:val="0"/>
              <w:kinsoku/>
              <w:overflowPunct/>
              <w:topLinePunct w:val="0"/>
              <w:autoSpaceDE/>
              <w:autoSpaceDN/>
              <w:bidi w:val="0"/>
              <w:spacing w:line="300" w:lineRule="auto"/>
              <w:jc w:val="center"/>
              <w:textAlignment w:val="auto"/>
              <w:rPr>
                <w:rFonts w:hint="eastAsia"/>
                <w:b/>
                <w:bCs/>
                <w:color w:val="auto"/>
                <w:highlight w:val="none"/>
                <w:lang w:val="en-US" w:eastAsia="zh-CN"/>
              </w:rPr>
            </w:pPr>
            <w:r>
              <w:rPr>
                <w:rFonts w:hint="eastAsia"/>
                <w:b/>
                <w:bCs/>
                <w:color w:val="auto"/>
                <w:highlight w:val="none"/>
                <w:lang w:val="en-US" w:eastAsia="zh-CN"/>
              </w:rPr>
              <w:t>序号</w:t>
            </w:r>
          </w:p>
        </w:tc>
        <w:tc>
          <w:tcPr>
            <w:tcW w:w="991" w:type="dxa"/>
            <w:noWrap w:val="0"/>
            <w:vAlign w:val="center"/>
          </w:tcPr>
          <w:p w14:paraId="373C648D">
            <w:pPr>
              <w:keepNext w:val="0"/>
              <w:keepLines w:val="0"/>
              <w:pageBreakBefore w:val="0"/>
              <w:widowControl w:val="0"/>
              <w:kinsoku/>
              <w:overflowPunct/>
              <w:topLinePunct w:val="0"/>
              <w:autoSpaceDE/>
              <w:autoSpaceDN/>
              <w:bidi w:val="0"/>
              <w:spacing w:line="300" w:lineRule="auto"/>
              <w:jc w:val="center"/>
              <w:textAlignment w:val="auto"/>
              <w:rPr>
                <w:rFonts w:hint="default"/>
                <w:b/>
                <w:bCs/>
                <w:color w:val="auto"/>
                <w:highlight w:val="none"/>
                <w:lang w:val="en-US" w:eastAsia="zh-CN"/>
              </w:rPr>
            </w:pPr>
            <w:r>
              <w:rPr>
                <w:rFonts w:hint="eastAsia"/>
                <w:b/>
                <w:bCs/>
                <w:color w:val="auto"/>
                <w:highlight w:val="none"/>
                <w:lang w:val="en-US" w:eastAsia="zh-CN"/>
              </w:rPr>
              <w:t>货物清单</w:t>
            </w:r>
          </w:p>
        </w:tc>
        <w:tc>
          <w:tcPr>
            <w:tcW w:w="2042" w:type="dxa"/>
            <w:noWrap w:val="0"/>
            <w:vAlign w:val="center"/>
          </w:tcPr>
          <w:p w14:paraId="625D94D7">
            <w:pPr>
              <w:keepNext w:val="0"/>
              <w:keepLines w:val="0"/>
              <w:pageBreakBefore w:val="0"/>
              <w:widowControl w:val="0"/>
              <w:kinsoku/>
              <w:overflowPunct/>
              <w:topLinePunct w:val="0"/>
              <w:autoSpaceDE/>
              <w:autoSpaceDN/>
              <w:bidi w:val="0"/>
              <w:spacing w:line="300" w:lineRule="auto"/>
              <w:jc w:val="center"/>
              <w:textAlignment w:val="auto"/>
              <w:rPr>
                <w:rFonts w:hint="eastAsia"/>
                <w:b/>
                <w:bCs/>
                <w:color w:val="auto"/>
                <w:highlight w:val="none"/>
                <w:lang w:val="en-US" w:eastAsia="zh-CN"/>
              </w:rPr>
            </w:pPr>
            <w:r>
              <w:rPr>
                <w:rFonts w:hint="eastAsia"/>
                <w:b/>
                <w:bCs/>
                <w:color w:val="auto"/>
                <w:highlight w:val="none"/>
                <w:lang w:val="en-US" w:eastAsia="zh-CN"/>
              </w:rPr>
              <w:t>展览设备尺寸</w:t>
            </w:r>
          </w:p>
          <w:p w14:paraId="2534E143">
            <w:pPr>
              <w:keepNext w:val="0"/>
              <w:keepLines w:val="0"/>
              <w:pageBreakBefore w:val="0"/>
              <w:widowControl w:val="0"/>
              <w:kinsoku/>
              <w:overflowPunct/>
              <w:topLinePunct w:val="0"/>
              <w:autoSpaceDE/>
              <w:autoSpaceDN/>
              <w:bidi w:val="0"/>
              <w:spacing w:line="300" w:lineRule="auto"/>
              <w:jc w:val="center"/>
              <w:textAlignment w:val="auto"/>
              <w:rPr>
                <w:rFonts w:hint="eastAsia"/>
                <w:b/>
                <w:bCs/>
                <w:color w:val="auto"/>
                <w:highlight w:val="none"/>
                <w:lang w:val="en-US" w:eastAsia="zh-CN"/>
              </w:rPr>
            </w:pPr>
            <w:r>
              <w:rPr>
                <w:rFonts w:hint="eastAsia"/>
                <w:b/>
                <w:bCs/>
                <w:color w:val="auto"/>
                <w:highlight w:val="none"/>
                <w:lang w:val="en-US" w:eastAsia="zh-CN"/>
              </w:rPr>
              <w:t>（长*宽*高 mm）</w:t>
            </w:r>
          </w:p>
        </w:tc>
        <w:tc>
          <w:tcPr>
            <w:tcW w:w="1067" w:type="dxa"/>
            <w:noWrap w:val="0"/>
            <w:vAlign w:val="center"/>
          </w:tcPr>
          <w:p w14:paraId="16F3A182">
            <w:pPr>
              <w:keepNext w:val="0"/>
              <w:keepLines w:val="0"/>
              <w:pageBreakBefore w:val="0"/>
              <w:widowControl w:val="0"/>
              <w:kinsoku/>
              <w:overflowPunct/>
              <w:topLinePunct w:val="0"/>
              <w:autoSpaceDE/>
              <w:autoSpaceDN/>
              <w:bidi w:val="0"/>
              <w:spacing w:line="300" w:lineRule="auto"/>
              <w:jc w:val="center"/>
              <w:textAlignment w:val="auto"/>
              <w:rPr>
                <w:rFonts w:hint="eastAsia"/>
                <w:b/>
                <w:bCs/>
                <w:color w:val="auto"/>
                <w:highlight w:val="none"/>
                <w:lang w:val="en-US" w:eastAsia="zh-CN"/>
              </w:rPr>
            </w:pPr>
            <w:r>
              <w:rPr>
                <w:rFonts w:hint="eastAsia"/>
                <w:b/>
                <w:bCs/>
                <w:color w:val="auto"/>
                <w:highlight w:val="none"/>
                <w:lang w:val="en-US" w:eastAsia="zh-CN"/>
              </w:rPr>
              <w:t>玻璃面高度</w:t>
            </w:r>
          </w:p>
          <w:p w14:paraId="41A67459">
            <w:pPr>
              <w:keepNext w:val="0"/>
              <w:keepLines w:val="0"/>
              <w:pageBreakBefore w:val="0"/>
              <w:widowControl w:val="0"/>
              <w:kinsoku/>
              <w:overflowPunct/>
              <w:topLinePunct w:val="0"/>
              <w:autoSpaceDE/>
              <w:autoSpaceDN/>
              <w:bidi w:val="0"/>
              <w:spacing w:line="300" w:lineRule="auto"/>
              <w:jc w:val="center"/>
              <w:textAlignment w:val="auto"/>
              <w:rPr>
                <w:rFonts w:hint="eastAsia"/>
                <w:b/>
                <w:bCs/>
                <w:color w:val="auto"/>
                <w:highlight w:val="none"/>
                <w:lang w:val="en-US" w:eastAsia="zh-CN"/>
              </w:rPr>
            </w:pPr>
            <w:r>
              <w:rPr>
                <w:rFonts w:hint="eastAsia"/>
                <w:b/>
                <w:bCs/>
                <w:color w:val="auto"/>
                <w:highlight w:val="none"/>
                <w:lang w:val="en-US" w:eastAsia="zh-CN"/>
              </w:rPr>
              <w:t>（mm）</w:t>
            </w:r>
          </w:p>
        </w:tc>
        <w:tc>
          <w:tcPr>
            <w:tcW w:w="751" w:type="dxa"/>
            <w:noWrap w:val="0"/>
            <w:vAlign w:val="center"/>
          </w:tcPr>
          <w:p w14:paraId="67AFA2BF">
            <w:pPr>
              <w:keepNext w:val="0"/>
              <w:keepLines w:val="0"/>
              <w:pageBreakBefore w:val="0"/>
              <w:widowControl w:val="0"/>
              <w:kinsoku/>
              <w:overflowPunct/>
              <w:topLinePunct w:val="0"/>
              <w:autoSpaceDE/>
              <w:autoSpaceDN/>
              <w:bidi w:val="0"/>
              <w:spacing w:line="300" w:lineRule="auto"/>
              <w:jc w:val="center"/>
              <w:textAlignment w:val="auto"/>
              <w:rPr>
                <w:rFonts w:hint="eastAsia"/>
                <w:b/>
                <w:bCs/>
                <w:color w:val="auto"/>
                <w:highlight w:val="none"/>
                <w:lang w:val="en-US" w:eastAsia="zh-CN"/>
              </w:rPr>
            </w:pPr>
            <w:r>
              <w:rPr>
                <w:rFonts w:hint="eastAsia"/>
                <w:b/>
                <w:bCs/>
                <w:color w:val="auto"/>
                <w:highlight w:val="none"/>
                <w:lang w:val="en-US" w:eastAsia="zh-CN"/>
              </w:rPr>
              <w:t>数量</w:t>
            </w:r>
          </w:p>
          <w:p w14:paraId="3EEC819C">
            <w:pPr>
              <w:keepNext w:val="0"/>
              <w:keepLines w:val="0"/>
              <w:pageBreakBefore w:val="0"/>
              <w:widowControl w:val="0"/>
              <w:kinsoku/>
              <w:overflowPunct/>
              <w:topLinePunct w:val="0"/>
              <w:autoSpaceDE/>
              <w:autoSpaceDN/>
              <w:bidi w:val="0"/>
              <w:spacing w:line="300" w:lineRule="auto"/>
              <w:jc w:val="center"/>
              <w:textAlignment w:val="auto"/>
              <w:rPr>
                <w:rFonts w:hint="eastAsia"/>
                <w:b/>
                <w:bCs/>
                <w:color w:val="auto"/>
                <w:highlight w:val="none"/>
                <w:lang w:val="en-US" w:eastAsia="zh-CN"/>
              </w:rPr>
            </w:pPr>
            <w:r>
              <w:rPr>
                <w:rFonts w:hint="eastAsia"/>
                <w:b/>
                <w:bCs/>
                <w:color w:val="auto"/>
                <w:highlight w:val="none"/>
                <w:lang w:val="en-US" w:eastAsia="zh-CN"/>
              </w:rPr>
              <w:t>（组）</w:t>
            </w:r>
          </w:p>
        </w:tc>
        <w:tc>
          <w:tcPr>
            <w:tcW w:w="557" w:type="dxa"/>
            <w:noWrap w:val="0"/>
            <w:vAlign w:val="center"/>
          </w:tcPr>
          <w:p w14:paraId="6E07B214">
            <w:pPr>
              <w:keepNext w:val="0"/>
              <w:keepLines w:val="0"/>
              <w:pageBreakBefore w:val="0"/>
              <w:widowControl w:val="0"/>
              <w:tabs>
                <w:tab w:val="left" w:pos="3600"/>
              </w:tabs>
              <w:kinsoku/>
              <w:wordWrap w:val="0"/>
              <w:overflowPunct/>
              <w:topLinePunct w:val="0"/>
              <w:autoSpaceDE/>
              <w:autoSpaceDN/>
              <w:bidi w:val="0"/>
              <w:adjustRightInd w:val="0"/>
              <w:snapToGrid w:val="0"/>
              <w:spacing w:line="300" w:lineRule="auto"/>
              <w:jc w:val="center"/>
              <w:textAlignment w:val="auto"/>
              <w:rPr>
                <w:rFonts w:hint="eastAsia" w:ascii="宋体" w:hAnsi="宋体" w:cs="Times New Roman"/>
                <w:b/>
                <w:bCs/>
                <w:color w:val="auto"/>
                <w:kern w:val="2"/>
                <w:sz w:val="21"/>
                <w:szCs w:val="21"/>
                <w:highlight w:val="none"/>
                <w:lang w:val="en-US" w:eastAsia="zh-CN" w:bidi="ar-SA"/>
              </w:rPr>
            </w:pPr>
            <w:r>
              <w:rPr>
                <w:rFonts w:hint="eastAsia" w:cs="Times New Roman"/>
                <w:b/>
                <w:bCs/>
                <w:color w:val="auto"/>
                <w:highlight w:val="none"/>
              </w:rPr>
              <w:t>所属行业</w:t>
            </w:r>
          </w:p>
        </w:tc>
        <w:tc>
          <w:tcPr>
            <w:tcW w:w="763" w:type="dxa"/>
            <w:noWrap w:val="0"/>
            <w:vAlign w:val="center"/>
          </w:tcPr>
          <w:p w14:paraId="50F490E0">
            <w:pPr>
              <w:keepNext w:val="0"/>
              <w:keepLines w:val="0"/>
              <w:pageBreakBefore w:val="0"/>
              <w:widowControl w:val="0"/>
              <w:tabs>
                <w:tab w:val="left" w:pos="3600"/>
              </w:tabs>
              <w:kinsoku/>
              <w:wordWrap w:val="0"/>
              <w:overflowPunct/>
              <w:topLinePunct w:val="0"/>
              <w:autoSpaceDE/>
              <w:autoSpaceDN/>
              <w:bidi w:val="0"/>
              <w:adjustRightInd w:val="0"/>
              <w:snapToGrid w:val="0"/>
              <w:spacing w:line="300" w:lineRule="auto"/>
              <w:jc w:val="center"/>
              <w:textAlignment w:val="auto"/>
              <w:rPr>
                <w:rFonts w:hint="eastAsia" w:ascii="宋体" w:hAnsi="宋体" w:cs="Times New Roman"/>
                <w:b/>
                <w:bCs/>
                <w:color w:val="auto"/>
                <w:kern w:val="2"/>
                <w:sz w:val="21"/>
                <w:szCs w:val="21"/>
                <w:highlight w:val="none"/>
                <w:lang w:val="en-US" w:eastAsia="zh-CN" w:bidi="ar-SA"/>
              </w:rPr>
            </w:pPr>
            <w:r>
              <w:rPr>
                <w:rFonts w:cs="Times New Roman"/>
                <w:b/>
                <w:bCs/>
                <w:color w:val="auto"/>
                <w:highlight w:val="none"/>
              </w:rPr>
              <w:t>是否为核心产品</w:t>
            </w:r>
          </w:p>
        </w:tc>
        <w:tc>
          <w:tcPr>
            <w:tcW w:w="1704" w:type="dxa"/>
            <w:noWrap w:val="0"/>
            <w:vAlign w:val="center"/>
          </w:tcPr>
          <w:p w14:paraId="2F78E3AA">
            <w:pPr>
              <w:keepNext w:val="0"/>
              <w:keepLines w:val="0"/>
              <w:pageBreakBefore w:val="0"/>
              <w:widowControl w:val="0"/>
              <w:kinsoku/>
              <w:overflowPunct/>
              <w:topLinePunct w:val="0"/>
              <w:autoSpaceDE/>
              <w:autoSpaceDN/>
              <w:bidi w:val="0"/>
              <w:spacing w:line="300" w:lineRule="auto"/>
              <w:jc w:val="center"/>
              <w:textAlignment w:val="auto"/>
              <w:rPr>
                <w:rFonts w:hint="eastAsia"/>
                <w:b/>
                <w:bCs/>
                <w:color w:val="auto"/>
                <w:highlight w:val="none"/>
                <w:lang w:val="en-US" w:eastAsia="zh-CN"/>
              </w:rPr>
            </w:pPr>
            <w:r>
              <w:rPr>
                <w:rFonts w:hint="eastAsia"/>
                <w:b/>
                <w:bCs/>
                <w:color w:val="auto"/>
                <w:highlight w:val="none"/>
                <w:lang w:val="en-US" w:eastAsia="zh-CN"/>
              </w:rPr>
              <w:t>备注</w:t>
            </w:r>
          </w:p>
        </w:tc>
      </w:tr>
      <w:tr w14:paraId="18383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4" w:hRule="atLeast"/>
        </w:trPr>
        <w:tc>
          <w:tcPr>
            <w:tcW w:w="824" w:type="dxa"/>
            <w:noWrap w:val="0"/>
            <w:vAlign w:val="center"/>
          </w:tcPr>
          <w:p w14:paraId="1234D874">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1</w:t>
            </w:r>
          </w:p>
        </w:tc>
        <w:tc>
          <w:tcPr>
            <w:tcW w:w="991" w:type="dxa"/>
            <w:noWrap w:val="0"/>
            <w:vAlign w:val="center"/>
          </w:tcPr>
          <w:p w14:paraId="3D7A436A">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可移动恒湿</w:t>
            </w:r>
            <w:r>
              <w:rPr>
                <w:rFonts w:hint="eastAsia" w:eastAsia="宋体" w:cs="Times New Roman"/>
                <w:b w:val="0"/>
                <w:bCs w:val="0"/>
                <w:color w:val="auto"/>
                <w:highlight w:val="none"/>
                <w:lang w:val="en-US" w:eastAsia="zh-CN"/>
              </w:rPr>
              <w:t>展览设备</w:t>
            </w:r>
          </w:p>
        </w:tc>
        <w:tc>
          <w:tcPr>
            <w:tcW w:w="2042" w:type="dxa"/>
            <w:noWrap w:val="0"/>
            <w:vAlign w:val="center"/>
          </w:tcPr>
          <w:p w14:paraId="2F4C7175">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1500*900*1100mm</w:t>
            </w:r>
          </w:p>
        </w:tc>
        <w:tc>
          <w:tcPr>
            <w:tcW w:w="1067" w:type="dxa"/>
            <w:noWrap w:val="0"/>
            <w:vAlign w:val="center"/>
          </w:tcPr>
          <w:p w14:paraId="1BFCE066">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300</w:t>
            </w:r>
          </w:p>
        </w:tc>
        <w:tc>
          <w:tcPr>
            <w:tcW w:w="751" w:type="dxa"/>
            <w:noWrap w:val="0"/>
            <w:vAlign w:val="center"/>
          </w:tcPr>
          <w:p w14:paraId="7210ED61">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7</w:t>
            </w:r>
          </w:p>
        </w:tc>
        <w:tc>
          <w:tcPr>
            <w:tcW w:w="557" w:type="dxa"/>
            <w:noWrap w:val="0"/>
            <w:vAlign w:val="center"/>
          </w:tcPr>
          <w:p w14:paraId="49E85B71">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default"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工业</w:t>
            </w:r>
          </w:p>
        </w:tc>
        <w:tc>
          <w:tcPr>
            <w:tcW w:w="763" w:type="dxa"/>
            <w:noWrap w:val="0"/>
            <w:vAlign w:val="center"/>
          </w:tcPr>
          <w:p w14:paraId="1119A946">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否</w:t>
            </w:r>
          </w:p>
        </w:tc>
        <w:tc>
          <w:tcPr>
            <w:tcW w:w="1704" w:type="dxa"/>
            <w:noWrap w:val="0"/>
            <w:vAlign w:val="center"/>
          </w:tcPr>
          <w:p w14:paraId="56E5CEEA">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5+5低反射玻璃、自动顶升开启、光纤灯照明、内置电子恒湿系统和</w:t>
            </w:r>
            <w:r>
              <w:rPr>
                <w:rFonts w:hint="eastAsia" w:eastAsia="宋体" w:cs="Times New Roman"/>
                <w:b w:val="0"/>
                <w:bCs w:val="0"/>
                <w:color w:val="auto"/>
                <w:highlight w:val="none"/>
                <w:lang w:val="en-US" w:eastAsia="zh-CN"/>
              </w:rPr>
              <w:t>展览设备</w:t>
            </w:r>
            <w:r>
              <w:rPr>
                <w:rFonts w:hint="eastAsia" w:ascii="宋体" w:hAnsi="宋体" w:eastAsia="宋体" w:cs="Times New Roman"/>
                <w:b w:val="0"/>
                <w:bCs w:val="0"/>
                <w:color w:val="auto"/>
                <w:highlight w:val="none"/>
                <w:lang w:val="en-US" w:eastAsia="zh-CN"/>
              </w:rPr>
              <w:t>无线开启报警系统，内含展台展托。</w:t>
            </w:r>
          </w:p>
        </w:tc>
      </w:tr>
      <w:tr w14:paraId="3A07C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824" w:type="dxa"/>
            <w:noWrap w:val="0"/>
            <w:vAlign w:val="center"/>
          </w:tcPr>
          <w:p w14:paraId="651A484A">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2</w:t>
            </w:r>
          </w:p>
        </w:tc>
        <w:tc>
          <w:tcPr>
            <w:tcW w:w="991" w:type="dxa"/>
            <w:noWrap w:val="0"/>
            <w:vAlign w:val="center"/>
          </w:tcPr>
          <w:p w14:paraId="3FE1A84F">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default"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恒湿</w:t>
            </w:r>
            <w:r>
              <w:rPr>
                <w:rFonts w:hint="eastAsia" w:eastAsia="宋体" w:cs="Times New Roman"/>
                <w:b w:val="0"/>
                <w:bCs w:val="0"/>
                <w:color w:val="auto"/>
                <w:highlight w:val="none"/>
                <w:lang w:val="en-US" w:eastAsia="zh-CN"/>
              </w:rPr>
              <w:t>展览设备1</w:t>
            </w:r>
          </w:p>
        </w:tc>
        <w:tc>
          <w:tcPr>
            <w:tcW w:w="2042" w:type="dxa"/>
            <w:noWrap w:val="0"/>
            <w:vAlign w:val="center"/>
          </w:tcPr>
          <w:p w14:paraId="3D097809">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1500*600*1000mm;</w:t>
            </w:r>
          </w:p>
        </w:tc>
        <w:tc>
          <w:tcPr>
            <w:tcW w:w="1067" w:type="dxa"/>
            <w:noWrap w:val="0"/>
            <w:vAlign w:val="center"/>
          </w:tcPr>
          <w:p w14:paraId="146E8286">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250</w:t>
            </w:r>
          </w:p>
        </w:tc>
        <w:tc>
          <w:tcPr>
            <w:tcW w:w="751" w:type="dxa"/>
            <w:noWrap w:val="0"/>
            <w:vAlign w:val="center"/>
          </w:tcPr>
          <w:p w14:paraId="421F9706">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33</w:t>
            </w:r>
          </w:p>
        </w:tc>
        <w:tc>
          <w:tcPr>
            <w:tcW w:w="557" w:type="dxa"/>
            <w:noWrap w:val="0"/>
            <w:vAlign w:val="center"/>
          </w:tcPr>
          <w:p w14:paraId="011D8B32">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工业</w:t>
            </w:r>
          </w:p>
        </w:tc>
        <w:tc>
          <w:tcPr>
            <w:tcW w:w="763" w:type="dxa"/>
            <w:noWrap w:val="0"/>
            <w:vAlign w:val="center"/>
          </w:tcPr>
          <w:p w14:paraId="780EE401">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default" w:ascii="宋体" w:hAnsi="宋体"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否</w:t>
            </w:r>
          </w:p>
        </w:tc>
        <w:tc>
          <w:tcPr>
            <w:tcW w:w="1704" w:type="dxa"/>
            <w:noWrap w:val="0"/>
            <w:vAlign w:val="center"/>
          </w:tcPr>
          <w:p w14:paraId="1AA5CFA6">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5+5低反射玻璃、自动顶升开启、LED扫光灯照明、内置电子恒湿系统和</w:t>
            </w:r>
            <w:r>
              <w:rPr>
                <w:rFonts w:hint="eastAsia" w:eastAsia="宋体" w:cs="Times New Roman"/>
                <w:b w:val="0"/>
                <w:bCs w:val="0"/>
                <w:color w:val="auto"/>
                <w:highlight w:val="none"/>
                <w:lang w:val="en-US" w:eastAsia="zh-CN"/>
              </w:rPr>
              <w:t>展览设备</w:t>
            </w:r>
            <w:r>
              <w:rPr>
                <w:rFonts w:hint="eastAsia" w:ascii="宋体" w:hAnsi="宋体" w:eastAsia="宋体" w:cs="Times New Roman"/>
                <w:b w:val="0"/>
                <w:bCs w:val="0"/>
                <w:color w:val="auto"/>
                <w:highlight w:val="none"/>
                <w:lang w:val="en-US" w:eastAsia="zh-CN"/>
              </w:rPr>
              <w:t>无线开启报警系统，内含展台展托。</w:t>
            </w:r>
          </w:p>
        </w:tc>
      </w:tr>
      <w:tr w14:paraId="7480F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824" w:type="dxa"/>
            <w:noWrap w:val="0"/>
            <w:vAlign w:val="center"/>
          </w:tcPr>
          <w:p w14:paraId="16580F5A">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3</w:t>
            </w:r>
          </w:p>
        </w:tc>
        <w:tc>
          <w:tcPr>
            <w:tcW w:w="991" w:type="dxa"/>
            <w:noWrap w:val="0"/>
            <w:vAlign w:val="center"/>
          </w:tcPr>
          <w:p w14:paraId="4F883B9B">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default" w:ascii="宋体" w:hAnsi="宋体"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w:t>
            </w:r>
            <w:r>
              <w:rPr>
                <w:rFonts w:hint="eastAsia" w:ascii="宋体" w:hAnsi="宋体" w:eastAsia="宋体" w:cs="Times New Roman"/>
                <w:b w:val="0"/>
                <w:bCs w:val="0"/>
                <w:color w:val="auto"/>
                <w:highlight w:val="none"/>
                <w:lang w:val="en-US" w:eastAsia="zh-CN"/>
              </w:rPr>
              <w:t>恒湿</w:t>
            </w:r>
            <w:r>
              <w:rPr>
                <w:rFonts w:hint="eastAsia" w:eastAsia="宋体" w:cs="Times New Roman"/>
                <w:b w:val="0"/>
                <w:bCs w:val="0"/>
                <w:color w:val="auto"/>
                <w:highlight w:val="none"/>
                <w:lang w:val="en-US" w:eastAsia="zh-CN"/>
              </w:rPr>
              <w:t>展览设备2</w:t>
            </w:r>
          </w:p>
        </w:tc>
        <w:tc>
          <w:tcPr>
            <w:tcW w:w="2042" w:type="dxa"/>
            <w:noWrap w:val="0"/>
            <w:vAlign w:val="center"/>
          </w:tcPr>
          <w:p w14:paraId="07579BD7">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6580*800*2800：2组</w:t>
            </w:r>
          </w:p>
          <w:p w14:paraId="47FA653B">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6170*700*2800：2组</w:t>
            </w:r>
          </w:p>
          <w:p w14:paraId="38E5F41F">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6900*800*2800：2组</w:t>
            </w:r>
          </w:p>
          <w:p w14:paraId="4F212D46">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6560*700*2700：2组</w:t>
            </w:r>
          </w:p>
          <w:p w14:paraId="00B9252E">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p>
        </w:tc>
        <w:tc>
          <w:tcPr>
            <w:tcW w:w="1067" w:type="dxa"/>
            <w:noWrap w:val="0"/>
            <w:vAlign w:val="center"/>
          </w:tcPr>
          <w:p w14:paraId="75F520EA">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上箱120、下箱450</w:t>
            </w:r>
          </w:p>
        </w:tc>
        <w:tc>
          <w:tcPr>
            <w:tcW w:w="751" w:type="dxa"/>
            <w:noWrap w:val="0"/>
            <w:vAlign w:val="center"/>
          </w:tcPr>
          <w:p w14:paraId="312E5E69">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8</w:t>
            </w:r>
          </w:p>
        </w:tc>
        <w:tc>
          <w:tcPr>
            <w:tcW w:w="557" w:type="dxa"/>
            <w:noWrap w:val="0"/>
            <w:vAlign w:val="center"/>
          </w:tcPr>
          <w:p w14:paraId="7EF754FD">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工业</w:t>
            </w:r>
          </w:p>
        </w:tc>
        <w:tc>
          <w:tcPr>
            <w:tcW w:w="763" w:type="dxa"/>
            <w:noWrap w:val="0"/>
            <w:vAlign w:val="center"/>
          </w:tcPr>
          <w:p w14:paraId="55F46CB8">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default" w:ascii="宋体" w:hAnsi="宋体" w:eastAsia="宋体" w:cs="Times New Roman"/>
                <w:b w:val="0"/>
                <w:bCs w:val="0"/>
                <w:color w:val="auto"/>
                <w:highlight w:val="none"/>
                <w:lang w:val="en-US" w:eastAsia="zh-CN"/>
              </w:rPr>
            </w:pPr>
            <w:r>
              <w:rPr>
                <w:rFonts w:hint="eastAsia" w:eastAsia="宋体" w:cs="Times New Roman"/>
                <w:b w:val="0"/>
                <w:bCs w:val="0"/>
                <w:color w:val="auto"/>
                <w:highlight w:val="none"/>
                <w:lang w:val="en-US" w:eastAsia="zh-CN"/>
              </w:rPr>
              <w:t>是</w:t>
            </w:r>
          </w:p>
        </w:tc>
        <w:tc>
          <w:tcPr>
            <w:tcW w:w="1704" w:type="dxa"/>
            <w:noWrap w:val="0"/>
            <w:vAlign w:val="center"/>
          </w:tcPr>
          <w:p w14:paraId="3244EBAE">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Times New Roman"/>
                <w:b w:val="0"/>
                <w:bCs w:val="0"/>
                <w:color w:val="auto"/>
                <w:highlight w:val="none"/>
                <w:lang w:val="en-US" w:eastAsia="zh-CN"/>
              </w:rPr>
            </w:pPr>
            <w:r>
              <w:rPr>
                <w:rFonts w:hint="eastAsia" w:ascii="宋体" w:hAnsi="宋体" w:eastAsia="宋体" w:cs="Times New Roman"/>
                <w:b w:val="0"/>
                <w:bCs w:val="0"/>
                <w:color w:val="auto"/>
                <w:highlight w:val="none"/>
                <w:lang w:val="en-US" w:eastAsia="zh-CN"/>
              </w:rPr>
              <w:t>6+6国产低反射玻璃、电动顶出，手动左右平移、每米3盏LED小射灯+1.5盏LED方形洗墙照明、内置电子恒湿系统和</w:t>
            </w:r>
            <w:r>
              <w:rPr>
                <w:rFonts w:hint="eastAsia" w:eastAsia="宋体" w:cs="Times New Roman"/>
                <w:b w:val="0"/>
                <w:bCs w:val="0"/>
                <w:color w:val="auto"/>
                <w:highlight w:val="none"/>
                <w:lang w:val="en-US" w:eastAsia="zh-CN"/>
              </w:rPr>
              <w:t>展览设备</w:t>
            </w:r>
            <w:r>
              <w:rPr>
                <w:rFonts w:hint="eastAsia" w:ascii="宋体" w:hAnsi="宋体" w:eastAsia="宋体" w:cs="Times New Roman"/>
                <w:b w:val="0"/>
                <w:bCs w:val="0"/>
                <w:color w:val="auto"/>
                <w:highlight w:val="none"/>
                <w:lang w:val="en-US" w:eastAsia="zh-CN"/>
              </w:rPr>
              <w:t>无线开启报警系统，内含展台展托。</w:t>
            </w:r>
          </w:p>
        </w:tc>
      </w:tr>
    </w:tbl>
    <w:p w14:paraId="4E2087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rPr>
          <w:rFonts w:hint="eastAsia" w:ascii="宋体" w:hAnsi="宋体" w:eastAsia="宋体" w:cs="宋体"/>
          <w:b/>
          <w:bCs/>
          <w:color w:val="auto"/>
          <w:highlight w:val="none"/>
          <w:lang w:val="en-US" w:eastAsia="zh-CN"/>
        </w:rPr>
      </w:pPr>
    </w:p>
    <w:p w14:paraId="75A89B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标识符号</w:t>
      </w:r>
    </w:p>
    <w:tbl>
      <w:tblPr>
        <w:tblStyle w:val="9"/>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1098"/>
        <w:gridCol w:w="6213"/>
      </w:tblGrid>
      <w:tr w14:paraId="020D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3A2B54AC">
            <w:pPr>
              <w:adjustRightInd w:val="0"/>
              <w:snapToGrid w:val="0"/>
              <w:spacing w:line="300" w:lineRule="auto"/>
              <w:jc w:val="center"/>
              <w:rPr>
                <w:b/>
                <w:color w:val="auto"/>
                <w:highlight w:val="none"/>
              </w:rPr>
            </w:pPr>
            <w:r>
              <w:rPr>
                <w:rFonts w:hint="eastAsia"/>
                <w:b/>
                <w:color w:val="auto"/>
                <w:highlight w:val="none"/>
              </w:rPr>
              <w:t>标识类型</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D848FAE">
            <w:pPr>
              <w:adjustRightInd w:val="0"/>
              <w:snapToGrid w:val="0"/>
              <w:spacing w:line="300" w:lineRule="auto"/>
              <w:jc w:val="center"/>
              <w:rPr>
                <w:b/>
                <w:color w:val="auto"/>
                <w:highlight w:val="none"/>
              </w:rPr>
            </w:pPr>
            <w:r>
              <w:rPr>
                <w:rFonts w:hint="eastAsia"/>
                <w:b/>
                <w:color w:val="auto"/>
                <w:highlight w:val="none"/>
              </w:rPr>
              <w:t>标识符号</w:t>
            </w:r>
          </w:p>
        </w:tc>
        <w:tc>
          <w:tcPr>
            <w:tcW w:w="6213" w:type="dxa"/>
            <w:tcBorders>
              <w:top w:val="single" w:color="auto" w:sz="4" w:space="0"/>
              <w:left w:val="single" w:color="auto" w:sz="4" w:space="0"/>
              <w:bottom w:val="single" w:color="auto" w:sz="4" w:space="0"/>
              <w:right w:val="single" w:color="auto" w:sz="4" w:space="0"/>
            </w:tcBorders>
            <w:noWrap w:val="0"/>
            <w:vAlign w:val="center"/>
          </w:tcPr>
          <w:p w14:paraId="312DBBAE">
            <w:pPr>
              <w:adjustRightInd w:val="0"/>
              <w:snapToGrid w:val="0"/>
              <w:spacing w:line="300" w:lineRule="auto"/>
              <w:jc w:val="center"/>
              <w:rPr>
                <w:b/>
                <w:color w:val="auto"/>
                <w:highlight w:val="none"/>
              </w:rPr>
            </w:pPr>
            <w:r>
              <w:rPr>
                <w:rFonts w:hint="eastAsia"/>
                <w:b/>
                <w:color w:val="auto"/>
                <w:highlight w:val="none"/>
              </w:rPr>
              <w:t>标识符号含义</w:t>
            </w:r>
          </w:p>
        </w:tc>
      </w:tr>
      <w:tr w14:paraId="6A74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1849A4B1">
            <w:pPr>
              <w:adjustRightInd w:val="0"/>
              <w:snapToGrid w:val="0"/>
              <w:spacing w:line="300" w:lineRule="auto"/>
              <w:jc w:val="center"/>
              <w:rPr>
                <w:rFonts w:hint="eastAsia" w:eastAsia="宋体"/>
                <w:color w:val="auto"/>
                <w:highlight w:val="none"/>
                <w:lang w:val="en-US" w:eastAsia="zh-CN"/>
              </w:rPr>
            </w:pPr>
            <w:r>
              <w:rPr>
                <w:rFonts w:hint="eastAsia"/>
                <w:color w:val="auto"/>
                <w:highlight w:val="none"/>
                <w:lang w:val="en-US" w:eastAsia="zh-CN"/>
              </w:rPr>
              <w:t>一般</w:t>
            </w:r>
            <w:r>
              <w:rPr>
                <w:rFonts w:hint="eastAsia"/>
                <w:color w:val="auto"/>
                <w:highlight w:val="none"/>
              </w:rPr>
              <w:t>指标项</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74B8D27C">
            <w:pPr>
              <w:adjustRightInd w:val="0"/>
              <w:snapToGrid w:val="0"/>
              <w:spacing w:line="300" w:lineRule="auto"/>
              <w:jc w:val="center"/>
              <w:rPr>
                <w:color w:val="auto"/>
                <w:highlight w:val="none"/>
              </w:rPr>
            </w:pPr>
            <w:r>
              <w:rPr>
                <w:rFonts w:hint="eastAsia"/>
                <w:color w:val="auto"/>
                <w:highlight w:val="none"/>
              </w:rPr>
              <w:t>★</w:t>
            </w:r>
          </w:p>
        </w:tc>
        <w:tc>
          <w:tcPr>
            <w:tcW w:w="6213" w:type="dxa"/>
            <w:tcBorders>
              <w:top w:val="single" w:color="auto" w:sz="4" w:space="0"/>
              <w:left w:val="single" w:color="auto" w:sz="4" w:space="0"/>
              <w:bottom w:val="single" w:color="auto" w:sz="4" w:space="0"/>
              <w:right w:val="single" w:color="auto" w:sz="4" w:space="0"/>
            </w:tcBorders>
            <w:noWrap w:val="0"/>
            <w:vAlign w:val="center"/>
          </w:tcPr>
          <w:p w14:paraId="1658787D">
            <w:pPr>
              <w:pStyle w:val="8"/>
              <w:adjustRightInd w:val="0"/>
              <w:snapToGrid w:val="0"/>
              <w:spacing w:after="0" w:line="300" w:lineRule="auto"/>
              <w:ind w:left="0" w:leftChars="0" w:firstLine="0" w:firstLineChars="0"/>
              <w:jc w:val="center"/>
              <w:rPr>
                <w:color w:val="auto"/>
                <w:highlight w:val="none"/>
              </w:rPr>
            </w:pPr>
            <w:r>
              <w:rPr>
                <w:rFonts w:hint="eastAsia" w:ascii="宋体" w:cs="宋体"/>
                <w:color w:val="auto"/>
                <w:highlight w:val="none"/>
              </w:rPr>
              <w:t>评分项，详见评分标准</w:t>
            </w:r>
          </w:p>
        </w:tc>
      </w:tr>
      <w:tr w14:paraId="2B7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D3C34C8">
            <w:pPr>
              <w:adjustRightInd w:val="0"/>
              <w:snapToGrid w:val="0"/>
              <w:spacing w:line="300" w:lineRule="auto"/>
              <w:jc w:val="center"/>
              <w:rPr>
                <w:rFonts w:hint="eastAsia"/>
                <w:color w:val="auto"/>
                <w:highlight w:val="none"/>
              </w:rPr>
            </w:pPr>
            <w:r>
              <w:rPr>
                <w:rFonts w:hint="eastAsia"/>
                <w:color w:val="auto"/>
                <w:highlight w:val="none"/>
              </w:rPr>
              <w:t>重要指标项</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B585AA4">
            <w:pPr>
              <w:adjustRightInd w:val="0"/>
              <w:snapToGrid w:val="0"/>
              <w:spacing w:line="300" w:lineRule="auto"/>
              <w:jc w:val="center"/>
              <w:rPr>
                <w:rFonts w:hint="eastAsia"/>
                <w:color w:val="auto"/>
                <w:highlight w:val="none"/>
              </w:rPr>
            </w:pPr>
            <w:r>
              <w:rPr>
                <w:rFonts w:hint="eastAsia"/>
                <w:color w:val="auto"/>
                <w:highlight w:val="none"/>
              </w:rPr>
              <w:t>■</w:t>
            </w:r>
          </w:p>
        </w:tc>
        <w:tc>
          <w:tcPr>
            <w:tcW w:w="6213" w:type="dxa"/>
            <w:tcBorders>
              <w:top w:val="single" w:color="auto" w:sz="4" w:space="0"/>
              <w:left w:val="single" w:color="auto" w:sz="4" w:space="0"/>
              <w:bottom w:val="single" w:color="auto" w:sz="4" w:space="0"/>
              <w:right w:val="single" w:color="auto" w:sz="4" w:space="0"/>
            </w:tcBorders>
            <w:noWrap w:val="0"/>
            <w:vAlign w:val="center"/>
          </w:tcPr>
          <w:p w14:paraId="154787D4">
            <w:pPr>
              <w:pStyle w:val="8"/>
              <w:adjustRightInd w:val="0"/>
              <w:snapToGrid w:val="0"/>
              <w:spacing w:after="0" w:line="300" w:lineRule="auto"/>
              <w:ind w:left="0" w:leftChars="0" w:firstLine="0" w:firstLineChars="0"/>
              <w:jc w:val="center"/>
              <w:rPr>
                <w:rFonts w:hint="eastAsia" w:ascii="宋体" w:cs="宋体"/>
                <w:color w:val="auto"/>
                <w:highlight w:val="none"/>
              </w:rPr>
            </w:pPr>
            <w:r>
              <w:rPr>
                <w:rFonts w:hint="eastAsia" w:ascii="宋体" w:cs="宋体"/>
                <w:color w:val="auto"/>
                <w:highlight w:val="none"/>
              </w:rPr>
              <w:t>评分项，详见评分标准</w:t>
            </w:r>
          </w:p>
        </w:tc>
      </w:tr>
      <w:tr w14:paraId="5778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2E52DA55">
            <w:pPr>
              <w:adjustRightInd w:val="0"/>
              <w:snapToGrid w:val="0"/>
              <w:spacing w:line="300" w:lineRule="auto"/>
              <w:jc w:val="center"/>
              <w:rPr>
                <w:rFonts w:hint="default"/>
                <w:color w:val="auto"/>
                <w:highlight w:val="none"/>
                <w:lang w:val="en-US" w:eastAsia="zh-CN"/>
              </w:rPr>
            </w:pPr>
            <w:r>
              <w:rPr>
                <w:rFonts w:hint="eastAsia"/>
                <w:color w:val="auto"/>
                <w:highlight w:val="none"/>
                <w:lang w:val="en-US" w:eastAsia="zh-CN"/>
              </w:rPr>
              <w:t>关键指标项</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3161BA25">
            <w:pPr>
              <w:adjustRightInd w:val="0"/>
              <w:snapToGrid w:val="0"/>
              <w:spacing w:line="300" w:lineRule="auto"/>
              <w:jc w:val="center"/>
              <w:rPr>
                <w:rFonts w:hint="eastAsia"/>
                <w:color w:val="auto"/>
                <w:highlight w:val="none"/>
              </w:rPr>
            </w:pPr>
            <w:r>
              <w:rPr>
                <w:rFonts w:hint="eastAsia"/>
                <w:color w:val="auto"/>
                <w:highlight w:val="none"/>
              </w:rPr>
              <w:t>●</w:t>
            </w:r>
          </w:p>
        </w:tc>
        <w:tc>
          <w:tcPr>
            <w:tcW w:w="6213" w:type="dxa"/>
            <w:tcBorders>
              <w:top w:val="single" w:color="auto" w:sz="4" w:space="0"/>
              <w:left w:val="single" w:color="auto" w:sz="4" w:space="0"/>
              <w:bottom w:val="single" w:color="auto" w:sz="4" w:space="0"/>
              <w:right w:val="single" w:color="auto" w:sz="4" w:space="0"/>
            </w:tcBorders>
            <w:noWrap w:val="0"/>
            <w:vAlign w:val="center"/>
          </w:tcPr>
          <w:p w14:paraId="741BE8B6">
            <w:pPr>
              <w:pStyle w:val="8"/>
              <w:adjustRightInd w:val="0"/>
              <w:snapToGrid w:val="0"/>
              <w:spacing w:after="0" w:line="300" w:lineRule="auto"/>
              <w:ind w:left="0" w:leftChars="0" w:firstLine="0" w:firstLineChars="0"/>
              <w:jc w:val="center"/>
              <w:rPr>
                <w:rFonts w:hint="eastAsia" w:ascii="宋体" w:cs="宋体"/>
                <w:color w:val="auto"/>
                <w:highlight w:val="none"/>
              </w:rPr>
            </w:pPr>
            <w:r>
              <w:rPr>
                <w:rFonts w:hint="eastAsia" w:ascii="宋体" w:cs="宋体"/>
                <w:color w:val="auto"/>
                <w:highlight w:val="none"/>
              </w:rPr>
              <w:t>负偏离或未响应的，投标无效</w:t>
            </w:r>
          </w:p>
        </w:tc>
      </w:tr>
      <w:tr w14:paraId="5A4C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Borders>
              <w:top w:val="single" w:color="auto" w:sz="4" w:space="0"/>
              <w:left w:val="single" w:color="auto" w:sz="4" w:space="0"/>
              <w:bottom w:val="single" w:color="auto" w:sz="4" w:space="0"/>
              <w:right w:val="single" w:color="auto" w:sz="4" w:space="0"/>
            </w:tcBorders>
            <w:noWrap w:val="0"/>
            <w:vAlign w:val="center"/>
          </w:tcPr>
          <w:p w14:paraId="61268064">
            <w:pPr>
              <w:adjustRightInd w:val="0"/>
              <w:snapToGrid w:val="0"/>
              <w:spacing w:line="300" w:lineRule="auto"/>
              <w:jc w:val="center"/>
              <w:rPr>
                <w:color w:val="auto"/>
                <w:highlight w:val="none"/>
              </w:rPr>
            </w:pPr>
            <w:r>
              <w:rPr>
                <w:rFonts w:hint="eastAsia"/>
                <w:color w:val="auto"/>
                <w:highlight w:val="none"/>
              </w:rPr>
              <w:t>无标识项</w:t>
            </w:r>
          </w:p>
        </w:tc>
        <w:tc>
          <w:tcPr>
            <w:tcW w:w="1098" w:type="dxa"/>
            <w:tcBorders>
              <w:top w:val="single" w:color="auto" w:sz="4" w:space="0"/>
              <w:left w:val="single" w:color="auto" w:sz="4" w:space="0"/>
              <w:bottom w:val="single" w:color="auto" w:sz="4" w:space="0"/>
              <w:right w:val="single" w:color="auto" w:sz="4" w:space="0"/>
            </w:tcBorders>
            <w:noWrap w:val="0"/>
            <w:vAlign w:val="center"/>
          </w:tcPr>
          <w:p w14:paraId="1114BF20">
            <w:pPr>
              <w:adjustRightInd w:val="0"/>
              <w:snapToGrid w:val="0"/>
              <w:spacing w:line="300" w:lineRule="auto"/>
              <w:ind w:left="420" w:leftChars="200"/>
              <w:jc w:val="center"/>
              <w:rPr>
                <w:color w:val="auto"/>
                <w:highlight w:val="none"/>
              </w:rPr>
            </w:pPr>
          </w:p>
        </w:tc>
        <w:tc>
          <w:tcPr>
            <w:tcW w:w="6213" w:type="dxa"/>
            <w:tcBorders>
              <w:top w:val="single" w:color="auto" w:sz="4" w:space="0"/>
              <w:left w:val="single" w:color="auto" w:sz="4" w:space="0"/>
              <w:bottom w:val="single" w:color="auto" w:sz="4" w:space="0"/>
              <w:right w:val="single" w:color="auto" w:sz="4" w:space="0"/>
            </w:tcBorders>
            <w:noWrap w:val="0"/>
            <w:vAlign w:val="center"/>
          </w:tcPr>
          <w:p w14:paraId="148EDAA7">
            <w:pPr>
              <w:pStyle w:val="8"/>
              <w:adjustRightInd w:val="0"/>
              <w:snapToGrid w:val="0"/>
              <w:spacing w:after="0" w:line="300" w:lineRule="auto"/>
              <w:ind w:left="0" w:leftChars="0" w:firstLine="0" w:firstLineChars="0"/>
              <w:jc w:val="center"/>
              <w:rPr>
                <w:color w:val="auto"/>
                <w:highlight w:val="none"/>
              </w:rPr>
            </w:pPr>
            <w:r>
              <w:rPr>
                <w:rFonts w:hint="eastAsia" w:ascii="宋体" w:cs="宋体"/>
                <w:color w:val="auto"/>
                <w:highlight w:val="none"/>
              </w:rPr>
              <w:t>5项（不含）以上负偏离或未响应的，投标无效</w:t>
            </w:r>
          </w:p>
        </w:tc>
      </w:tr>
      <w:tr w14:paraId="4562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7" w:type="dxa"/>
            <w:gridSpan w:val="3"/>
            <w:tcBorders>
              <w:top w:val="single" w:color="auto" w:sz="4" w:space="0"/>
              <w:left w:val="single" w:color="auto" w:sz="4" w:space="0"/>
              <w:bottom w:val="single" w:color="auto" w:sz="4" w:space="0"/>
              <w:right w:val="single" w:color="auto" w:sz="4" w:space="0"/>
            </w:tcBorders>
            <w:noWrap w:val="0"/>
            <w:vAlign w:val="center"/>
          </w:tcPr>
          <w:p w14:paraId="7357A369">
            <w:pPr>
              <w:adjustRightInd w:val="0"/>
              <w:snapToGrid w:val="0"/>
              <w:spacing w:line="300" w:lineRule="auto"/>
              <w:jc w:val="left"/>
              <w:rPr>
                <w:color w:val="auto"/>
                <w:highlight w:val="none"/>
              </w:rPr>
            </w:pPr>
            <w:r>
              <w:rPr>
                <w:rFonts w:hint="eastAsia"/>
                <w:color w:val="auto"/>
                <w:highlight w:val="none"/>
              </w:rPr>
              <w:t>注：</w:t>
            </w:r>
          </w:p>
          <w:p w14:paraId="11880A93">
            <w:pPr>
              <w:adjustRightInd w:val="0"/>
              <w:snapToGrid w:val="0"/>
              <w:spacing w:line="300" w:lineRule="auto"/>
              <w:jc w:val="left"/>
              <w:rPr>
                <w:rFonts w:hint="eastAsia"/>
                <w:color w:val="auto"/>
                <w:highlight w:val="none"/>
              </w:rPr>
            </w:pPr>
            <w:r>
              <w:rPr>
                <w:rFonts w:hint="eastAsia"/>
                <w:color w:val="auto"/>
                <w:highlight w:val="none"/>
              </w:rPr>
              <w:t>1.如某项标识中包含多条技术参数或要求，则该项标识所含内容均需满足或优于招标文件要求，否则不予认可。</w:t>
            </w:r>
          </w:p>
          <w:p w14:paraId="431B8DFC">
            <w:pPr>
              <w:adjustRightInd w:val="0"/>
              <w:snapToGrid w:val="0"/>
              <w:spacing w:line="300" w:lineRule="auto"/>
              <w:jc w:val="left"/>
              <w:rPr>
                <w:rFonts w:hint="eastAsia"/>
                <w:color w:val="auto"/>
                <w:highlight w:val="none"/>
              </w:rPr>
            </w:pPr>
            <w:r>
              <w:rPr>
                <w:rFonts w:hint="eastAsia"/>
                <w:color w:val="auto"/>
                <w:highlight w:val="none"/>
              </w:rPr>
              <w:t>2.“所属行业”栏标注为“/”的项为所投产品配套的工程或服务，无需在《中小企业声明函》中列明。</w:t>
            </w:r>
          </w:p>
          <w:p w14:paraId="344A4E0D">
            <w:pPr>
              <w:pStyle w:val="2"/>
              <w:ind w:left="0" w:leftChars="0" w:firstLine="0" w:firstLineChars="0"/>
              <w:rPr>
                <w:color w:val="auto"/>
                <w:highlight w:val="none"/>
              </w:rPr>
            </w:pPr>
            <w:r>
              <w:rPr>
                <w:rFonts w:hint="eastAsia" w:ascii="宋体" w:hAnsi="宋体" w:eastAsia="宋体" w:cs="宋体"/>
                <w:snapToGrid/>
                <w:color w:val="auto"/>
                <w:kern w:val="2"/>
                <w:sz w:val="21"/>
                <w:szCs w:val="21"/>
                <w:highlight w:val="none"/>
                <w:lang w:val="en-US" w:eastAsia="zh-CN" w:bidi="ar-SA"/>
              </w:rPr>
              <w:t>3.第2包货物需求中，涉及具体物理尺寸的已明确偏离范围的按要求执行，未明确偏离范围的允许±5%偏离。</w:t>
            </w:r>
          </w:p>
        </w:tc>
      </w:tr>
    </w:tbl>
    <w:p w14:paraId="5B82E7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0" w:firstLineChars="0"/>
        <w:textAlignment w:val="auto"/>
        <w:rPr>
          <w:rFonts w:hint="eastAsia" w:ascii="宋体" w:hAnsi="宋体" w:eastAsia="宋体" w:cs="宋体"/>
          <w:b/>
          <w:bCs/>
          <w:color w:val="auto"/>
          <w:highlight w:val="none"/>
          <w:lang w:val="en-US" w:eastAsia="zh-CN"/>
        </w:rPr>
      </w:pPr>
    </w:p>
    <w:p w14:paraId="39CB2C07">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Chars="0" w:firstLine="0" w:firstLineChars="0"/>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技术参数及要求</w:t>
      </w:r>
    </w:p>
    <w:tbl>
      <w:tblPr>
        <w:tblStyle w:val="10"/>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4"/>
        <w:gridCol w:w="771"/>
        <w:gridCol w:w="7666"/>
      </w:tblGrid>
      <w:tr w14:paraId="0B0B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14:paraId="06BDB682">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序号</w:t>
            </w:r>
          </w:p>
        </w:tc>
        <w:tc>
          <w:tcPr>
            <w:tcW w:w="771" w:type="dxa"/>
            <w:noWrap w:val="0"/>
            <w:vAlign w:val="center"/>
          </w:tcPr>
          <w:p w14:paraId="19839840">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7666" w:type="dxa"/>
            <w:noWrap w:val="0"/>
            <w:vAlign w:val="center"/>
          </w:tcPr>
          <w:p w14:paraId="0A529F9B">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技术参数及要求</w:t>
            </w:r>
          </w:p>
        </w:tc>
      </w:tr>
      <w:tr w14:paraId="6773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noWrap w:val="0"/>
            <w:vAlign w:val="center"/>
          </w:tcPr>
          <w:p w14:paraId="79CCCE23">
            <w:pPr>
              <w:keepNext w:val="0"/>
              <w:keepLines w:val="0"/>
              <w:pageBreakBefore w:val="0"/>
              <w:widowControl w:val="0"/>
              <w:kinsoku/>
              <w:overflowPunct/>
              <w:topLinePunct w:val="0"/>
              <w:autoSpaceDE/>
              <w:autoSpaceDN/>
              <w:bidi w:val="0"/>
              <w:adjustRightInd w:val="0"/>
              <w:snapToGrid w:val="0"/>
              <w:spacing w:line="30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71" w:type="dxa"/>
            <w:noWrap w:val="0"/>
            <w:vAlign w:val="center"/>
          </w:tcPr>
          <w:p w14:paraId="7FC19DDB">
            <w:pPr>
              <w:keepNext w:val="0"/>
              <w:keepLines w:val="0"/>
              <w:pageBreakBefore w:val="0"/>
              <w:widowControl w:val="0"/>
              <w:kinsoku/>
              <w:overflowPunct/>
              <w:topLinePunct w:val="0"/>
              <w:autoSpaceDE/>
              <w:autoSpaceDN/>
              <w:bidi w:val="0"/>
              <w:spacing w:line="300" w:lineRule="auto"/>
              <w:jc w:val="center"/>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可移动恒湿</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恒湿</w:t>
            </w:r>
            <w:r>
              <w:rPr>
                <w:rFonts w:hint="eastAsia" w:eastAsia="宋体" w:cs="宋体"/>
                <w:b w:val="0"/>
                <w:bCs w:val="0"/>
                <w:color w:val="auto"/>
                <w:sz w:val="21"/>
                <w:szCs w:val="21"/>
                <w:highlight w:val="none"/>
                <w:lang w:val="en-US" w:eastAsia="zh-CN"/>
              </w:rPr>
              <w:t>展览设备1</w:t>
            </w:r>
            <w:r>
              <w:rPr>
                <w:rFonts w:hint="eastAsia" w:ascii="宋体" w:hAnsi="宋体" w:eastAsia="宋体" w:cs="宋体"/>
                <w:b w:val="0"/>
                <w:bCs w:val="0"/>
                <w:color w:val="auto"/>
                <w:sz w:val="21"/>
                <w:szCs w:val="21"/>
                <w:highlight w:val="none"/>
                <w:lang w:val="en-US" w:eastAsia="zh-CN"/>
              </w:rPr>
              <w:t>、▲恒湿展览设备2</w:t>
            </w:r>
          </w:p>
        </w:tc>
        <w:tc>
          <w:tcPr>
            <w:tcW w:w="7666" w:type="dxa"/>
            <w:noWrap w:val="0"/>
            <w:vAlign w:val="center"/>
          </w:tcPr>
          <w:p w14:paraId="28D85510">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一、材料选择</w:t>
            </w:r>
          </w:p>
          <w:p w14:paraId="7DFE91E1">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1、骨架</w:t>
            </w:r>
          </w:p>
          <w:p w14:paraId="35474CCE">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★（1）骨架结构：采用50*50*2.0（mm）镀锌矩管焊接装配；</w:t>
            </w:r>
          </w:p>
          <w:p w14:paraId="607921F8">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（2）骨架选用优质镀锌管；</w:t>
            </w:r>
          </w:p>
          <w:p w14:paraId="0A6732D0">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2、柜体</w:t>
            </w:r>
          </w:p>
          <w:p w14:paraId="769C388F">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★（1）柜体材质：采用≥1.5mm冷轧板；</w:t>
            </w:r>
          </w:p>
          <w:p w14:paraId="24708ABC">
            <w:pPr>
              <w:keepNext w:val="0"/>
              <w:keepLines w:val="0"/>
              <w:pageBreakBefore w:val="0"/>
              <w:widowControl w:val="0"/>
              <w:numPr>
                <w:ilvl w:val="0"/>
                <w:numId w:val="3"/>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柜体选用优质冷轧板；</w:t>
            </w:r>
          </w:p>
          <w:p w14:paraId="64B65733">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3、型材</w:t>
            </w:r>
          </w:p>
          <w:p w14:paraId="19783896">
            <w:pPr>
              <w:keepNext w:val="0"/>
              <w:keepLines w:val="0"/>
              <w:pageBreakBefore w:val="0"/>
              <w:widowControl w:val="0"/>
              <w:numPr>
                <w:ilvl w:val="0"/>
                <w:numId w:val="4"/>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主框架基座为钢结构；</w:t>
            </w:r>
          </w:p>
          <w:p w14:paraId="79D3DE35">
            <w:pPr>
              <w:keepNext w:val="0"/>
              <w:keepLines w:val="0"/>
              <w:pageBreakBefore w:val="0"/>
              <w:widowControl w:val="0"/>
              <w:numPr>
                <w:ilvl w:val="0"/>
                <w:numId w:val="0"/>
              </w:numPr>
              <w:kinsoku/>
              <w:wordWrap w:val="0"/>
              <w:overflowPunct/>
              <w:topLinePunct w:val="0"/>
              <w:autoSpaceDE/>
              <w:autoSpaceDN/>
              <w:bidi w:val="0"/>
              <w:adjustRightInd/>
              <w:snapToGrid/>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■（2）连接件：采用定制铝材，型材与玻璃连接部分的结构使用铝合金型材（性能不低于6063或6061等），时效状态≥T5，抗拉强度≥160N/mm²，断后伸长率≥8%，韦氏硬度≥8HW；参照标准：GB/T5237.1-2017；</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投标文件中提供</w:t>
            </w:r>
            <w:r>
              <w:rPr>
                <w:rFonts w:hint="eastAsia" w:ascii="宋体" w:hAnsi="宋体" w:eastAsia="宋体" w:cs="宋体"/>
                <w:b/>
                <w:bCs/>
                <w:color w:val="auto"/>
                <w:sz w:val="21"/>
                <w:szCs w:val="21"/>
                <w:highlight w:val="none"/>
                <w:lang w:eastAsia="zh-CN"/>
              </w:rPr>
              <w:t>第三方</w:t>
            </w:r>
            <w:r>
              <w:rPr>
                <w:rFonts w:hint="eastAsia" w:ascii="宋体" w:hAnsi="宋体" w:eastAsia="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eastAsia="zh-CN"/>
              </w:rPr>
              <w:t>机构出具的具有CMA标识的检测报告）</w:t>
            </w:r>
          </w:p>
          <w:p w14:paraId="68CAB8CA">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4、背板、侧板、底板</w:t>
            </w:r>
          </w:p>
          <w:p w14:paraId="7822416A">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背板采用镀锌钢板衬底，生态板外包亚麻布，板材用连接挂件固定在镀锌钢板上，方便拆装与亚麻布的更换；</w:t>
            </w:r>
          </w:p>
          <w:p w14:paraId="06C3FE52">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（2）柜体背板、侧板、底板根据设计需要采用16mm生态板；</w:t>
            </w:r>
          </w:p>
          <w:p w14:paraId="4A73A393">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（3）外包棉布，布料颜色</w:t>
            </w:r>
            <w:r>
              <w:rPr>
                <w:rFonts w:hint="eastAsia" w:eastAsia="宋体" w:cs="宋体"/>
                <w:b w:val="0"/>
                <w:bCs w:val="0"/>
                <w:color w:val="auto"/>
                <w:sz w:val="21"/>
                <w:szCs w:val="21"/>
                <w:highlight w:val="none"/>
                <w:lang w:val="en-US" w:eastAsia="zh-CN"/>
              </w:rPr>
              <w:t>需</w:t>
            </w:r>
            <w:r>
              <w:rPr>
                <w:rFonts w:hint="eastAsia" w:ascii="宋体" w:hAnsi="宋体" w:eastAsia="宋体" w:cs="宋体"/>
                <w:b w:val="0"/>
                <w:bCs w:val="0"/>
                <w:color w:val="auto"/>
                <w:sz w:val="21"/>
                <w:szCs w:val="21"/>
                <w:highlight w:val="none"/>
                <w:lang w:val="en-US" w:eastAsia="zh-CN"/>
              </w:rPr>
              <w:t>根据需求或布展设计定制；</w:t>
            </w:r>
          </w:p>
          <w:p w14:paraId="702F7331">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■（4）展板选择E1级</w:t>
            </w:r>
            <w:r>
              <w:rPr>
                <w:rFonts w:hint="eastAsia"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满足符合国家标准GB/T 18580-2017要求；（</w:t>
            </w:r>
            <w:r>
              <w:rPr>
                <w:rFonts w:hint="eastAsia" w:ascii="宋体" w:hAnsi="宋体" w:eastAsia="宋体" w:cs="宋体"/>
                <w:b/>
                <w:bCs/>
                <w:color w:val="auto"/>
                <w:sz w:val="21"/>
                <w:szCs w:val="21"/>
                <w:highlight w:val="none"/>
                <w:lang w:val="en-US" w:eastAsia="zh-CN"/>
              </w:rPr>
              <w:t>投标文件中提供</w:t>
            </w:r>
            <w:r>
              <w:rPr>
                <w:rFonts w:hint="eastAsia" w:ascii="宋体" w:hAnsi="宋体" w:eastAsia="宋体" w:cs="宋体"/>
                <w:b/>
                <w:bCs/>
                <w:color w:val="auto"/>
                <w:sz w:val="21"/>
                <w:szCs w:val="21"/>
                <w:highlight w:val="none"/>
                <w:lang w:eastAsia="zh-CN"/>
              </w:rPr>
              <w:t>第三方</w:t>
            </w:r>
            <w:r>
              <w:rPr>
                <w:rFonts w:hint="eastAsia" w:ascii="宋体" w:hAnsi="宋体" w:eastAsia="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eastAsia="zh-CN"/>
              </w:rPr>
              <w:t>机构出具的具有CMA标识的检测报告</w:t>
            </w:r>
            <w:r>
              <w:rPr>
                <w:rFonts w:hint="eastAsia" w:ascii="宋体" w:hAnsi="宋体" w:eastAsia="宋体" w:cs="宋体"/>
                <w:b w:val="0"/>
                <w:bCs w:val="0"/>
                <w:color w:val="auto"/>
                <w:sz w:val="21"/>
                <w:szCs w:val="21"/>
                <w:highlight w:val="none"/>
                <w:lang w:val="en-US" w:eastAsia="zh-CN"/>
              </w:rPr>
              <w:t>）</w:t>
            </w:r>
          </w:p>
          <w:p w14:paraId="794AFED5">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●（5）纺织物检测报告符合GB18401-2010中A级环保要求；</w:t>
            </w:r>
          </w:p>
          <w:p w14:paraId="0F5099F4">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5、密封胶条</w:t>
            </w:r>
          </w:p>
          <w:p w14:paraId="3EB437FC">
            <w:pPr>
              <w:pStyle w:val="4"/>
              <w:numPr>
                <w:ilvl w:val="0"/>
                <w:numId w:val="0"/>
              </w:numP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（1）采用“O”型有机硅胶条。</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密封条表面要求光滑，无明显杂质。</w:t>
            </w:r>
          </w:p>
          <w:p w14:paraId="10554FE7">
            <w:pPr>
              <w:pStyle w:val="4"/>
              <w:numPr>
                <w:ilvl w:val="0"/>
                <w:numId w:val="0"/>
              </w:numP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■（2）拉伸强度≥7.0Mpa，断裂伸长率≥300%，撕裂强度≥15KN/m，永久变形率≤8%，密封条阻燃性能应符合GB/T 10707-2008的要求，达到FV-0级。（</w:t>
            </w:r>
            <w:r>
              <w:rPr>
                <w:rFonts w:hint="eastAsia" w:ascii="宋体" w:hAnsi="宋体" w:eastAsia="宋体" w:cs="宋体"/>
                <w:b/>
                <w:bCs/>
                <w:color w:val="auto"/>
                <w:sz w:val="21"/>
                <w:szCs w:val="21"/>
                <w:highlight w:val="none"/>
                <w:lang w:val="en-US" w:eastAsia="zh-CN"/>
              </w:rPr>
              <w:t>投标文件中提供</w:t>
            </w:r>
            <w:r>
              <w:rPr>
                <w:rFonts w:hint="eastAsia" w:ascii="宋体" w:hAnsi="宋体" w:eastAsia="宋体" w:cs="宋体"/>
                <w:b/>
                <w:bCs/>
                <w:color w:val="auto"/>
                <w:sz w:val="21"/>
                <w:szCs w:val="21"/>
                <w:highlight w:val="none"/>
                <w:lang w:eastAsia="zh-CN"/>
              </w:rPr>
              <w:t>第三方</w:t>
            </w:r>
            <w:r>
              <w:rPr>
                <w:rFonts w:hint="eastAsia" w:ascii="宋体" w:hAnsi="宋体" w:eastAsia="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eastAsia="zh-CN"/>
              </w:rPr>
              <w:t>机构出具的具有CMA标识的检测报告</w:t>
            </w:r>
            <w:r>
              <w:rPr>
                <w:rFonts w:hint="eastAsia" w:ascii="宋体" w:hAnsi="宋体" w:eastAsia="宋体" w:cs="宋体"/>
                <w:b w:val="0"/>
                <w:bCs w:val="0"/>
                <w:color w:val="auto"/>
                <w:sz w:val="21"/>
                <w:szCs w:val="21"/>
                <w:highlight w:val="none"/>
                <w:lang w:val="en-US" w:eastAsia="zh-CN"/>
              </w:rPr>
              <w:t>）</w:t>
            </w:r>
          </w:p>
          <w:p w14:paraId="7F2EBAA6">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p>
          <w:p w14:paraId="3E20D8F2">
            <w:pPr>
              <w:keepNext w:val="0"/>
              <w:keepLines w:val="0"/>
              <w:pageBreakBefore w:val="0"/>
              <w:widowControl w:val="0"/>
              <w:numPr>
                <w:ilvl w:val="0"/>
                <w:numId w:val="5"/>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锁具</w:t>
            </w:r>
          </w:p>
          <w:p w14:paraId="53422FEA">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★1、配置两套</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专用锁具；</w:t>
            </w:r>
          </w:p>
          <w:p w14:paraId="2D716A9C">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■2、锁具应符合 GA/T 73-2015《机械防盗锁》中C级检测标准要求；（</w:t>
            </w:r>
            <w:r>
              <w:rPr>
                <w:rFonts w:hint="eastAsia" w:ascii="宋体" w:hAnsi="宋体" w:eastAsia="宋体" w:cs="宋体"/>
                <w:b/>
                <w:bCs/>
                <w:color w:val="auto"/>
                <w:sz w:val="21"/>
                <w:szCs w:val="21"/>
                <w:highlight w:val="none"/>
                <w:lang w:val="en-US" w:eastAsia="zh-CN"/>
              </w:rPr>
              <w:t>投标文件中提供</w:t>
            </w:r>
            <w:r>
              <w:rPr>
                <w:rFonts w:hint="eastAsia" w:ascii="宋体" w:hAnsi="宋体" w:eastAsia="宋体" w:cs="宋体"/>
                <w:b/>
                <w:bCs/>
                <w:color w:val="auto"/>
                <w:sz w:val="21"/>
                <w:szCs w:val="21"/>
                <w:highlight w:val="none"/>
                <w:lang w:eastAsia="zh-CN"/>
              </w:rPr>
              <w:t>第三方</w:t>
            </w:r>
            <w:r>
              <w:rPr>
                <w:rFonts w:hint="eastAsia" w:ascii="宋体" w:hAnsi="宋体" w:eastAsia="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eastAsia="zh-CN"/>
              </w:rPr>
              <w:t>机构出具的具有CMA标识的检测报告</w:t>
            </w:r>
            <w:r>
              <w:rPr>
                <w:rFonts w:hint="eastAsia" w:ascii="宋体" w:hAnsi="宋体" w:eastAsia="宋体" w:cs="宋体"/>
                <w:b w:val="0"/>
                <w:bCs w:val="0"/>
                <w:color w:val="auto"/>
                <w:sz w:val="21"/>
                <w:szCs w:val="21"/>
                <w:highlight w:val="none"/>
                <w:lang w:val="en-US" w:eastAsia="zh-CN"/>
              </w:rPr>
              <w:t>）</w:t>
            </w:r>
          </w:p>
          <w:p w14:paraId="475282C1">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二、结构性能</w:t>
            </w:r>
          </w:p>
          <w:p w14:paraId="102D8840">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1、开启方式</w:t>
            </w:r>
          </w:p>
          <w:p w14:paraId="5A40BB94">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根据不同柜型采用不同的玻璃门开启方式，玻璃门最大可以开启70%。通柜的开启：智能控制自动外移、手动左右平移开启，柜门≥60%开启；智能开启系统应为无线连接，可远距离控制。每台展览设备与控制器连接，使用蓝牙连接控制展览设备(断电状态下可手动开启)；</w:t>
            </w:r>
          </w:p>
          <w:p w14:paraId="26C72C4A">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w:t>
            </w:r>
            <w:r>
              <w:rPr>
                <w:rFonts w:hint="eastAsia" w:cs="Times New Roman"/>
                <w:b w:val="0"/>
                <w:bCs w:val="0"/>
                <w:color w:val="auto"/>
                <w:highlight w:val="none"/>
                <w:lang w:val="en-US" w:eastAsia="zh-CN"/>
              </w:rPr>
              <w:t>展览设备</w:t>
            </w:r>
            <w:r>
              <w:rPr>
                <w:rFonts w:hint="default" w:cs="Times New Roman"/>
                <w:b w:val="0"/>
                <w:bCs w:val="0"/>
                <w:color w:val="auto"/>
                <w:highlight w:val="none"/>
                <w:lang w:val="en-US" w:eastAsia="zh-CN"/>
              </w:rPr>
              <w:t>智能开启控制装置应采用蓝牙技术，采用蓝牙模块的需</w:t>
            </w:r>
            <w:r>
              <w:rPr>
                <w:rFonts w:hint="eastAsia" w:cs="Times New Roman"/>
                <w:b w:val="0"/>
                <w:bCs w:val="0"/>
                <w:color w:val="auto"/>
                <w:highlight w:val="none"/>
                <w:lang w:val="en-US" w:eastAsia="zh-CN"/>
              </w:rPr>
              <w:t>具有</w:t>
            </w:r>
            <w:r>
              <w:rPr>
                <w:rFonts w:hint="default" w:cs="Times New Roman"/>
                <w:b w:val="0"/>
                <w:bCs w:val="0"/>
                <w:color w:val="auto"/>
                <w:highlight w:val="none"/>
                <w:lang w:val="en-US" w:eastAsia="zh-CN"/>
              </w:rPr>
              <w:t>无线电发射设备型号核准证书</w:t>
            </w:r>
            <w:r>
              <w:rPr>
                <w:rFonts w:hint="eastAsia" w:cs="Times New Roman"/>
                <w:b w:val="0"/>
                <w:bCs w:val="0"/>
                <w:color w:val="auto"/>
                <w:highlight w:val="none"/>
                <w:lang w:val="en-US" w:eastAsia="zh-CN"/>
              </w:rPr>
              <w:t>；</w:t>
            </w:r>
            <w:r>
              <w:rPr>
                <w:rFonts w:hint="eastAsia" w:cs="Times New Roman"/>
                <w:b/>
                <w:bCs/>
                <w:color w:val="auto"/>
                <w:highlight w:val="none"/>
                <w:lang w:val="en-US" w:eastAsia="zh-CN"/>
              </w:rPr>
              <w:t>（投标文件中提供核准证书扫描件）</w:t>
            </w:r>
            <w:r>
              <w:rPr>
                <w:rFonts w:hint="eastAsia" w:ascii="宋体" w:hAnsi="宋体" w:eastAsia="宋体" w:cs="宋体"/>
                <w:b w:val="0"/>
                <w:bCs w:val="0"/>
                <w:color w:val="auto"/>
                <w:sz w:val="21"/>
                <w:szCs w:val="21"/>
                <w:highlight w:val="none"/>
                <w:lang w:val="en-US" w:eastAsia="zh-CN"/>
              </w:rPr>
              <w:t>；</w:t>
            </w:r>
          </w:p>
          <w:p w14:paraId="267F7A86">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2、密封性能</w:t>
            </w:r>
          </w:p>
          <w:p w14:paraId="5D26D4FE">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柜门在关闭情况下，具有防尘、防虫、防烟，高度密闭性能；</w:t>
            </w:r>
          </w:p>
          <w:p w14:paraId="66518AFF">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（2）符合古籍文物保护环境要求；</w:t>
            </w:r>
          </w:p>
          <w:p w14:paraId="32EE04F9">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空气交换率≤0.5d﹣¹，密封性满足高密封要求。提供符合GB/T36110-2018的</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密封性</w:t>
            </w:r>
            <w:r>
              <w:rPr>
                <w:rFonts w:hint="eastAsia"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en-US" w:eastAsia="zh-CN"/>
              </w:rPr>
              <w:t>检测报告</w:t>
            </w:r>
            <w:r>
              <w:rPr>
                <w:rFonts w:hint="eastAsia"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投标文件中提供</w:t>
            </w:r>
            <w:r>
              <w:rPr>
                <w:rFonts w:hint="eastAsia" w:ascii="宋体" w:hAnsi="宋体" w:eastAsia="宋体" w:cs="宋体"/>
                <w:b/>
                <w:bCs/>
                <w:color w:val="auto"/>
                <w:sz w:val="21"/>
                <w:szCs w:val="21"/>
                <w:highlight w:val="none"/>
                <w:lang w:eastAsia="zh-CN"/>
              </w:rPr>
              <w:t>第三方</w:t>
            </w:r>
            <w:r>
              <w:rPr>
                <w:rFonts w:hint="eastAsia" w:ascii="宋体" w:hAnsi="宋体" w:eastAsia="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eastAsia="zh-CN"/>
              </w:rPr>
              <w:t>机构出具的具有CMA标识的检测报告</w:t>
            </w:r>
            <w:r>
              <w:rPr>
                <w:rFonts w:hint="eastAsia" w:ascii="宋体" w:hAnsi="宋体" w:eastAsia="宋体" w:cs="宋体"/>
                <w:b w:val="0"/>
                <w:bCs w:val="0"/>
                <w:color w:val="auto"/>
                <w:sz w:val="21"/>
                <w:szCs w:val="21"/>
                <w:highlight w:val="none"/>
                <w:lang w:val="en-US" w:eastAsia="zh-CN"/>
              </w:rPr>
              <w:t>）</w:t>
            </w:r>
            <w:r>
              <w:rPr>
                <w:rFonts w:hint="eastAsia" w:eastAsia="宋体" w:cs="宋体"/>
                <w:b w:val="0"/>
                <w:bCs w:val="0"/>
                <w:color w:val="auto"/>
                <w:sz w:val="21"/>
                <w:szCs w:val="21"/>
                <w:highlight w:val="none"/>
                <w:lang w:val="en-US" w:eastAsia="zh-CN"/>
              </w:rPr>
              <w:t>）</w:t>
            </w:r>
          </w:p>
          <w:p w14:paraId="3E176849">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3、环保性能</w:t>
            </w:r>
          </w:p>
          <w:p w14:paraId="62E0C93A">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背板采用生态板，具有良好的阻燃性，属于AP级不燃材质；</w:t>
            </w:r>
          </w:p>
          <w:p w14:paraId="0223EFF9">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（2）柜体饰面所使用的喷漆、粘接剂等为中性环保材料；</w:t>
            </w:r>
          </w:p>
          <w:p w14:paraId="289B8C7D">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内所使用的织物为100%环保纯天然织物，满足古籍文物使用</w:t>
            </w:r>
            <w:r>
              <w:rPr>
                <w:rFonts w:hint="eastAsia" w:eastAsia="宋体" w:cs="宋体"/>
                <w:b w:val="0"/>
                <w:bCs w:val="0"/>
                <w:color w:val="auto"/>
                <w:sz w:val="21"/>
                <w:szCs w:val="21"/>
                <w:highlight w:val="none"/>
                <w:lang w:val="en-US" w:eastAsia="zh-CN"/>
              </w:rPr>
              <w:t>；</w:t>
            </w:r>
          </w:p>
          <w:p w14:paraId="7326210A">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■（4）展览设备内污染气体限值需满足GB/T 36111-2018标准要求。甲醛≤100ug/m</w:t>
            </w:r>
            <w:r>
              <w:rPr>
                <w:rFonts w:hint="eastAsia" w:ascii="宋体" w:hAnsi="宋体" w:eastAsia="宋体" w:cs="宋体"/>
                <w:b w:val="0"/>
                <w:bCs w:val="0"/>
                <w:color w:val="auto"/>
                <w:sz w:val="21"/>
                <w:szCs w:val="21"/>
                <w:highlight w:val="none"/>
                <w:vertAlign w:val="superscript"/>
                <w:lang w:val="en-US" w:eastAsia="zh-CN"/>
              </w:rPr>
              <w:t>3</w:t>
            </w:r>
            <w:r>
              <w:rPr>
                <w:rFonts w:hint="eastAsia" w:ascii="宋体" w:hAnsi="宋体" w:eastAsia="宋体" w:cs="宋体"/>
                <w:b w:val="0"/>
                <w:bCs w:val="0"/>
                <w:color w:val="auto"/>
                <w:sz w:val="21"/>
                <w:szCs w:val="21"/>
                <w:highlight w:val="none"/>
                <w:lang w:val="en-US" w:eastAsia="zh-CN"/>
              </w:rPr>
              <w:t>；甲酸：≤100ug/m3；乙酸：≤250ug/m</w:t>
            </w:r>
            <w:r>
              <w:rPr>
                <w:rFonts w:hint="eastAsia" w:ascii="宋体" w:hAnsi="宋体" w:eastAsia="宋体" w:cs="宋体"/>
                <w:b w:val="0"/>
                <w:bCs w:val="0"/>
                <w:color w:val="auto"/>
                <w:sz w:val="21"/>
                <w:szCs w:val="21"/>
                <w:highlight w:val="none"/>
                <w:vertAlign w:val="superscript"/>
                <w:lang w:val="en-US" w:eastAsia="zh-CN"/>
              </w:rPr>
              <w:t>3</w:t>
            </w:r>
            <w:r>
              <w:rPr>
                <w:rFonts w:hint="eastAsia" w:ascii="宋体" w:hAnsi="宋体" w:eastAsia="宋体" w:cs="宋体"/>
                <w:b w:val="0"/>
                <w:bCs w:val="0"/>
                <w:color w:val="auto"/>
                <w:sz w:val="21"/>
                <w:szCs w:val="21"/>
                <w:highlight w:val="none"/>
                <w:lang w:val="en-US" w:eastAsia="zh-CN"/>
              </w:rPr>
              <w:t>；TVOC≤600ug/m</w:t>
            </w:r>
            <w:r>
              <w:rPr>
                <w:rFonts w:hint="eastAsia" w:ascii="宋体" w:hAnsi="宋体" w:eastAsia="宋体" w:cs="宋体"/>
                <w:b w:val="0"/>
                <w:bCs w:val="0"/>
                <w:color w:val="auto"/>
                <w:sz w:val="21"/>
                <w:szCs w:val="21"/>
                <w:highlight w:val="none"/>
                <w:vertAlign w:val="superscript"/>
                <w:lang w:val="en-US" w:eastAsia="zh-CN"/>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（投标文件中提供第三方检测机构出具的具有CMA标识的检测报告）</w:t>
            </w:r>
          </w:p>
          <w:p w14:paraId="3A8CE11A">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4、万向脚轮及水平支撑脚</w:t>
            </w:r>
          </w:p>
          <w:p w14:paraId="6FB9B2C1">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1、水平调节支撑脚，万向轮。</w:t>
            </w:r>
          </w:p>
          <w:p w14:paraId="62D37083">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★2、采用</w:t>
            </w:r>
            <w:r>
              <w:rPr>
                <w:rFonts w:hint="eastAsia"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0*120</w:t>
            </w:r>
            <w:r>
              <w:rPr>
                <w:rFonts w:hint="eastAsia" w:eastAsia="宋体" w:cs="宋体"/>
                <w:b w:val="0"/>
                <w:bCs w:val="0"/>
                <w:color w:val="auto"/>
                <w:sz w:val="21"/>
                <w:szCs w:val="21"/>
                <w:highlight w:val="none"/>
                <w:lang w:val="en-US" w:eastAsia="zh-CN"/>
              </w:rPr>
              <w:t>mm</w:t>
            </w:r>
            <w:r>
              <w:rPr>
                <w:rFonts w:hint="eastAsia" w:ascii="宋体" w:hAnsi="宋体" w:eastAsia="宋体" w:cs="宋体"/>
                <w:b w:val="0"/>
                <w:bCs w:val="0"/>
                <w:color w:val="auto"/>
                <w:sz w:val="21"/>
                <w:szCs w:val="21"/>
                <w:highlight w:val="none"/>
                <w:lang w:val="en-US" w:eastAsia="zh-CN"/>
              </w:rPr>
              <w:t>水平支撑脚；</w:t>
            </w:r>
          </w:p>
          <w:p w14:paraId="55638EB4">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★3、万向轮隐藏不外露，可加重型，单个万向轮可承受≥200KG无损伤；</w:t>
            </w:r>
          </w:p>
          <w:p w14:paraId="47CFFC3E">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5、安全性能</w:t>
            </w:r>
          </w:p>
          <w:p w14:paraId="66DB12FC">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具备良好的安全性、结构稳固、安全，</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具备减震装置；</w:t>
            </w:r>
          </w:p>
          <w:p w14:paraId="43A952FC">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内部可加装：防盗报警系统、报警系统、防震底盘、恒温恒湿系统（预留安装位置）；</w:t>
            </w:r>
          </w:p>
          <w:p w14:paraId="029813E3">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w:t>
            </w:r>
            <w:r>
              <w:rPr>
                <w:rFonts w:hint="eastAsia" w:eastAsia="宋体" w:cs="宋体"/>
                <w:b/>
                <w:bCs/>
                <w:color w:val="auto"/>
                <w:sz w:val="21"/>
                <w:szCs w:val="21"/>
                <w:highlight w:val="none"/>
                <w:lang w:val="en-US" w:eastAsia="zh-CN"/>
              </w:rPr>
              <w:t>展览设备</w:t>
            </w:r>
            <w:r>
              <w:rPr>
                <w:rFonts w:hint="eastAsia" w:ascii="宋体" w:hAnsi="宋体" w:eastAsia="宋体" w:cs="宋体"/>
                <w:b/>
                <w:bCs/>
                <w:color w:val="auto"/>
                <w:sz w:val="21"/>
                <w:szCs w:val="21"/>
                <w:highlight w:val="none"/>
                <w:lang w:val="en-US" w:eastAsia="zh-CN"/>
              </w:rPr>
              <w:t>照明要求</w:t>
            </w:r>
          </w:p>
          <w:p w14:paraId="093F08E5">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1、可移动恒湿展览设备LED专业光纤灯照明（7组）</w:t>
            </w:r>
          </w:p>
          <w:p w14:paraId="3991F0C8">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（1）调光方式:旋钮调光(调光范围10-100%)；</w:t>
            </w:r>
          </w:p>
          <w:p w14:paraId="68AA0877">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（2）光学系统:光纤专用透镜；</w:t>
            </w:r>
          </w:p>
          <w:p w14:paraId="20144AC4">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（3）光源类型:A级芯片,COB LED；</w:t>
            </w:r>
          </w:p>
          <w:p w14:paraId="7D695181">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（4）光源寿命:不低于50000h；</w:t>
            </w:r>
          </w:p>
          <w:p w14:paraId="623A4FC6">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（5）光源本身无红外线，无紫外线，对古籍无损害；</w:t>
            </w:r>
          </w:p>
          <w:p w14:paraId="3122E4B6">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（6）材质:挤压铝；</w:t>
            </w:r>
          </w:p>
          <w:p w14:paraId="077EB43A">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（7）光纤导光索:根据采购人需求定制；</w:t>
            </w:r>
          </w:p>
          <w:p w14:paraId="73EFE6BE">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（8）光纤照明系统由光纤发生器、光纤导光索、光纤棒等组成；</w:t>
            </w:r>
          </w:p>
          <w:p w14:paraId="7D0E6524">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（9）频闪控制:不低于IEEEStd1789-2015811款规定，即:波动频率f90Hz的波动浮度Mod%&lt;(f*0.025)%;波动频率90Hz&lt;f&lt;1250Hz的波动深度Mod%&lt;(f*0.08)%;波动频率f&gt;1250Hz的无限制。(以调光50%频闪数据为准)；</w:t>
            </w:r>
          </w:p>
          <w:p w14:paraId="2BC8E4FF">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★2、恒湿展览设备1LED专业扫光灯照明(33组)</w:t>
            </w:r>
          </w:p>
          <w:p w14:paraId="0AD0C993">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（1）采用</w:t>
            </w:r>
            <w:r>
              <w:rPr>
                <w:rFonts w:hint="eastAsia" w:eastAsia="宋体" w:cs="宋体"/>
                <w:b w:val="0"/>
                <w:bCs w:val="0"/>
                <w:color w:val="auto"/>
                <w:sz w:val="21"/>
                <w:szCs w:val="21"/>
                <w:highlight w:val="none"/>
                <w:lang w:val="en-US" w:eastAsia="zh-CN"/>
              </w:rPr>
              <w:t>LED</w:t>
            </w:r>
            <w:r>
              <w:rPr>
                <w:rFonts w:hint="eastAsia" w:ascii="宋体" w:hAnsi="宋体" w:eastAsia="宋体" w:cs="宋体"/>
                <w:b w:val="0"/>
                <w:bCs w:val="0"/>
                <w:color w:val="auto"/>
                <w:sz w:val="21"/>
                <w:szCs w:val="21"/>
                <w:highlight w:val="none"/>
                <w:lang w:val="en-US" w:eastAsia="zh-CN"/>
              </w:rPr>
              <w:t>芯片，高光效，高显色性；</w:t>
            </w:r>
          </w:p>
          <w:p w14:paraId="7774714E">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（2）光学级偏光透镜，使照射面照度更加匀称；</w:t>
            </w:r>
          </w:p>
          <w:p w14:paraId="657E372D">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（3）灯杆高度可调，灵活调节；</w:t>
            </w:r>
          </w:p>
          <w:p w14:paraId="3E8C4640">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（4）≥两种安装方式，适用于各种柜型；</w:t>
            </w:r>
          </w:p>
          <w:p w14:paraId="0C7853C8">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（5）可兼容调光；</w:t>
            </w:r>
          </w:p>
          <w:p w14:paraId="6A8C59AB">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（6）CRI：≥95；</w:t>
            </w:r>
          </w:p>
          <w:p w14:paraId="4D2461FF">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（7）LED色容差：2step；</w:t>
            </w:r>
          </w:p>
          <w:p w14:paraId="6EA620C6">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★3、恒湿展览设备2LED小射灯和LED方形洗墙照明（8组）</w:t>
            </w:r>
          </w:p>
          <w:p w14:paraId="6CC1F2AD">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（1）LED方形洗墙照明参数</w:t>
            </w:r>
          </w:p>
          <w:p w14:paraId="77CBF224">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①采用LED芯片；</w:t>
            </w:r>
          </w:p>
          <w:p w14:paraId="1AD7BA3C">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②光学级透镜，透光率高，光斑均匀；</w:t>
            </w:r>
          </w:p>
          <w:p w14:paraId="02597026">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③扫光设计，出光均匀；</w:t>
            </w:r>
          </w:p>
          <w:p w14:paraId="0EA52CAE">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④可兼容调光；</w:t>
            </w:r>
          </w:p>
          <w:p w14:paraId="3712DF97">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⑤CRI：≥95；</w:t>
            </w:r>
          </w:p>
          <w:p w14:paraId="0415B786">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⑥LED色容差：2step；</w:t>
            </w:r>
          </w:p>
          <w:p w14:paraId="0BF0106C">
            <w:pPr>
              <w:keepNext w:val="0"/>
              <w:keepLines w:val="0"/>
              <w:pageBreakBefore w:val="0"/>
              <w:widowControl w:val="0"/>
              <w:numPr>
                <w:ilvl w:val="0"/>
                <w:numId w:val="4"/>
              </w:numPr>
              <w:kinsoku/>
              <w:overflowPunct/>
              <w:topLinePunct w:val="0"/>
              <w:autoSpaceDE/>
              <w:autoSpaceDN/>
              <w:bidi w:val="0"/>
              <w:spacing w:line="300" w:lineRule="auto"/>
              <w:ind w:left="0" w:leftChars="0"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LED小射灯</w:t>
            </w:r>
          </w:p>
          <w:p w14:paraId="15555C06">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①采用芯LED片，高光效，高显色性；</w:t>
            </w:r>
          </w:p>
          <w:p w14:paraId="0E85CC49">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②光学级透镜，喇叭口出光，光斑均匀，防眩光效果好；</w:t>
            </w:r>
          </w:p>
          <w:p w14:paraId="6DDA625E">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③灯头机械角可在灯具后部调节±25°摆动，360°转动，满足全方位投射需求；</w:t>
            </w:r>
          </w:p>
          <w:p w14:paraId="67D94CCD">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④拉动后部摇杆或者前灯头可调节光束角10°至60°；</w:t>
            </w:r>
          </w:p>
          <w:p w14:paraId="22778521">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⑤铝合金材质，整灯轻巧，便于安装；</w:t>
            </w:r>
          </w:p>
          <w:p w14:paraId="250090EC">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⑥出光面，直视看不到发光点，重点突出被照物品，聚光不刺眼；</w:t>
            </w:r>
          </w:p>
          <w:p w14:paraId="3C86D473">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⑦可兼容调光；</w:t>
            </w:r>
          </w:p>
          <w:p w14:paraId="050131E2">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⑧CRI：≥95；</w:t>
            </w:r>
          </w:p>
          <w:p w14:paraId="77143143">
            <w:pPr>
              <w:keepNext w:val="0"/>
              <w:keepLines w:val="0"/>
              <w:pageBreakBefore w:val="0"/>
              <w:widowControl w:val="0"/>
              <w:numPr>
                <w:ilvl w:val="0"/>
                <w:numId w:val="0"/>
              </w:numPr>
              <w:kinsoku/>
              <w:overflowPunct/>
              <w:topLinePunct w:val="0"/>
              <w:autoSpaceDE/>
              <w:autoSpaceDN/>
              <w:bidi w:val="0"/>
              <w:spacing w:line="300" w:lineRule="auto"/>
              <w:ind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⑨LED色容差：2step；</w:t>
            </w:r>
          </w:p>
          <w:p w14:paraId="7FC9864E">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四、玻璃要求</w:t>
            </w:r>
          </w:p>
          <w:p w14:paraId="6A41F4BE">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1、单双面外露玻璃边缘进行精细磨边倒角工艺加工处理，玻璃连接处经过45°斜边打磨工艺，无气泡和胶痕。展陈玻璃∶采用8+8或6+6或5+5、夹胶防爆膜、防紫外线的低反射玻璃；</w:t>
            </w:r>
          </w:p>
          <w:p w14:paraId="60F60113">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■2、耐冲击性能：符合 GB15763.3-2009《建筑用安全玻璃第3部分层玻璃》要求。；</w:t>
            </w:r>
          </w:p>
          <w:p w14:paraId="4F880825">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■3、耐久性：符合 GB15763.3-2009《建筑用安全玻璃第3部分层玻璃》要求。；</w:t>
            </w:r>
          </w:p>
          <w:p w14:paraId="0A2F294A">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■4、光学性能（</w:t>
            </w:r>
            <w:r>
              <w:rPr>
                <w:rFonts w:hint="eastAsia" w:ascii="宋体" w:hAnsi="宋体" w:eastAsia="宋体" w:cs="宋体"/>
                <w:b/>
                <w:bCs/>
                <w:color w:val="auto"/>
                <w:sz w:val="21"/>
                <w:szCs w:val="21"/>
                <w:highlight w:val="none"/>
                <w:lang w:val="en-US" w:eastAsia="zh-CN"/>
              </w:rPr>
              <w:t>投标文件中提供</w:t>
            </w:r>
            <w:r>
              <w:rPr>
                <w:rFonts w:hint="eastAsia" w:ascii="宋体" w:hAnsi="宋体" w:eastAsia="宋体" w:cs="宋体"/>
                <w:b/>
                <w:bCs/>
                <w:color w:val="auto"/>
                <w:sz w:val="21"/>
                <w:szCs w:val="21"/>
                <w:highlight w:val="none"/>
                <w:lang w:eastAsia="zh-CN"/>
              </w:rPr>
              <w:t>第三方</w:t>
            </w:r>
            <w:r>
              <w:rPr>
                <w:rFonts w:hint="eastAsia" w:ascii="宋体" w:hAnsi="宋体" w:eastAsia="宋体" w:cs="宋体"/>
                <w:b/>
                <w:bCs/>
                <w:color w:val="auto"/>
                <w:sz w:val="21"/>
                <w:szCs w:val="21"/>
                <w:highlight w:val="none"/>
                <w:lang w:val="en-US" w:eastAsia="zh-CN"/>
              </w:rPr>
              <w:t>检测</w:t>
            </w:r>
            <w:r>
              <w:rPr>
                <w:rFonts w:hint="eastAsia" w:ascii="宋体" w:hAnsi="宋体" w:eastAsia="宋体" w:cs="宋体"/>
                <w:b/>
                <w:bCs/>
                <w:color w:val="auto"/>
                <w:sz w:val="21"/>
                <w:szCs w:val="21"/>
                <w:highlight w:val="none"/>
                <w:lang w:eastAsia="zh-CN"/>
              </w:rPr>
              <w:t>机构出具的具有CMA标识的检测报告</w:t>
            </w:r>
            <w:r>
              <w:rPr>
                <w:rFonts w:hint="eastAsia" w:eastAsia="宋体" w:cs="宋体"/>
                <w:b/>
                <w:bCs/>
                <w:color w:val="auto"/>
                <w:sz w:val="21"/>
                <w:szCs w:val="21"/>
                <w:highlight w:val="none"/>
                <w:lang w:eastAsia="zh-CN"/>
              </w:rPr>
              <w:t>，</w:t>
            </w:r>
            <w:r>
              <w:rPr>
                <w:rFonts w:hint="eastAsia" w:eastAsia="宋体" w:cs="宋体"/>
                <w:b/>
                <w:bCs/>
                <w:color w:val="auto"/>
                <w:sz w:val="21"/>
                <w:szCs w:val="21"/>
                <w:highlight w:val="none"/>
                <w:lang w:val="en-US" w:eastAsia="zh-CN"/>
              </w:rPr>
              <w:t>需体现下列参数</w:t>
            </w:r>
            <w:r>
              <w:rPr>
                <w:rFonts w:hint="eastAsia" w:ascii="宋体" w:hAnsi="宋体" w:eastAsia="宋体" w:cs="宋体"/>
                <w:b w:val="0"/>
                <w:bCs w:val="0"/>
                <w:color w:val="auto"/>
                <w:sz w:val="21"/>
                <w:szCs w:val="21"/>
                <w:highlight w:val="none"/>
                <w:lang w:val="en-US" w:eastAsia="zh-CN"/>
              </w:rPr>
              <w:t>）：</w:t>
            </w:r>
          </w:p>
          <w:p w14:paraId="57D266C7">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（1）8+8或6+6或5+5低反射夹层玻璃成品实测可见光透射比≥97%；</w:t>
            </w:r>
          </w:p>
          <w:p w14:paraId="7EE73502">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（2)实测可见光反射比≦1%；</w:t>
            </w:r>
          </w:p>
          <w:p w14:paraId="77F94279">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（3)实测黄色指数≦0.7；</w:t>
            </w:r>
          </w:p>
          <w:p w14:paraId="7D37C619">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（4)实测显色指数≧99；</w:t>
            </w:r>
          </w:p>
          <w:p w14:paraId="273CF3BC">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（5)成品实测可阻挡99.5%的紫外光（波长为320～380纳米）；</w:t>
            </w:r>
          </w:p>
          <w:p w14:paraId="26BDE3CA">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五、恒湿性能</w:t>
            </w:r>
          </w:p>
          <w:p w14:paraId="00C8FFFB">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1、微环境智能恒湿机是古籍</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专用设备，为</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提供不间断有效平稳的湿度环境,对</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内的温湿度进行实时监测控制；</w:t>
            </w:r>
          </w:p>
          <w:p w14:paraId="12F299DA">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★2、可根据古籍对湿度要求在45%—60%范围间进行调整，控制精±1.5%。湿度测量范围0～98%RH,湿度测量精度±1.5%RH；湿度控制范围45%RH～60%RH,湿度控制精度±1.5%RH，温度测量范围-20℃～+50℃,温度测量精度±0.3℃；</w:t>
            </w:r>
          </w:p>
          <w:p w14:paraId="2C9001CD">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3、可根据需要自行设定湿度范围，可精确有效调控</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内的湿度,提供差异湿度；</w:t>
            </w:r>
          </w:p>
          <w:p w14:paraId="3FEDC314">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★4、恒湿系统将根据设定的数字自动调整</w:t>
            </w:r>
            <w:r>
              <w:rPr>
                <w:rFonts w:hint="eastAsia" w:eastAsia="宋体" w:cs="宋体"/>
                <w:b w:val="0"/>
                <w:bCs w:val="0"/>
                <w:color w:val="auto"/>
                <w:sz w:val="21"/>
                <w:szCs w:val="21"/>
                <w:highlight w:val="none"/>
                <w:lang w:val="en-US" w:eastAsia="zh-CN"/>
              </w:rPr>
              <w:t>展览设备</w:t>
            </w:r>
            <w:r>
              <w:rPr>
                <w:rFonts w:hint="eastAsia" w:ascii="宋体" w:hAnsi="宋体" w:eastAsia="宋体" w:cs="宋体"/>
                <w:b w:val="0"/>
                <w:bCs w:val="0"/>
                <w:color w:val="auto"/>
                <w:sz w:val="21"/>
                <w:szCs w:val="21"/>
                <w:highlight w:val="none"/>
                <w:lang w:val="en-US" w:eastAsia="zh-CN"/>
              </w:rPr>
              <w:t>内湿度以符合要求；</w:t>
            </w:r>
          </w:p>
          <w:p w14:paraId="0E203436">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★5、设备本身可接入微环境智能监控平台，实现远程数据监控；</w:t>
            </w:r>
          </w:p>
          <w:p w14:paraId="3596D3E9">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★6、电源标准170～265VAC,电子恒湿机设备主机尺寸为400mm×270mm×150mm，设备最小安装空间为450mm×450mm×300mm。去水：地面去水口，去水盘；</w:t>
            </w:r>
          </w:p>
          <w:p w14:paraId="5DC75163">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7、产品重量为≤9kg（水箱空）、≤10</w:t>
            </w:r>
            <w:r>
              <w:rPr>
                <w:rFonts w:hint="eastAsia" w:ascii="宋体" w:hAnsi="宋体" w:eastAsia="宋体" w:cs="宋体"/>
                <w:color w:val="auto"/>
                <w:kern w:val="2"/>
                <w:sz w:val="21"/>
                <w:szCs w:val="21"/>
                <w:highlight w:val="none"/>
                <w:lang w:val="en-US" w:eastAsia="zh-CN" w:bidi="ar-SA"/>
              </w:rPr>
              <w:t>kg</w:t>
            </w:r>
            <w:r>
              <w:rPr>
                <w:rFonts w:hint="eastAsia" w:ascii="宋体" w:hAnsi="宋体" w:eastAsia="宋体" w:cs="宋体"/>
                <w:b w:val="0"/>
                <w:bCs w:val="0"/>
                <w:color w:val="auto"/>
                <w:sz w:val="21"/>
                <w:szCs w:val="21"/>
                <w:highlight w:val="none"/>
                <w:lang w:val="en-US" w:eastAsia="zh-CN"/>
              </w:rPr>
              <w:t>（水箱满）；</w:t>
            </w:r>
          </w:p>
          <w:p w14:paraId="36A54067">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★8、噪声≦50dB，泄漏电流≦5mA，绝缘电≥10MΩ；</w:t>
            </w:r>
          </w:p>
          <w:p w14:paraId="4A347933">
            <w:pPr>
              <w:keepNext w:val="0"/>
              <w:keepLines w:val="0"/>
              <w:pageBreakBefore w:val="0"/>
              <w:widowControl w:val="0"/>
              <w:numPr>
                <w:ilvl w:val="0"/>
                <w:numId w:val="0"/>
              </w:numPr>
              <w:kinsoku/>
              <w:overflowPunct/>
              <w:topLinePunct w:val="0"/>
              <w:autoSpaceDE/>
              <w:autoSpaceDN/>
              <w:bidi w:val="0"/>
              <w:spacing w:line="30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★9、采用半导体制冷，小型恒湿机功率≤150w，中型恒湿机功率≤300w；</w:t>
            </w:r>
          </w:p>
          <w:p w14:paraId="3B333BE0">
            <w:pPr>
              <w:keepNext w:val="0"/>
              <w:keepLines w:val="0"/>
              <w:pageBreakBefore w:val="0"/>
              <w:widowControl w:val="0"/>
              <w:numPr>
                <w:ilvl w:val="0"/>
                <w:numId w:val="0"/>
              </w:numPr>
              <w:kinsoku/>
              <w:overflowPunct/>
              <w:topLinePunct w:val="0"/>
              <w:autoSpaceDE/>
              <w:autoSpaceDN/>
              <w:bidi w:val="0"/>
              <w:spacing w:line="300" w:lineRule="auto"/>
              <w:ind w:left="0" w:leftChars="0" w:firstLine="0" w:firstLineChars="0"/>
              <w:jc w:val="left"/>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■10.恒湿设备需符合:WW/T 0096-2020馆藏文物保存环境控制净化调湿装置技术要求，其中环境适应性高温工作、低温工作、高湿工作、低湿工作、工作稳定性、噪声要求、辐射发射、静电放电抗扰度、射频电磁场辐射抗扰度、电快速瞬变脉冲群抗扰度、浪涌(冲击)抗扰度、防尘等级需在供货时提供第三方检测机构出具的具有CMA标识的检测报告。</w:t>
            </w:r>
            <w:r>
              <w:rPr>
                <w:rFonts w:hint="eastAsia" w:ascii="宋体" w:hAnsi="宋体" w:eastAsia="宋体" w:cs="宋体"/>
                <w:b/>
                <w:bCs/>
                <w:color w:val="auto"/>
                <w:sz w:val="21"/>
                <w:szCs w:val="21"/>
                <w:highlight w:val="none"/>
                <w:lang w:val="en-US" w:eastAsia="zh-CN"/>
              </w:rPr>
              <w:t>（投标文件中提供书面承诺，承诺内容：合同签订后、供货时提供第三方检测机构出具的具有CMA标识的检测报告）</w:t>
            </w:r>
          </w:p>
        </w:tc>
      </w:tr>
    </w:tbl>
    <w:p w14:paraId="0975C0C1">
      <w:pPr>
        <w:pStyle w:val="2"/>
        <w:numPr>
          <w:ilvl w:val="0"/>
          <w:numId w:val="0"/>
        </w:numPr>
        <w:rPr>
          <w:rFonts w:hint="default"/>
          <w:color w:val="auto"/>
          <w:highlight w:val="none"/>
          <w:lang w:val="en-US" w:eastAsia="zh-CN"/>
        </w:rPr>
      </w:pPr>
    </w:p>
    <w:bookmarkEnd w:id="16"/>
    <w:bookmarkEnd w:id="17"/>
    <w:p w14:paraId="08757BFB">
      <w:pPr>
        <w:pStyle w:val="3"/>
        <w:adjustRightInd w:val="0"/>
        <w:snapToGrid w:val="0"/>
        <w:spacing w:before="0" w:after="0" w:line="360" w:lineRule="auto"/>
        <w:ind w:firstLine="422"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三、备品备件及专用工具</w:t>
      </w:r>
    </w:p>
    <w:p w14:paraId="1A82B9BD">
      <w:pPr>
        <w:adjustRightInd w:val="0"/>
        <w:snapToGrid w:val="0"/>
        <w:spacing w:line="360" w:lineRule="auto"/>
        <w:ind w:firstLine="420" w:firstLineChars="200"/>
        <w:rPr>
          <w:color w:val="auto"/>
          <w:highlight w:val="none"/>
        </w:rPr>
      </w:pPr>
      <w:bookmarkStart w:id="18" w:name="_Toc455587093"/>
      <w:bookmarkStart w:id="19" w:name="_Toc455587277"/>
      <w:bookmarkStart w:id="20" w:name="_Toc445554752"/>
      <w:r>
        <w:rPr>
          <w:rFonts w:hint="eastAsia"/>
          <w:color w:val="auto"/>
          <w:highlight w:val="none"/>
        </w:rPr>
        <w:t>1、备品备件：中标人提供能够满足质量保证期内的设备维修要求的备品备件，备品备件应是新品。</w:t>
      </w:r>
    </w:p>
    <w:p w14:paraId="64C4AD27">
      <w:pPr>
        <w:adjustRightInd w:val="0"/>
        <w:snapToGrid w:val="0"/>
        <w:spacing w:line="360" w:lineRule="auto"/>
        <w:ind w:firstLine="420" w:firstLineChars="200"/>
        <w:rPr>
          <w:color w:val="auto"/>
          <w:highlight w:val="none"/>
        </w:rPr>
      </w:pPr>
      <w:r>
        <w:rPr>
          <w:rFonts w:hint="eastAsia"/>
          <w:color w:val="auto"/>
          <w:highlight w:val="none"/>
        </w:rPr>
        <w:t>2、专用工具：中标人提供设备安装、调试、验收、维修、保养所必要的专用工具、仪器、仪表等工具。</w:t>
      </w:r>
    </w:p>
    <w:bookmarkEnd w:id="18"/>
    <w:bookmarkEnd w:id="19"/>
    <w:bookmarkEnd w:id="20"/>
    <w:p w14:paraId="6F3D49AE">
      <w:pPr>
        <w:adjustRightInd w:val="0"/>
        <w:snapToGrid w:val="0"/>
        <w:spacing w:line="360" w:lineRule="auto"/>
        <w:ind w:firstLine="422" w:firstLineChars="200"/>
        <w:rPr>
          <w:b/>
          <w:bCs/>
          <w:color w:val="auto"/>
          <w:highlight w:val="none"/>
        </w:rPr>
      </w:pPr>
      <w:bookmarkStart w:id="21" w:name="_Toc532199625"/>
      <w:bookmarkStart w:id="22" w:name="_Toc445554753"/>
      <w:bookmarkStart w:id="23" w:name="_Toc455587278"/>
      <w:bookmarkStart w:id="24" w:name="_Toc455587094"/>
      <w:r>
        <w:rPr>
          <w:rFonts w:hint="eastAsia"/>
          <w:b/>
          <w:bCs/>
          <w:color w:val="auto"/>
          <w:highlight w:val="none"/>
        </w:rPr>
        <w:t>四、安装调试、验收试验及质量保证</w:t>
      </w:r>
      <w:bookmarkEnd w:id="21"/>
    </w:p>
    <w:p w14:paraId="74108665">
      <w:pPr>
        <w:adjustRightInd w:val="0"/>
        <w:snapToGrid w:val="0"/>
        <w:spacing w:line="360" w:lineRule="auto"/>
        <w:ind w:firstLine="420" w:firstLineChars="200"/>
        <w:rPr>
          <w:color w:val="auto"/>
          <w:highlight w:val="none"/>
        </w:rPr>
      </w:pPr>
      <w:r>
        <w:rPr>
          <w:rFonts w:hint="eastAsia"/>
          <w:color w:val="auto"/>
          <w:highlight w:val="none"/>
        </w:rPr>
        <w:t>1、中标人在设备安装地点负责安装、调试。</w:t>
      </w:r>
    </w:p>
    <w:p w14:paraId="78995624">
      <w:pPr>
        <w:adjustRightInd w:val="0"/>
        <w:snapToGrid w:val="0"/>
        <w:spacing w:line="360" w:lineRule="auto"/>
        <w:ind w:firstLine="420" w:firstLineChars="200"/>
        <w:rPr>
          <w:color w:val="auto"/>
          <w:highlight w:val="none"/>
        </w:rPr>
      </w:pPr>
      <w:r>
        <w:rPr>
          <w:rFonts w:hint="eastAsia"/>
          <w:color w:val="auto"/>
          <w:highlight w:val="none"/>
        </w:rPr>
        <w:t>2、具体设备验收标准和程序按采购人要求执行，下列验收程序可参照执行：</w:t>
      </w:r>
    </w:p>
    <w:p w14:paraId="4D58A465">
      <w:pPr>
        <w:adjustRightInd w:val="0"/>
        <w:snapToGrid w:val="0"/>
        <w:spacing w:line="360" w:lineRule="auto"/>
        <w:ind w:firstLine="420" w:firstLineChars="200"/>
        <w:rPr>
          <w:color w:val="auto"/>
          <w:highlight w:val="none"/>
        </w:rPr>
      </w:pPr>
      <w:r>
        <w:rPr>
          <w:rFonts w:hint="eastAsia"/>
          <w:color w:val="auto"/>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2151F7CE">
      <w:pPr>
        <w:adjustRightInd w:val="0"/>
        <w:snapToGrid w:val="0"/>
        <w:spacing w:line="360" w:lineRule="auto"/>
        <w:ind w:firstLine="420" w:firstLineChars="200"/>
        <w:rPr>
          <w:color w:val="auto"/>
          <w:highlight w:val="none"/>
        </w:rPr>
      </w:pPr>
      <w:r>
        <w:rPr>
          <w:rFonts w:hint="eastAsia"/>
          <w:color w:val="auto"/>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3885140D">
      <w:pPr>
        <w:adjustRightInd w:val="0"/>
        <w:snapToGrid w:val="0"/>
        <w:spacing w:line="360" w:lineRule="auto"/>
        <w:ind w:firstLine="420" w:firstLineChars="200"/>
        <w:rPr>
          <w:color w:val="auto"/>
          <w:highlight w:val="none"/>
        </w:rPr>
      </w:pPr>
      <w:r>
        <w:rPr>
          <w:rFonts w:hint="eastAsia"/>
          <w:color w:val="auto"/>
          <w:highlight w:val="none"/>
        </w:rPr>
        <w:t>2.3 中标人应根据采购人使用单位的技术要求提供相应的产品。由中标人所提供的设备部件间的连线和插接件均应视为设备内部器件，包含在相应的设备之中。</w:t>
      </w:r>
    </w:p>
    <w:p w14:paraId="205BDA90">
      <w:pPr>
        <w:adjustRightInd w:val="0"/>
        <w:snapToGrid w:val="0"/>
        <w:spacing w:line="360" w:lineRule="auto"/>
        <w:ind w:firstLine="420" w:firstLineChars="200"/>
        <w:rPr>
          <w:color w:val="auto"/>
          <w:highlight w:val="none"/>
        </w:rPr>
      </w:pPr>
      <w:r>
        <w:rPr>
          <w:rFonts w:hint="eastAsia"/>
          <w:color w:val="auto"/>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3E558771">
      <w:pPr>
        <w:adjustRightInd w:val="0"/>
        <w:snapToGrid w:val="0"/>
        <w:spacing w:line="360" w:lineRule="auto"/>
        <w:ind w:firstLine="420" w:firstLineChars="200"/>
        <w:rPr>
          <w:color w:val="auto"/>
          <w:highlight w:val="none"/>
        </w:rPr>
      </w:pPr>
      <w:r>
        <w:rPr>
          <w:rFonts w:hint="eastAsia"/>
          <w:color w:val="auto"/>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05317B62">
      <w:pPr>
        <w:adjustRightInd w:val="0"/>
        <w:snapToGrid w:val="0"/>
        <w:spacing w:line="360" w:lineRule="auto"/>
        <w:ind w:firstLine="420" w:firstLineChars="200"/>
        <w:rPr>
          <w:color w:val="auto"/>
          <w:highlight w:val="none"/>
        </w:rPr>
      </w:pPr>
      <w:r>
        <w:rPr>
          <w:rFonts w:hint="eastAsia"/>
          <w:color w:val="auto"/>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bookmarkEnd w:id="22"/>
    <w:bookmarkEnd w:id="23"/>
    <w:bookmarkEnd w:id="24"/>
    <w:p w14:paraId="42A32A5D">
      <w:pPr>
        <w:adjustRightInd w:val="0"/>
        <w:snapToGrid w:val="0"/>
        <w:spacing w:line="360" w:lineRule="auto"/>
        <w:ind w:firstLine="422" w:firstLineChars="200"/>
        <w:rPr>
          <w:b/>
          <w:bCs/>
          <w:color w:val="auto"/>
          <w:highlight w:val="none"/>
        </w:rPr>
      </w:pPr>
      <w:bookmarkStart w:id="25" w:name="_Toc532199626"/>
      <w:r>
        <w:rPr>
          <w:rFonts w:hint="eastAsia"/>
          <w:b/>
          <w:bCs/>
          <w:color w:val="auto"/>
          <w:highlight w:val="none"/>
        </w:rPr>
        <w:t>五、包装运输</w:t>
      </w:r>
      <w:bookmarkEnd w:id="25"/>
    </w:p>
    <w:p w14:paraId="41118497">
      <w:pPr>
        <w:adjustRightInd w:val="0"/>
        <w:snapToGrid w:val="0"/>
        <w:spacing w:line="360" w:lineRule="auto"/>
        <w:ind w:firstLine="420" w:firstLineChars="200"/>
        <w:rPr>
          <w:color w:val="auto"/>
          <w:highlight w:val="none"/>
        </w:rPr>
      </w:pPr>
      <w:bookmarkStart w:id="26" w:name="_Toc445554754"/>
      <w:bookmarkStart w:id="27" w:name="_Toc455587095"/>
      <w:bookmarkStart w:id="28" w:name="_Toc455587279"/>
      <w:r>
        <w:rPr>
          <w:rFonts w:hint="eastAsia"/>
          <w:color w:val="auto"/>
          <w:highlight w:val="none"/>
        </w:rPr>
        <w:t>1、中标人负责设备包装、办理运输和保险，将设备安全运抵交货地点。</w:t>
      </w:r>
    </w:p>
    <w:p w14:paraId="78943F97">
      <w:pPr>
        <w:adjustRightInd w:val="0"/>
        <w:snapToGrid w:val="0"/>
        <w:spacing w:line="360" w:lineRule="auto"/>
        <w:ind w:firstLine="420" w:firstLineChars="200"/>
        <w:rPr>
          <w:color w:val="auto"/>
          <w:highlight w:val="none"/>
        </w:rPr>
      </w:pPr>
      <w:r>
        <w:rPr>
          <w:rFonts w:hint="eastAsia"/>
          <w:color w:val="auto"/>
          <w:highlight w:val="none"/>
        </w:rPr>
        <w:t>2、设备制造完成并通过试验后应及时包装，否则应得到切实的保护，确保其不受污损。</w:t>
      </w:r>
    </w:p>
    <w:p w14:paraId="18D385B3">
      <w:pPr>
        <w:adjustRightInd w:val="0"/>
        <w:snapToGrid w:val="0"/>
        <w:spacing w:line="360" w:lineRule="auto"/>
        <w:ind w:firstLine="420" w:firstLineChars="200"/>
        <w:rPr>
          <w:color w:val="auto"/>
          <w:highlight w:val="none"/>
        </w:rPr>
      </w:pPr>
      <w:r>
        <w:rPr>
          <w:rFonts w:hint="eastAsia"/>
          <w:color w:val="auto"/>
          <w:highlight w:val="none"/>
        </w:rPr>
        <w:t>3、在包装箱外应标明采购人的订货号、发货号。</w:t>
      </w:r>
    </w:p>
    <w:p w14:paraId="7E11CE54">
      <w:pPr>
        <w:adjustRightInd w:val="0"/>
        <w:snapToGrid w:val="0"/>
        <w:spacing w:line="360" w:lineRule="auto"/>
        <w:ind w:firstLine="420" w:firstLineChars="200"/>
        <w:rPr>
          <w:color w:val="auto"/>
          <w:highlight w:val="none"/>
        </w:rPr>
      </w:pPr>
      <w:r>
        <w:rPr>
          <w:rFonts w:hint="eastAsia"/>
          <w:color w:val="auto"/>
          <w:highlight w:val="none"/>
        </w:rPr>
        <w:t>4、各种包装应能确保各零部件在运输过程中不致遭到损坏、丢失、变形、受潮和腐蚀。</w:t>
      </w:r>
    </w:p>
    <w:p w14:paraId="0367C1E0">
      <w:pPr>
        <w:adjustRightInd w:val="0"/>
        <w:snapToGrid w:val="0"/>
        <w:spacing w:line="360" w:lineRule="auto"/>
        <w:ind w:firstLine="420" w:firstLineChars="200"/>
        <w:rPr>
          <w:color w:val="auto"/>
          <w:highlight w:val="none"/>
        </w:rPr>
      </w:pPr>
      <w:r>
        <w:rPr>
          <w:rFonts w:hint="eastAsia"/>
          <w:color w:val="auto"/>
          <w:highlight w:val="none"/>
        </w:rPr>
        <w:t>5、包装箱上应有明显的包装储运图示标志。</w:t>
      </w:r>
    </w:p>
    <w:p w14:paraId="0F3206F7">
      <w:pPr>
        <w:adjustRightInd w:val="0"/>
        <w:snapToGrid w:val="0"/>
        <w:spacing w:line="360" w:lineRule="auto"/>
        <w:ind w:firstLine="420" w:firstLineChars="200"/>
        <w:rPr>
          <w:color w:val="auto"/>
          <w:highlight w:val="none"/>
        </w:rPr>
      </w:pPr>
      <w:r>
        <w:rPr>
          <w:rFonts w:hint="eastAsia"/>
          <w:color w:val="auto"/>
          <w:highlight w:val="none"/>
        </w:rPr>
        <w:t>6、整体产品或分别运输的部件都要适应运输和装载的要求。</w:t>
      </w:r>
    </w:p>
    <w:p w14:paraId="3B803646">
      <w:pPr>
        <w:adjustRightInd w:val="0"/>
        <w:snapToGrid w:val="0"/>
        <w:spacing w:line="360" w:lineRule="auto"/>
        <w:ind w:firstLine="420" w:firstLineChars="200"/>
        <w:rPr>
          <w:color w:val="auto"/>
          <w:highlight w:val="none"/>
        </w:rPr>
      </w:pPr>
      <w:r>
        <w:rPr>
          <w:rFonts w:hint="eastAsia"/>
          <w:color w:val="auto"/>
          <w:highlight w:val="none"/>
        </w:rPr>
        <w:t>7、随产品提供的技术资料应完整无缺。</w:t>
      </w:r>
    </w:p>
    <w:p w14:paraId="3E727C49">
      <w:pPr>
        <w:adjustRightInd w:val="0"/>
        <w:snapToGrid w:val="0"/>
        <w:spacing w:line="360" w:lineRule="auto"/>
        <w:ind w:firstLine="422" w:firstLineChars="200"/>
        <w:rPr>
          <w:b/>
          <w:bCs/>
          <w:color w:val="auto"/>
          <w:highlight w:val="none"/>
        </w:rPr>
      </w:pPr>
      <w:bookmarkStart w:id="29" w:name="_Toc532199627"/>
      <w:r>
        <w:rPr>
          <w:rFonts w:hint="eastAsia"/>
          <w:b/>
          <w:bCs/>
          <w:color w:val="auto"/>
          <w:highlight w:val="none"/>
        </w:rPr>
        <w:t>六、技术培训</w:t>
      </w:r>
      <w:bookmarkEnd w:id="26"/>
      <w:bookmarkEnd w:id="27"/>
      <w:bookmarkEnd w:id="28"/>
      <w:bookmarkEnd w:id="29"/>
    </w:p>
    <w:p w14:paraId="35718003">
      <w:pPr>
        <w:adjustRightInd w:val="0"/>
        <w:snapToGrid w:val="0"/>
        <w:spacing w:line="360" w:lineRule="auto"/>
        <w:ind w:firstLine="420" w:firstLineChars="200"/>
        <w:rPr>
          <w:color w:val="auto"/>
          <w:highlight w:val="none"/>
        </w:rPr>
      </w:pPr>
      <w:r>
        <w:rPr>
          <w:rFonts w:hint="eastAsia"/>
          <w:color w:val="auto"/>
          <w:highlight w:val="none"/>
        </w:rPr>
        <w:t>1、为使合同设备能正常安装和运行，由中标人提供相应的技术培训，并免收采购人培训费用。培训内容应与工程进度相一致。</w:t>
      </w:r>
    </w:p>
    <w:p w14:paraId="6A90AB19">
      <w:pPr>
        <w:adjustRightInd w:val="0"/>
        <w:snapToGrid w:val="0"/>
        <w:spacing w:line="360" w:lineRule="auto"/>
        <w:ind w:firstLine="420" w:firstLineChars="200"/>
        <w:rPr>
          <w:color w:val="auto"/>
          <w:highlight w:val="none"/>
        </w:rPr>
      </w:pPr>
      <w:r>
        <w:rPr>
          <w:rFonts w:hint="eastAsia"/>
          <w:color w:val="auto"/>
          <w:highlight w:val="none"/>
        </w:rPr>
        <w:t>2、培训的时间、人数、地点等具体内容由买卖双方商定，内容至少包括：设备原理、使用、维护、运行操作、常见故障处理等。</w:t>
      </w:r>
    </w:p>
    <w:p w14:paraId="36C739F9">
      <w:pPr>
        <w:adjustRightInd w:val="0"/>
        <w:snapToGrid w:val="0"/>
        <w:spacing w:line="360" w:lineRule="auto"/>
        <w:ind w:firstLine="420" w:firstLineChars="200"/>
        <w:rPr>
          <w:color w:val="auto"/>
          <w:highlight w:val="none"/>
        </w:rPr>
      </w:pPr>
      <w:r>
        <w:rPr>
          <w:rFonts w:hint="eastAsia"/>
          <w:color w:val="auto"/>
          <w:highlight w:val="none"/>
        </w:rPr>
        <w:t>3、技术参数及要求里有特别规定的，以技术参数及要求中的要求为准。</w:t>
      </w:r>
    </w:p>
    <w:p w14:paraId="660D26DB">
      <w:pPr>
        <w:adjustRightInd w:val="0"/>
        <w:snapToGrid w:val="0"/>
        <w:spacing w:line="360" w:lineRule="auto"/>
        <w:ind w:firstLine="422" w:firstLineChars="200"/>
        <w:rPr>
          <w:b/>
          <w:bCs/>
          <w:color w:val="auto"/>
          <w:highlight w:val="none"/>
        </w:rPr>
      </w:pPr>
      <w:r>
        <w:rPr>
          <w:rFonts w:hint="eastAsia"/>
          <w:b/>
          <w:bCs/>
          <w:color w:val="auto"/>
          <w:highlight w:val="none"/>
        </w:rPr>
        <w:t>七、质保及售后服务</w:t>
      </w:r>
    </w:p>
    <w:p w14:paraId="3C972A53">
      <w:pPr>
        <w:adjustRightInd w:val="0"/>
        <w:snapToGrid w:val="0"/>
        <w:spacing w:line="360" w:lineRule="auto"/>
        <w:ind w:firstLine="420" w:firstLineChars="200"/>
        <w:rPr>
          <w:rFonts w:hint="eastAsia" w:eastAsia="宋体"/>
          <w:color w:val="auto"/>
          <w:highlight w:val="none"/>
          <w:lang w:eastAsia="zh-CN"/>
        </w:rPr>
      </w:pPr>
      <w:r>
        <w:rPr>
          <w:rFonts w:hint="eastAsia"/>
          <w:color w:val="auto"/>
          <w:highlight w:val="none"/>
        </w:rPr>
        <w:t>1、自双方签订《验收报告》起进入免费质保期。质保期内</w:t>
      </w:r>
      <w:r>
        <w:rPr>
          <w:rFonts w:hint="eastAsia"/>
          <w:color w:val="auto"/>
          <w:highlight w:val="none"/>
          <w:lang w:eastAsia="zh-CN"/>
        </w:rPr>
        <w:t>，</w:t>
      </w:r>
      <w:r>
        <w:rPr>
          <w:rFonts w:hint="eastAsia"/>
          <w:color w:val="auto"/>
          <w:highlight w:val="none"/>
        </w:rPr>
        <w:t>配件更换</w:t>
      </w:r>
      <w:r>
        <w:rPr>
          <w:rFonts w:hint="eastAsia"/>
          <w:color w:val="auto"/>
          <w:highlight w:val="none"/>
          <w:lang w:val="en-US" w:eastAsia="zh-CN"/>
        </w:rPr>
        <w:t>费用包含在本项目投标报价中</w:t>
      </w:r>
      <w:r>
        <w:rPr>
          <w:rFonts w:hint="eastAsia"/>
          <w:color w:val="auto"/>
          <w:highlight w:val="none"/>
          <w:lang w:eastAsia="zh-CN"/>
        </w:rPr>
        <w:t>。</w:t>
      </w:r>
    </w:p>
    <w:p w14:paraId="3B8A296E">
      <w:pPr>
        <w:adjustRightInd w:val="0"/>
        <w:snapToGrid w:val="0"/>
        <w:spacing w:line="360" w:lineRule="auto"/>
        <w:ind w:firstLine="420" w:firstLineChars="200"/>
        <w:rPr>
          <w:rFonts w:hint="eastAsia" w:ascii="Calibri" w:hAnsi="Calibri" w:cs="Times New Roman"/>
          <w:color w:val="auto"/>
          <w:szCs w:val="22"/>
          <w:highlight w:val="none"/>
        </w:rPr>
      </w:pPr>
      <w:r>
        <w:rPr>
          <w:rFonts w:hint="eastAsia"/>
          <w:color w:val="auto"/>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E9CF1A6">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AA2F7"/>
    <w:multiLevelType w:val="singleLevel"/>
    <w:tmpl w:val="90EAA2F7"/>
    <w:lvl w:ilvl="0" w:tentative="0">
      <w:start w:val="2"/>
      <w:numFmt w:val="decimal"/>
      <w:suff w:val="nothing"/>
      <w:lvlText w:val="（%1）"/>
      <w:lvlJc w:val="left"/>
    </w:lvl>
  </w:abstractNum>
  <w:abstractNum w:abstractNumId="1">
    <w:nsid w:val="99386FE7"/>
    <w:multiLevelType w:val="singleLevel"/>
    <w:tmpl w:val="99386FE7"/>
    <w:lvl w:ilvl="0" w:tentative="0">
      <w:start w:val="6"/>
      <w:numFmt w:val="decimal"/>
      <w:suff w:val="nothing"/>
      <w:lvlText w:val="%1、"/>
      <w:lvlJc w:val="left"/>
    </w:lvl>
  </w:abstractNum>
  <w:abstractNum w:abstractNumId="2">
    <w:nsid w:val="E26DAE98"/>
    <w:multiLevelType w:val="singleLevel"/>
    <w:tmpl w:val="E26DAE98"/>
    <w:lvl w:ilvl="0" w:tentative="0">
      <w:start w:val="1"/>
      <w:numFmt w:val="decimal"/>
      <w:suff w:val="nothing"/>
      <w:lvlText w:val="（%1）"/>
      <w:lvlJc w:val="left"/>
    </w:lvl>
  </w:abstractNum>
  <w:abstractNum w:abstractNumId="3">
    <w:nsid w:val="F7C0221E"/>
    <w:multiLevelType w:val="singleLevel"/>
    <w:tmpl w:val="F7C0221E"/>
    <w:lvl w:ilvl="0" w:tentative="0">
      <w:start w:val="1"/>
      <w:numFmt w:val="decimal"/>
      <w:suff w:val="nothing"/>
      <w:lvlText w:val="（%1）"/>
      <w:lvlJc w:val="left"/>
    </w:lvl>
  </w:abstractNum>
  <w:abstractNum w:abstractNumId="4">
    <w:nsid w:val="3344E089"/>
    <w:multiLevelType w:val="singleLevel"/>
    <w:tmpl w:val="3344E089"/>
    <w:lvl w:ilvl="0" w:tentative="0">
      <w:start w:val="3"/>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E6B22"/>
    <w:rsid w:val="375E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0"/>
    <w:pPr>
      <w:kinsoku w:val="0"/>
      <w:autoSpaceDE w:val="0"/>
      <w:autoSpaceDN w:val="0"/>
      <w:adjustRightInd w:val="0"/>
      <w:snapToGrid w:val="0"/>
      <w:ind w:left="600" w:leftChars="600"/>
      <w:textAlignment w:val="baseline"/>
    </w:pPr>
    <w:rPr>
      <w:rFonts w:ascii="Arial" w:hAnsi="Arial" w:eastAsia="Arial" w:cs="Arial"/>
      <w:snapToGrid w:val="0"/>
      <w:color w:val="000000"/>
      <w:sz w:val="21"/>
      <w:szCs w:val="21"/>
      <w:lang w:val="en-US" w:eastAsia="zh-CN" w:bidi="ar-SA"/>
    </w:rPr>
  </w:style>
  <w:style w:type="paragraph" w:styleId="4">
    <w:name w:val="annotation text"/>
    <w:basedOn w:val="1"/>
    <w:qFormat/>
    <w:uiPriority w:val="0"/>
    <w:pPr>
      <w:jc w:val="left"/>
    </w:pPr>
    <w:rPr>
      <w:rFonts w:cs="Times New Roman"/>
      <w:szCs w:val="20"/>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99"/>
    <w:pPr>
      <w:snapToGrid w:val="0"/>
    </w:pPr>
    <w:rPr>
      <w:rFonts w:ascii="Arial" w:hAnsi="Arial" w:cs="Arial"/>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仿宋_GB2312" w:hAnsi="@仿宋_GB2312" w:eastAsia="@仿宋_GB2312" w:cs="Times New Roman"/>
      <w:kern w:val="0"/>
      <w:sz w:val="18"/>
      <w:szCs w:val="18"/>
    </w:rPr>
  </w:style>
  <w:style w:type="paragraph" w:styleId="8">
    <w:name w:val="Body Text First Indent 2"/>
    <w:basedOn w:val="5"/>
    <w:next w:val="1"/>
    <w:unhideWhenUsed/>
    <w:qFormat/>
    <w:uiPriority w:val="99"/>
    <w:pPr>
      <w:ind w:left="420" w:firstLine="420" w:firstLineChars="200"/>
    </w:pPr>
    <w:rPr>
      <w:rFonts w:ascii="Times New Roman" w:cs="Times New Roman"/>
    </w:rPr>
  </w:style>
  <w:style w:type="table" w:styleId="10">
    <w:name w:val="Table Grid"/>
    <w:basedOn w:val="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amp;L"/>
    <w:basedOn w:val="7"/>
    <w:qFormat/>
    <w:uiPriority w:val="0"/>
    <w:pPr>
      <w:pBdr>
        <w:bottom w:val="none" w:color="auto" w:sz="0" w:space="0"/>
      </w:pBdr>
      <w:snapToGrid/>
    </w:pPr>
    <w:rPr>
      <w:rFonts w:ascii="宋体" w:hAnsi="宋体" w:eastAsia="宋体"/>
      <w:bCs/>
      <w:sz w:val="24"/>
      <w:szCs w:val="20"/>
    </w:rPr>
  </w:style>
  <w:style w:type="paragraph" w:customStyle="1" w:styleId="13">
    <w:name w:val="xl31"/>
    <w:basedOn w:val="1"/>
    <w:qFormat/>
    <w:uiPriority w:val="0"/>
    <w:pPr>
      <w:adjustRightInd w:val="0"/>
      <w:snapToGrid w:val="0"/>
      <w:spacing w:line="300" w:lineRule="auto"/>
    </w:pPr>
    <w:rPr>
      <w:rFonts w:ascii="宋体" w:hAnsi="宋体" w:eastAsia="宋体"/>
      <w:bCs/>
      <w:color w:val="FF0000"/>
      <w:kern w:val="0"/>
      <w:szCs w:val="21"/>
    </w:rPr>
  </w:style>
  <w:style w:type="table" w:customStyle="1" w:styleId="1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2025-03-21T08:32:00Z</dcterms:created>
  <dc:creator>初审-李真</dc:creator>
  <cp:lastModifiedBy>初审-李真</cp:lastModifiedBy>
  <dcterms:modified xsi:type="dcterms:W3CDTF">2025-03-21T08:32:32Z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1D4580139C16434BB144F2D401605509_11</vt:lpwstr>
  </property>
  <property fmtid="{D5CDD505-2E9C-101B-9397-08002B2CF9AE}" pid="4" name="KSOTemplateDocerSaveRecord">
    <vt:lpwstr>eyJoZGlkIjoiNjA3NGE3NTExNDc2ZGM0YWE4MThmNDY0MGZhYTI3NzgiLCJ1c2VySWQiOiIzMjQ4MTEwODkifQ==</vt:lpwstr>
  </property>
</Properties>
</file>