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9A95">
      <w:pPr>
        <w:spacing w:line="360" w:lineRule="auto"/>
        <w:jc w:val="center"/>
        <w:outlineLvl w:val="0"/>
        <w:rPr>
          <w:rFonts w:asciiTheme="minorEastAsia" w:hAnsiTheme="minorEastAsia" w:eastAsiaTheme="minorEastAsia"/>
          <w:b/>
          <w:sz w:val="28"/>
          <w:highlight w:val="none"/>
        </w:rPr>
      </w:pPr>
      <w:bookmarkStart w:id="0" w:name="_Toc10891"/>
      <w:r>
        <w:rPr>
          <w:rFonts w:hint="eastAsia" w:asciiTheme="minorEastAsia" w:hAnsiTheme="minorEastAsia" w:eastAsiaTheme="minorEastAsia"/>
          <w:b/>
          <w:sz w:val="28"/>
          <w:highlight w:val="none"/>
        </w:rPr>
        <w:t>第三章  采购需求</w:t>
      </w:r>
      <w:bookmarkEnd w:id="0"/>
    </w:p>
    <w:p w14:paraId="0D9E3639">
      <w:pPr>
        <w:spacing w:line="360" w:lineRule="auto"/>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前注：</w:t>
      </w:r>
    </w:p>
    <w:p w14:paraId="648A9894">
      <w:pPr>
        <w:spacing w:line="360" w:lineRule="auto"/>
        <w:ind w:firstLine="435"/>
        <w:rPr>
          <w:rFonts w:ascii="宋体" w:hAnsi="宋体" w:eastAsia="宋体"/>
          <w:sz w:val="24"/>
          <w:szCs w:val="18"/>
          <w:highlight w:val="none"/>
        </w:rPr>
      </w:pPr>
      <w:r>
        <w:rPr>
          <w:rFonts w:hint="eastAsia" w:asciiTheme="minorEastAsia" w:hAnsiTheme="minorEastAsia" w:eastAsiaTheme="minorEastAsia"/>
          <w:sz w:val="24"/>
          <w:highlight w:val="none"/>
        </w:rPr>
        <w:t>1.</w:t>
      </w:r>
      <w:r>
        <w:rPr>
          <w:rFonts w:ascii="宋体" w:hAnsi="宋体" w:eastAsia="宋体"/>
          <w:sz w:val="24"/>
          <w:szCs w:val="18"/>
          <w:highlight w:val="none"/>
        </w:rPr>
        <w:t>根据《</w:t>
      </w:r>
      <w:r>
        <w:rPr>
          <w:rFonts w:hint="eastAsia" w:ascii="宋体" w:hAnsi="宋体" w:eastAsia="宋体"/>
          <w:sz w:val="24"/>
          <w:szCs w:val="18"/>
          <w:highlight w:val="none"/>
        </w:rPr>
        <w:t>政府采购进口产品管理办法</w:t>
      </w:r>
      <w:r>
        <w:rPr>
          <w:rFonts w:ascii="宋体" w:hAnsi="宋体" w:eastAsia="宋体"/>
          <w:sz w:val="24"/>
          <w:szCs w:val="18"/>
          <w:highlight w:val="none"/>
        </w:rPr>
        <w:t>》及政府采购管理部门的相关规定，下列采购需求中</w:t>
      </w:r>
      <w:r>
        <w:rPr>
          <w:rFonts w:hint="eastAsia" w:ascii="宋体" w:hAnsi="宋体" w:eastAsia="宋体"/>
          <w:sz w:val="24"/>
          <w:szCs w:val="18"/>
          <w:highlight w:val="none"/>
        </w:rPr>
        <w:t>标注进口产品的货物均</w:t>
      </w:r>
      <w:r>
        <w:rPr>
          <w:rFonts w:ascii="宋体" w:hAnsi="宋体" w:eastAsia="宋体"/>
          <w:sz w:val="24"/>
          <w:szCs w:val="18"/>
          <w:highlight w:val="none"/>
        </w:rPr>
        <w:t>已履行相关论证手续，经核准采购进口</w:t>
      </w:r>
      <w:r>
        <w:rPr>
          <w:rFonts w:hint="eastAsia" w:ascii="宋体" w:hAnsi="宋体" w:eastAsia="宋体"/>
          <w:sz w:val="24"/>
          <w:szCs w:val="18"/>
          <w:highlight w:val="none"/>
        </w:rPr>
        <w:t>产品</w:t>
      </w:r>
      <w:r>
        <w:rPr>
          <w:rFonts w:ascii="宋体" w:hAnsi="宋体" w:eastAsia="宋体"/>
          <w:sz w:val="24"/>
          <w:szCs w:val="18"/>
          <w:highlight w:val="none"/>
        </w:rPr>
        <w:t>，但不限制满足招标文件要求的国内产品参与竞争</w:t>
      </w:r>
      <w:r>
        <w:rPr>
          <w:rFonts w:hint="eastAsia" w:ascii="宋体" w:hAnsi="宋体" w:eastAsia="宋体"/>
          <w:sz w:val="24"/>
          <w:szCs w:val="18"/>
          <w:highlight w:val="none"/>
        </w:rPr>
        <w:t>。未标注进口产品的货物均</w:t>
      </w:r>
      <w:r>
        <w:rPr>
          <w:rFonts w:ascii="宋体" w:hAnsi="宋体" w:eastAsia="宋体"/>
          <w:sz w:val="24"/>
          <w:szCs w:val="18"/>
          <w:highlight w:val="none"/>
        </w:rPr>
        <w:t>为拒绝采购进口产品</w:t>
      </w:r>
      <w:r>
        <w:rPr>
          <w:rFonts w:hint="eastAsia" w:ascii="宋体" w:hAnsi="宋体" w:eastAsia="宋体"/>
          <w:sz w:val="24"/>
          <w:szCs w:val="18"/>
          <w:highlight w:val="none"/>
        </w:rPr>
        <w:t>。</w:t>
      </w:r>
    </w:p>
    <w:p w14:paraId="3D19009F">
      <w:pPr>
        <w:spacing w:line="360" w:lineRule="auto"/>
        <w:ind w:firstLine="435"/>
        <w:rPr>
          <w:rFonts w:ascii="宋体" w:hAnsi="宋体" w:eastAsia="宋体"/>
          <w:sz w:val="24"/>
          <w:szCs w:val="18"/>
          <w:highlight w:val="none"/>
        </w:rPr>
      </w:pPr>
      <w:r>
        <w:rPr>
          <w:rFonts w:hint="eastAsia" w:ascii="宋体" w:hAnsi="宋体" w:eastAsia="宋体"/>
          <w:sz w:val="24"/>
          <w:szCs w:val="18"/>
          <w:highlight w:val="none"/>
        </w:rPr>
        <w:t>2.</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rPr>
        <w:t>）</w:t>
      </w:r>
      <w:r>
        <w:rPr>
          <w:rFonts w:hint="eastAsia" w:ascii="宋体" w:hAnsi="宋体" w:eastAsia="宋体"/>
          <w:sz w:val="24"/>
          <w:szCs w:val="18"/>
          <w:highlight w:val="none"/>
        </w:rPr>
        <w:t>：</w:t>
      </w:r>
    </w:p>
    <w:p w14:paraId="471EC60B">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rFonts w:ascii="宋体" w:hAnsi="宋体" w:eastAsia="宋体"/>
          <w:sz w:val="24"/>
          <w:szCs w:val="18"/>
          <w:highlight w:val="none"/>
        </w:rPr>
      </w:pPr>
      <w:r>
        <w:rPr>
          <w:rFonts w:hint="eastAsia" w:ascii="宋体" w:hAnsi="宋体" w:eastAsia="宋体" w:cs="宋体"/>
          <w:sz w:val="24"/>
          <w:szCs w:val="24"/>
          <w:highlight w:val="none"/>
        </w:rPr>
        <w:t>3.</w:t>
      </w:r>
      <w:r>
        <w:rPr>
          <w:rFonts w:hint="eastAsia" w:ascii="宋体" w:hAnsi="宋体" w:eastAsia="宋体"/>
          <w:sz w:val="24"/>
          <w:szCs w:val="18"/>
          <w:highlight w:val="none"/>
        </w:rPr>
        <w:t>如采购人允许采用分包方式履行合同的，应当明确可以分包履行的相关内容。</w:t>
      </w:r>
    </w:p>
    <w:p w14:paraId="0A603A90">
      <w:pPr>
        <w:spacing w:line="360" w:lineRule="auto"/>
        <w:ind w:firstLine="435"/>
        <w:rPr>
          <w:rFonts w:ascii="宋体" w:hAnsi="宋体" w:eastAsia="宋体"/>
          <w:sz w:val="24"/>
          <w:szCs w:val="18"/>
          <w:highlight w:val="none"/>
        </w:rPr>
      </w:pPr>
      <w:r>
        <w:rPr>
          <w:rFonts w:hint="eastAsia" w:ascii="宋体" w:hAnsi="宋体" w:eastAsia="宋体"/>
          <w:sz w:val="24"/>
          <w:szCs w:val="18"/>
          <w:highlight w:val="none"/>
        </w:rPr>
        <w:t>4.下列采购需求中：标注▲的产品为核心产品（主要中标标的）。</w:t>
      </w:r>
    </w:p>
    <w:p w14:paraId="30B0ED33">
      <w:pPr>
        <w:spacing w:line="360" w:lineRule="auto"/>
        <w:outlineLvl w:val="1"/>
        <w:rPr>
          <w:rFonts w:ascii="宋体" w:hAnsi="宋体" w:eastAsia="宋体"/>
          <w:b/>
          <w:sz w:val="24"/>
          <w:szCs w:val="18"/>
          <w:highlight w:val="none"/>
        </w:rPr>
      </w:pPr>
      <w:bookmarkStart w:id="1" w:name="_Toc32151"/>
      <w:bookmarkStart w:id="2" w:name="_Toc2554"/>
      <w:r>
        <w:rPr>
          <w:rFonts w:hint="eastAsia" w:ascii="宋体" w:hAnsi="宋体" w:eastAsia="宋体"/>
          <w:b/>
          <w:sz w:val="24"/>
          <w:szCs w:val="18"/>
          <w:highlight w:val="none"/>
        </w:rPr>
        <w:t>一、采购需求前附表</w:t>
      </w:r>
      <w:bookmarkEnd w:id="1"/>
      <w:bookmarkEnd w:id="2"/>
    </w:p>
    <w:tbl>
      <w:tblPr>
        <w:tblStyle w:val="7"/>
        <w:tblW w:w="48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0"/>
        <w:gridCol w:w="1969"/>
        <w:gridCol w:w="5319"/>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587" w:type="pct"/>
            <w:vAlign w:val="center"/>
          </w:tcPr>
          <w:p w14:paraId="0F188398">
            <w:pPr>
              <w:pStyle w:val="15"/>
              <w:pBdr>
                <w:bottom w:val="none" w:color="auto" w:sz="0" w:space="0"/>
              </w:pBdr>
              <w:tabs>
                <w:tab w:val="clear" w:pos="4153"/>
                <w:tab w:val="clear" w:pos="8306"/>
              </w:tabs>
              <w:adjustRightInd/>
              <w:spacing w:line="240" w:lineRule="auto"/>
              <w:textAlignment w:val="auto"/>
              <w:rPr>
                <w:rFonts w:ascii="宋体" w:hAnsi="宋体" w:eastAsia="宋体" w:cs="宋体"/>
                <w:b/>
                <w:kern w:val="2"/>
                <w:szCs w:val="24"/>
                <w:highlight w:val="none"/>
              </w:rPr>
            </w:pPr>
            <w:r>
              <w:rPr>
                <w:rFonts w:hint="eastAsia" w:ascii="宋体" w:hAnsi="宋体" w:eastAsia="宋体" w:cs="宋体"/>
                <w:b/>
                <w:kern w:val="2"/>
                <w:szCs w:val="24"/>
                <w:highlight w:val="none"/>
              </w:rPr>
              <w:t>序号</w:t>
            </w:r>
          </w:p>
        </w:tc>
        <w:tc>
          <w:tcPr>
            <w:tcW w:w="1192" w:type="pct"/>
            <w:vAlign w:val="center"/>
          </w:tcPr>
          <w:p w14:paraId="200C6B67">
            <w:pPr>
              <w:pStyle w:val="16"/>
              <w:widowControl w:val="0"/>
              <w:spacing w:before="0" w:beforeAutospacing="0" w:after="0" w:afterAutospacing="0" w:line="360" w:lineRule="auto"/>
              <w:rPr>
                <w:rFonts w:ascii="宋体" w:hAnsi="宋体" w:eastAsia="宋体" w:cs="宋体"/>
                <w:bCs w:val="0"/>
                <w:sz w:val="24"/>
                <w:szCs w:val="24"/>
                <w:highlight w:val="none"/>
              </w:rPr>
            </w:pPr>
            <w:r>
              <w:rPr>
                <w:rFonts w:hint="eastAsia" w:ascii="宋体" w:hAnsi="宋体" w:eastAsia="宋体" w:cs="宋体"/>
                <w:bCs w:val="0"/>
                <w:sz w:val="24"/>
                <w:szCs w:val="24"/>
                <w:highlight w:val="none"/>
              </w:rPr>
              <w:t>条款名称</w:t>
            </w:r>
          </w:p>
        </w:tc>
        <w:tc>
          <w:tcPr>
            <w:tcW w:w="3219" w:type="pct"/>
            <w:vAlign w:val="center"/>
          </w:tcPr>
          <w:p w14:paraId="1E08E055">
            <w:pPr>
              <w:pStyle w:val="16"/>
              <w:widowControl w:val="0"/>
              <w:spacing w:before="0" w:beforeAutospacing="0" w:after="0" w:afterAutospacing="0" w:line="360" w:lineRule="auto"/>
              <w:rPr>
                <w:rFonts w:ascii="宋体" w:hAnsi="宋体" w:eastAsia="宋体" w:cs="宋体"/>
                <w:bCs w:val="0"/>
                <w:sz w:val="24"/>
                <w:szCs w:val="24"/>
                <w:highlight w:val="none"/>
              </w:rPr>
            </w:pPr>
            <w:r>
              <w:rPr>
                <w:rFonts w:hint="eastAsia" w:ascii="宋体" w:hAnsi="宋体" w:eastAsia="宋体" w:cs="宋体"/>
                <w:bCs w:val="0"/>
                <w:sz w:val="24"/>
                <w:szCs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587" w:type="pct"/>
            <w:vAlign w:val="center"/>
          </w:tcPr>
          <w:p w14:paraId="44D6A7A7">
            <w:pPr>
              <w:pStyle w:val="15"/>
              <w:pBdr>
                <w:bottom w:val="none" w:color="auto" w:sz="0" w:space="0"/>
              </w:pBdr>
              <w:tabs>
                <w:tab w:val="clear" w:pos="4153"/>
                <w:tab w:val="clear" w:pos="8306"/>
              </w:tabs>
              <w:adjustRightInd/>
              <w:spacing w:line="240" w:lineRule="auto"/>
              <w:textAlignment w:val="auto"/>
              <w:rPr>
                <w:rFonts w:ascii="宋体" w:hAnsi="宋体" w:eastAsia="宋体" w:cs="宋体"/>
                <w:bCs/>
                <w:kern w:val="2"/>
                <w:szCs w:val="24"/>
                <w:highlight w:val="none"/>
              </w:rPr>
            </w:pPr>
            <w:r>
              <w:rPr>
                <w:rFonts w:hint="eastAsia" w:ascii="宋体" w:hAnsi="宋体" w:eastAsia="宋体" w:cs="宋体"/>
                <w:bCs/>
                <w:kern w:val="2"/>
                <w:szCs w:val="24"/>
                <w:highlight w:val="none"/>
              </w:rPr>
              <w:t>1</w:t>
            </w:r>
          </w:p>
        </w:tc>
        <w:tc>
          <w:tcPr>
            <w:tcW w:w="1192" w:type="pct"/>
            <w:vAlign w:val="center"/>
          </w:tcPr>
          <w:p w14:paraId="7EA999D1">
            <w:pPr>
              <w:pStyle w:val="16"/>
              <w:widowControl w:val="0"/>
              <w:spacing w:before="0" w:beforeAutospacing="0" w:after="0" w:afterAutospacing="0" w:line="360" w:lineRule="auto"/>
              <w:rPr>
                <w:rFonts w:ascii="宋体" w:hAnsi="宋体" w:eastAsia="宋体" w:cs="宋体"/>
                <w:b w:val="0"/>
                <w:sz w:val="24"/>
                <w:szCs w:val="24"/>
                <w:highlight w:val="none"/>
              </w:rPr>
            </w:pPr>
            <w:r>
              <w:rPr>
                <w:rFonts w:hint="eastAsia" w:ascii="宋体" w:hAnsi="宋体" w:eastAsia="宋体" w:cs="宋体"/>
                <w:b w:val="0"/>
                <w:sz w:val="24"/>
                <w:szCs w:val="24"/>
                <w:highlight w:val="none"/>
              </w:rPr>
              <w:t>付款方式</w:t>
            </w:r>
          </w:p>
        </w:tc>
        <w:tc>
          <w:tcPr>
            <w:tcW w:w="3219" w:type="pct"/>
            <w:vAlign w:val="center"/>
          </w:tcPr>
          <w:p w14:paraId="2599D005">
            <w:pPr>
              <w:pStyle w:val="16"/>
              <w:widowControl w:val="0"/>
              <w:spacing w:before="0" w:beforeAutospacing="0" w:after="0" w:afterAutospacing="0" w:line="360" w:lineRule="auto"/>
              <w:jc w:val="both"/>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按阶段付款，合同签订后预付合同总价50%，整体验收合格，正式交付使用，再支付合同价50%。</w:t>
            </w:r>
          </w:p>
          <w:p w14:paraId="4D737FC5">
            <w:pPr>
              <w:pStyle w:val="16"/>
              <w:widowControl w:val="0"/>
              <w:spacing w:before="0" w:beforeAutospacing="0" w:after="0" w:afterAutospacing="0" w:line="360" w:lineRule="auto"/>
              <w:jc w:val="both"/>
              <w:rPr>
                <w:rFonts w:hint="eastAsia" w:ascii="宋体" w:hAnsi="宋体" w:eastAsia="宋体" w:cs="宋体"/>
                <w:b w:val="0"/>
                <w:sz w:val="24"/>
                <w:szCs w:val="24"/>
                <w:highlight w:val="none"/>
                <w:lang w:val="en-US" w:eastAsia="zh-CN"/>
              </w:rPr>
            </w:pPr>
            <w:r>
              <w:rPr>
                <w:rFonts w:hint="eastAsia" w:ascii="宋体" w:hAnsi="宋体" w:eastAsia="宋体" w:cs="宋体"/>
                <w:b w:val="0"/>
                <w:sz w:val="24"/>
                <w:szCs w:val="24"/>
                <w:highlight w:val="none"/>
                <w:lang w:val="en-US" w:eastAsia="zh-CN"/>
              </w:rPr>
              <w:t>注：</w:t>
            </w:r>
          </w:p>
          <w:p w14:paraId="27C86D6C">
            <w:pPr>
              <w:pStyle w:val="16"/>
              <w:widowControl w:val="0"/>
              <w:numPr>
                <w:ilvl w:val="0"/>
                <w:numId w:val="0"/>
              </w:numPr>
              <w:spacing w:before="0" w:beforeAutospacing="0" w:after="0" w:afterAutospacing="0" w:line="360" w:lineRule="auto"/>
              <w:jc w:val="both"/>
              <w:rPr>
                <w:rFonts w:hint="eastAsia" w:ascii="宋体" w:hAnsi="宋体" w:eastAsia="宋体" w:cs="宋体"/>
                <w:b w:val="0"/>
                <w:sz w:val="24"/>
                <w:szCs w:val="24"/>
                <w:highlight w:val="none"/>
                <w:lang w:val="en-US" w:eastAsia="zh-CN"/>
              </w:rPr>
            </w:pPr>
            <w:r>
              <w:rPr>
                <w:rFonts w:hint="eastAsia" w:ascii="宋体" w:hAnsi="宋体" w:eastAsia="宋体" w:cs="宋体"/>
                <w:b w:val="0"/>
                <w:bCs/>
                <w:kern w:val="0"/>
                <w:sz w:val="24"/>
                <w:szCs w:val="24"/>
                <w:highlight w:val="none"/>
                <w:lang w:val="en-US" w:eastAsia="zh-CN" w:bidi="ar-SA"/>
              </w:rPr>
              <w:t>（1）</w:t>
            </w:r>
            <w:r>
              <w:rPr>
                <w:rFonts w:hint="eastAsia" w:ascii="宋体" w:hAnsi="宋体" w:eastAsia="宋体" w:cs="宋体"/>
                <w:b w:val="0"/>
                <w:sz w:val="24"/>
                <w:szCs w:val="24"/>
                <w:highlight w:val="none"/>
                <w:lang w:val="en-US" w:eastAsia="zh-CN"/>
              </w:rPr>
              <w:t>中标人未按规定提供预付款担保的，视为放弃预付款；</w:t>
            </w:r>
          </w:p>
          <w:p w14:paraId="29BDCE87">
            <w:pPr>
              <w:pStyle w:val="16"/>
              <w:widowControl w:val="0"/>
              <w:numPr>
                <w:ilvl w:val="0"/>
                <w:numId w:val="0"/>
              </w:numPr>
              <w:spacing w:before="0" w:beforeAutospacing="0" w:after="0" w:afterAutospacing="0" w:line="360" w:lineRule="auto"/>
              <w:jc w:val="both"/>
              <w:rPr>
                <w:rFonts w:hint="default" w:ascii="宋体" w:hAnsi="宋体" w:eastAsia="宋体" w:cs="宋体"/>
                <w:b w:val="0"/>
                <w:sz w:val="24"/>
                <w:szCs w:val="24"/>
                <w:highlight w:val="none"/>
                <w:lang w:val="en-US" w:eastAsia="zh-CN"/>
              </w:rPr>
            </w:pPr>
            <w:r>
              <w:rPr>
                <w:rFonts w:hint="default" w:ascii="宋体" w:hAnsi="宋体" w:eastAsia="宋体" w:cs="宋体"/>
                <w:b w:val="0"/>
                <w:bCs/>
                <w:kern w:val="0"/>
                <w:sz w:val="24"/>
                <w:szCs w:val="24"/>
                <w:highlight w:val="none"/>
                <w:lang w:val="en-US" w:eastAsia="zh-CN" w:bidi="ar-SA"/>
              </w:rPr>
              <w:t>（2）</w:t>
            </w:r>
            <w:r>
              <w:rPr>
                <w:rFonts w:hint="eastAsia" w:ascii="宋体" w:hAnsi="宋体" w:eastAsia="宋体" w:cs="宋体"/>
                <w:b w:val="0"/>
                <w:sz w:val="24"/>
                <w:szCs w:val="24"/>
                <w:highlight w:val="none"/>
                <w:lang w:val="en-US" w:eastAsia="zh-CN"/>
              </w:rPr>
              <w:t>预付款担保要求：如采用银行保函、担保机构出具的包含均满足无条件见索即付要求。</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587" w:type="pct"/>
            <w:vAlign w:val="center"/>
          </w:tcPr>
          <w:p w14:paraId="1BFF4145">
            <w:pPr>
              <w:pStyle w:val="15"/>
              <w:pBdr>
                <w:bottom w:val="none" w:color="auto" w:sz="0" w:space="0"/>
              </w:pBdr>
              <w:tabs>
                <w:tab w:val="clear" w:pos="4153"/>
                <w:tab w:val="clear" w:pos="8306"/>
              </w:tabs>
              <w:adjustRightInd/>
              <w:spacing w:line="240" w:lineRule="auto"/>
              <w:textAlignment w:val="auto"/>
              <w:rPr>
                <w:rFonts w:ascii="宋体" w:hAnsi="宋体" w:eastAsia="宋体" w:cs="宋体"/>
                <w:bCs/>
                <w:kern w:val="2"/>
                <w:szCs w:val="24"/>
                <w:highlight w:val="none"/>
              </w:rPr>
            </w:pPr>
            <w:r>
              <w:rPr>
                <w:rFonts w:hint="eastAsia" w:ascii="宋体" w:hAnsi="宋体" w:eastAsia="宋体" w:cs="宋体"/>
                <w:bCs/>
                <w:kern w:val="2"/>
                <w:szCs w:val="24"/>
                <w:highlight w:val="none"/>
              </w:rPr>
              <w:t>2</w:t>
            </w:r>
          </w:p>
        </w:tc>
        <w:tc>
          <w:tcPr>
            <w:tcW w:w="1192" w:type="pct"/>
            <w:vAlign w:val="center"/>
          </w:tcPr>
          <w:p w14:paraId="400801A7">
            <w:pPr>
              <w:pStyle w:val="16"/>
              <w:widowControl w:val="0"/>
              <w:spacing w:before="0" w:beforeAutospacing="0" w:after="0" w:afterAutospacing="0" w:line="360" w:lineRule="auto"/>
              <w:rPr>
                <w:rFonts w:ascii="宋体" w:hAnsi="宋体" w:eastAsia="宋体" w:cs="宋体"/>
                <w:b w:val="0"/>
                <w:sz w:val="24"/>
                <w:szCs w:val="24"/>
                <w:highlight w:val="none"/>
              </w:rPr>
            </w:pPr>
            <w:r>
              <w:rPr>
                <w:rFonts w:hint="eastAsia" w:ascii="宋体" w:hAnsi="宋体" w:eastAsia="宋体" w:cs="宋体"/>
                <w:b w:val="0"/>
                <w:sz w:val="24"/>
                <w:szCs w:val="24"/>
                <w:highlight w:val="none"/>
              </w:rPr>
              <w:t>供货及安装地点</w:t>
            </w:r>
          </w:p>
        </w:tc>
        <w:tc>
          <w:tcPr>
            <w:tcW w:w="3219" w:type="pct"/>
            <w:vAlign w:val="center"/>
          </w:tcPr>
          <w:p w14:paraId="0F220F51">
            <w:pPr>
              <w:pStyle w:val="16"/>
              <w:widowControl w:val="0"/>
              <w:spacing w:before="0" w:beforeAutospacing="0" w:after="0" w:afterAutospacing="0" w:line="360" w:lineRule="auto"/>
              <w:jc w:val="both"/>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安徽中医药大学第二附属医院采购人指定地点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587" w:type="pct"/>
            <w:vAlign w:val="center"/>
          </w:tcPr>
          <w:p w14:paraId="79C64E8A">
            <w:pPr>
              <w:pStyle w:val="15"/>
              <w:pBdr>
                <w:bottom w:val="none" w:color="auto" w:sz="0" w:space="0"/>
              </w:pBdr>
              <w:tabs>
                <w:tab w:val="clear" w:pos="4153"/>
                <w:tab w:val="clear" w:pos="8306"/>
              </w:tabs>
              <w:adjustRightInd/>
              <w:spacing w:line="240" w:lineRule="auto"/>
              <w:textAlignment w:val="auto"/>
              <w:rPr>
                <w:rFonts w:ascii="宋体" w:hAnsi="宋体" w:eastAsia="宋体" w:cs="宋体"/>
                <w:bCs/>
                <w:kern w:val="2"/>
                <w:szCs w:val="24"/>
                <w:highlight w:val="none"/>
              </w:rPr>
            </w:pPr>
            <w:r>
              <w:rPr>
                <w:rFonts w:hint="eastAsia" w:ascii="宋体" w:hAnsi="宋体" w:eastAsia="宋体" w:cs="宋体"/>
                <w:bCs/>
                <w:kern w:val="2"/>
                <w:szCs w:val="24"/>
                <w:highlight w:val="none"/>
              </w:rPr>
              <w:t>3</w:t>
            </w:r>
          </w:p>
        </w:tc>
        <w:tc>
          <w:tcPr>
            <w:tcW w:w="1192" w:type="pct"/>
            <w:vAlign w:val="center"/>
          </w:tcPr>
          <w:p w14:paraId="28D0729D">
            <w:pPr>
              <w:pStyle w:val="16"/>
              <w:widowControl w:val="0"/>
              <w:spacing w:before="0" w:beforeAutospacing="0" w:after="0" w:afterAutospacing="0" w:line="360" w:lineRule="auto"/>
              <w:rPr>
                <w:rFonts w:ascii="宋体" w:hAnsi="宋体" w:eastAsia="宋体" w:cs="宋体"/>
                <w:b w:val="0"/>
                <w:sz w:val="24"/>
                <w:szCs w:val="24"/>
                <w:highlight w:val="none"/>
              </w:rPr>
            </w:pPr>
            <w:r>
              <w:rPr>
                <w:rFonts w:hint="eastAsia" w:ascii="宋体" w:hAnsi="宋体" w:eastAsia="宋体" w:cs="宋体"/>
                <w:b w:val="0"/>
                <w:sz w:val="24"/>
                <w:szCs w:val="24"/>
                <w:highlight w:val="none"/>
              </w:rPr>
              <w:t>供货及安装期限</w:t>
            </w:r>
          </w:p>
        </w:tc>
        <w:tc>
          <w:tcPr>
            <w:tcW w:w="3219" w:type="pct"/>
            <w:vAlign w:val="center"/>
          </w:tcPr>
          <w:p w14:paraId="4BC71542">
            <w:pPr>
              <w:widowControl/>
              <w:adjustRightInd w:val="0"/>
              <w:snapToGrid w:val="0"/>
              <w:spacing w:line="288" w:lineRule="auto"/>
              <w:rPr>
                <w:rFonts w:ascii="宋体" w:hAnsi="宋体" w:eastAsia="宋体" w:cs="宋体"/>
                <w:b w:val="0"/>
                <w:sz w:val="24"/>
                <w:szCs w:val="24"/>
                <w:highlight w:val="none"/>
              </w:rPr>
            </w:pPr>
            <w:r>
              <w:rPr>
                <w:rFonts w:hint="eastAsia" w:ascii="宋体" w:hAnsi="宋体" w:eastAsia="宋体" w:cs="宋体"/>
                <w:bCs/>
                <w:kern w:val="0"/>
                <w:sz w:val="24"/>
                <w:szCs w:val="24"/>
                <w:highlight w:val="none"/>
              </w:rPr>
              <w:t>合同签订生效后，接采购人通知后 60 个日历天内完成上线。</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87" w:type="pct"/>
            <w:vAlign w:val="center"/>
          </w:tcPr>
          <w:p w14:paraId="0A86A6BE">
            <w:pPr>
              <w:pStyle w:val="15"/>
              <w:pBdr>
                <w:bottom w:val="none" w:color="auto" w:sz="0" w:space="0"/>
              </w:pBdr>
              <w:tabs>
                <w:tab w:val="clear" w:pos="4153"/>
                <w:tab w:val="clear" w:pos="8306"/>
              </w:tabs>
              <w:adjustRightInd/>
              <w:spacing w:line="240" w:lineRule="auto"/>
              <w:textAlignment w:val="auto"/>
              <w:rPr>
                <w:rFonts w:ascii="宋体" w:hAnsi="宋体" w:eastAsia="宋体" w:cs="宋体"/>
                <w:bCs/>
                <w:kern w:val="2"/>
                <w:szCs w:val="24"/>
                <w:highlight w:val="none"/>
              </w:rPr>
            </w:pPr>
            <w:r>
              <w:rPr>
                <w:rFonts w:hint="eastAsia" w:ascii="宋体" w:hAnsi="宋体" w:eastAsia="宋体" w:cs="宋体"/>
                <w:bCs/>
                <w:kern w:val="2"/>
                <w:szCs w:val="24"/>
                <w:highlight w:val="none"/>
              </w:rPr>
              <w:t>4</w:t>
            </w:r>
          </w:p>
        </w:tc>
        <w:tc>
          <w:tcPr>
            <w:tcW w:w="1192" w:type="pct"/>
            <w:vAlign w:val="center"/>
          </w:tcPr>
          <w:p w14:paraId="6BA5A37C">
            <w:pPr>
              <w:pStyle w:val="16"/>
              <w:widowControl w:val="0"/>
              <w:spacing w:before="0" w:beforeAutospacing="0" w:after="0" w:afterAutospacing="0" w:line="360" w:lineRule="auto"/>
              <w:rPr>
                <w:rFonts w:ascii="宋体" w:hAnsi="宋体" w:eastAsia="宋体" w:cs="宋体"/>
                <w:b w:val="0"/>
                <w:sz w:val="24"/>
                <w:szCs w:val="24"/>
                <w:highlight w:val="none"/>
              </w:rPr>
            </w:pPr>
            <w:r>
              <w:rPr>
                <w:rFonts w:hint="eastAsia" w:ascii="宋体" w:hAnsi="宋体" w:eastAsia="宋体" w:cs="宋体"/>
                <w:b w:val="0"/>
                <w:sz w:val="24"/>
                <w:szCs w:val="24"/>
                <w:highlight w:val="none"/>
              </w:rPr>
              <w:t>免费质保期</w:t>
            </w:r>
          </w:p>
        </w:tc>
        <w:tc>
          <w:tcPr>
            <w:tcW w:w="3219" w:type="pct"/>
            <w:vAlign w:val="center"/>
          </w:tcPr>
          <w:p w14:paraId="0E805113">
            <w:pPr>
              <w:widowControl/>
              <w:adjustRightInd w:val="0"/>
              <w:snapToGrid w:val="0"/>
              <w:spacing w:line="360" w:lineRule="auto"/>
              <w:rPr>
                <w:rFonts w:ascii="宋体" w:hAnsi="宋体" w:eastAsia="宋体" w:cs="宋体"/>
                <w:bCs/>
                <w:sz w:val="24"/>
                <w:szCs w:val="24"/>
                <w:highlight w:val="none"/>
              </w:rPr>
            </w:pPr>
            <w:r>
              <w:rPr>
                <w:rFonts w:hint="eastAsia" w:ascii="宋体" w:hAnsi="宋体" w:eastAsia="宋体" w:cs="宋体"/>
                <w:bCs/>
                <w:kern w:val="0"/>
                <w:sz w:val="24"/>
                <w:szCs w:val="24"/>
                <w:highlight w:val="none"/>
              </w:rPr>
              <w:t>软件自验收合格之日起质保不少于2年；硬件设备自验收合格之日起整体质保不少于五年。</w:t>
            </w:r>
          </w:p>
        </w:tc>
      </w:tr>
      <w:tr w14:paraId="5CCB0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587" w:type="pct"/>
            <w:vAlign w:val="center"/>
          </w:tcPr>
          <w:p w14:paraId="3CD8B1F9">
            <w:pPr>
              <w:pStyle w:val="15"/>
              <w:pBdr>
                <w:bottom w:val="none" w:color="auto" w:sz="0" w:space="0"/>
              </w:pBdr>
              <w:tabs>
                <w:tab w:val="clear" w:pos="4153"/>
                <w:tab w:val="clear" w:pos="8306"/>
              </w:tabs>
              <w:adjustRightInd/>
              <w:spacing w:line="240" w:lineRule="auto"/>
              <w:textAlignment w:val="auto"/>
              <w:rPr>
                <w:rFonts w:ascii="宋体" w:hAnsi="宋体" w:eastAsia="宋体" w:cs="宋体"/>
                <w:bCs/>
                <w:kern w:val="2"/>
                <w:szCs w:val="24"/>
                <w:highlight w:val="none"/>
              </w:rPr>
            </w:pPr>
            <w:r>
              <w:rPr>
                <w:rFonts w:hint="eastAsia" w:ascii="宋体" w:hAnsi="宋体" w:eastAsia="宋体" w:cs="宋体"/>
                <w:bCs/>
                <w:kern w:val="2"/>
                <w:szCs w:val="24"/>
                <w:highlight w:val="none"/>
              </w:rPr>
              <w:t>5</w:t>
            </w:r>
          </w:p>
        </w:tc>
        <w:tc>
          <w:tcPr>
            <w:tcW w:w="1192" w:type="pct"/>
            <w:vAlign w:val="center"/>
          </w:tcPr>
          <w:p w14:paraId="2B5EB983">
            <w:pPr>
              <w:pStyle w:val="16"/>
              <w:widowControl w:val="0"/>
              <w:spacing w:before="0" w:beforeAutospacing="0" w:after="0" w:afterAutospacing="0" w:line="360" w:lineRule="auto"/>
              <w:rPr>
                <w:rFonts w:ascii="宋体" w:hAnsi="宋体" w:eastAsia="宋体" w:cs="宋体"/>
                <w:b w:val="0"/>
                <w:sz w:val="24"/>
                <w:szCs w:val="24"/>
                <w:highlight w:val="none"/>
              </w:rPr>
            </w:pPr>
            <w:r>
              <w:rPr>
                <w:rFonts w:hint="eastAsia" w:ascii="宋体" w:hAnsi="宋体" w:eastAsia="宋体" w:cs="宋体"/>
                <w:b w:val="0"/>
                <w:sz w:val="24"/>
                <w:szCs w:val="24"/>
                <w:highlight w:val="none"/>
              </w:rPr>
              <w:t>质量要求</w:t>
            </w:r>
          </w:p>
        </w:tc>
        <w:tc>
          <w:tcPr>
            <w:tcW w:w="3219" w:type="pct"/>
            <w:vAlign w:val="center"/>
          </w:tcPr>
          <w:p w14:paraId="643BFDA9">
            <w:pPr>
              <w:pStyle w:val="16"/>
              <w:widowControl w:val="0"/>
              <w:spacing w:before="0" w:beforeAutospacing="0" w:after="0" w:afterAutospacing="0" w:line="360" w:lineRule="auto"/>
              <w:jc w:val="both"/>
              <w:rPr>
                <w:rFonts w:ascii="宋体" w:hAnsi="宋体" w:eastAsia="宋体" w:cs="宋体"/>
                <w:b w:val="0"/>
                <w:color w:val="000000" w:themeColor="text1"/>
                <w:sz w:val="24"/>
                <w:szCs w:val="24"/>
                <w:highlight w:val="none"/>
                <w14:textFill>
                  <w14:solidFill>
                    <w14:schemeClr w14:val="tx1"/>
                  </w14:solidFill>
                </w14:textFill>
              </w:rPr>
            </w:pPr>
            <w:r>
              <w:rPr>
                <w:rFonts w:hint="eastAsia" w:ascii="宋体" w:hAnsi="宋体" w:eastAsia="宋体" w:cs="宋体"/>
                <w:b w:val="0"/>
                <w:color w:val="000000" w:themeColor="text1"/>
                <w:sz w:val="24"/>
                <w:szCs w:val="24"/>
                <w:highlight w:val="none"/>
                <w14:textFill>
                  <w14:solidFill>
                    <w14:schemeClr w14:val="tx1"/>
                  </w14:solidFill>
                </w14:textFill>
              </w:rPr>
              <w:t>最终的交付物须满足国家卫生健康委统计信息中心发布的《数智医院建设与应用评价标准》（预计</w:t>
            </w:r>
            <w:r>
              <w:rPr>
                <w:rFonts w:ascii="宋体" w:hAnsi="宋体" w:eastAsia="宋体" w:cs="宋体"/>
                <w:b w:val="0"/>
                <w:color w:val="000000" w:themeColor="text1"/>
                <w:sz w:val="24"/>
                <w:szCs w:val="24"/>
                <w:highlight w:val="none"/>
                <w14:textFill>
                  <w14:solidFill>
                    <w14:schemeClr w14:val="tx1"/>
                  </w14:solidFill>
                </w14:textFill>
              </w:rPr>
              <w:t>2027年正式实施，该标准已整合原电子病历分级评价、互联互通成熟度测评、智慧服务分级评估、智慧管理分级评估四套体系），</w:t>
            </w:r>
            <w:r>
              <w:rPr>
                <w:rFonts w:ascii="宋体" w:hAnsi="宋体" w:eastAsia="宋体" w:cs="宋体"/>
                <w:color w:val="000000" w:themeColor="text1"/>
                <w:sz w:val="24"/>
                <w:szCs w:val="24"/>
                <w:highlight w:val="none"/>
                <w14:textFill>
                  <w14:solidFill>
                    <w14:schemeClr w14:val="tx1"/>
                  </w14:solidFill>
                </w14:textFill>
              </w:rPr>
              <w:t>投标文件须提供承诺函</w:t>
            </w:r>
            <w:r>
              <w:rPr>
                <w:rFonts w:hint="eastAsia" w:ascii="宋体" w:hAnsi="宋体" w:eastAsia="宋体" w:cs="宋体"/>
                <w:b w:val="0"/>
                <w:color w:val="000000" w:themeColor="text1"/>
                <w:sz w:val="24"/>
                <w:szCs w:val="24"/>
                <w:highlight w:val="none"/>
                <w14:textFill>
                  <w14:solidFill>
                    <w14:schemeClr w14:val="tx1"/>
                  </w14:solidFill>
                </w14:textFill>
              </w:rPr>
              <w:t>。承诺</w:t>
            </w:r>
            <w:r>
              <w:rPr>
                <w:rFonts w:ascii="宋体" w:hAnsi="宋体" w:eastAsia="宋体" w:cs="宋体"/>
                <w:b w:val="0"/>
                <w:color w:val="000000" w:themeColor="text1"/>
                <w:sz w:val="24"/>
                <w:szCs w:val="24"/>
                <w:highlight w:val="none"/>
                <w14:textFill>
                  <w14:solidFill>
                    <w14:schemeClr w14:val="tx1"/>
                  </w14:solidFill>
                </w14:textFill>
              </w:rPr>
              <w:t>该系统须能够支撑医院整体达到新标准中相当于原“电子病历分级评价5级、医院信息互联互通标准化成熟度四级甲等、医院智慧服务分级评估三级”所对应的等级要求，重点包括：</w:t>
            </w:r>
          </w:p>
          <w:p w14:paraId="662DDAE8">
            <w:pPr>
              <w:pStyle w:val="16"/>
              <w:widowControl w:val="0"/>
              <w:spacing w:before="0" w:beforeAutospacing="0" w:after="0" w:afterAutospacing="0" w:line="360" w:lineRule="auto"/>
              <w:jc w:val="both"/>
              <w:rPr>
                <w:rFonts w:ascii="宋体" w:hAnsi="宋体" w:eastAsia="宋体" w:cs="宋体"/>
                <w:b w:val="0"/>
                <w:color w:val="000000" w:themeColor="text1"/>
                <w:sz w:val="24"/>
                <w:szCs w:val="24"/>
                <w:highlight w:val="none"/>
                <w14:textFill>
                  <w14:solidFill>
                    <w14:schemeClr w14:val="tx1"/>
                  </w14:solidFill>
                </w14:textFill>
              </w:rPr>
            </w:pPr>
            <w:r>
              <w:rPr>
                <w:rFonts w:hint="eastAsia" w:ascii="宋体" w:hAnsi="宋体" w:eastAsia="宋体" w:cs="宋体"/>
                <w:b w:val="0"/>
                <w:color w:val="000000" w:themeColor="text1"/>
                <w:sz w:val="24"/>
                <w:szCs w:val="24"/>
                <w:highlight w:val="none"/>
                <w14:textFill>
                  <w14:solidFill>
                    <w14:schemeClr w14:val="tx1"/>
                  </w14:solidFill>
                </w14:textFill>
              </w:rPr>
              <w:t>1</w:t>
            </w:r>
            <w:r>
              <w:rPr>
                <w:rFonts w:ascii="宋体" w:hAnsi="宋体" w:eastAsia="宋体" w:cs="宋体"/>
                <w:b w:val="0"/>
                <w:color w:val="000000" w:themeColor="text1"/>
                <w:sz w:val="24"/>
                <w:szCs w:val="24"/>
                <w:highlight w:val="none"/>
                <w14:textFill>
                  <w14:solidFill>
                    <w14:schemeClr w14:val="tx1"/>
                  </w14:solidFill>
                </w14:textFill>
              </w:rPr>
              <w:t>. 建立中药处方全流程数据治理机制，确保处方调剂、煎药、配送等业务数据的标准化、完</w:t>
            </w:r>
            <w:r>
              <w:rPr>
                <w:rFonts w:hint="eastAsia" w:ascii="宋体" w:hAnsi="宋体" w:eastAsia="宋体" w:cs="宋体"/>
                <w:b w:val="0"/>
                <w:color w:val="000000" w:themeColor="text1"/>
                <w:sz w:val="24"/>
                <w:szCs w:val="24"/>
                <w:highlight w:val="none"/>
                <w14:textFill>
                  <w14:solidFill>
                    <w14:schemeClr w14:val="tx1"/>
                  </w14:solidFill>
                </w14:textFill>
              </w:rPr>
              <w:t>整性及可追溯性，满足全院数据质量管控要求；</w:t>
            </w:r>
          </w:p>
          <w:p w14:paraId="07C99A0D">
            <w:pPr>
              <w:pStyle w:val="16"/>
              <w:widowControl w:val="0"/>
              <w:spacing w:before="0" w:beforeAutospacing="0" w:after="0" w:afterAutospacing="0" w:line="360" w:lineRule="auto"/>
              <w:jc w:val="both"/>
              <w:rPr>
                <w:rFonts w:ascii="宋体" w:hAnsi="宋体" w:eastAsia="宋体" w:cs="宋体"/>
                <w:b w:val="0"/>
                <w:color w:val="000000" w:themeColor="text1"/>
                <w:sz w:val="24"/>
                <w:szCs w:val="24"/>
                <w:highlight w:val="none"/>
                <w14:textFill>
                  <w14:solidFill>
                    <w14:schemeClr w14:val="tx1"/>
                  </w14:solidFill>
                </w14:textFill>
              </w:rPr>
            </w:pPr>
            <w:r>
              <w:rPr>
                <w:rFonts w:hint="eastAsia" w:ascii="宋体" w:hAnsi="宋体" w:eastAsia="宋体" w:cs="宋体"/>
                <w:b w:val="0"/>
                <w:color w:val="000000" w:themeColor="text1"/>
                <w:sz w:val="24"/>
                <w:szCs w:val="24"/>
                <w:highlight w:val="none"/>
                <w14:textFill>
                  <w14:solidFill>
                    <w14:schemeClr w14:val="tx1"/>
                  </w14:solidFill>
                </w14:textFill>
              </w:rPr>
              <w:t>2</w:t>
            </w:r>
            <w:r>
              <w:rPr>
                <w:rFonts w:ascii="宋体" w:hAnsi="宋体" w:eastAsia="宋体" w:cs="宋体"/>
                <w:b w:val="0"/>
                <w:color w:val="000000" w:themeColor="text1"/>
                <w:sz w:val="24"/>
                <w:szCs w:val="24"/>
                <w:highlight w:val="none"/>
                <w14:textFill>
                  <w14:solidFill>
                    <w14:schemeClr w14:val="tx1"/>
                  </w14:solidFill>
                </w14:textFill>
              </w:rPr>
              <w:t xml:space="preserve">. </w:t>
            </w:r>
            <w:r>
              <w:rPr>
                <w:rFonts w:hint="eastAsia" w:ascii="宋体" w:hAnsi="宋体" w:eastAsia="宋体" w:cs="宋体"/>
                <w:b w:val="0"/>
                <w:color w:val="000000" w:themeColor="text1"/>
                <w:sz w:val="24"/>
                <w:szCs w:val="24"/>
                <w:highlight w:val="none"/>
                <w14:textFill>
                  <w14:solidFill>
                    <w14:schemeClr w14:val="tx1"/>
                  </w14:solidFill>
                </w14:textFill>
              </w:rPr>
              <w:t>系统须通过医院既有集成平台与</w:t>
            </w:r>
            <w:r>
              <w:rPr>
                <w:rFonts w:ascii="宋体" w:hAnsi="宋体" w:eastAsia="宋体" w:cs="宋体"/>
                <w:b w:val="0"/>
                <w:color w:val="000000" w:themeColor="text1"/>
                <w:sz w:val="24"/>
                <w:szCs w:val="24"/>
                <w:highlight w:val="none"/>
                <w14:textFill>
                  <w14:solidFill>
                    <w14:schemeClr w14:val="tx1"/>
                  </w14:solidFill>
                </w14:textFill>
              </w:rPr>
              <w:t>HIS、LIS等系统实现无缝对接，并严格落实信息安全一票否决制及国产化适配要求（含OFD电子处方归档、国产密码算法加密）；</w:t>
            </w:r>
          </w:p>
          <w:p w14:paraId="119BD83B">
            <w:pPr>
              <w:pStyle w:val="16"/>
              <w:widowControl w:val="0"/>
              <w:spacing w:before="0" w:beforeAutospacing="0" w:after="0" w:afterAutospacing="0" w:line="360" w:lineRule="auto"/>
              <w:jc w:val="both"/>
              <w:rPr>
                <w:rFonts w:ascii="宋体" w:hAnsi="宋体" w:eastAsia="宋体" w:cs="宋体"/>
                <w:b w:val="0"/>
                <w:color w:val="000000" w:themeColor="text1"/>
                <w:sz w:val="24"/>
                <w:szCs w:val="24"/>
                <w:highlight w:val="none"/>
                <w14:textFill>
                  <w14:solidFill>
                    <w14:schemeClr w14:val="tx1"/>
                  </w14:solidFill>
                </w14:textFill>
              </w:rPr>
            </w:pPr>
            <w:r>
              <w:rPr>
                <w:rFonts w:hint="eastAsia" w:ascii="宋体" w:hAnsi="宋体" w:eastAsia="宋体" w:cs="宋体"/>
                <w:b w:val="0"/>
                <w:color w:val="000000" w:themeColor="text1"/>
                <w:sz w:val="24"/>
                <w:szCs w:val="24"/>
                <w:highlight w:val="none"/>
                <w14:textFill>
                  <w14:solidFill>
                    <w14:schemeClr w14:val="tx1"/>
                  </w14:solidFill>
                </w14:textFill>
              </w:rPr>
              <w:t>3</w:t>
            </w:r>
            <w:r>
              <w:rPr>
                <w:rFonts w:ascii="宋体" w:hAnsi="宋体" w:eastAsia="宋体" w:cs="宋体"/>
                <w:b w:val="0"/>
                <w:color w:val="000000" w:themeColor="text1"/>
                <w:sz w:val="24"/>
                <w:szCs w:val="24"/>
                <w:highlight w:val="none"/>
                <w14:textFill>
                  <w14:solidFill>
                    <w14:schemeClr w14:val="tx1"/>
                  </w14:solidFill>
                </w14:textFill>
              </w:rPr>
              <w:t>. 投标人还须承诺在服务期限内免费配合医院完成与新标准相关的各项数据对接、系统整改及迎评配合工作。</w:t>
            </w:r>
          </w:p>
          <w:p w14:paraId="3E697700">
            <w:pPr>
              <w:pStyle w:val="16"/>
              <w:widowControl w:val="0"/>
              <w:spacing w:before="0" w:beforeAutospacing="0" w:after="0" w:afterAutospacing="0" w:line="360" w:lineRule="auto"/>
              <w:jc w:val="both"/>
              <w:rPr>
                <w:rFonts w:ascii="宋体" w:hAnsi="宋体" w:eastAsia="宋体" w:cs="宋体"/>
                <w:b w:val="0"/>
                <w:color w:val="000000" w:themeColor="text1"/>
                <w:sz w:val="24"/>
                <w:szCs w:val="24"/>
                <w:highlight w:val="none"/>
                <w14:textFill>
                  <w14:solidFill>
                    <w14:schemeClr w14:val="tx1"/>
                  </w14:solidFill>
                </w14:textFill>
              </w:rPr>
            </w:pPr>
            <w:r>
              <w:rPr>
                <w:rFonts w:hint="eastAsia" w:ascii="宋体" w:hAnsi="宋体" w:eastAsia="宋体" w:cs="宋体"/>
                <w:b w:val="0"/>
                <w:color w:val="000000" w:themeColor="text1"/>
                <w:sz w:val="24"/>
                <w:szCs w:val="24"/>
                <w:highlight w:val="none"/>
                <w14:textFill>
                  <w14:solidFill>
                    <w14:schemeClr w14:val="tx1"/>
                  </w14:solidFill>
                </w14:textFill>
              </w:rPr>
              <w:t>4. 投标人须承诺配合医院完成历史数据迁移工作。</w:t>
            </w:r>
          </w:p>
          <w:p w14:paraId="6AD0C3E9">
            <w:pPr>
              <w:pStyle w:val="16"/>
              <w:widowControl w:val="0"/>
              <w:spacing w:before="0" w:beforeAutospacing="0" w:after="0" w:afterAutospacing="0" w:line="360" w:lineRule="auto"/>
              <w:jc w:val="both"/>
              <w:rPr>
                <w:rFonts w:ascii="宋体" w:hAnsi="宋体" w:eastAsia="宋体" w:cs="宋体"/>
                <w:b w:val="0"/>
                <w:sz w:val="24"/>
                <w:szCs w:val="24"/>
                <w:highlight w:val="none"/>
              </w:rPr>
            </w:pPr>
            <w:r>
              <w:rPr>
                <w:rFonts w:hint="eastAsia" w:ascii="宋体" w:hAnsi="宋体" w:eastAsia="宋体" w:cs="宋体"/>
                <w:b w:val="0"/>
                <w:color w:val="000000" w:themeColor="text1"/>
                <w:sz w:val="24"/>
                <w:szCs w:val="24"/>
                <w:highlight w:val="none"/>
                <w14:textFill>
                  <w14:solidFill>
                    <w14:schemeClr w14:val="tx1"/>
                  </w14:solidFill>
                </w14:textFill>
              </w:rPr>
              <w:t>5.投标人须承诺软件验收时提供软件评测报告。</w:t>
            </w:r>
          </w:p>
        </w:tc>
      </w:tr>
      <w:tr w14:paraId="1A46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587" w:type="pct"/>
            <w:vAlign w:val="center"/>
          </w:tcPr>
          <w:p w14:paraId="4E71922E">
            <w:pPr>
              <w:pStyle w:val="15"/>
              <w:pBdr>
                <w:bottom w:val="none" w:color="auto" w:sz="0" w:space="0"/>
              </w:pBdr>
              <w:tabs>
                <w:tab w:val="clear" w:pos="4153"/>
                <w:tab w:val="clear" w:pos="8306"/>
              </w:tabs>
              <w:adjustRightInd/>
              <w:spacing w:line="240" w:lineRule="auto"/>
              <w:textAlignment w:val="auto"/>
              <w:rPr>
                <w:rFonts w:ascii="宋体" w:hAnsi="宋体" w:eastAsia="宋体" w:cs="宋体"/>
                <w:bCs/>
                <w:kern w:val="2"/>
                <w:szCs w:val="24"/>
                <w:highlight w:val="none"/>
              </w:rPr>
            </w:pPr>
            <w:bookmarkStart w:id="3" w:name="_Toc5944"/>
            <w:bookmarkStart w:id="4" w:name="_Toc7671"/>
            <w:r>
              <w:rPr>
                <w:rFonts w:hint="eastAsia" w:ascii="宋体" w:hAnsi="宋体" w:eastAsia="宋体" w:cs="宋体"/>
                <w:bCs/>
                <w:kern w:val="2"/>
                <w:szCs w:val="24"/>
                <w:highlight w:val="none"/>
              </w:rPr>
              <w:t>6</w:t>
            </w:r>
          </w:p>
        </w:tc>
        <w:tc>
          <w:tcPr>
            <w:tcW w:w="1192" w:type="pct"/>
            <w:vAlign w:val="center"/>
          </w:tcPr>
          <w:p w14:paraId="4DC24A1B">
            <w:pPr>
              <w:pStyle w:val="16"/>
              <w:widowControl w:val="0"/>
              <w:spacing w:before="0" w:beforeAutospacing="0" w:after="0" w:afterAutospacing="0" w:line="360" w:lineRule="auto"/>
              <w:rPr>
                <w:rFonts w:ascii="宋体" w:hAnsi="宋体" w:eastAsia="宋体" w:cs="宋体"/>
                <w:b w:val="0"/>
                <w:sz w:val="24"/>
                <w:szCs w:val="24"/>
                <w:highlight w:val="none"/>
              </w:rPr>
            </w:pPr>
            <w:r>
              <w:rPr>
                <w:rFonts w:hint="eastAsia" w:ascii="宋体" w:hAnsi="宋体" w:eastAsia="宋体" w:cs="宋体"/>
                <w:b w:val="0"/>
                <w:sz w:val="24"/>
                <w:szCs w:val="24"/>
                <w:highlight w:val="none"/>
              </w:rPr>
              <w:t>验收要求</w:t>
            </w:r>
          </w:p>
        </w:tc>
        <w:tc>
          <w:tcPr>
            <w:tcW w:w="3219" w:type="pct"/>
            <w:vAlign w:val="center"/>
          </w:tcPr>
          <w:p w14:paraId="170BACE9">
            <w:pPr>
              <w:pStyle w:val="16"/>
              <w:widowControl w:val="0"/>
              <w:spacing w:before="0" w:beforeAutospacing="0" w:after="0" w:afterAutospacing="0" w:line="360" w:lineRule="auto"/>
              <w:jc w:val="both"/>
              <w:rPr>
                <w:rFonts w:ascii="Times New Roman" w:hAnsi="Times New Roman" w:eastAsia="宋体" w:cs="宋体"/>
                <w:b w:val="0"/>
                <w:bCs w:val="0"/>
                <w:color w:val="000000" w:themeColor="text1"/>
                <w:sz w:val="24"/>
                <w:szCs w:val="24"/>
                <w:highlight w:val="none"/>
                <w:lang w:bidi="ar"/>
                <w14:textFill>
                  <w14:solidFill>
                    <w14:schemeClr w14:val="tx1"/>
                  </w14:solidFill>
                </w14:textFill>
              </w:rPr>
            </w:pPr>
            <w:r>
              <w:rPr>
                <w:rFonts w:hint="eastAsia" w:ascii="宋体" w:hAnsi="宋体" w:eastAsia="宋体" w:cs="宋体"/>
                <w:b w:val="0"/>
                <w:sz w:val="24"/>
                <w:szCs w:val="24"/>
                <w:highlight w:val="none"/>
              </w:rPr>
              <w:t>中标人须配合招标人完成</w:t>
            </w:r>
            <w:r>
              <w:rPr>
                <w:rFonts w:hint="eastAsia" w:ascii="Times New Roman" w:hAnsi="Times New Roman" w:eastAsia="宋体" w:cs="宋体"/>
                <w:b w:val="0"/>
                <w:bCs w:val="0"/>
                <w:color w:val="000000" w:themeColor="text1"/>
                <w:sz w:val="24"/>
                <w:szCs w:val="24"/>
                <w:highlight w:val="none"/>
                <w:lang w:bidi="ar"/>
                <w14:textFill>
                  <w14:solidFill>
                    <w14:schemeClr w14:val="tx1"/>
                  </w14:solidFill>
                </w14:textFill>
              </w:rPr>
              <w:t>智慧中药房建设系统项目验收工作</w:t>
            </w:r>
            <w:r>
              <w:rPr>
                <w:rFonts w:hint="eastAsia" w:ascii="Times New Roman" w:hAnsi="Times New Roman" w:eastAsia="宋体" w:cs="宋体"/>
                <w:color w:val="000000" w:themeColor="text1"/>
                <w:sz w:val="24"/>
                <w:szCs w:val="24"/>
                <w:highlight w:val="none"/>
                <w:lang w:bidi="ar"/>
                <w14:textFill>
                  <w14:solidFill>
                    <w14:schemeClr w14:val="tx1"/>
                  </w14:solidFill>
                </w14:textFill>
              </w:rPr>
              <w:t>（投标文件提供承诺函）</w:t>
            </w:r>
            <w:r>
              <w:rPr>
                <w:rFonts w:hint="eastAsia" w:ascii="Times New Roman" w:hAnsi="Times New Roman" w:eastAsia="宋体" w:cs="宋体"/>
                <w:b w:val="0"/>
                <w:bCs w:val="0"/>
                <w:color w:val="000000" w:themeColor="text1"/>
                <w:sz w:val="24"/>
                <w:szCs w:val="24"/>
                <w:highlight w:val="none"/>
                <w:lang w:bidi="ar"/>
                <w14:textFill>
                  <w14:solidFill>
                    <w14:schemeClr w14:val="tx1"/>
                  </w14:solidFill>
                </w14:textFill>
              </w:rPr>
              <w:t>。</w:t>
            </w:r>
          </w:p>
        </w:tc>
      </w:tr>
      <w:tr w14:paraId="26E2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587" w:type="pct"/>
            <w:vAlign w:val="center"/>
          </w:tcPr>
          <w:p w14:paraId="48F715BA">
            <w:pPr>
              <w:pStyle w:val="15"/>
              <w:pBdr>
                <w:bottom w:val="none" w:color="auto" w:sz="0" w:space="0"/>
              </w:pBdr>
              <w:tabs>
                <w:tab w:val="clear" w:pos="4153"/>
                <w:tab w:val="clear" w:pos="8306"/>
              </w:tabs>
              <w:adjustRightInd/>
              <w:spacing w:line="240" w:lineRule="auto"/>
              <w:textAlignment w:val="auto"/>
              <w:rPr>
                <w:rFonts w:ascii="宋体" w:hAnsi="宋体" w:eastAsia="宋体" w:cs="宋体"/>
                <w:bCs/>
                <w:kern w:val="2"/>
                <w:szCs w:val="24"/>
                <w:highlight w:val="none"/>
              </w:rPr>
            </w:pPr>
            <w:r>
              <w:rPr>
                <w:rFonts w:hint="eastAsia" w:ascii="宋体" w:hAnsi="宋体" w:eastAsia="宋体" w:cs="宋体"/>
                <w:bCs/>
                <w:kern w:val="2"/>
                <w:szCs w:val="24"/>
                <w:highlight w:val="none"/>
              </w:rPr>
              <w:t>7</w:t>
            </w:r>
          </w:p>
        </w:tc>
        <w:tc>
          <w:tcPr>
            <w:tcW w:w="1192" w:type="pct"/>
            <w:vAlign w:val="center"/>
          </w:tcPr>
          <w:p w14:paraId="21C3C8A7">
            <w:pPr>
              <w:pStyle w:val="16"/>
              <w:widowControl w:val="0"/>
              <w:spacing w:before="0" w:beforeAutospacing="0" w:after="0" w:afterAutospacing="0" w:line="360" w:lineRule="auto"/>
              <w:rPr>
                <w:rFonts w:ascii="宋体" w:hAnsi="宋体" w:eastAsia="宋体" w:cs="宋体"/>
                <w:b w:val="0"/>
                <w:sz w:val="24"/>
                <w:szCs w:val="24"/>
                <w:highlight w:val="none"/>
              </w:rPr>
            </w:pPr>
            <w:r>
              <w:rPr>
                <w:rFonts w:hint="eastAsia" w:ascii="宋体" w:hAnsi="宋体" w:eastAsia="宋体" w:cs="宋体"/>
                <w:b w:val="0"/>
                <w:sz w:val="24"/>
                <w:szCs w:val="24"/>
                <w:highlight w:val="none"/>
              </w:rPr>
              <w:t>其他要求</w:t>
            </w:r>
          </w:p>
        </w:tc>
        <w:tc>
          <w:tcPr>
            <w:tcW w:w="3219" w:type="pct"/>
            <w:vAlign w:val="center"/>
          </w:tcPr>
          <w:p w14:paraId="19816D4A">
            <w:pPr>
              <w:pStyle w:val="16"/>
              <w:widowControl w:val="0"/>
              <w:spacing w:before="0" w:beforeAutospacing="0" w:after="0" w:afterAutospacing="0" w:line="360" w:lineRule="auto"/>
              <w:jc w:val="both"/>
              <w:rPr>
                <w:rFonts w:ascii="Times New Roman" w:hAnsi="Times New Roman" w:eastAsia="宋体" w:cs="宋体"/>
                <w:b w:val="0"/>
                <w:bCs w:val="0"/>
                <w:color w:val="000000" w:themeColor="text1"/>
                <w:sz w:val="24"/>
                <w:szCs w:val="24"/>
                <w:highlight w:val="none"/>
                <w:lang w:bidi="ar"/>
                <w14:textFill>
                  <w14:solidFill>
                    <w14:schemeClr w14:val="tx1"/>
                  </w14:solidFill>
                </w14:textFill>
              </w:rPr>
            </w:pPr>
            <w:r>
              <w:rPr>
                <w:rFonts w:hint="eastAsia" w:ascii="Times New Roman" w:hAnsi="Times New Roman" w:eastAsia="宋体" w:cs="宋体"/>
                <w:b w:val="0"/>
                <w:bCs w:val="0"/>
                <w:color w:val="000000" w:themeColor="text1"/>
                <w:sz w:val="24"/>
                <w:szCs w:val="24"/>
                <w:highlight w:val="none"/>
                <w:lang w:bidi="ar"/>
                <w14:textFill>
                  <w14:solidFill>
                    <w14:schemeClr w14:val="tx1"/>
                  </w14:solidFill>
                </w14:textFill>
              </w:rPr>
              <w:t>软件系统须具备国产化信创环境适配能力，硬件配置可根据后期医院实际情况进行个性化增减调整，供应商须承诺无条件配合</w:t>
            </w:r>
            <w:r>
              <w:rPr>
                <w:rFonts w:hint="eastAsia" w:ascii="Times New Roman" w:hAnsi="Times New Roman" w:eastAsia="宋体" w:cs="宋体"/>
                <w:color w:val="000000" w:themeColor="text1"/>
                <w:sz w:val="24"/>
                <w:szCs w:val="24"/>
                <w:highlight w:val="none"/>
                <w:lang w:bidi="ar"/>
                <w14:textFill>
                  <w14:solidFill>
                    <w14:schemeClr w14:val="tx1"/>
                  </w14:solidFill>
                </w14:textFill>
              </w:rPr>
              <w:t>（投标文件提供承诺函）</w:t>
            </w:r>
            <w:r>
              <w:rPr>
                <w:rFonts w:hint="eastAsia" w:ascii="Times New Roman" w:hAnsi="Times New Roman" w:eastAsia="宋体" w:cs="宋体"/>
                <w:b w:val="0"/>
                <w:bCs w:val="0"/>
                <w:color w:val="000000" w:themeColor="text1"/>
                <w:sz w:val="24"/>
                <w:szCs w:val="24"/>
                <w:highlight w:val="none"/>
                <w:lang w:bidi="ar"/>
                <w14:textFill>
                  <w14:solidFill>
                    <w14:schemeClr w14:val="tx1"/>
                  </w14:solidFill>
                </w14:textFill>
              </w:rPr>
              <w:t>。</w:t>
            </w:r>
          </w:p>
        </w:tc>
      </w:tr>
    </w:tbl>
    <w:p w14:paraId="3E806DB2">
      <w:pPr>
        <w:spacing w:line="360" w:lineRule="auto"/>
        <w:outlineLvl w:val="1"/>
        <w:rPr>
          <w:rFonts w:ascii="宋体" w:hAnsi="宋体" w:eastAsia="宋体"/>
          <w:b/>
          <w:sz w:val="24"/>
          <w:szCs w:val="18"/>
          <w:highlight w:val="none"/>
        </w:rPr>
      </w:pPr>
      <w:r>
        <w:rPr>
          <w:rFonts w:hint="eastAsia" w:ascii="宋体" w:hAnsi="宋体" w:eastAsia="宋体"/>
          <w:b/>
          <w:sz w:val="24"/>
          <w:szCs w:val="18"/>
          <w:highlight w:val="none"/>
        </w:rPr>
        <w:t>二、货物需求</w:t>
      </w:r>
      <w:bookmarkEnd w:id="3"/>
      <w:bookmarkEnd w:id="4"/>
    </w:p>
    <w:p w14:paraId="6C3D332C">
      <w:pPr>
        <w:widowControl/>
        <w:spacing w:before="156" w:beforeLines="50" w:after="156" w:afterLines="50"/>
        <w:outlineLvl w:val="2"/>
        <w:rPr>
          <w:rFonts w:ascii="宋体" w:hAnsi="宋体" w:eastAsia="宋体" w:cs="宋体"/>
          <w:b/>
          <w:bCs/>
          <w:sz w:val="24"/>
          <w:szCs w:val="24"/>
          <w:highlight w:val="none"/>
        </w:rPr>
      </w:pPr>
      <w:r>
        <w:rPr>
          <w:rFonts w:hint="eastAsia" w:ascii="宋体" w:hAnsi="宋体" w:eastAsia="宋体" w:cs="宋体"/>
          <w:b/>
          <w:bCs/>
          <w:sz w:val="24"/>
          <w:szCs w:val="24"/>
          <w:highlight w:val="none"/>
        </w:rPr>
        <w:t>（一）标识符号</w:t>
      </w:r>
    </w:p>
    <w:tbl>
      <w:tblPr>
        <w:tblStyle w:val="7"/>
        <w:tblW w:w="8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7"/>
        <w:gridCol w:w="1329"/>
        <w:gridCol w:w="5223"/>
      </w:tblGrid>
      <w:tr w14:paraId="3F0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747" w:type="dxa"/>
            <w:vAlign w:val="center"/>
          </w:tcPr>
          <w:p w14:paraId="69E44409">
            <w:pPr>
              <w:jc w:val="center"/>
              <w:rPr>
                <w:rFonts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29" w:type="dxa"/>
            <w:vAlign w:val="center"/>
          </w:tcPr>
          <w:p w14:paraId="5A1C0A9F">
            <w:pPr>
              <w:jc w:val="center"/>
              <w:rPr>
                <w:rFonts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223" w:type="dxa"/>
            <w:vAlign w:val="center"/>
          </w:tcPr>
          <w:p w14:paraId="144C8CF0">
            <w:pPr>
              <w:jc w:val="center"/>
              <w:rPr>
                <w:rFonts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017A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747" w:type="dxa"/>
            <w:vAlign w:val="center"/>
          </w:tcPr>
          <w:p w14:paraId="309193C6">
            <w:pPr>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核心指标项</w:t>
            </w:r>
          </w:p>
        </w:tc>
        <w:tc>
          <w:tcPr>
            <w:tcW w:w="1329" w:type="dxa"/>
            <w:vAlign w:val="center"/>
          </w:tcPr>
          <w:p w14:paraId="64C4671D">
            <w:pPr>
              <w:wordWrap w:val="0"/>
              <w:adjustRightInd w:val="0"/>
              <w:snapToGrid w:val="0"/>
              <w:jc w:val="center"/>
              <w:rPr>
                <w:rFonts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w:t>
            </w:r>
          </w:p>
        </w:tc>
        <w:tc>
          <w:tcPr>
            <w:tcW w:w="5223" w:type="dxa"/>
            <w:vAlign w:val="center"/>
          </w:tcPr>
          <w:p w14:paraId="33E24031">
            <w:pPr>
              <w:wordWrap w:val="0"/>
              <w:adjustRightInd w:val="0"/>
              <w:snapToGrid w:val="0"/>
              <w:jc w:val="left"/>
              <w:rPr>
                <w:rFonts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符合性审查项，该指标项负偏离或未响应的，</w:t>
            </w:r>
            <w:r>
              <w:rPr>
                <w:rFonts w:hint="eastAsia" w:ascii="宋体" w:hAnsi="宋体" w:eastAsia="宋体" w:cs="宋体"/>
                <w:b/>
                <w:color w:val="000000"/>
                <w:sz w:val="24"/>
                <w:szCs w:val="24"/>
                <w:highlight w:val="none"/>
              </w:rPr>
              <w:t>投标无效</w:t>
            </w:r>
            <w:r>
              <w:rPr>
                <w:rFonts w:hint="eastAsia" w:ascii="宋体" w:hAnsi="宋体" w:eastAsia="宋体" w:cs="宋体"/>
                <w:bCs/>
                <w:color w:val="000000"/>
                <w:sz w:val="24"/>
                <w:szCs w:val="24"/>
                <w:highlight w:val="none"/>
              </w:rPr>
              <w:t>。</w:t>
            </w:r>
          </w:p>
        </w:tc>
      </w:tr>
      <w:tr w14:paraId="7E0E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747" w:type="dxa"/>
            <w:shd w:val="clear" w:color="auto" w:fill="auto"/>
            <w:vAlign w:val="center"/>
          </w:tcPr>
          <w:p w14:paraId="3406318F">
            <w:pPr>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重要指标项</w:t>
            </w:r>
          </w:p>
        </w:tc>
        <w:tc>
          <w:tcPr>
            <w:tcW w:w="1329" w:type="dxa"/>
            <w:shd w:val="clear" w:color="auto" w:fill="auto"/>
            <w:vAlign w:val="center"/>
          </w:tcPr>
          <w:p w14:paraId="761D9B82">
            <w:pPr>
              <w:wordWrap w:val="0"/>
              <w:adjustRightInd w:val="0"/>
              <w:snapToGrid w:val="0"/>
              <w:jc w:val="center"/>
              <w:rPr>
                <w:rFonts w:ascii="宋体" w:hAnsi="宋体" w:eastAsia="宋体" w:cs="宋体"/>
                <w:bCs/>
                <w:color w:val="000000"/>
                <w:sz w:val="24"/>
                <w:szCs w:val="24"/>
                <w:highlight w:val="none"/>
              </w:rPr>
            </w:pPr>
            <w:r>
              <w:rPr>
                <w:rFonts w:hint="eastAsia" w:ascii="宋体" w:hAnsi="宋体" w:eastAsia="宋体" w:cs="宋体"/>
                <w:color w:val="000000"/>
                <w:sz w:val="24"/>
                <w:szCs w:val="24"/>
                <w:highlight w:val="none"/>
              </w:rPr>
              <w:t>★</w:t>
            </w:r>
          </w:p>
        </w:tc>
        <w:tc>
          <w:tcPr>
            <w:tcW w:w="5223" w:type="dxa"/>
            <w:shd w:val="clear" w:color="auto" w:fill="auto"/>
            <w:vAlign w:val="center"/>
          </w:tcPr>
          <w:p w14:paraId="4EF10B6C">
            <w:pPr>
              <w:wordWrap w:val="0"/>
              <w:adjustRightInd w:val="0"/>
              <w:snapToGrid w:val="0"/>
              <w:jc w:val="left"/>
              <w:rPr>
                <w:rFonts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评分项，</w:t>
            </w:r>
            <w:r>
              <w:rPr>
                <w:rFonts w:hint="eastAsia" w:ascii="宋体" w:hAnsi="宋体" w:eastAsia="宋体" w:cs="宋体"/>
                <w:color w:val="000000"/>
                <w:sz w:val="24"/>
                <w:szCs w:val="24"/>
                <w:highlight w:val="none"/>
                <w:lang w:bidi="ar"/>
              </w:rPr>
              <w:t>详见评标办法和标准。</w:t>
            </w:r>
          </w:p>
        </w:tc>
      </w:tr>
      <w:tr w14:paraId="05A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747" w:type="dxa"/>
            <w:vAlign w:val="center"/>
          </w:tcPr>
          <w:p w14:paraId="4929B256">
            <w:pPr>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无标识项</w:t>
            </w:r>
          </w:p>
        </w:tc>
        <w:tc>
          <w:tcPr>
            <w:tcW w:w="1329" w:type="dxa"/>
            <w:vAlign w:val="center"/>
          </w:tcPr>
          <w:p w14:paraId="37BD2C26">
            <w:pPr>
              <w:wordWrap w:val="0"/>
              <w:adjustRightInd w:val="0"/>
              <w:snapToGrid w:val="0"/>
              <w:jc w:val="center"/>
              <w:rPr>
                <w:rFonts w:ascii="宋体" w:hAnsi="宋体" w:eastAsia="宋体" w:cs="宋体"/>
                <w:bCs/>
                <w:color w:val="000000"/>
                <w:sz w:val="24"/>
                <w:szCs w:val="24"/>
                <w:highlight w:val="none"/>
              </w:rPr>
            </w:pPr>
          </w:p>
        </w:tc>
        <w:tc>
          <w:tcPr>
            <w:tcW w:w="5223" w:type="dxa"/>
            <w:vAlign w:val="center"/>
          </w:tcPr>
          <w:p w14:paraId="31CD4D0C">
            <w:pPr>
              <w:adjustRightInd w:val="0"/>
              <w:snapToGrid w:val="0"/>
              <w:jc w:val="left"/>
              <w:rPr>
                <w:rFonts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符合性审查项，该指标项最大允许负偏离</w:t>
            </w:r>
            <w:r>
              <w:rPr>
                <w:rFonts w:hint="eastAsia" w:ascii="宋体" w:hAnsi="宋体" w:eastAsia="宋体" w:cs="宋体"/>
                <w:bCs/>
                <w:color w:val="000000"/>
                <w:sz w:val="24"/>
                <w:szCs w:val="24"/>
                <w:highlight w:val="none"/>
                <w:u w:val="single"/>
              </w:rPr>
              <w:t xml:space="preserve"> 10 </w:t>
            </w:r>
            <w:r>
              <w:rPr>
                <w:rFonts w:hint="eastAsia" w:ascii="宋体" w:hAnsi="宋体" w:eastAsia="宋体" w:cs="宋体"/>
                <w:bCs/>
                <w:color w:val="000000"/>
                <w:sz w:val="24"/>
                <w:szCs w:val="24"/>
                <w:highlight w:val="none"/>
              </w:rPr>
              <w:t>项，超过最大允许负偏离项数的，</w:t>
            </w:r>
            <w:r>
              <w:rPr>
                <w:rFonts w:hint="eastAsia" w:ascii="宋体" w:hAnsi="宋体" w:eastAsia="宋体" w:cs="宋体"/>
                <w:b/>
                <w:color w:val="000000"/>
                <w:sz w:val="24"/>
                <w:szCs w:val="24"/>
                <w:highlight w:val="none"/>
              </w:rPr>
              <w:t>投标无效</w:t>
            </w:r>
            <w:r>
              <w:rPr>
                <w:rFonts w:hint="eastAsia" w:ascii="宋体" w:hAnsi="宋体" w:eastAsia="宋体" w:cs="宋体"/>
                <w:bCs/>
                <w:color w:val="000000"/>
                <w:sz w:val="24"/>
                <w:szCs w:val="24"/>
                <w:highlight w:val="none"/>
              </w:rPr>
              <w:t>。</w:t>
            </w:r>
          </w:p>
        </w:tc>
      </w:tr>
      <w:tr w14:paraId="691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299" w:type="dxa"/>
            <w:gridSpan w:val="3"/>
            <w:vAlign w:val="center"/>
          </w:tcPr>
          <w:p w14:paraId="7DC57536">
            <w:pPr>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1B3374F6">
            <w:pPr>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（1）如某项标识中包含多条技术参数或要求，则该项标识所含内容均需满足或优于采购文件要求，否则不予认可。</w:t>
            </w:r>
          </w:p>
          <w:p w14:paraId="32506066">
            <w:pPr>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（2）所属行业中标注“/”的品目，无须在《中小企业声明函》中列明。</w:t>
            </w:r>
          </w:p>
          <w:p w14:paraId="4416ED76">
            <w:pPr>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货物需求清单所有指定的具体技术参数或参数范围、系统技术要求与技术指标，均应理解为是采购人可接受的最低要求。即，当对应技术参数或参数范围、技术要求和技术指标是越小越好时，则指定的具体技术参数或参数范围应理解为是上限值或最大允许范围；当对应技术参数或参数范围是越大越好时，则指定的具体技术参数或参数范围应理解为是下限值或最小允许范围。</w:t>
            </w:r>
          </w:p>
        </w:tc>
      </w:tr>
    </w:tbl>
    <w:p w14:paraId="7E9B8411">
      <w:pPr>
        <w:widowControl/>
        <w:spacing w:before="156" w:beforeLines="50" w:after="156" w:afterLines="50"/>
        <w:outlineLvl w:val="2"/>
        <w:rPr>
          <w:rFonts w:ascii="宋体" w:hAnsi="宋体" w:eastAsia="宋体" w:cs="宋体"/>
          <w:b/>
          <w:bCs/>
          <w:sz w:val="24"/>
          <w:szCs w:val="24"/>
          <w:highlight w:val="none"/>
        </w:rPr>
      </w:pPr>
      <w:r>
        <w:rPr>
          <w:rFonts w:hint="eastAsia" w:ascii="宋体" w:hAnsi="宋体" w:eastAsia="宋体" w:cs="宋体"/>
          <w:b/>
          <w:bCs/>
          <w:sz w:val="24"/>
          <w:szCs w:val="24"/>
          <w:highlight w:val="none"/>
        </w:rPr>
        <w:t>（二）货物需求清单</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2735"/>
        <w:gridCol w:w="1474"/>
        <w:gridCol w:w="1464"/>
        <w:gridCol w:w="1464"/>
      </w:tblGrid>
      <w:tr w14:paraId="6E4D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1" w:type="pct"/>
            <w:vAlign w:val="center"/>
          </w:tcPr>
          <w:p w14:paraId="467B4F73">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1605" w:type="pct"/>
            <w:vAlign w:val="center"/>
          </w:tcPr>
          <w:p w14:paraId="5F31DA5C">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货物名称</w:t>
            </w:r>
          </w:p>
        </w:tc>
        <w:tc>
          <w:tcPr>
            <w:tcW w:w="865" w:type="pct"/>
            <w:vAlign w:val="center"/>
          </w:tcPr>
          <w:p w14:paraId="5FAB4FEE">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数量</w:t>
            </w:r>
          </w:p>
          <w:p w14:paraId="4469B55E">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（单位）</w:t>
            </w:r>
          </w:p>
        </w:tc>
        <w:tc>
          <w:tcPr>
            <w:tcW w:w="859" w:type="pct"/>
            <w:vAlign w:val="center"/>
          </w:tcPr>
          <w:p w14:paraId="738F3E2D">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所属</w:t>
            </w:r>
          </w:p>
          <w:p w14:paraId="732EB27B">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行业</w:t>
            </w:r>
          </w:p>
        </w:tc>
        <w:tc>
          <w:tcPr>
            <w:tcW w:w="859" w:type="pct"/>
            <w:vAlign w:val="center"/>
          </w:tcPr>
          <w:p w14:paraId="10584F02">
            <w:pPr>
              <w:jc w:val="center"/>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是否属于强制采购的节能产品</w:t>
            </w:r>
          </w:p>
        </w:tc>
      </w:tr>
      <w:tr w14:paraId="6662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1" w:type="pct"/>
            <w:vAlign w:val="center"/>
          </w:tcPr>
          <w:p w14:paraId="3946058B">
            <w:pPr>
              <w:jc w:val="center"/>
              <w:rPr>
                <w:rFonts w:ascii="宋体" w:hAnsi="宋体" w:eastAsia="宋体" w:cs="宋体"/>
                <w:sz w:val="24"/>
                <w:szCs w:val="24"/>
                <w:highlight w:val="none"/>
              </w:rPr>
            </w:pPr>
            <w:r>
              <w:rPr>
                <w:rFonts w:hint="eastAsia" w:ascii="宋体" w:hAnsi="宋体" w:eastAsia="宋体" w:cs="宋体"/>
                <w:sz w:val="24"/>
                <w:szCs w:val="24"/>
                <w:highlight w:val="none"/>
              </w:rPr>
              <w:t>1</w:t>
            </w:r>
          </w:p>
        </w:tc>
        <w:tc>
          <w:tcPr>
            <w:tcW w:w="1605" w:type="pct"/>
            <w:vAlign w:val="center"/>
          </w:tcPr>
          <w:p w14:paraId="62E3082A">
            <w:pPr>
              <w:jc w:val="center"/>
              <w:rPr>
                <w:rFonts w:ascii="宋体" w:hAnsi="宋体" w:eastAsia="宋体" w:cs="宋体"/>
                <w:bCs/>
                <w:sz w:val="24"/>
                <w:szCs w:val="24"/>
                <w:highlight w:val="none"/>
              </w:rPr>
            </w:pPr>
            <w:r>
              <w:rPr>
                <w:rFonts w:hint="eastAsia" w:ascii="宋体" w:hAnsi="宋体" w:eastAsia="宋体" w:cs="宋体"/>
                <w:bCs/>
                <w:sz w:val="24"/>
                <w:szCs w:val="24"/>
                <w:highlight w:val="none"/>
              </w:rPr>
              <w:t>智慧中药房全流程管理系统</w:t>
            </w:r>
          </w:p>
        </w:tc>
        <w:tc>
          <w:tcPr>
            <w:tcW w:w="865" w:type="pct"/>
            <w:vAlign w:val="center"/>
          </w:tcPr>
          <w:p w14:paraId="007D5475">
            <w:pPr>
              <w:jc w:val="center"/>
              <w:rPr>
                <w:rFonts w:ascii="宋体" w:hAnsi="宋体" w:eastAsia="宋体" w:cs="宋体"/>
                <w:bCs/>
                <w:sz w:val="24"/>
                <w:szCs w:val="24"/>
                <w:highlight w:val="none"/>
              </w:rPr>
            </w:pPr>
            <w:r>
              <w:rPr>
                <w:rFonts w:hint="eastAsia" w:ascii="宋体" w:hAnsi="宋体" w:eastAsia="宋体" w:cs="宋体"/>
                <w:bCs/>
                <w:sz w:val="24"/>
                <w:szCs w:val="24"/>
                <w:highlight w:val="none"/>
              </w:rPr>
              <w:t>1套</w:t>
            </w:r>
          </w:p>
        </w:tc>
        <w:tc>
          <w:tcPr>
            <w:tcW w:w="859" w:type="pct"/>
            <w:vAlign w:val="center"/>
          </w:tcPr>
          <w:p w14:paraId="6B596790">
            <w:pPr>
              <w:jc w:val="center"/>
              <w:rPr>
                <w:rFonts w:ascii="宋体" w:hAnsi="宋体" w:eastAsia="宋体" w:cs="宋体"/>
                <w:bCs/>
                <w:sz w:val="24"/>
                <w:szCs w:val="24"/>
                <w:highlight w:val="none"/>
              </w:rPr>
            </w:pPr>
            <w:r>
              <w:rPr>
                <w:rFonts w:hint="eastAsia" w:ascii="宋体" w:hAnsi="宋体" w:eastAsia="宋体" w:cs="宋体"/>
                <w:bCs/>
                <w:sz w:val="24"/>
                <w:szCs w:val="24"/>
                <w:highlight w:val="none"/>
              </w:rPr>
              <w:t>软件和信息技术服务业</w:t>
            </w:r>
          </w:p>
        </w:tc>
        <w:tc>
          <w:tcPr>
            <w:tcW w:w="859" w:type="pct"/>
            <w:vAlign w:val="center"/>
          </w:tcPr>
          <w:p w14:paraId="0DDA1E58">
            <w:pPr>
              <w:jc w:val="center"/>
              <w:rPr>
                <w:rFonts w:hint="eastAsia" w:ascii="宋体" w:hAnsi="宋体" w:eastAsia="宋体" w:cs="宋体"/>
                <w:bCs/>
                <w:sz w:val="24"/>
                <w:szCs w:val="24"/>
                <w:highlight w:val="none"/>
              </w:rPr>
            </w:pPr>
          </w:p>
        </w:tc>
      </w:tr>
      <w:tr w14:paraId="1244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1" w:type="pct"/>
            <w:vAlign w:val="center"/>
          </w:tcPr>
          <w:p w14:paraId="7A70745C">
            <w:pPr>
              <w:jc w:val="center"/>
              <w:rPr>
                <w:rFonts w:ascii="宋体" w:hAnsi="宋体" w:eastAsia="宋体" w:cs="宋体"/>
                <w:sz w:val="24"/>
                <w:szCs w:val="24"/>
                <w:highlight w:val="none"/>
              </w:rPr>
            </w:pPr>
            <w:r>
              <w:rPr>
                <w:rFonts w:hint="eastAsia" w:ascii="宋体" w:hAnsi="宋体" w:eastAsia="宋体" w:cs="宋体"/>
                <w:sz w:val="24"/>
                <w:szCs w:val="24"/>
                <w:highlight w:val="none"/>
              </w:rPr>
              <w:t>2</w:t>
            </w:r>
          </w:p>
        </w:tc>
        <w:tc>
          <w:tcPr>
            <w:tcW w:w="1605" w:type="pct"/>
            <w:vAlign w:val="center"/>
          </w:tcPr>
          <w:p w14:paraId="65021CFC">
            <w:pPr>
              <w:jc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智慧中药房合理用药系统</w:t>
            </w:r>
          </w:p>
        </w:tc>
        <w:tc>
          <w:tcPr>
            <w:tcW w:w="865" w:type="pct"/>
            <w:vAlign w:val="center"/>
          </w:tcPr>
          <w:p w14:paraId="75B31CF4">
            <w:pPr>
              <w:jc w:val="center"/>
              <w:rPr>
                <w:rFonts w:ascii="宋体" w:hAnsi="宋体" w:eastAsia="宋体" w:cs="宋体"/>
                <w:bCs/>
                <w:sz w:val="24"/>
                <w:szCs w:val="24"/>
                <w:highlight w:val="none"/>
              </w:rPr>
            </w:pPr>
            <w:r>
              <w:rPr>
                <w:rFonts w:hint="eastAsia" w:ascii="宋体" w:hAnsi="宋体" w:eastAsia="宋体" w:cs="宋体"/>
                <w:bCs/>
                <w:sz w:val="24"/>
                <w:szCs w:val="24"/>
                <w:highlight w:val="none"/>
              </w:rPr>
              <w:t>1套</w:t>
            </w:r>
          </w:p>
        </w:tc>
        <w:tc>
          <w:tcPr>
            <w:tcW w:w="859" w:type="pct"/>
            <w:vAlign w:val="center"/>
          </w:tcPr>
          <w:p w14:paraId="79E4D808">
            <w:pPr>
              <w:jc w:val="center"/>
              <w:rPr>
                <w:rFonts w:ascii="宋体" w:hAnsi="宋体" w:eastAsia="宋体" w:cs="宋体"/>
                <w:bCs/>
                <w:sz w:val="24"/>
                <w:szCs w:val="24"/>
                <w:highlight w:val="none"/>
              </w:rPr>
            </w:pPr>
            <w:r>
              <w:rPr>
                <w:rFonts w:hint="eastAsia" w:ascii="宋体" w:hAnsi="宋体" w:eastAsia="宋体" w:cs="宋体"/>
                <w:bCs/>
                <w:sz w:val="24"/>
                <w:szCs w:val="24"/>
                <w:highlight w:val="none"/>
              </w:rPr>
              <w:t>软件和信息技术服务业</w:t>
            </w:r>
          </w:p>
        </w:tc>
        <w:tc>
          <w:tcPr>
            <w:tcW w:w="859" w:type="pct"/>
            <w:vAlign w:val="center"/>
          </w:tcPr>
          <w:p w14:paraId="5FB24028">
            <w:pPr>
              <w:jc w:val="center"/>
              <w:rPr>
                <w:rFonts w:hint="eastAsia" w:ascii="宋体" w:hAnsi="宋体" w:eastAsia="宋体" w:cs="宋体"/>
                <w:bCs/>
                <w:sz w:val="24"/>
                <w:szCs w:val="24"/>
                <w:highlight w:val="none"/>
              </w:rPr>
            </w:pPr>
          </w:p>
        </w:tc>
      </w:tr>
      <w:tr w14:paraId="7A49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1" w:type="pct"/>
            <w:vAlign w:val="center"/>
          </w:tcPr>
          <w:p w14:paraId="4BE84AF3">
            <w:pPr>
              <w:jc w:val="center"/>
              <w:rPr>
                <w:rFonts w:ascii="宋体" w:hAnsi="宋体" w:eastAsia="宋体" w:cs="宋体"/>
                <w:sz w:val="24"/>
                <w:szCs w:val="24"/>
                <w:highlight w:val="none"/>
              </w:rPr>
            </w:pPr>
            <w:r>
              <w:rPr>
                <w:rFonts w:hint="eastAsia" w:ascii="宋体" w:hAnsi="宋体" w:eastAsia="宋体" w:cs="宋体"/>
                <w:sz w:val="24"/>
                <w:szCs w:val="24"/>
                <w:highlight w:val="none"/>
              </w:rPr>
              <w:t>3</w:t>
            </w:r>
          </w:p>
        </w:tc>
        <w:tc>
          <w:tcPr>
            <w:tcW w:w="1605" w:type="pct"/>
            <w:vAlign w:val="center"/>
          </w:tcPr>
          <w:p w14:paraId="0590B955">
            <w:pPr>
              <w:jc w:val="center"/>
              <w:rPr>
                <w:rFonts w:ascii="宋体" w:hAnsi="宋体" w:eastAsia="宋体" w:cs="宋体"/>
                <w:bCs/>
                <w:sz w:val="24"/>
                <w:szCs w:val="24"/>
                <w:highlight w:val="none"/>
              </w:rPr>
            </w:pPr>
            <w:r>
              <w:rPr>
                <w:rFonts w:hint="eastAsia" w:ascii="宋体" w:hAnsi="宋体" w:eastAsia="宋体" w:cs="宋体"/>
                <w:color w:val="000000"/>
                <w:kern w:val="0"/>
                <w:sz w:val="24"/>
                <w:szCs w:val="24"/>
                <w:highlight w:val="none"/>
                <w:lang w:bidi="ar"/>
              </w:rPr>
              <w:t>智能取药柜</w:t>
            </w:r>
          </w:p>
        </w:tc>
        <w:tc>
          <w:tcPr>
            <w:tcW w:w="865" w:type="pct"/>
            <w:vAlign w:val="center"/>
          </w:tcPr>
          <w:p w14:paraId="6BE62890">
            <w:pPr>
              <w:jc w:val="center"/>
              <w:rPr>
                <w:rFonts w:ascii="宋体" w:hAnsi="宋体" w:eastAsia="宋体" w:cs="宋体"/>
                <w:bCs/>
                <w:sz w:val="24"/>
                <w:szCs w:val="24"/>
                <w:highlight w:val="none"/>
              </w:rPr>
            </w:pPr>
            <w:r>
              <w:rPr>
                <w:rFonts w:hint="eastAsia" w:ascii="宋体" w:hAnsi="宋体" w:eastAsia="宋体" w:cs="宋体"/>
                <w:bCs/>
                <w:sz w:val="24"/>
                <w:szCs w:val="24"/>
                <w:highlight w:val="none"/>
              </w:rPr>
              <w:t>1套</w:t>
            </w:r>
          </w:p>
        </w:tc>
        <w:tc>
          <w:tcPr>
            <w:tcW w:w="859" w:type="pct"/>
            <w:vAlign w:val="center"/>
          </w:tcPr>
          <w:p w14:paraId="159C1C81">
            <w:pPr>
              <w:jc w:val="center"/>
              <w:rPr>
                <w:rFonts w:ascii="宋体" w:hAnsi="宋体" w:eastAsia="宋体" w:cs="宋体"/>
                <w:bCs/>
                <w:sz w:val="24"/>
                <w:szCs w:val="24"/>
                <w:highlight w:val="none"/>
              </w:rPr>
            </w:pPr>
            <w:r>
              <w:rPr>
                <w:rFonts w:hint="eastAsia" w:ascii="宋体" w:hAnsi="宋体" w:eastAsia="宋体" w:cs="宋体"/>
                <w:bCs/>
                <w:sz w:val="24"/>
                <w:szCs w:val="24"/>
                <w:highlight w:val="none"/>
              </w:rPr>
              <w:t>工业</w:t>
            </w:r>
          </w:p>
        </w:tc>
        <w:tc>
          <w:tcPr>
            <w:tcW w:w="859" w:type="pct"/>
            <w:vAlign w:val="center"/>
          </w:tcPr>
          <w:p w14:paraId="24FB46EC">
            <w:pPr>
              <w:jc w:val="center"/>
              <w:rPr>
                <w:rFonts w:hint="eastAsia" w:ascii="宋体" w:hAnsi="宋体" w:eastAsia="宋体" w:cs="宋体"/>
                <w:bCs/>
                <w:sz w:val="24"/>
                <w:szCs w:val="24"/>
                <w:highlight w:val="none"/>
              </w:rPr>
            </w:pPr>
          </w:p>
        </w:tc>
      </w:tr>
      <w:tr w14:paraId="347B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1" w:type="pct"/>
            <w:vAlign w:val="center"/>
          </w:tcPr>
          <w:p w14:paraId="114C975C">
            <w:pPr>
              <w:jc w:val="center"/>
              <w:rPr>
                <w:rFonts w:ascii="宋体" w:hAnsi="宋体" w:eastAsia="宋体" w:cs="宋体"/>
                <w:sz w:val="24"/>
                <w:szCs w:val="24"/>
                <w:highlight w:val="none"/>
              </w:rPr>
            </w:pPr>
            <w:r>
              <w:rPr>
                <w:rFonts w:hint="eastAsia" w:ascii="宋体" w:hAnsi="宋体" w:eastAsia="宋体" w:cs="宋体"/>
                <w:sz w:val="24"/>
                <w:szCs w:val="24"/>
                <w:highlight w:val="none"/>
              </w:rPr>
              <w:t>4</w:t>
            </w:r>
          </w:p>
        </w:tc>
        <w:tc>
          <w:tcPr>
            <w:tcW w:w="1605" w:type="pct"/>
            <w:vAlign w:val="center"/>
          </w:tcPr>
          <w:p w14:paraId="25C64BBB">
            <w:pPr>
              <w:jc w:val="center"/>
              <w:rPr>
                <w:rFonts w:ascii="宋体" w:hAnsi="宋体" w:eastAsia="宋体" w:cs="宋体"/>
                <w:bCs/>
                <w:sz w:val="24"/>
                <w:szCs w:val="24"/>
                <w:highlight w:val="none"/>
              </w:rPr>
            </w:pPr>
            <w:r>
              <w:rPr>
                <w:rFonts w:hint="eastAsia" w:ascii="宋体" w:hAnsi="宋体" w:eastAsia="宋体" w:cs="宋体"/>
                <w:color w:val="000000"/>
                <w:kern w:val="0"/>
                <w:sz w:val="24"/>
                <w:szCs w:val="24"/>
                <w:highlight w:val="none"/>
                <w:lang w:bidi="ar"/>
              </w:rPr>
              <w:t>平板PAD</w:t>
            </w:r>
          </w:p>
        </w:tc>
        <w:tc>
          <w:tcPr>
            <w:tcW w:w="865" w:type="pct"/>
            <w:vAlign w:val="center"/>
          </w:tcPr>
          <w:p w14:paraId="38014081">
            <w:pPr>
              <w:jc w:val="center"/>
              <w:rPr>
                <w:rFonts w:ascii="宋体" w:hAnsi="宋体" w:eastAsia="宋体" w:cs="宋体"/>
                <w:bCs/>
                <w:sz w:val="24"/>
                <w:szCs w:val="24"/>
                <w:highlight w:val="none"/>
              </w:rPr>
            </w:pPr>
            <w:r>
              <w:rPr>
                <w:rFonts w:hint="eastAsia" w:ascii="宋体" w:hAnsi="宋体" w:eastAsia="宋体" w:cs="宋体"/>
                <w:bCs/>
                <w:sz w:val="24"/>
                <w:szCs w:val="24"/>
                <w:highlight w:val="none"/>
              </w:rPr>
              <w:t>6个</w:t>
            </w:r>
          </w:p>
        </w:tc>
        <w:tc>
          <w:tcPr>
            <w:tcW w:w="859" w:type="pct"/>
            <w:vAlign w:val="center"/>
          </w:tcPr>
          <w:p w14:paraId="66A3B590">
            <w:pPr>
              <w:jc w:val="center"/>
              <w:rPr>
                <w:rFonts w:ascii="宋体" w:hAnsi="宋体" w:eastAsia="宋体" w:cs="宋体"/>
                <w:bCs/>
                <w:sz w:val="24"/>
                <w:szCs w:val="24"/>
                <w:highlight w:val="none"/>
              </w:rPr>
            </w:pPr>
            <w:r>
              <w:rPr>
                <w:rFonts w:hint="eastAsia" w:ascii="宋体" w:hAnsi="宋体" w:eastAsia="宋体" w:cs="宋体"/>
                <w:bCs/>
                <w:sz w:val="24"/>
                <w:szCs w:val="24"/>
                <w:highlight w:val="none"/>
              </w:rPr>
              <w:t>工业</w:t>
            </w:r>
          </w:p>
        </w:tc>
        <w:tc>
          <w:tcPr>
            <w:tcW w:w="859" w:type="pct"/>
            <w:vAlign w:val="center"/>
          </w:tcPr>
          <w:p w14:paraId="7902B59B">
            <w:pPr>
              <w:jc w:val="center"/>
              <w:rPr>
                <w:rFonts w:hint="default" w:ascii="宋体" w:hAnsi="宋体" w:eastAsia="宋体" w:cs="宋体"/>
                <w:bCs/>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是，投标文件中提供节能产品认证证书</w:t>
            </w:r>
          </w:p>
        </w:tc>
      </w:tr>
      <w:tr w14:paraId="34C6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1" w:type="pct"/>
            <w:vAlign w:val="center"/>
          </w:tcPr>
          <w:p w14:paraId="39568012">
            <w:pPr>
              <w:jc w:val="center"/>
              <w:rPr>
                <w:rFonts w:ascii="宋体" w:hAnsi="宋体" w:eastAsia="宋体" w:cs="宋体"/>
                <w:sz w:val="24"/>
                <w:szCs w:val="24"/>
                <w:highlight w:val="none"/>
              </w:rPr>
            </w:pPr>
            <w:r>
              <w:rPr>
                <w:rFonts w:hint="eastAsia" w:ascii="宋体" w:hAnsi="宋体" w:eastAsia="宋体" w:cs="宋体"/>
                <w:sz w:val="24"/>
                <w:szCs w:val="24"/>
                <w:highlight w:val="none"/>
              </w:rPr>
              <w:t>5</w:t>
            </w:r>
          </w:p>
        </w:tc>
        <w:tc>
          <w:tcPr>
            <w:tcW w:w="1605" w:type="pct"/>
            <w:vAlign w:val="center"/>
          </w:tcPr>
          <w:p w14:paraId="74F7AFD5">
            <w:pPr>
              <w:jc w:val="center"/>
              <w:rPr>
                <w:rFonts w:ascii="宋体" w:hAnsi="宋体" w:eastAsia="宋体" w:cs="宋体"/>
                <w:bCs/>
                <w:sz w:val="24"/>
                <w:szCs w:val="24"/>
                <w:highlight w:val="none"/>
              </w:rPr>
            </w:pPr>
            <w:r>
              <w:rPr>
                <w:rFonts w:hint="eastAsia" w:ascii="宋体" w:hAnsi="宋体" w:eastAsia="宋体" w:cs="宋体"/>
                <w:color w:val="000000"/>
                <w:kern w:val="0"/>
                <w:sz w:val="24"/>
                <w:szCs w:val="24"/>
                <w:highlight w:val="none"/>
                <w:lang w:bidi="ar"/>
              </w:rPr>
              <w:t>手持PDA</w:t>
            </w:r>
          </w:p>
        </w:tc>
        <w:tc>
          <w:tcPr>
            <w:tcW w:w="865" w:type="pct"/>
            <w:vAlign w:val="center"/>
          </w:tcPr>
          <w:p w14:paraId="0DC36687">
            <w:pPr>
              <w:jc w:val="center"/>
              <w:rPr>
                <w:rFonts w:ascii="宋体" w:hAnsi="宋体" w:eastAsia="宋体" w:cs="宋体"/>
                <w:bCs/>
                <w:sz w:val="24"/>
                <w:szCs w:val="24"/>
                <w:highlight w:val="none"/>
              </w:rPr>
            </w:pPr>
            <w:r>
              <w:rPr>
                <w:rFonts w:hint="eastAsia" w:ascii="宋体" w:hAnsi="宋体" w:eastAsia="宋体" w:cs="宋体"/>
                <w:bCs/>
                <w:sz w:val="24"/>
                <w:szCs w:val="24"/>
                <w:highlight w:val="none"/>
              </w:rPr>
              <w:t>10个</w:t>
            </w:r>
          </w:p>
        </w:tc>
        <w:tc>
          <w:tcPr>
            <w:tcW w:w="859" w:type="pct"/>
            <w:vAlign w:val="center"/>
          </w:tcPr>
          <w:p w14:paraId="56E343B6">
            <w:pPr>
              <w:jc w:val="center"/>
              <w:rPr>
                <w:rFonts w:ascii="宋体" w:hAnsi="宋体" w:eastAsia="宋体" w:cs="宋体"/>
                <w:bCs/>
                <w:sz w:val="24"/>
                <w:szCs w:val="24"/>
                <w:highlight w:val="none"/>
              </w:rPr>
            </w:pPr>
            <w:r>
              <w:rPr>
                <w:rFonts w:hint="eastAsia" w:ascii="宋体" w:hAnsi="宋体" w:eastAsia="宋体" w:cs="宋体"/>
                <w:bCs/>
                <w:sz w:val="24"/>
                <w:szCs w:val="24"/>
                <w:highlight w:val="none"/>
              </w:rPr>
              <w:t>工业</w:t>
            </w:r>
          </w:p>
        </w:tc>
        <w:tc>
          <w:tcPr>
            <w:tcW w:w="859" w:type="pct"/>
            <w:vAlign w:val="center"/>
          </w:tcPr>
          <w:p w14:paraId="6FCE43FA">
            <w:pPr>
              <w:jc w:val="center"/>
              <w:rPr>
                <w:rFonts w:hint="eastAsia" w:ascii="宋体" w:hAnsi="宋体" w:eastAsia="宋体" w:cs="宋体"/>
                <w:bCs/>
                <w:sz w:val="24"/>
                <w:szCs w:val="24"/>
                <w:highlight w:val="none"/>
              </w:rPr>
            </w:pPr>
          </w:p>
        </w:tc>
      </w:tr>
      <w:tr w14:paraId="57F6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1" w:type="pct"/>
            <w:vAlign w:val="center"/>
          </w:tcPr>
          <w:p w14:paraId="2CF661DB">
            <w:pPr>
              <w:jc w:val="center"/>
              <w:rPr>
                <w:rFonts w:ascii="宋体" w:hAnsi="宋体" w:eastAsia="宋体" w:cs="宋体"/>
                <w:sz w:val="24"/>
                <w:szCs w:val="24"/>
                <w:highlight w:val="none"/>
              </w:rPr>
            </w:pPr>
            <w:r>
              <w:rPr>
                <w:rFonts w:hint="eastAsia" w:ascii="宋体" w:hAnsi="宋体" w:eastAsia="宋体" w:cs="宋体"/>
                <w:sz w:val="24"/>
                <w:szCs w:val="24"/>
                <w:highlight w:val="none"/>
              </w:rPr>
              <w:t>6</w:t>
            </w:r>
          </w:p>
        </w:tc>
        <w:tc>
          <w:tcPr>
            <w:tcW w:w="1605" w:type="pct"/>
            <w:vAlign w:val="center"/>
          </w:tcPr>
          <w:p w14:paraId="68F65673">
            <w:pPr>
              <w:jc w:val="center"/>
              <w:rPr>
                <w:rFonts w:ascii="宋体" w:hAnsi="宋体" w:eastAsia="宋体" w:cs="宋体"/>
                <w:bCs/>
                <w:sz w:val="24"/>
                <w:szCs w:val="24"/>
                <w:highlight w:val="none"/>
              </w:rPr>
            </w:pPr>
            <w:r>
              <w:rPr>
                <w:rFonts w:hint="eastAsia" w:ascii="宋体" w:hAnsi="宋体" w:eastAsia="宋体" w:cs="宋体"/>
                <w:color w:val="000000"/>
                <w:kern w:val="0"/>
                <w:sz w:val="24"/>
                <w:szCs w:val="24"/>
                <w:highlight w:val="none"/>
                <w:lang w:bidi="ar"/>
              </w:rPr>
              <w:t>显示屏</w:t>
            </w:r>
          </w:p>
        </w:tc>
        <w:tc>
          <w:tcPr>
            <w:tcW w:w="865" w:type="pct"/>
            <w:vAlign w:val="center"/>
          </w:tcPr>
          <w:p w14:paraId="173D3B5A">
            <w:pPr>
              <w:jc w:val="center"/>
              <w:rPr>
                <w:rFonts w:ascii="宋体" w:hAnsi="宋体" w:eastAsia="宋体" w:cs="宋体"/>
                <w:bCs/>
                <w:sz w:val="24"/>
                <w:szCs w:val="24"/>
                <w:highlight w:val="none"/>
              </w:rPr>
            </w:pPr>
            <w:r>
              <w:rPr>
                <w:rFonts w:hint="eastAsia" w:ascii="宋体" w:hAnsi="宋体" w:eastAsia="宋体" w:cs="宋体"/>
                <w:bCs/>
                <w:sz w:val="24"/>
                <w:szCs w:val="24"/>
                <w:highlight w:val="none"/>
              </w:rPr>
              <w:t>1个</w:t>
            </w:r>
          </w:p>
        </w:tc>
        <w:tc>
          <w:tcPr>
            <w:tcW w:w="859" w:type="pct"/>
            <w:vAlign w:val="center"/>
          </w:tcPr>
          <w:p w14:paraId="3BD02711">
            <w:pPr>
              <w:jc w:val="center"/>
              <w:rPr>
                <w:rFonts w:ascii="宋体" w:hAnsi="宋体" w:eastAsia="宋体" w:cs="宋体"/>
                <w:bCs/>
                <w:sz w:val="24"/>
                <w:szCs w:val="24"/>
                <w:highlight w:val="none"/>
              </w:rPr>
            </w:pPr>
            <w:r>
              <w:rPr>
                <w:rFonts w:hint="eastAsia" w:ascii="宋体" w:hAnsi="宋体" w:eastAsia="宋体" w:cs="宋体"/>
                <w:bCs/>
                <w:sz w:val="24"/>
                <w:szCs w:val="24"/>
                <w:highlight w:val="none"/>
              </w:rPr>
              <w:t>工业</w:t>
            </w:r>
          </w:p>
        </w:tc>
        <w:tc>
          <w:tcPr>
            <w:tcW w:w="859" w:type="pct"/>
            <w:vAlign w:val="center"/>
          </w:tcPr>
          <w:p w14:paraId="32C98F49">
            <w:pPr>
              <w:jc w:val="center"/>
              <w:rPr>
                <w:rFonts w:hint="eastAsia" w:ascii="宋体" w:hAnsi="宋体" w:eastAsia="宋体" w:cs="宋体"/>
                <w:bCs/>
                <w:sz w:val="24"/>
                <w:szCs w:val="24"/>
                <w:highlight w:val="none"/>
              </w:rPr>
            </w:pPr>
          </w:p>
        </w:tc>
      </w:tr>
      <w:tr w14:paraId="2B29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1" w:type="pct"/>
            <w:vAlign w:val="center"/>
          </w:tcPr>
          <w:p w14:paraId="13F4BA2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7</w:t>
            </w:r>
          </w:p>
        </w:tc>
        <w:tc>
          <w:tcPr>
            <w:tcW w:w="1605" w:type="pct"/>
            <w:vAlign w:val="center"/>
          </w:tcPr>
          <w:p w14:paraId="2E9613FB">
            <w:pPr>
              <w:jc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服务器</w:t>
            </w:r>
          </w:p>
        </w:tc>
        <w:tc>
          <w:tcPr>
            <w:tcW w:w="865" w:type="pct"/>
            <w:vAlign w:val="center"/>
          </w:tcPr>
          <w:p w14:paraId="4E89454C">
            <w:pPr>
              <w:jc w:val="center"/>
              <w:rPr>
                <w:rFonts w:ascii="宋体" w:hAnsi="宋体" w:eastAsia="宋体" w:cs="宋体"/>
                <w:bCs/>
                <w:sz w:val="24"/>
                <w:szCs w:val="24"/>
                <w:highlight w:val="none"/>
              </w:rPr>
            </w:pPr>
            <w:r>
              <w:rPr>
                <w:rFonts w:hint="eastAsia" w:ascii="宋体" w:hAnsi="宋体" w:eastAsia="宋体" w:cs="宋体"/>
                <w:bCs/>
                <w:sz w:val="24"/>
                <w:szCs w:val="24"/>
                <w:highlight w:val="none"/>
                <w:lang w:val="en-US" w:eastAsia="zh-CN"/>
              </w:rPr>
              <w:t>1</w:t>
            </w:r>
            <w:r>
              <w:rPr>
                <w:rFonts w:hint="eastAsia" w:ascii="宋体" w:hAnsi="宋体" w:eastAsia="宋体" w:cs="宋体"/>
                <w:bCs/>
                <w:sz w:val="24"/>
                <w:szCs w:val="24"/>
                <w:highlight w:val="none"/>
              </w:rPr>
              <w:t>台</w:t>
            </w:r>
          </w:p>
        </w:tc>
        <w:tc>
          <w:tcPr>
            <w:tcW w:w="859" w:type="pct"/>
            <w:vAlign w:val="center"/>
          </w:tcPr>
          <w:p w14:paraId="03344888">
            <w:pPr>
              <w:jc w:val="center"/>
              <w:rPr>
                <w:rFonts w:ascii="宋体" w:hAnsi="宋体" w:eastAsia="宋体" w:cs="宋体"/>
                <w:bCs/>
                <w:sz w:val="24"/>
                <w:szCs w:val="24"/>
                <w:highlight w:val="none"/>
              </w:rPr>
            </w:pPr>
            <w:r>
              <w:rPr>
                <w:rFonts w:hint="eastAsia" w:ascii="宋体" w:hAnsi="宋体" w:eastAsia="宋体" w:cs="宋体"/>
                <w:bCs/>
                <w:sz w:val="24"/>
                <w:szCs w:val="24"/>
                <w:highlight w:val="none"/>
              </w:rPr>
              <w:t>工业</w:t>
            </w:r>
          </w:p>
        </w:tc>
        <w:tc>
          <w:tcPr>
            <w:tcW w:w="859" w:type="pct"/>
            <w:vAlign w:val="center"/>
          </w:tcPr>
          <w:p w14:paraId="4575E348">
            <w:pPr>
              <w:jc w:val="center"/>
              <w:rPr>
                <w:rFonts w:hint="eastAsia" w:ascii="宋体" w:hAnsi="宋体" w:eastAsia="宋体" w:cs="宋体"/>
                <w:bCs/>
                <w:sz w:val="24"/>
                <w:szCs w:val="24"/>
                <w:highlight w:val="none"/>
              </w:rPr>
            </w:pPr>
          </w:p>
        </w:tc>
      </w:tr>
    </w:tbl>
    <w:p w14:paraId="303CD463">
      <w:pPr>
        <w:widowControl/>
        <w:spacing w:before="156" w:beforeLines="50" w:after="156" w:afterLines="50"/>
        <w:outlineLvl w:val="2"/>
        <w:rPr>
          <w:rFonts w:ascii="宋体" w:hAnsi="宋体" w:eastAsia="宋体" w:cs="宋体"/>
          <w:b/>
          <w:bCs/>
          <w:sz w:val="24"/>
          <w:szCs w:val="24"/>
          <w:highlight w:val="none"/>
        </w:rPr>
      </w:pPr>
      <w:bookmarkStart w:id="5" w:name="_Toc4843"/>
      <w:bookmarkStart w:id="6" w:name="_Toc7421"/>
      <w:r>
        <w:rPr>
          <w:rFonts w:hint="eastAsia" w:ascii="宋体" w:hAnsi="宋体" w:eastAsia="宋体" w:cs="宋体"/>
          <w:b/>
          <w:bCs/>
          <w:sz w:val="24"/>
          <w:szCs w:val="24"/>
          <w:highlight w:val="none"/>
        </w:rPr>
        <w:t>（三）技术参数及要求</w:t>
      </w:r>
    </w:p>
    <w:p w14:paraId="3526274D">
      <w:pPr>
        <w:widowControl/>
        <w:spacing w:line="360" w:lineRule="auto"/>
        <w:jc w:val="center"/>
        <w:rPr>
          <w:rFonts w:ascii="仿宋" w:hAnsi="仿宋" w:eastAsia="仿宋" w:cs="仿宋"/>
          <w:b/>
          <w:bCs/>
          <w:color w:val="000000"/>
          <w:kern w:val="0"/>
          <w:sz w:val="24"/>
          <w:highlight w:val="none"/>
          <w:lang w:bidi="ar"/>
        </w:rPr>
      </w:pPr>
      <w:r>
        <w:rPr>
          <w:rFonts w:hint="eastAsia" w:ascii="仿宋" w:hAnsi="仿宋" w:eastAsia="仿宋" w:cs="仿宋"/>
          <w:b/>
          <w:bCs/>
          <w:kern w:val="44"/>
          <w:sz w:val="24"/>
          <w:highlight w:val="none"/>
        </w:rPr>
        <w:t>▲产品1智慧中药房全流程管理系统</w:t>
      </w:r>
    </w:p>
    <w:p w14:paraId="08BB3917">
      <w:pPr>
        <w:spacing w:line="360" w:lineRule="auto"/>
        <w:rPr>
          <w:rFonts w:ascii="宋体" w:hAnsi="宋体" w:eastAsia="宋体"/>
          <w:b/>
          <w:bCs/>
          <w:szCs w:val="21"/>
          <w:highlight w:val="none"/>
        </w:rPr>
      </w:pPr>
      <w:r>
        <w:rPr>
          <w:rFonts w:hint="eastAsia" w:ascii="宋体" w:hAnsi="宋体" w:eastAsia="宋体"/>
          <w:b/>
          <w:bCs/>
          <w:szCs w:val="21"/>
          <w:highlight w:val="none"/>
        </w:rPr>
        <w:t>1.智慧中药房功能需求</w:t>
      </w:r>
    </w:p>
    <w:tbl>
      <w:tblPr>
        <w:tblStyle w:val="17"/>
        <w:tblW w:w="5007" w:type="pct"/>
        <w:tblInd w:w="-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31"/>
        <w:gridCol w:w="6997"/>
      </w:tblGrid>
      <w:tr w14:paraId="318CB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Pr>
          <w:p w14:paraId="5BFD141D">
            <w:pPr>
              <w:autoSpaceDE w:val="0"/>
              <w:autoSpaceDN w:val="0"/>
              <w:spacing w:before="134"/>
              <w:ind w:left="60"/>
              <w:jc w:val="center"/>
              <w:rPr>
                <w:rFonts w:ascii="宋体" w:hAnsi="宋体" w:eastAsia="宋体" w:cs="宋体"/>
                <w:kern w:val="0"/>
                <w:szCs w:val="21"/>
                <w:highlight w:val="none"/>
                <w:lang w:val="zh-CN" w:eastAsia="en-US" w:bidi="zh-CN"/>
              </w:rPr>
            </w:pPr>
            <w:r>
              <w:rPr>
                <w:rFonts w:hint="eastAsia" w:ascii="宋体" w:hAnsi="宋体" w:eastAsia="宋体" w:cs="宋体"/>
                <w:kern w:val="0"/>
                <w:szCs w:val="21"/>
                <w:highlight w:val="none"/>
                <w:lang w:val="zh-CN" w:eastAsia="en-US" w:bidi="zh-CN"/>
              </w:rPr>
              <w:t>功能模块</w:t>
            </w:r>
          </w:p>
        </w:tc>
        <w:tc>
          <w:tcPr>
            <w:tcW w:w="4200" w:type="pct"/>
          </w:tcPr>
          <w:p w14:paraId="6D09F1C3">
            <w:pPr>
              <w:autoSpaceDE w:val="0"/>
              <w:autoSpaceDN w:val="0"/>
              <w:spacing w:before="134"/>
              <w:jc w:val="center"/>
              <w:rPr>
                <w:rFonts w:ascii="宋体" w:hAnsi="宋体" w:eastAsia="宋体" w:cs="宋体"/>
                <w:kern w:val="0"/>
                <w:szCs w:val="21"/>
                <w:highlight w:val="none"/>
                <w:lang w:val="zh-CN" w:eastAsia="en-US" w:bidi="zh-CN"/>
              </w:rPr>
            </w:pPr>
            <w:r>
              <w:rPr>
                <w:rFonts w:hint="eastAsia" w:ascii="宋体" w:hAnsi="宋体" w:eastAsia="宋体" w:cs="宋体"/>
                <w:kern w:val="0"/>
                <w:szCs w:val="21"/>
                <w:highlight w:val="none"/>
                <w:lang w:eastAsia="en-US" w:bidi="zh-CN"/>
              </w:rPr>
              <w:t>参数</w:t>
            </w:r>
            <w:r>
              <w:rPr>
                <w:rFonts w:hint="eastAsia" w:ascii="宋体" w:hAnsi="宋体" w:eastAsia="宋体" w:cs="宋体"/>
                <w:kern w:val="0"/>
                <w:szCs w:val="21"/>
                <w:highlight w:val="none"/>
                <w:lang w:val="zh-CN" w:eastAsia="en-US" w:bidi="zh-CN"/>
              </w:rPr>
              <w:t>描述</w:t>
            </w:r>
          </w:p>
        </w:tc>
      </w:tr>
      <w:tr w14:paraId="0CC8E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vAlign w:val="center"/>
          </w:tcPr>
          <w:p w14:paraId="50C094F0">
            <w:pPr>
              <w:autoSpaceDE w:val="0"/>
              <w:autoSpaceDN w:val="0"/>
              <w:jc w:val="center"/>
              <w:rPr>
                <w:rFonts w:ascii="宋体" w:hAnsi="宋体" w:eastAsia="宋体" w:cs="宋体"/>
                <w:szCs w:val="21"/>
                <w:highlight w:val="none"/>
              </w:rPr>
            </w:pPr>
            <w:r>
              <w:rPr>
                <w:rFonts w:hint="eastAsia" w:ascii="宋体" w:hAnsi="宋体" w:eastAsia="宋体" w:cs="宋体"/>
                <w:szCs w:val="21"/>
                <w:highlight w:val="none"/>
              </w:rPr>
              <w:t>数据分析与</w:t>
            </w:r>
          </w:p>
          <w:p w14:paraId="09ACC008">
            <w:pPr>
              <w:autoSpaceDE w:val="0"/>
              <w:autoSpaceDN w:val="0"/>
              <w:jc w:val="center"/>
              <w:rPr>
                <w:rFonts w:ascii="宋体" w:hAnsi="宋体" w:eastAsia="宋体" w:cs="宋体"/>
                <w:kern w:val="0"/>
                <w:szCs w:val="21"/>
                <w:highlight w:val="none"/>
                <w:lang w:val="zh-CN" w:eastAsia="en-US" w:bidi="zh-CN"/>
              </w:rPr>
            </w:pPr>
            <w:r>
              <w:rPr>
                <w:rFonts w:hint="eastAsia" w:ascii="宋体" w:hAnsi="宋体" w:eastAsia="宋体" w:cs="宋体"/>
                <w:szCs w:val="21"/>
                <w:highlight w:val="none"/>
              </w:rPr>
              <w:t>展示</w:t>
            </w:r>
          </w:p>
        </w:tc>
        <w:tc>
          <w:tcPr>
            <w:tcW w:w="4200" w:type="pct"/>
            <w:vAlign w:val="center"/>
          </w:tcPr>
          <w:p w14:paraId="6745853B">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highlight w:val="none"/>
              </w:rPr>
              <w:t>★</w:t>
            </w:r>
            <w:r>
              <w:rPr>
                <w:rFonts w:hint="eastAsia" w:ascii="宋体" w:hAnsi="宋体" w:eastAsia="宋体" w:cs="宋体"/>
                <w:szCs w:val="21"/>
                <w:highlight w:val="none"/>
              </w:rPr>
              <w:t>具备对系统中相关数据进行分析统计以及展示，统计维度如从今日处方汇总、异常处方角度进行数据分析展示；</w:t>
            </w:r>
          </w:p>
          <w:p w14:paraId="499C46CA">
            <w:pPr>
              <w:widowControl/>
              <w:numPr>
                <w:ilvl w:val="0"/>
                <w:numId w:val="1"/>
              </w:numPr>
              <w:autoSpaceDE w:val="0"/>
              <w:autoSpaceDN w:val="0"/>
              <w:ind w:left="210" w:leftChars="100"/>
              <w:jc w:val="left"/>
              <w:rPr>
                <w:rFonts w:ascii="宋体" w:hAnsi="宋体" w:eastAsia="宋体" w:cs="宋体"/>
                <w:kern w:val="0"/>
                <w:szCs w:val="21"/>
                <w:highlight w:val="none"/>
                <w:lang w:val="zh-CN" w:bidi="zh-CN"/>
              </w:rPr>
            </w:pPr>
            <w:r>
              <w:rPr>
                <w:rFonts w:hint="eastAsia" w:ascii="宋体" w:hAnsi="宋体" w:eastAsia="宋体" w:cs="宋体"/>
                <w:szCs w:val="21"/>
                <w:highlight w:val="none"/>
              </w:rPr>
              <w:t>支持处方进度汇总展示，即按处方配药和煎药流程统计各个环节的当前处方量。</w:t>
            </w:r>
          </w:p>
        </w:tc>
      </w:tr>
      <w:tr w14:paraId="41721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vAlign w:val="center"/>
          </w:tcPr>
          <w:p w14:paraId="125EC0B1">
            <w:pPr>
              <w:autoSpaceDE w:val="0"/>
              <w:autoSpaceDN w:val="0"/>
              <w:jc w:val="center"/>
              <w:rPr>
                <w:rFonts w:ascii="宋体" w:hAnsi="宋体" w:eastAsia="宋体" w:cs="宋体"/>
                <w:kern w:val="0"/>
                <w:szCs w:val="21"/>
                <w:highlight w:val="none"/>
                <w:lang w:val="zh-CN" w:eastAsia="en-US" w:bidi="zh-CN"/>
              </w:rPr>
            </w:pPr>
            <w:r>
              <w:rPr>
                <w:rFonts w:hint="eastAsia" w:ascii="宋体" w:hAnsi="宋体" w:eastAsia="宋体" w:cs="宋体"/>
                <w:szCs w:val="21"/>
                <w:highlight w:val="none"/>
              </w:rPr>
              <w:t>处方管理</w:t>
            </w:r>
          </w:p>
        </w:tc>
        <w:tc>
          <w:tcPr>
            <w:tcW w:w="4200" w:type="pct"/>
            <w:vAlign w:val="center"/>
          </w:tcPr>
          <w:p w14:paraId="09588694">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highlight w:val="none"/>
              </w:rPr>
              <w:t>★</w:t>
            </w:r>
            <w:r>
              <w:rPr>
                <w:rFonts w:hint="eastAsia" w:ascii="宋体" w:hAnsi="宋体" w:eastAsia="宋体" w:cs="宋体"/>
                <w:szCs w:val="21"/>
                <w:highlight w:val="none"/>
              </w:rPr>
              <w:t>具备处方详细信息查询，支持根据条件筛选查询历史处方；</w:t>
            </w:r>
          </w:p>
          <w:p w14:paraId="20F77A4A">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支持查看处方配药记录，支持查看处方信息修改记录；</w:t>
            </w:r>
          </w:p>
          <w:p w14:paraId="0DABD027">
            <w:pPr>
              <w:widowControl/>
              <w:numPr>
                <w:ilvl w:val="0"/>
                <w:numId w:val="1"/>
              </w:numPr>
              <w:autoSpaceDE w:val="0"/>
              <w:autoSpaceDN w:val="0"/>
              <w:ind w:left="210" w:leftChars="100"/>
              <w:jc w:val="left"/>
              <w:rPr>
                <w:rFonts w:ascii="宋体" w:hAnsi="宋体" w:eastAsia="宋体" w:cs="宋体"/>
                <w:szCs w:val="21"/>
                <w:highlight w:val="none"/>
              </w:rPr>
            </w:pPr>
            <w:r>
              <w:rPr>
                <w:rFonts w:hint="eastAsia" w:ascii="宋体" w:hAnsi="宋体" w:eastAsia="宋体" w:cs="宋体"/>
                <w:szCs w:val="21"/>
                <w:highlight w:val="none"/>
              </w:rPr>
              <w:t>支持PDA扫描取药凭条、处方笺二维码等查询就诊处方全流程节点信息；</w:t>
            </w:r>
          </w:p>
          <w:p w14:paraId="14030571">
            <w:pPr>
              <w:numPr>
                <w:ilvl w:val="0"/>
                <w:numId w:val="1"/>
              </w:numPr>
              <w:autoSpaceDE w:val="0"/>
              <w:autoSpaceDN w:val="0"/>
              <w:ind w:left="210" w:leftChars="100"/>
              <w:rPr>
                <w:rFonts w:ascii="宋体" w:hAnsi="宋体" w:eastAsia="宋体" w:cs="宋体"/>
                <w:kern w:val="0"/>
                <w:szCs w:val="21"/>
                <w:highlight w:val="none"/>
                <w:lang w:val="zh-CN" w:bidi="zh-CN"/>
              </w:rPr>
            </w:pPr>
            <w:r>
              <w:rPr>
                <w:rFonts w:hint="eastAsia" w:ascii="宋体" w:hAnsi="宋体" w:eastAsia="宋体" w:cs="宋体"/>
                <w:szCs w:val="21"/>
                <w:highlight w:val="none"/>
              </w:rPr>
              <w:t>支持处方单、标签、加工流程单等单据个性化设置与打印。</w:t>
            </w:r>
          </w:p>
        </w:tc>
      </w:tr>
      <w:tr w14:paraId="394E1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vAlign w:val="center"/>
          </w:tcPr>
          <w:p w14:paraId="3D52D507">
            <w:pPr>
              <w:widowControl/>
              <w:autoSpaceDE w:val="0"/>
              <w:autoSpaceDN w:val="0"/>
              <w:jc w:val="center"/>
              <w:textAlignment w:val="center"/>
              <w:rPr>
                <w:rFonts w:ascii="宋体" w:hAnsi="宋体" w:eastAsia="宋体" w:cs="宋体"/>
                <w:kern w:val="0"/>
                <w:szCs w:val="21"/>
                <w:highlight w:val="none"/>
                <w:lang w:val="zh-CN" w:eastAsia="en-US" w:bidi="zh-CN"/>
              </w:rPr>
            </w:pPr>
            <w:r>
              <w:rPr>
                <w:rFonts w:hint="eastAsia" w:ascii="宋体" w:hAnsi="宋体" w:eastAsia="宋体" w:cs="宋体"/>
                <w:szCs w:val="21"/>
                <w:highlight w:val="none"/>
              </w:rPr>
              <w:t>处方审核</w:t>
            </w:r>
          </w:p>
        </w:tc>
        <w:tc>
          <w:tcPr>
            <w:tcW w:w="4200" w:type="pct"/>
            <w:vAlign w:val="center"/>
          </w:tcPr>
          <w:p w14:paraId="6AEC017A">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支持审方规则包含十九畏规则、药品超剂量规则、管理妊娠禁用药品和忌用药品规则，并且规则可自定义维护；</w:t>
            </w:r>
          </w:p>
          <w:p w14:paraId="7572EFF5">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支持按药品设置毒麻标记用于处方审核规则判定；</w:t>
            </w:r>
          </w:p>
          <w:p w14:paraId="2503683D">
            <w:pPr>
              <w:numPr>
                <w:ilvl w:val="0"/>
                <w:numId w:val="1"/>
              </w:numPr>
              <w:autoSpaceDE w:val="0"/>
              <w:autoSpaceDN w:val="0"/>
              <w:ind w:left="210" w:leftChars="100"/>
              <w:rPr>
                <w:rFonts w:ascii="宋体" w:hAnsi="宋体" w:eastAsia="宋体" w:cs="宋体"/>
                <w:kern w:val="0"/>
                <w:szCs w:val="21"/>
                <w:highlight w:val="none"/>
                <w:lang w:val="zh-CN" w:bidi="zh-CN"/>
              </w:rPr>
            </w:pPr>
            <w:r>
              <w:rPr>
                <w:rFonts w:hint="eastAsia" w:ascii="宋体" w:hAnsi="宋体" w:eastAsia="宋体" w:cs="宋体"/>
                <w:szCs w:val="21"/>
                <w:highlight w:val="none"/>
              </w:rPr>
              <w:t>支持按照按配伍禁忌、超剂量毒性药品等进行自动审方并可进行详细信息提示。</w:t>
            </w:r>
          </w:p>
        </w:tc>
      </w:tr>
      <w:tr w14:paraId="38ACB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vAlign w:val="center"/>
          </w:tcPr>
          <w:p w14:paraId="758C208A">
            <w:pPr>
              <w:autoSpaceDE w:val="0"/>
              <w:autoSpaceDN w:val="0"/>
              <w:jc w:val="center"/>
              <w:rPr>
                <w:rFonts w:ascii="宋体" w:hAnsi="宋体" w:eastAsia="宋体" w:cs="宋体"/>
                <w:kern w:val="0"/>
                <w:szCs w:val="21"/>
                <w:highlight w:val="none"/>
                <w:lang w:val="zh-CN" w:eastAsia="en-US" w:bidi="zh-CN"/>
              </w:rPr>
            </w:pPr>
            <w:r>
              <w:rPr>
                <w:rFonts w:hint="eastAsia" w:ascii="宋体" w:hAnsi="宋体" w:eastAsia="宋体" w:cs="宋体"/>
                <w:szCs w:val="21"/>
                <w:highlight w:val="none"/>
              </w:rPr>
              <w:t>智能派单</w:t>
            </w:r>
          </w:p>
        </w:tc>
        <w:tc>
          <w:tcPr>
            <w:tcW w:w="4200" w:type="pct"/>
            <w:vAlign w:val="center"/>
          </w:tcPr>
          <w:p w14:paraId="51566D7D">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highlight w:val="none"/>
              </w:rPr>
              <w:t>★</w:t>
            </w:r>
            <w:r>
              <w:rPr>
                <w:rFonts w:hint="eastAsia" w:ascii="宋体" w:hAnsi="宋体" w:eastAsia="宋体" w:cs="宋体"/>
                <w:szCs w:val="21"/>
                <w:highlight w:val="none"/>
              </w:rPr>
              <w:t>具备药师功能账号管理，对在岗人员进行处方派发；</w:t>
            </w:r>
          </w:p>
          <w:p w14:paraId="2121654A">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支持根据药师配药工作量情况可进行循环模式派发或平均派发处方模式；</w:t>
            </w:r>
          </w:p>
          <w:p w14:paraId="5F461E47">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支持手工调整派发队列如人工加急、对特定处方进行人工加急；</w:t>
            </w:r>
          </w:p>
          <w:p w14:paraId="103EDDF3">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支持代煎代配中心派发处方及处方量统计，统计维度如品种数，消耗量，金额；</w:t>
            </w:r>
          </w:p>
          <w:p w14:paraId="789A802D">
            <w:pPr>
              <w:numPr>
                <w:ilvl w:val="0"/>
                <w:numId w:val="1"/>
              </w:numPr>
              <w:autoSpaceDE w:val="0"/>
              <w:autoSpaceDN w:val="0"/>
              <w:ind w:left="210" w:leftChars="100"/>
              <w:rPr>
                <w:rFonts w:ascii="宋体" w:hAnsi="宋体" w:eastAsia="宋体" w:cs="宋体"/>
                <w:szCs w:val="21"/>
                <w:highlight w:val="none"/>
                <w:lang w:val="zh-CN"/>
              </w:rPr>
            </w:pPr>
            <w:r>
              <w:rPr>
                <w:rFonts w:hint="eastAsia" w:ascii="宋体" w:hAnsi="宋体" w:eastAsia="宋体" w:cs="宋体"/>
                <w:szCs w:val="21"/>
                <w:highlight w:val="none"/>
              </w:rPr>
              <w:t>支持统计各药师的工作量，处方量，味剂量等相关信息。</w:t>
            </w:r>
          </w:p>
        </w:tc>
      </w:tr>
      <w:tr w14:paraId="27125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vAlign w:val="center"/>
          </w:tcPr>
          <w:p w14:paraId="06F9264B">
            <w:pPr>
              <w:autoSpaceDE w:val="0"/>
              <w:autoSpaceDN w:val="0"/>
              <w:jc w:val="center"/>
              <w:rPr>
                <w:rFonts w:ascii="宋体" w:hAnsi="宋体" w:eastAsia="宋体" w:cs="宋体"/>
                <w:kern w:val="0"/>
                <w:szCs w:val="21"/>
                <w:highlight w:val="none"/>
                <w:lang w:val="zh-CN" w:eastAsia="en-US" w:bidi="zh-CN"/>
              </w:rPr>
            </w:pPr>
            <w:r>
              <w:rPr>
                <w:rFonts w:hint="eastAsia" w:ascii="宋体" w:hAnsi="宋体" w:eastAsia="宋体" w:cs="宋体"/>
                <w:szCs w:val="21"/>
                <w:highlight w:val="none"/>
              </w:rPr>
              <w:t>平板调剂</w:t>
            </w:r>
          </w:p>
        </w:tc>
        <w:tc>
          <w:tcPr>
            <w:tcW w:w="4200" w:type="pct"/>
            <w:vAlign w:val="center"/>
          </w:tcPr>
          <w:p w14:paraId="0DF9A962">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支持调剂台管理，实现与调剂平板、打印机绑定；</w:t>
            </w:r>
          </w:p>
          <w:p w14:paraId="7E3D71EE">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highlight w:val="none"/>
              </w:rPr>
              <w:t>★</w:t>
            </w:r>
            <w:r>
              <w:rPr>
                <w:rFonts w:hint="eastAsia" w:ascii="宋体" w:hAnsi="宋体" w:eastAsia="宋体" w:cs="宋体"/>
                <w:szCs w:val="21"/>
                <w:highlight w:val="none"/>
              </w:rPr>
              <w:t>具备平板电脑展示处方相关信息，用于配药人员信息查看；</w:t>
            </w:r>
          </w:p>
          <w:p w14:paraId="07D14F17">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支持平板电脑配药操作，记录配药人员、时间、用时、以及可明显区分已配未配药品显示；</w:t>
            </w:r>
          </w:p>
          <w:p w14:paraId="0417576F">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支持配药过程中的异常情况处理</w:t>
            </w:r>
          </w:p>
          <w:p w14:paraId="4ED2A224">
            <w:pPr>
              <w:numPr>
                <w:ilvl w:val="0"/>
                <w:numId w:val="1"/>
              </w:numPr>
              <w:autoSpaceDE w:val="0"/>
              <w:autoSpaceDN w:val="0"/>
              <w:ind w:left="210" w:leftChars="100"/>
              <w:rPr>
                <w:rFonts w:ascii="宋体" w:hAnsi="宋体" w:eastAsia="宋体" w:cs="宋体"/>
                <w:szCs w:val="21"/>
                <w:highlight w:val="none"/>
                <w:lang w:val="zh-CN"/>
              </w:rPr>
            </w:pPr>
            <w:r>
              <w:rPr>
                <w:rFonts w:hint="eastAsia" w:ascii="宋体" w:hAnsi="宋体" w:eastAsia="宋体" w:cs="宋体"/>
                <w:szCs w:val="21"/>
                <w:highlight w:val="none"/>
              </w:rPr>
              <w:t>支持对于复核不通过的处方进行提示并展示审核不通过具体原因，支持此类处方再次调剂。</w:t>
            </w:r>
          </w:p>
        </w:tc>
      </w:tr>
      <w:tr w14:paraId="7D416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vAlign w:val="center"/>
          </w:tcPr>
          <w:p w14:paraId="702F7C36">
            <w:pPr>
              <w:autoSpaceDE w:val="0"/>
              <w:autoSpaceDN w:val="0"/>
              <w:jc w:val="center"/>
              <w:rPr>
                <w:rFonts w:ascii="宋体" w:hAnsi="宋体" w:eastAsia="宋体" w:cs="宋体"/>
                <w:kern w:val="0"/>
                <w:szCs w:val="21"/>
                <w:highlight w:val="none"/>
                <w:lang w:val="zh-CN" w:eastAsia="en-US" w:bidi="zh-CN"/>
              </w:rPr>
            </w:pPr>
            <w:r>
              <w:rPr>
                <w:rFonts w:hint="eastAsia" w:ascii="宋体" w:hAnsi="宋体" w:eastAsia="宋体" w:cs="宋体"/>
                <w:szCs w:val="21"/>
                <w:highlight w:val="none"/>
              </w:rPr>
              <w:t>平板复核</w:t>
            </w:r>
          </w:p>
        </w:tc>
        <w:tc>
          <w:tcPr>
            <w:tcW w:w="4200" w:type="pct"/>
            <w:vAlign w:val="center"/>
          </w:tcPr>
          <w:p w14:paraId="60C4DF30">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highlight w:val="none"/>
              </w:rPr>
              <w:t>★</w:t>
            </w:r>
            <w:r>
              <w:rPr>
                <w:rFonts w:hint="eastAsia" w:ascii="宋体" w:hAnsi="宋体" w:eastAsia="宋体" w:cs="宋体"/>
                <w:szCs w:val="21"/>
                <w:highlight w:val="none"/>
              </w:rPr>
              <w:t>具备平板扫描标签即展示处方信息，进入复核操作页面；</w:t>
            </w:r>
          </w:p>
          <w:p w14:paraId="25E07EE1">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支持复核时拍照留存;</w:t>
            </w:r>
          </w:p>
          <w:p w14:paraId="0B28FDEE">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支持复核时称重，数据自动读取或手工录入；</w:t>
            </w:r>
          </w:p>
          <w:p w14:paraId="59F2D123">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支持按处方生成调剂误差登记表；</w:t>
            </w:r>
          </w:p>
          <w:p w14:paraId="6AB7C4DA">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支持按时间段导出调剂误差登记表；</w:t>
            </w:r>
          </w:p>
          <w:p w14:paraId="1E1479EC">
            <w:pPr>
              <w:numPr>
                <w:ilvl w:val="0"/>
                <w:numId w:val="1"/>
              </w:numPr>
              <w:autoSpaceDE w:val="0"/>
              <w:autoSpaceDN w:val="0"/>
              <w:ind w:left="210" w:leftChars="100"/>
              <w:rPr>
                <w:rFonts w:ascii="宋体" w:hAnsi="宋体" w:eastAsia="宋体" w:cs="宋体"/>
                <w:szCs w:val="21"/>
                <w:highlight w:val="none"/>
                <w:lang w:val="zh-CN"/>
              </w:rPr>
            </w:pPr>
            <w:r>
              <w:rPr>
                <w:rFonts w:hint="eastAsia" w:ascii="宋体" w:hAnsi="宋体" w:eastAsia="宋体" w:cs="宋体"/>
                <w:szCs w:val="21"/>
                <w:highlight w:val="none"/>
              </w:rPr>
              <w:t>支持复核不通过处方回退原配方员，可进行再次提交复核。</w:t>
            </w:r>
          </w:p>
        </w:tc>
      </w:tr>
      <w:tr w14:paraId="086C4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vAlign w:val="center"/>
          </w:tcPr>
          <w:p w14:paraId="68C4B79A">
            <w:pPr>
              <w:autoSpaceDE w:val="0"/>
              <w:autoSpaceDN w:val="0"/>
              <w:jc w:val="center"/>
              <w:rPr>
                <w:rFonts w:ascii="宋体" w:hAnsi="宋体" w:eastAsia="宋体" w:cs="宋体"/>
                <w:kern w:val="0"/>
                <w:szCs w:val="21"/>
                <w:highlight w:val="none"/>
                <w:lang w:val="zh-CN" w:eastAsia="en-US" w:bidi="zh-CN"/>
              </w:rPr>
            </w:pPr>
            <w:r>
              <w:rPr>
                <w:rFonts w:hint="eastAsia" w:ascii="宋体" w:hAnsi="宋体" w:eastAsia="宋体" w:cs="宋体"/>
                <w:szCs w:val="21"/>
                <w:highlight w:val="none"/>
              </w:rPr>
              <w:t>发药管理</w:t>
            </w:r>
          </w:p>
        </w:tc>
        <w:tc>
          <w:tcPr>
            <w:tcW w:w="4200" w:type="pct"/>
            <w:vAlign w:val="center"/>
          </w:tcPr>
          <w:p w14:paraId="6A7FE638">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highlight w:val="none"/>
              </w:rPr>
              <w:t>★</w:t>
            </w:r>
            <w:r>
              <w:rPr>
                <w:rFonts w:hint="eastAsia" w:ascii="宋体" w:hAnsi="宋体" w:eastAsia="宋体" w:cs="宋体"/>
                <w:szCs w:val="21"/>
                <w:highlight w:val="none"/>
              </w:rPr>
              <w:t>具备发药信息查询，以列表形式进行展示，并可进行条件筛选；</w:t>
            </w:r>
          </w:p>
          <w:p w14:paraId="5D02C769">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支持处方绑定电子标签进行上架；</w:t>
            </w:r>
          </w:p>
          <w:p w14:paraId="71A10488">
            <w:pPr>
              <w:numPr>
                <w:ilvl w:val="0"/>
                <w:numId w:val="1"/>
              </w:numPr>
              <w:autoSpaceDE w:val="0"/>
              <w:autoSpaceDN w:val="0"/>
              <w:ind w:left="210" w:leftChars="100"/>
              <w:rPr>
                <w:rFonts w:ascii="宋体" w:hAnsi="宋体" w:eastAsia="宋体" w:cs="宋体"/>
                <w:szCs w:val="21"/>
                <w:highlight w:val="none"/>
              </w:rPr>
            </w:pPr>
          </w:p>
          <w:p w14:paraId="2C5069DD">
            <w:pPr>
              <w:autoSpaceDE w:val="0"/>
              <w:autoSpaceDN w:val="0"/>
              <w:ind w:firstLine="210" w:firstLineChars="100"/>
              <w:rPr>
                <w:rFonts w:ascii="宋体" w:hAnsi="宋体" w:eastAsia="宋体" w:cs="宋体"/>
                <w:szCs w:val="21"/>
                <w:highlight w:val="none"/>
              </w:rPr>
            </w:pPr>
            <w:r>
              <w:rPr>
                <w:rFonts w:hint="eastAsia" w:ascii="宋体" w:hAnsi="宋体" w:eastAsia="宋体" w:cs="宋体"/>
                <w:szCs w:val="21"/>
                <w:highlight w:val="none"/>
              </w:rPr>
              <w:t>支持取药时通过声光电子标签进行定位查找，快速取药；</w:t>
            </w:r>
          </w:p>
          <w:p w14:paraId="2EBA5D8A">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支持取药信息大屏显示；</w:t>
            </w:r>
          </w:p>
          <w:p w14:paraId="28E40F9D">
            <w:pPr>
              <w:numPr>
                <w:ilvl w:val="0"/>
                <w:numId w:val="1"/>
              </w:numPr>
              <w:autoSpaceDE w:val="0"/>
              <w:autoSpaceDN w:val="0"/>
              <w:ind w:left="210" w:leftChars="100"/>
              <w:rPr>
                <w:rFonts w:ascii="宋体" w:hAnsi="宋体" w:eastAsia="宋体" w:cs="宋体"/>
                <w:szCs w:val="21"/>
                <w:highlight w:val="none"/>
                <w:lang w:val="zh-CN"/>
              </w:rPr>
            </w:pPr>
            <w:r>
              <w:rPr>
                <w:rFonts w:hint="eastAsia" w:ascii="宋体" w:hAnsi="宋体" w:eastAsia="宋体" w:cs="宋体"/>
                <w:szCs w:val="21"/>
                <w:highlight w:val="none"/>
              </w:rPr>
              <w:t>支持小程序或短信平台提醒，通知患者取药。</w:t>
            </w:r>
          </w:p>
        </w:tc>
      </w:tr>
      <w:tr w14:paraId="103E2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vAlign w:val="center"/>
          </w:tcPr>
          <w:p w14:paraId="0993FFE6">
            <w:pPr>
              <w:widowControl/>
              <w:autoSpaceDE w:val="0"/>
              <w:autoSpaceDN w:val="0"/>
              <w:jc w:val="center"/>
              <w:textAlignment w:val="center"/>
              <w:rPr>
                <w:rFonts w:ascii="宋体" w:hAnsi="宋体" w:eastAsia="宋体" w:cs="宋体"/>
                <w:kern w:val="0"/>
                <w:szCs w:val="21"/>
                <w:highlight w:val="none"/>
                <w:lang w:val="zh-CN" w:eastAsia="en-US" w:bidi="zh-CN"/>
              </w:rPr>
            </w:pPr>
            <w:r>
              <w:rPr>
                <w:rFonts w:hint="eastAsia" w:ascii="宋体" w:hAnsi="宋体" w:eastAsia="宋体" w:cs="宋体"/>
                <w:szCs w:val="21"/>
                <w:highlight w:val="none"/>
              </w:rPr>
              <w:t>预警管理</w:t>
            </w:r>
          </w:p>
        </w:tc>
        <w:tc>
          <w:tcPr>
            <w:tcW w:w="4200" w:type="pct"/>
            <w:vAlign w:val="center"/>
          </w:tcPr>
          <w:p w14:paraId="46B25320">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支持展示实时预警信息，查询历史预警记录；</w:t>
            </w:r>
          </w:p>
          <w:p w14:paraId="5C061D7D">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支持预警规则管理，可以按实际管理需要设置预警规则；</w:t>
            </w:r>
          </w:p>
          <w:p w14:paraId="467F6ACD">
            <w:pPr>
              <w:numPr>
                <w:ilvl w:val="0"/>
                <w:numId w:val="1"/>
              </w:numPr>
              <w:autoSpaceDE w:val="0"/>
              <w:autoSpaceDN w:val="0"/>
              <w:ind w:left="210" w:leftChars="100"/>
              <w:rPr>
                <w:rFonts w:ascii="宋体" w:hAnsi="宋体" w:eastAsia="宋体" w:cs="宋体"/>
                <w:szCs w:val="21"/>
                <w:highlight w:val="none"/>
                <w:lang w:val="zh-CN"/>
              </w:rPr>
            </w:pPr>
            <w:r>
              <w:rPr>
                <w:rFonts w:hint="eastAsia" w:ascii="宋体" w:hAnsi="宋体" w:eastAsia="宋体" w:cs="宋体"/>
                <w:szCs w:val="21"/>
                <w:highlight w:val="none"/>
              </w:rPr>
              <w:t>支持预警规则自动生成，信息可提示管理人员。</w:t>
            </w:r>
          </w:p>
        </w:tc>
      </w:tr>
      <w:tr w14:paraId="7BF98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vAlign w:val="center"/>
          </w:tcPr>
          <w:p w14:paraId="57157ED8">
            <w:pPr>
              <w:widowControl/>
              <w:autoSpaceDE w:val="0"/>
              <w:autoSpaceDN w:val="0"/>
              <w:jc w:val="center"/>
              <w:textAlignment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配送管理</w:t>
            </w:r>
          </w:p>
        </w:tc>
        <w:tc>
          <w:tcPr>
            <w:tcW w:w="4200" w:type="pct"/>
            <w:vAlign w:val="center"/>
          </w:tcPr>
          <w:p w14:paraId="6CB4F141">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支持代煎代配中心配送至院内管理，便捷药师及护士站药品交接；</w:t>
            </w:r>
          </w:p>
          <w:p w14:paraId="2D1DD5B5">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支持出院带药患者的处方进行管理。</w:t>
            </w:r>
          </w:p>
        </w:tc>
      </w:tr>
      <w:tr w14:paraId="5462C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vAlign w:val="center"/>
          </w:tcPr>
          <w:p w14:paraId="12BEC685">
            <w:pPr>
              <w:autoSpaceDE w:val="0"/>
              <w:autoSpaceDN w:val="0"/>
              <w:jc w:val="center"/>
              <w:rPr>
                <w:rFonts w:ascii="宋体" w:hAnsi="宋体" w:eastAsia="宋体" w:cs="宋体"/>
                <w:szCs w:val="21"/>
                <w:highlight w:val="none"/>
                <w:lang w:val="zh-CN"/>
              </w:rPr>
            </w:pPr>
            <w:r>
              <w:rPr>
                <w:rFonts w:hint="eastAsia" w:ascii="宋体" w:hAnsi="宋体" w:eastAsia="宋体" w:cs="宋体"/>
                <w:szCs w:val="21"/>
                <w:highlight w:val="none"/>
              </w:rPr>
              <w:t>质控抽检</w:t>
            </w:r>
          </w:p>
        </w:tc>
        <w:tc>
          <w:tcPr>
            <w:tcW w:w="4200" w:type="pct"/>
            <w:vAlign w:val="center"/>
          </w:tcPr>
          <w:p w14:paraId="18717A05">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支持质检人员现场使用手持操作的抽检；</w:t>
            </w:r>
          </w:p>
          <w:p w14:paraId="00AD2642">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支持重点养护中药品种基本信息、养护属性等信息维护；</w:t>
            </w:r>
          </w:p>
          <w:p w14:paraId="7D68392C">
            <w:pPr>
              <w:numPr>
                <w:ilvl w:val="0"/>
                <w:numId w:val="1"/>
              </w:numPr>
              <w:autoSpaceDE w:val="0"/>
              <w:autoSpaceDN w:val="0"/>
              <w:ind w:left="210" w:leftChars="100"/>
              <w:rPr>
                <w:rFonts w:ascii="宋体" w:hAnsi="宋体" w:eastAsia="宋体" w:cs="宋体"/>
                <w:szCs w:val="21"/>
                <w:highlight w:val="none"/>
                <w:lang w:val="zh-CN"/>
              </w:rPr>
            </w:pPr>
            <w:r>
              <w:rPr>
                <w:rFonts w:hint="eastAsia" w:ascii="宋体" w:hAnsi="宋体" w:eastAsia="宋体" w:cs="宋体"/>
                <w:szCs w:val="21"/>
                <w:highlight w:val="none"/>
              </w:rPr>
              <w:t>支持手持端养护管理，维护原因勾选并记录数据，形成报表，具备文档导出功能；</w:t>
            </w:r>
          </w:p>
        </w:tc>
      </w:tr>
      <w:tr w14:paraId="45D16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vAlign w:val="center"/>
          </w:tcPr>
          <w:p w14:paraId="4DA67ED0">
            <w:pPr>
              <w:autoSpaceDE w:val="0"/>
              <w:autoSpaceDN w:val="0"/>
              <w:jc w:val="center"/>
              <w:rPr>
                <w:rFonts w:ascii="宋体" w:hAnsi="宋体" w:eastAsia="宋体" w:cs="宋体"/>
                <w:szCs w:val="21"/>
                <w:highlight w:val="none"/>
              </w:rPr>
            </w:pPr>
            <w:r>
              <w:rPr>
                <w:rFonts w:hint="eastAsia" w:ascii="宋体" w:hAnsi="宋体" w:eastAsia="宋体" w:cs="宋体"/>
                <w:szCs w:val="21"/>
                <w:highlight w:val="none"/>
              </w:rPr>
              <w:t>装斗清斗管理</w:t>
            </w:r>
          </w:p>
        </w:tc>
        <w:tc>
          <w:tcPr>
            <w:tcW w:w="4200" w:type="pct"/>
            <w:vAlign w:val="center"/>
          </w:tcPr>
          <w:p w14:paraId="2AB2E14C">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支持调剂斗位、周转库位维护与管理；</w:t>
            </w:r>
          </w:p>
          <w:p w14:paraId="1083734C">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持编码标签单个或整体文档输出，具备自主标签打印功能；</w:t>
            </w:r>
          </w:p>
          <w:p w14:paraId="2812D52E">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支持装斗时斗位码与追溯码双扫码实现绑定装斗，具备扫描药品追溯码实现信息实时记录；</w:t>
            </w:r>
          </w:p>
          <w:p w14:paraId="57463CAD">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清斗时自动显示理论剩余重量、批次，同时实现人工二次核验修改，具备文档导出功能；清斗原因实现自主维护，形成勾选项及其他人工录入功能，通过勾选或其他项录入实现清斗记录报表，具备文档导出功能。</w:t>
            </w:r>
          </w:p>
        </w:tc>
      </w:tr>
      <w:tr w14:paraId="6BC04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vAlign w:val="center"/>
          </w:tcPr>
          <w:p w14:paraId="5B7B74BF">
            <w:pPr>
              <w:autoSpaceDE w:val="0"/>
              <w:autoSpaceDN w:val="0"/>
              <w:jc w:val="center"/>
              <w:rPr>
                <w:rFonts w:ascii="宋体" w:hAnsi="宋体" w:eastAsia="宋体" w:cs="宋体"/>
                <w:kern w:val="0"/>
                <w:szCs w:val="21"/>
                <w:highlight w:val="none"/>
                <w:lang w:val="zh-CN" w:bidi="zh-CN"/>
              </w:rPr>
            </w:pPr>
            <w:r>
              <w:rPr>
                <w:rFonts w:hint="eastAsia" w:ascii="宋体" w:hAnsi="宋体" w:eastAsia="宋体" w:cs="宋体"/>
                <w:szCs w:val="21"/>
                <w:highlight w:val="none"/>
              </w:rPr>
              <w:t>协定方管理</w:t>
            </w:r>
          </w:p>
        </w:tc>
        <w:tc>
          <w:tcPr>
            <w:tcW w:w="4200" w:type="pct"/>
            <w:vAlign w:val="center"/>
          </w:tcPr>
          <w:p w14:paraId="266D2235">
            <w:pPr>
              <w:numPr>
                <w:ilvl w:val="0"/>
                <w:numId w:val="1"/>
              </w:numPr>
              <w:autoSpaceDE w:val="0"/>
              <w:autoSpaceDN w:val="0"/>
              <w:ind w:left="210" w:leftChars="100"/>
              <w:rPr>
                <w:rFonts w:ascii="宋体" w:hAnsi="宋体" w:eastAsia="宋体" w:cs="宋体"/>
                <w:szCs w:val="21"/>
                <w:highlight w:val="none"/>
                <w:lang w:val="zh-CN"/>
              </w:rPr>
            </w:pPr>
            <w:r>
              <w:rPr>
                <w:rFonts w:hint="eastAsia" w:ascii="宋体" w:hAnsi="宋体" w:eastAsia="宋体" w:cs="宋体"/>
                <w:highlight w:val="none"/>
              </w:rPr>
              <w:t>★</w:t>
            </w:r>
            <w:r>
              <w:rPr>
                <w:rFonts w:hint="eastAsia" w:ascii="宋体" w:hAnsi="宋体" w:eastAsia="宋体" w:cs="宋体"/>
                <w:szCs w:val="21"/>
                <w:highlight w:val="none"/>
              </w:rPr>
              <w:t>具备院内协定方维护与管理。</w:t>
            </w:r>
          </w:p>
        </w:tc>
      </w:tr>
      <w:tr w14:paraId="17C86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vAlign w:val="center"/>
          </w:tcPr>
          <w:p w14:paraId="6AEAAFAB">
            <w:pPr>
              <w:autoSpaceDE w:val="0"/>
              <w:autoSpaceDN w:val="0"/>
              <w:jc w:val="center"/>
              <w:rPr>
                <w:rFonts w:ascii="宋体" w:hAnsi="宋体" w:eastAsia="宋体" w:cs="宋体"/>
                <w:color w:val="000000"/>
                <w:kern w:val="0"/>
                <w:szCs w:val="21"/>
                <w:highlight w:val="none"/>
                <w:lang w:bidi="ar"/>
              </w:rPr>
            </w:pPr>
            <w:r>
              <w:rPr>
                <w:rFonts w:hint="eastAsia" w:ascii="宋体" w:hAnsi="宋体" w:eastAsia="宋体" w:cs="宋体"/>
                <w:szCs w:val="21"/>
                <w:highlight w:val="none"/>
              </w:rPr>
              <w:t>中药房大屏</w:t>
            </w:r>
          </w:p>
        </w:tc>
        <w:tc>
          <w:tcPr>
            <w:tcW w:w="4200" w:type="pct"/>
            <w:vAlign w:val="center"/>
          </w:tcPr>
          <w:p w14:paraId="289FCD6B">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highlight w:val="none"/>
              </w:rPr>
              <w:t>★</w:t>
            </w:r>
            <w:r>
              <w:rPr>
                <w:rFonts w:hint="eastAsia" w:ascii="宋体" w:hAnsi="宋体" w:eastAsia="宋体" w:cs="宋体"/>
                <w:szCs w:val="21"/>
                <w:highlight w:val="none"/>
              </w:rPr>
              <w:t>具备药房数据大屏展示，可实时展示处方统计数据，直观了解目前处方任务情况。</w:t>
            </w:r>
          </w:p>
        </w:tc>
      </w:tr>
      <w:tr w14:paraId="34391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vAlign w:val="center"/>
          </w:tcPr>
          <w:p w14:paraId="56F2673A">
            <w:pPr>
              <w:autoSpaceDE w:val="0"/>
              <w:autoSpaceDN w:val="0"/>
              <w:jc w:val="center"/>
              <w:rPr>
                <w:rFonts w:ascii="宋体" w:hAnsi="宋体" w:eastAsia="宋体" w:cs="宋体"/>
                <w:szCs w:val="21"/>
                <w:highlight w:val="none"/>
              </w:rPr>
            </w:pPr>
            <w:r>
              <w:rPr>
                <w:rFonts w:hint="eastAsia" w:ascii="宋体" w:hAnsi="宋体" w:eastAsia="宋体" w:cs="宋体"/>
                <w:szCs w:val="21"/>
                <w:highlight w:val="none"/>
              </w:rPr>
              <w:t>系统灵活性</w:t>
            </w:r>
          </w:p>
          <w:p w14:paraId="638716C8">
            <w:pPr>
              <w:autoSpaceDE w:val="0"/>
              <w:autoSpaceDN w:val="0"/>
              <w:jc w:val="center"/>
              <w:rPr>
                <w:rFonts w:ascii="宋体" w:hAnsi="宋体" w:eastAsia="宋体" w:cs="宋体"/>
                <w:szCs w:val="21"/>
                <w:highlight w:val="none"/>
              </w:rPr>
            </w:pPr>
            <w:r>
              <w:rPr>
                <w:rFonts w:hint="eastAsia" w:ascii="宋体" w:hAnsi="宋体" w:eastAsia="宋体" w:cs="宋体"/>
                <w:szCs w:val="21"/>
                <w:highlight w:val="none"/>
              </w:rPr>
              <w:t>设置</w:t>
            </w:r>
          </w:p>
          <w:p w14:paraId="13C63FAA">
            <w:pPr>
              <w:widowControl/>
              <w:autoSpaceDE w:val="0"/>
              <w:autoSpaceDN w:val="0"/>
              <w:jc w:val="center"/>
              <w:textAlignment w:val="center"/>
              <w:rPr>
                <w:rFonts w:ascii="宋体" w:hAnsi="宋体" w:eastAsia="宋体" w:cs="宋体"/>
                <w:kern w:val="0"/>
                <w:szCs w:val="21"/>
                <w:highlight w:val="none"/>
                <w:lang w:val="zh-CN" w:eastAsia="en-US" w:bidi="zh-CN"/>
              </w:rPr>
            </w:pPr>
          </w:p>
        </w:tc>
        <w:tc>
          <w:tcPr>
            <w:tcW w:w="4200" w:type="pct"/>
            <w:vAlign w:val="center"/>
          </w:tcPr>
          <w:p w14:paraId="72DE6E30">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支持维护煎煮方案信息：浸泡时间、煎煮时间、二煎时间、包装药液量，用于处方和审方模块煎煮方案确认；</w:t>
            </w:r>
          </w:p>
          <w:p w14:paraId="34BDDAF1">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支持自定义标签模板管理可按医院、住院/门诊、加工方式配置不同的标签打印格式、标签数量规则；</w:t>
            </w:r>
          </w:p>
          <w:p w14:paraId="4B24ED54">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支持展示历史物流配送的处方记录，支持筛选查询；</w:t>
            </w:r>
          </w:p>
          <w:p w14:paraId="76C8A566">
            <w:pPr>
              <w:numPr>
                <w:ilvl w:val="0"/>
                <w:numId w:val="1"/>
              </w:numPr>
              <w:autoSpaceDE w:val="0"/>
              <w:autoSpaceDN w:val="0"/>
              <w:ind w:left="210" w:leftChars="100"/>
              <w:rPr>
                <w:rFonts w:ascii="宋体" w:hAnsi="宋体" w:eastAsia="宋体" w:cs="宋体"/>
                <w:szCs w:val="21"/>
                <w:highlight w:val="none"/>
                <w:lang w:val="zh-CN"/>
              </w:rPr>
            </w:pPr>
            <w:r>
              <w:rPr>
                <w:rFonts w:hint="eastAsia" w:ascii="宋体" w:hAnsi="宋体" w:eastAsia="宋体" w:cs="宋体"/>
                <w:szCs w:val="21"/>
                <w:highlight w:val="none"/>
              </w:rPr>
              <w:t>支持根据审方规则，自动进行审方，配伍禁忌、超剂量、毒性饮片等。</w:t>
            </w:r>
          </w:p>
        </w:tc>
      </w:tr>
      <w:tr w14:paraId="6E3C5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vAlign w:val="center"/>
          </w:tcPr>
          <w:p w14:paraId="50A80731">
            <w:pPr>
              <w:autoSpaceDE w:val="0"/>
              <w:autoSpaceDN w:val="0"/>
              <w:jc w:val="center"/>
              <w:rPr>
                <w:rFonts w:ascii="宋体" w:hAnsi="宋体" w:eastAsia="宋体" w:cs="宋体"/>
                <w:szCs w:val="21"/>
                <w:highlight w:val="none"/>
              </w:rPr>
            </w:pPr>
            <w:r>
              <w:rPr>
                <w:rFonts w:hint="eastAsia" w:ascii="宋体" w:hAnsi="宋体" w:eastAsia="宋体" w:cs="宋体"/>
                <w:szCs w:val="21"/>
                <w:highlight w:val="none"/>
              </w:rPr>
              <w:t>煎煮流程管理精细化与质量控制</w:t>
            </w:r>
          </w:p>
          <w:p w14:paraId="525E9CD3">
            <w:pPr>
              <w:widowControl/>
              <w:autoSpaceDE w:val="0"/>
              <w:autoSpaceDN w:val="0"/>
              <w:jc w:val="center"/>
              <w:textAlignment w:val="center"/>
              <w:rPr>
                <w:rFonts w:ascii="宋体" w:hAnsi="宋体" w:eastAsia="宋体" w:cs="宋体"/>
                <w:kern w:val="0"/>
                <w:szCs w:val="21"/>
                <w:highlight w:val="none"/>
                <w:lang w:val="zh-CN" w:bidi="zh-CN"/>
              </w:rPr>
            </w:pPr>
          </w:p>
        </w:tc>
        <w:tc>
          <w:tcPr>
            <w:tcW w:w="4200" w:type="pct"/>
            <w:vAlign w:val="center"/>
          </w:tcPr>
          <w:p w14:paraId="76705E9F">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highlight w:val="none"/>
              </w:rPr>
              <w:t>★</w:t>
            </w:r>
            <w:r>
              <w:rPr>
                <w:rFonts w:hint="eastAsia" w:ascii="宋体" w:hAnsi="宋体" w:eastAsia="宋体" w:cs="宋体"/>
                <w:szCs w:val="21"/>
                <w:highlight w:val="none"/>
              </w:rPr>
              <w:t>具备浸泡、煎药（包含先煎后下）、包装、发货复核扫描和流程追溯；</w:t>
            </w:r>
          </w:p>
          <w:p w14:paraId="74FCBB44">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支持煎药、膏方、打粉、制丸的加工流程管控;</w:t>
            </w:r>
          </w:p>
          <w:p w14:paraId="36666BE8">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支持工艺流程管理与提醒，如浸泡和煎煮时间不足，无法进行接续工序提醒;</w:t>
            </w:r>
          </w:p>
          <w:p w14:paraId="663E8531">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支持成品复核；</w:t>
            </w:r>
          </w:p>
          <w:p w14:paraId="0327D94B">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支持巡检煎药设备，设备是否清洁、消毒等；</w:t>
            </w:r>
          </w:p>
          <w:p w14:paraId="434334E5">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支持成品打包环节拍照；</w:t>
            </w:r>
          </w:p>
          <w:p w14:paraId="767A672A">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支持根据中药饮片类别维护加水量公式，浸泡扫描提醒加水量；</w:t>
            </w:r>
          </w:p>
          <w:p w14:paraId="2856E23E">
            <w:pPr>
              <w:numPr>
                <w:ilvl w:val="0"/>
                <w:numId w:val="1"/>
              </w:numPr>
              <w:autoSpaceDE w:val="0"/>
              <w:autoSpaceDN w:val="0"/>
              <w:ind w:left="210" w:leftChars="100"/>
              <w:rPr>
                <w:rFonts w:ascii="宋体" w:hAnsi="宋体" w:eastAsia="宋体" w:cs="宋体"/>
                <w:szCs w:val="21"/>
                <w:highlight w:val="none"/>
                <w:lang w:val="zh-CN"/>
              </w:rPr>
            </w:pPr>
            <w:r>
              <w:rPr>
                <w:rFonts w:hint="eastAsia" w:ascii="宋体" w:hAnsi="宋体" w:eastAsia="宋体" w:cs="宋体"/>
                <w:szCs w:val="21"/>
                <w:highlight w:val="none"/>
              </w:rPr>
              <w:t>支持煎药室接收已复核的饮片并记录。</w:t>
            </w:r>
          </w:p>
        </w:tc>
      </w:tr>
      <w:tr w14:paraId="6E1F9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vAlign w:val="center"/>
          </w:tcPr>
          <w:p w14:paraId="361A587A">
            <w:pPr>
              <w:widowControl/>
              <w:autoSpaceDE w:val="0"/>
              <w:autoSpaceDN w:val="0"/>
              <w:jc w:val="center"/>
              <w:textAlignment w:val="center"/>
              <w:rPr>
                <w:rFonts w:ascii="宋体" w:hAnsi="宋体" w:eastAsia="宋体" w:cs="宋体"/>
                <w:kern w:val="0"/>
                <w:szCs w:val="21"/>
                <w:highlight w:val="none"/>
                <w:lang w:eastAsia="en-US" w:bidi="zh-CN"/>
              </w:rPr>
            </w:pPr>
            <w:r>
              <w:rPr>
                <w:rFonts w:hint="eastAsia" w:ascii="宋体" w:hAnsi="宋体" w:eastAsia="宋体" w:cs="宋体"/>
                <w:bCs/>
                <w:szCs w:val="21"/>
                <w:highlight w:val="none"/>
              </w:rPr>
              <w:t>临方加工膏方管理</w:t>
            </w:r>
          </w:p>
        </w:tc>
        <w:tc>
          <w:tcPr>
            <w:tcW w:w="4200" w:type="pct"/>
            <w:vAlign w:val="center"/>
          </w:tcPr>
          <w:p w14:paraId="1F6E9B6B">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highlight w:val="none"/>
              </w:rPr>
              <w:t>★</w:t>
            </w:r>
            <w:r>
              <w:rPr>
                <w:rFonts w:hint="eastAsia" w:ascii="宋体" w:hAnsi="宋体" w:eastAsia="宋体" w:cs="宋体"/>
                <w:szCs w:val="21"/>
                <w:highlight w:val="none"/>
              </w:rPr>
              <w:t>具备</w:t>
            </w:r>
            <w:r>
              <w:rPr>
                <w:rFonts w:hint="eastAsia" w:ascii="宋体" w:hAnsi="宋体" w:eastAsia="宋体" w:cs="宋体"/>
                <w:szCs w:val="21"/>
                <w:highlight w:val="none"/>
                <w:lang w:eastAsia="zh-Hans"/>
              </w:rPr>
              <w:t>膏方流程管理，PDA支持扫描流程进行记录</w:t>
            </w:r>
            <w:r>
              <w:rPr>
                <w:rFonts w:hint="eastAsia" w:ascii="宋体" w:hAnsi="宋体" w:eastAsia="宋体" w:cs="宋体"/>
                <w:szCs w:val="21"/>
                <w:highlight w:val="none"/>
              </w:rPr>
              <w:t>及处方详情查看</w:t>
            </w:r>
            <w:r>
              <w:rPr>
                <w:rFonts w:hint="eastAsia" w:ascii="宋体" w:hAnsi="宋体" w:eastAsia="宋体" w:cs="宋体"/>
                <w:szCs w:val="21"/>
                <w:highlight w:val="none"/>
                <w:lang w:eastAsia="zh-Hans"/>
              </w:rPr>
              <w:t>，包含浸泡、开始煎煮、开始二煎、结束煎煮、已沉淀、开始浓缩、结束浓缩、已收膏、已凉膏、已打包</w:t>
            </w:r>
            <w:r>
              <w:rPr>
                <w:rFonts w:hint="eastAsia" w:ascii="宋体" w:hAnsi="宋体" w:eastAsia="宋体" w:cs="宋体"/>
                <w:szCs w:val="21"/>
                <w:highlight w:val="none"/>
              </w:rPr>
              <w:t>。</w:t>
            </w:r>
          </w:p>
        </w:tc>
      </w:tr>
      <w:tr w14:paraId="24A34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vAlign w:val="center"/>
          </w:tcPr>
          <w:p w14:paraId="78ABADF0">
            <w:pPr>
              <w:widowControl/>
              <w:autoSpaceDE w:val="0"/>
              <w:autoSpaceDN w:val="0"/>
              <w:jc w:val="center"/>
              <w:textAlignment w:val="center"/>
              <w:rPr>
                <w:rFonts w:ascii="宋体" w:hAnsi="宋体" w:eastAsia="宋体" w:cs="宋体"/>
                <w:bCs/>
                <w:szCs w:val="21"/>
                <w:highlight w:val="none"/>
              </w:rPr>
            </w:pPr>
            <w:r>
              <w:rPr>
                <w:rFonts w:hint="eastAsia" w:ascii="宋体" w:hAnsi="宋体" w:eastAsia="宋体" w:cs="宋体"/>
                <w:bCs/>
                <w:szCs w:val="21"/>
                <w:highlight w:val="none"/>
              </w:rPr>
              <w:t>临方加工打粉管理</w:t>
            </w:r>
          </w:p>
        </w:tc>
        <w:tc>
          <w:tcPr>
            <w:tcW w:w="4200" w:type="pct"/>
            <w:vAlign w:val="center"/>
          </w:tcPr>
          <w:p w14:paraId="7FA68569">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highlight w:val="none"/>
              </w:rPr>
              <w:t>★</w:t>
            </w:r>
            <w:r>
              <w:rPr>
                <w:rFonts w:hint="eastAsia" w:ascii="宋体" w:hAnsi="宋体" w:eastAsia="宋体" w:cs="宋体"/>
                <w:szCs w:val="21"/>
                <w:highlight w:val="none"/>
              </w:rPr>
              <w:t>具备</w:t>
            </w:r>
            <w:r>
              <w:rPr>
                <w:rFonts w:hint="eastAsia" w:ascii="宋体" w:hAnsi="宋体" w:eastAsia="宋体" w:cs="宋体"/>
                <w:szCs w:val="21"/>
                <w:highlight w:val="none"/>
                <w:lang w:eastAsia="zh-Hans"/>
              </w:rPr>
              <w:t>粉剂流程管理，PDA支持扫描流程进行记录</w:t>
            </w:r>
            <w:r>
              <w:rPr>
                <w:rFonts w:hint="eastAsia" w:ascii="宋体" w:hAnsi="宋体" w:eastAsia="宋体" w:cs="宋体"/>
                <w:szCs w:val="21"/>
                <w:highlight w:val="none"/>
              </w:rPr>
              <w:t>及处方详情查看</w:t>
            </w:r>
            <w:r>
              <w:rPr>
                <w:rFonts w:hint="eastAsia" w:ascii="宋体" w:hAnsi="宋体" w:eastAsia="宋体" w:cs="宋体"/>
                <w:szCs w:val="21"/>
                <w:highlight w:val="none"/>
                <w:lang w:eastAsia="zh-Hans"/>
              </w:rPr>
              <w:t>，包含已干燥、已粉碎、已打包</w:t>
            </w:r>
            <w:r>
              <w:rPr>
                <w:rFonts w:hint="eastAsia" w:ascii="宋体" w:hAnsi="宋体" w:eastAsia="宋体" w:cs="宋体"/>
                <w:szCs w:val="21"/>
                <w:highlight w:val="none"/>
              </w:rPr>
              <w:t>。</w:t>
            </w:r>
          </w:p>
        </w:tc>
      </w:tr>
      <w:tr w14:paraId="3C0E4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vAlign w:val="center"/>
          </w:tcPr>
          <w:p w14:paraId="2F4551A5">
            <w:pPr>
              <w:widowControl/>
              <w:autoSpaceDE w:val="0"/>
              <w:autoSpaceDN w:val="0"/>
              <w:jc w:val="center"/>
              <w:textAlignment w:val="center"/>
              <w:rPr>
                <w:rFonts w:ascii="宋体" w:hAnsi="宋体" w:eastAsia="宋体" w:cs="宋体"/>
                <w:bCs/>
                <w:szCs w:val="21"/>
                <w:highlight w:val="none"/>
              </w:rPr>
            </w:pPr>
            <w:r>
              <w:rPr>
                <w:rFonts w:hint="eastAsia" w:ascii="宋体" w:hAnsi="宋体" w:eastAsia="宋体" w:cs="宋体"/>
                <w:bCs/>
                <w:szCs w:val="21"/>
                <w:highlight w:val="none"/>
              </w:rPr>
              <w:t>临方加工制丸管理</w:t>
            </w:r>
          </w:p>
        </w:tc>
        <w:tc>
          <w:tcPr>
            <w:tcW w:w="4200" w:type="pct"/>
            <w:vAlign w:val="center"/>
          </w:tcPr>
          <w:p w14:paraId="210BE5D6">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highlight w:val="none"/>
              </w:rPr>
              <w:t>★</w:t>
            </w:r>
            <w:r>
              <w:rPr>
                <w:rFonts w:hint="eastAsia" w:ascii="宋体" w:hAnsi="宋体" w:eastAsia="宋体" w:cs="宋体"/>
                <w:szCs w:val="21"/>
                <w:highlight w:val="none"/>
              </w:rPr>
              <w:t>具备</w:t>
            </w:r>
            <w:r>
              <w:rPr>
                <w:rFonts w:hint="eastAsia" w:ascii="宋体" w:hAnsi="宋体" w:eastAsia="宋体" w:cs="宋体"/>
                <w:szCs w:val="21"/>
                <w:highlight w:val="none"/>
                <w:lang w:eastAsia="zh-Hans"/>
              </w:rPr>
              <w:t>丸剂流程管理，PDA支持扫描流程进行记录</w:t>
            </w:r>
            <w:r>
              <w:rPr>
                <w:rFonts w:hint="eastAsia" w:ascii="宋体" w:hAnsi="宋体" w:eastAsia="宋体" w:cs="宋体"/>
                <w:szCs w:val="21"/>
                <w:highlight w:val="none"/>
              </w:rPr>
              <w:t>及处方详情查看</w:t>
            </w:r>
            <w:r>
              <w:rPr>
                <w:rFonts w:hint="eastAsia" w:ascii="宋体" w:hAnsi="宋体" w:eastAsia="宋体" w:cs="宋体"/>
                <w:szCs w:val="21"/>
                <w:highlight w:val="none"/>
                <w:lang w:eastAsia="zh-Hans"/>
              </w:rPr>
              <w:t>，包含</w:t>
            </w:r>
            <w:r>
              <w:rPr>
                <w:rFonts w:hint="eastAsia" w:ascii="宋体" w:hAnsi="宋体" w:eastAsia="宋体" w:cs="宋体"/>
                <w:szCs w:val="21"/>
                <w:highlight w:val="none"/>
              </w:rPr>
              <w:t>药材一煎煮（</w:t>
            </w:r>
            <w:r>
              <w:rPr>
                <w:rFonts w:hint="eastAsia" w:ascii="宋体" w:hAnsi="宋体" w:eastAsia="宋体" w:cs="宋体"/>
                <w:szCs w:val="21"/>
                <w:highlight w:val="none"/>
                <w:lang w:eastAsia="zh-Hans"/>
              </w:rPr>
              <w:t>包含浸泡、开始煎煮、开始二煎、结束煎煮</w:t>
            </w:r>
            <w:r>
              <w:rPr>
                <w:rFonts w:hint="eastAsia" w:ascii="宋体" w:hAnsi="宋体" w:eastAsia="宋体" w:cs="宋体"/>
                <w:szCs w:val="21"/>
                <w:highlight w:val="none"/>
              </w:rPr>
              <w:t>）、药材二打粉（包含干燥、打粉、过筛）、</w:t>
            </w:r>
            <w:r>
              <w:rPr>
                <w:rFonts w:hint="eastAsia" w:ascii="宋体" w:hAnsi="宋体" w:eastAsia="宋体" w:cs="宋体"/>
                <w:szCs w:val="21"/>
                <w:highlight w:val="none"/>
                <w:lang w:eastAsia="zh-Hans"/>
              </w:rPr>
              <w:t>已制丸</w:t>
            </w:r>
            <w:r>
              <w:rPr>
                <w:rFonts w:hint="eastAsia" w:ascii="宋体" w:hAnsi="宋体" w:eastAsia="宋体" w:cs="宋体"/>
                <w:szCs w:val="21"/>
                <w:highlight w:val="none"/>
              </w:rPr>
              <w:t>、</w:t>
            </w:r>
            <w:r>
              <w:rPr>
                <w:rFonts w:hint="eastAsia" w:ascii="宋体" w:hAnsi="宋体" w:eastAsia="宋体" w:cs="宋体"/>
                <w:szCs w:val="21"/>
                <w:highlight w:val="none"/>
                <w:lang w:eastAsia="zh-Hans"/>
              </w:rPr>
              <w:t>已打包</w:t>
            </w:r>
            <w:r>
              <w:rPr>
                <w:rFonts w:hint="eastAsia" w:ascii="宋体" w:hAnsi="宋体" w:eastAsia="宋体" w:cs="宋体"/>
                <w:szCs w:val="21"/>
                <w:highlight w:val="none"/>
              </w:rPr>
              <w:t>。</w:t>
            </w:r>
          </w:p>
        </w:tc>
      </w:tr>
      <w:tr w14:paraId="74261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vAlign w:val="center"/>
          </w:tcPr>
          <w:p w14:paraId="239B001A">
            <w:pPr>
              <w:autoSpaceDE w:val="0"/>
              <w:autoSpaceDN w:val="0"/>
              <w:jc w:val="center"/>
              <w:rPr>
                <w:rFonts w:ascii="宋体" w:hAnsi="宋体" w:eastAsia="宋体" w:cs="宋体"/>
                <w:kern w:val="0"/>
                <w:szCs w:val="21"/>
                <w:highlight w:val="none"/>
                <w:lang w:val="zh-CN" w:eastAsia="en-US" w:bidi="zh-CN"/>
              </w:rPr>
            </w:pPr>
            <w:r>
              <w:rPr>
                <w:rFonts w:hint="eastAsia" w:ascii="宋体" w:hAnsi="宋体" w:eastAsia="宋体" w:cs="宋体"/>
                <w:szCs w:val="21"/>
                <w:highlight w:val="none"/>
              </w:rPr>
              <w:t>患者服务</w:t>
            </w:r>
          </w:p>
        </w:tc>
        <w:tc>
          <w:tcPr>
            <w:tcW w:w="4200" w:type="pct"/>
            <w:vAlign w:val="center"/>
          </w:tcPr>
          <w:p w14:paraId="774DA081">
            <w:pPr>
              <w:numPr>
                <w:ilvl w:val="0"/>
                <w:numId w:val="1"/>
              </w:numPr>
              <w:autoSpaceDE w:val="0"/>
              <w:autoSpaceDN w:val="0"/>
              <w:ind w:left="210" w:leftChars="100"/>
              <w:rPr>
                <w:rFonts w:ascii="宋体" w:hAnsi="宋体" w:eastAsia="宋体" w:cs="宋体"/>
                <w:szCs w:val="21"/>
                <w:highlight w:val="none"/>
                <w:lang w:val="zh-CN"/>
              </w:rPr>
            </w:pPr>
            <w:r>
              <w:rPr>
                <w:rFonts w:hint="eastAsia" w:ascii="宋体" w:hAnsi="宋体" w:eastAsia="宋体" w:cs="宋体"/>
                <w:highlight w:val="none"/>
              </w:rPr>
              <w:t>★</w:t>
            </w:r>
            <w:r>
              <w:rPr>
                <w:rFonts w:hint="eastAsia" w:ascii="宋体" w:hAnsi="宋体" w:eastAsia="宋体" w:cs="宋体"/>
                <w:szCs w:val="21"/>
                <w:highlight w:val="none"/>
              </w:rPr>
              <w:t>具备患者微信端查询处方状态及配送流程；</w:t>
            </w:r>
          </w:p>
        </w:tc>
      </w:tr>
      <w:tr w14:paraId="58D5C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vAlign w:val="center"/>
          </w:tcPr>
          <w:p w14:paraId="29576DDF">
            <w:pPr>
              <w:autoSpaceDE w:val="0"/>
              <w:autoSpaceDN w:val="0"/>
              <w:jc w:val="center"/>
              <w:rPr>
                <w:rFonts w:ascii="宋体" w:hAnsi="宋体" w:eastAsia="宋体" w:cs="宋体"/>
                <w:kern w:val="0"/>
                <w:szCs w:val="21"/>
                <w:highlight w:val="none"/>
                <w:lang w:val="zh-CN" w:eastAsia="en-US" w:bidi="zh-CN"/>
              </w:rPr>
            </w:pPr>
            <w:r>
              <w:rPr>
                <w:rFonts w:hint="eastAsia" w:ascii="宋体" w:hAnsi="宋体" w:eastAsia="宋体" w:cs="宋体"/>
                <w:szCs w:val="21"/>
                <w:highlight w:val="none"/>
              </w:rPr>
              <w:t>基础管理</w:t>
            </w:r>
          </w:p>
        </w:tc>
        <w:tc>
          <w:tcPr>
            <w:tcW w:w="4200" w:type="pct"/>
            <w:vAlign w:val="center"/>
          </w:tcPr>
          <w:p w14:paraId="1829D59F">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支持医院的药品与智慧中药房建设系统药品关联维护；</w:t>
            </w:r>
          </w:p>
          <w:p w14:paraId="185EC9B9">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支持智慧中药房建设系统的标准药品信息维护；</w:t>
            </w:r>
          </w:p>
          <w:p w14:paraId="43F6935D">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支持智慧中药房建设系统操作人员基本信息维护，如调剂人员、浸泡人员、煎煮人员、平台管理人员等；</w:t>
            </w:r>
          </w:p>
          <w:p w14:paraId="3A22ADCC">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支持平台操作人员权限分配；</w:t>
            </w:r>
          </w:p>
          <w:p w14:paraId="14B256B5">
            <w:pPr>
              <w:numPr>
                <w:ilvl w:val="0"/>
                <w:numId w:val="1"/>
              </w:numPr>
              <w:autoSpaceDE w:val="0"/>
              <w:autoSpaceDN w:val="0"/>
              <w:ind w:left="210" w:leftChars="100"/>
              <w:rPr>
                <w:rFonts w:ascii="宋体" w:hAnsi="宋体" w:eastAsia="宋体" w:cs="宋体"/>
                <w:szCs w:val="21"/>
                <w:highlight w:val="none"/>
                <w:lang w:val="zh-CN"/>
              </w:rPr>
            </w:pPr>
            <w:r>
              <w:rPr>
                <w:rFonts w:hint="eastAsia" w:ascii="宋体" w:hAnsi="宋体" w:eastAsia="宋体" w:cs="宋体"/>
                <w:szCs w:val="21"/>
                <w:highlight w:val="none"/>
              </w:rPr>
              <w:t>支持统计报表汇总导出。</w:t>
            </w:r>
          </w:p>
        </w:tc>
      </w:tr>
      <w:tr w14:paraId="10341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shd w:val="clear" w:color="auto" w:fill="auto"/>
            <w:vAlign w:val="center"/>
          </w:tcPr>
          <w:p w14:paraId="5A9B5FE4">
            <w:pPr>
              <w:autoSpaceDE w:val="0"/>
              <w:autoSpaceDN w:val="0"/>
              <w:spacing w:line="360" w:lineRule="auto"/>
              <w:ind w:firstLine="210" w:firstLineChars="100"/>
              <w:jc w:val="center"/>
              <w:rPr>
                <w:rFonts w:ascii="宋体" w:hAnsi="宋体" w:eastAsia="宋体" w:cs="宋体"/>
                <w:color w:val="FF0000"/>
                <w:szCs w:val="21"/>
                <w:highlight w:val="none"/>
                <w:lang w:val="zh-CN" w:eastAsia="en-US"/>
              </w:rPr>
            </w:pPr>
            <w:r>
              <w:rPr>
                <w:rFonts w:hint="eastAsia" w:ascii="宋体" w:hAnsi="宋体" w:eastAsia="宋体" w:cs="宋体"/>
                <w:color w:val="000000" w:themeColor="text1"/>
                <w:szCs w:val="21"/>
                <w:highlight w:val="none"/>
                <w14:textFill>
                  <w14:solidFill>
                    <w14:schemeClr w14:val="tx1"/>
                  </w14:solidFill>
                </w14:textFill>
              </w:rPr>
              <w:t>药房盘点</w:t>
            </w:r>
          </w:p>
        </w:tc>
        <w:tc>
          <w:tcPr>
            <w:tcW w:w="4200" w:type="pct"/>
            <w:shd w:val="clear" w:color="auto" w:fill="auto"/>
            <w:vAlign w:val="center"/>
          </w:tcPr>
          <w:p w14:paraId="51931AD3">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w:t>
            </w:r>
            <w:r>
              <w:rPr>
                <w:rFonts w:hint="eastAsia" w:ascii="宋体" w:hAnsi="宋体" w:eastAsia="宋体" w:cs="宋体"/>
                <w:szCs w:val="21"/>
                <w:highlight w:val="none"/>
                <w:lang w:eastAsia="zh-Hans"/>
              </w:rPr>
              <w:t>展示历史仓库和药房的库存盘点数据，支持筛选查询，点击查看盘点单详情</w:t>
            </w:r>
            <w:r>
              <w:rPr>
                <w:rFonts w:hint="eastAsia" w:ascii="宋体" w:hAnsi="宋体" w:eastAsia="宋体" w:cs="宋体"/>
                <w:szCs w:val="21"/>
                <w:highlight w:val="none"/>
              </w:rPr>
              <w:t>；</w:t>
            </w:r>
          </w:p>
          <w:p w14:paraId="42EBD1CF">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w:t>
            </w:r>
            <w:r>
              <w:rPr>
                <w:rFonts w:hint="eastAsia" w:ascii="宋体" w:hAnsi="宋体" w:eastAsia="宋体" w:cs="宋体"/>
                <w:szCs w:val="21"/>
                <w:highlight w:val="none"/>
                <w:lang w:eastAsia="zh-Hans"/>
              </w:rPr>
              <w:t>按盘点药品明细级别展示数据，便于查找盘点药品</w:t>
            </w:r>
            <w:r>
              <w:rPr>
                <w:rFonts w:hint="eastAsia" w:ascii="宋体" w:hAnsi="宋体" w:eastAsia="宋体" w:cs="宋体"/>
                <w:szCs w:val="21"/>
                <w:highlight w:val="none"/>
              </w:rPr>
              <w:t>；</w:t>
            </w:r>
          </w:p>
          <w:p w14:paraId="0A1C1B26">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w:t>
            </w:r>
            <w:r>
              <w:rPr>
                <w:rFonts w:hint="eastAsia" w:ascii="宋体" w:hAnsi="宋体" w:eastAsia="宋体" w:cs="宋体"/>
                <w:szCs w:val="21"/>
                <w:highlight w:val="none"/>
                <w:lang w:eastAsia="zh-Hans"/>
              </w:rPr>
              <w:t>对仓库和药房的盘点维护，支持批量载入仓库/药房的库存药品和库存量，根据实际盘点情况修改实际数量</w:t>
            </w:r>
            <w:r>
              <w:rPr>
                <w:rFonts w:hint="eastAsia" w:ascii="宋体" w:hAnsi="宋体" w:eastAsia="宋体" w:cs="宋体"/>
                <w:szCs w:val="21"/>
                <w:highlight w:val="none"/>
              </w:rPr>
              <w:t>；</w:t>
            </w:r>
          </w:p>
          <w:p w14:paraId="6913365E">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lang w:eastAsia="zh-Hans"/>
              </w:rPr>
              <w:t>支持导出盘点单明细清单，线下修改后一键导入更新盘点单数据</w:t>
            </w:r>
            <w:r>
              <w:rPr>
                <w:rFonts w:hint="eastAsia" w:ascii="宋体" w:hAnsi="宋体" w:eastAsia="宋体" w:cs="宋体"/>
                <w:szCs w:val="21"/>
                <w:highlight w:val="none"/>
              </w:rPr>
              <w:t>；</w:t>
            </w:r>
          </w:p>
          <w:p w14:paraId="59A79443">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w:t>
            </w:r>
            <w:r>
              <w:rPr>
                <w:rFonts w:hint="eastAsia" w:ascii="宋体" w:hAnsi="宋体" w:eastAsia="宋体" w:cs="宋体"/>
                <w:szCs w:val="21"/>
                <w:highlight w:val="none"/>
                <w:lang w:eastAsia="zh-Hans"/>
              </w:rPr>
              <w:t>审核后，对应仓库/药房的库存量更新</w:t>
            </w:r>
            <w:r>
              <w:rPr>
                <w:rFonts w:hint="eastAsia" w:ascii="宋体" w:hAnsi="宋体" w:eastAsia="宋体" w:cs="宋体"/>
                <w:szCs w:val="21"/>
                <w:highlight w:val="none"/>
              </w:rPr>
              <w:t>；</w:t>
            </w:r>
          </w:p>
          <w:p w14:paraId="76334F3D">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w:t>
            </w:r>
            <w:r>
              <w:rPr>
                <w:rFonts w:hint="eastAsia" w:ascii="宋体" w:hAnsi="宋体" w:eastAsia="宋体" w:cs="宋体"/>
                <w:szCs w:val="21"/>
                <w:highlight w:val="none"/>
                <w:lang w:eastAsia="zh-Hans"/>
              </w:rPr>
              <w:t>系统自动根据盘点差值生成报损、</w:t>
            </w:r>
            <w:r>
              <w:rPr>
                <w:rFonts w:hint="eastAsia" w:ascii="宋体" w:hAnsi="宋体" w:eastAsia="宋体" w:cs="宋体"/>
                <w:szCs w:val="21"/>
                <w:highlight w:val="none"/>
              </w:rPr>
              <w:t>盘亏盘盈；</w:t>
            </w:r>
          </w:p>
          <w:p w14:paraId="41FC51FD">
            <w:pPr>
              <w:numPr>
                <w:ilvl w:val="0"/>
                <w:numId w:val="1"/>
              </w:numPr>
              <w:autoSpaceDE w:val="0"/>
              <w:autoSpaceDN w:val="0"/>
              <w:ind w:left="210" w:leftChars="100"/>
              <w:rPr>
                <w:rFonts w:ascii="宋体" w:hAnsi="宋体" w:eastAsia="宋体" w:cs="宋体"/>
                <w:szCs w:val="21"/>
                <w:highlight w:val="none"/>
                <w:lang w:val="zh-CN"/>
              </w:rPr>
            </w:pPr>
            <w:r>
              <w:rPr>
                <w:rFonts w:hint="eastAsia" w:ascii="宋体" w:hAnsi="宋体" w:eastAsia="宋体" w:cs="宋体"/>
                <w:szCs w:val="21"/>
                <w:highlight w:val="none"/>
                <w:lang w:eastAsia="zh-Hans"/>
              </w:rPr>
              <w:t>支持作废未审核的盘点单</w:t>
            </w:r>
            <w:r>
              <w:rPr>
                <w:rFonts w:hint="eastAsia" w:ascii="宋体" w:hAnsi="宋体" w:eastAsia="宋体" w:cs="宋体"/>
                <w:szCs w:val="21"/>
                <w:highlight w:val="none"/>
              </w:rPr>
              <w:t>。</w:t>
            </w:r>
          </w:p>
        </w:tc>
      </w:tr>
      <w:tr w14:paraId="0C7FA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shd w:val="clear" w:color="auto" w:fill="auto"/>
            <w:vAlign w:val="center"/>
          </w:tcPr>
          <w:p w14:paraId="7ACEA835">
            <w:pPr>
              <w:widowControl/>
              <w:jc w:val="center"/>
              <w:textAlignment w:val="center"/>
              <w:rPr>
                <w:rFonts w:ascii="宋体" w:hAnsi="宋体" w:eastAsia="宋体" w:cs="宋体"/>
                <w:szCs w:val="21"/>
                <w:highlight w:val="none"/>
              </w:rPr>
            </w:pPr>
            <w:r>
              <w:rPr>
                <w:rFonts w:hint="eastAsia" w:ascii="宋体" w:hAnsi="宋体" w:eastAsia="宋体" w:cs="宋体"/>
                <w:szCs w:val="21"/>
                <w:highlight w:val="none"/>
              </w:rPr>
              <w:t>手持移动端</w:t>
            </w:r>
          </w:p>
          <w:p w14:paraId="35DB2262">
            <w:pPr>
              <w:widowControl/>
              <w:jc w:val="center"/>
              <w:textAlignment w:val="center"/>
              <w:rPr>
                <w:rFonts w:ascii="宋体" w:hAnsi="宋体" w:eastAsia="宋体" w:cs="宋体"/>
                <w:kern w:val="0"/>
                <w:szCs w:val="21"/>
                <w:highlight w:val="none"/>
                <w:lang w:val="zh-CN" w:eastAsia="en-US" w:bidi="zh-CN"/>
              </w:rPr>
            </w:pPr>
            <w:r>
              <w:rPr>
                <w:rFonts w:hint="eastAsia" w:ascii="宋体" w:hAnsi="宋体" w:eastAsia="宋体" w:cs="宋体"/>
                <w:szCs w:val="21"/>
                <w:highlight w:val="none"/>
              </w:rPr>
              <w:t>应用</w:t>
            </w:r>
          </w:p>
        </w:tc>
        <w:tc>
          <w:tcPr>
            <w:tcW w:w="4200" w:type="pct"/>
            <w:shd w:val="clear" w:color="auto" w:fill="auto"/>
            <w:vAlign w:val="center"/>
          </w:tcPr>
          <w:p w14:paraId="1DB7804E">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支持药房药品请领；</w:t>
            </w:r>
          </w:p>
          <w:p w14:paraId="4050F1A9">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支持扫描药品追溯码校验药品与数量；</w:t>
            </w:r>
          </w:p>
          <w:p w14:paraId="33DEAE06">
            <w:pPr>
              <w:numPr>
                <w:ilvl w:val="0"/>
                <w:numId w:val="1"/>
              </w:numPr>
              <w:autoSpaceDE w:val="0"/>
              <w:autoSpaceDN w:val="0"/>
              <w:ind w:left="210" w:leftChars="100"/>
              <w:rPr>
                <w:rFonts w:ascii="宋体" w:hAnsi="宋体" w:eastAsia="宋体" w:cs="宋体"/>
                <w:szCs w:val="21"/>
                <w:highlight w:val="none"/>
                <w:lang w:val="zh-CN"/>
              </w:rPr>
            </w:pPr>
            <w:r>
              <w:rPr>
                <w:rFonts w:hint="eastAsia" w:ascii="宋体" w:hAnsi="宋体" w:eastAsia="宋体" w:cs="宋体"/>
                <w:szCs w:val="21"/>
                <w:highlight w:val="none"/>
              </w:rPr>
              <w:t>支持记录药房收货异常药品信息，如少量、缺药。</w:t>
            </w:r>
          </w:p>
        </w:tc>
      </w:tr>
      <w:tr w14:paraId="22237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99" w:type="pct"/>
            <w:tcBorders>
              <w:left w:val="single" w:color="auto" w:sz="4" w:space="0"/>
            </w:tcBorders>
            <w:shd w:val="clear" w:color="auto" w:fill="auto"/>
            <w:vAlign w:val="center"/>
          </w:tcPr>
          <w:p w14:paraId="2CDB5B55">
            <w:pPr>
              <w:autoSpaceDE w:val="0"/>
              <w:autoSpaceDN w:val="0"/>
              <w:jc w:val="center"/>
              <w:rPr>
                <w:rFonts w:ascii="宋体" w:hAnsi="宋体" w:eastAsia="宋体" w:cs="宋体"/>
                <w:kern w:val="0"/>
                <w:szCs w:val="21"/>
                <w:highlight w:val="none"/>
                <w:lang w:val="zh-CN" w:eastAsia="en-US" w:bidi="zh-CN"/>
              </w:rPr>
            </w:pPr>
            <w:r>
              <w:rPr>
                <w:rFonts w:hint="eastAsia" w:ascii="宋体" w:hAnsi="宋体" w:eastAsia="宋体" w:cs="宋体"/>
                <w:szCs w:val="21"/>
                <w:highlight w:val="none"/>
              </w:rPr>
              <w:t>对接接口</w:t>
            </w:r>
          </w:p>
        </w:tc>
        <w:tc>
          <w:tcPr>
            <w:tcW w:w="4200" w:type="pct"/>
            <w:shd w:val="clear" w:color="auto" w:fill="auto"/>
            <w:vAlign w:val="center"/>
          </w:tcPr>
          <w:p w14:paraId="09C89DE5">
            <w:pPr>
              <w:numPr>
                <w:ilvl w:val="0"/>
                <w:numId w:val="1"/>
              </w:numPr>
              <w:autoSpaceDE w:val="0"/>
              <w:autoSpaceDN w:val="0"/>
              <w:ind w:left="210" w:leftChars="100"/>
              <w:rPr>
                <w:rFonts w:ascii="宋体" w:hAnsi="宋体" w:eastAsia="宋体" w:cs="宋体"/>
                <w:szCs w:val="21"/>
                <w:highlight w:val="none"/>
              </w:rPr>
            </w:pPr>
            <w:r>
              <w:rPr>
                <w:rFonts w:hint="eastAsia" w:ascii="宋体" w:hAnsi="宋体" w:eastAsia="宋体" w:cs="宋体"/>
                <w:szCs w:val="21"/>
                <w:highlight w:val="none"/>
              </w:rPr>
              <w:t>支持提供电子处方对接接口标准,中医院HIS按接口标准，将中药饮片电子处方传给智慧中药房建设系统；</w:t>
            </w:r>
          </w:p>
          <w:p w14:paraId="675E9A01">
            <w:pPr>
              <w:numPr>
                <w:ilvl w:val="0"/>
                <w:numId w:val="1"/>
              </w:numPr>
              <w:autoSpaceDE w:val="0"/>
              <w:autoSpaceDN w:val="0"/>
              <w:ind w:left="210" w:leftChars="100"/>
              <w:rPr>
                <w:rFonts w:ascii="宋体" w:hAnsi="宋体" w:eastAsia="宋体" w:cs="宋体"/>
                <w:szCs w:val="21"/>
                <w:highlight w:val="none"/>
                <w:lang w:val="zh-CN"/>
              </w:rPr>
            </w:pPr>
            <w:r>
              <w:rPr>
                <w:rFonts w:hint="eastAsia" w:ascii="宋体" w:hAnsi="宋体" w:eastAsia="宋体" w:cs="宋体"/>
                <w:szCs w:val="21"/>
                <w:highlight w:val="none"/>
              </w:rPr>
              <w:t>支持与邮寄系统对接。</w:t>
            </w:r>
          </w:p>
        </w:tc>
      </w:tr>
    </w:tbl>
    <w:p w14:paraId="31102F0F">
      <w:pPr>
        <w:spacing w:line="360" w:lineRule="auto"/>
        <w:rPr>
          <w:rFonts w:ascii="宋体" w:hAnsi="宋体" w:eastAsia="宋体"/>
          <w:b/>
          <w:bCs/>
          <w:szCs w:val="21"/>
          <w:highlight w:val="none"/>
        </w:rPr>
      </w:pPr>
      <w:r>
        <w:rPr>
          <w:rFonts w:hint="eastAsia" w:ascii="宋体" w:hAnsi="宋体" w:eastAsia="宋体"/>
          <w:b/>
          <w:bCs/>
          <w:szCs w:val="21"/>
          <w:highlight w:val="none"/>
        </w:rPr>
        <w:t>2.智能代煎质控监管平台</w:t>
      </w:r>
    </w:p>
    <w:tbl>
      <w:tblPr>
        <w:tblStyle w:val="17"/>
        <w:tblW w:w="8318" w:type="dxa"/>
        <w:tblInd w:w="-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2"/>
        <w:gridCol w:w="6996"/>
      </w:tblGrid>
      <w:tr w14:paraId="4210A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22" w:type="dxa"/>
          </w:tcPr>
          <w:p w14:paraId="485BE7AA">
            <w:pPr>
              <w:autoSpaceDE w:val="0"/>
              <w:autoSpaceDN w:val="0"/>
              <w:ind w:left="60"/>
              <w:jc w:val="center"/>
              <w:rPr>
                <w:rFonts w:ascii="Times New Roman" w:hAnsi="Times New Roman" w:eastAsia="宋体" w:cs="宋体"/>
                <w:kern w:val="0"/>
                <w:szCs w:val="21"/>
                <w:highlight w:val="none"/>
                <w:lang w:val="zh-CN" w:eastAsia="en-US" w:bidi="zh-CN"/>
              </w:rPr>
            </w:pPr>
            <w:r>
              <w:rPr>
                <w:rFonts w:hint="eastAsia" w:ascii="Times New Roman" w:hAnsi="Times New Roman" w:eastAsia="宋体" w:cs="宋体"/>
                <w:kern w:val="0"/>
                <w:szCs w:val="21"/>
                <w:highlight w:val="none"/>
                <w:lang w:val="zh-CN" w:eastAsia="en-US" w:bidi="zh-CN"/>
              </w:rPr>
              <w:t>功能模块</w:t>
            </w:r>
          </w:p>
        </w:tc>
        <w:tc>
          <w:tcPr>
            <w:tcW w:w="6996" w:type="dxa"/>
          </w:tcPr>
          <w:p w14:paraId="39495D1A">
            <w:pPr>
              <w:autoSpaceDE w:val="0"/>
              <w:autoSpaceDN w:val="0"/>
              <w:jc w:val="center"/>
              <w:rPr>
                <w:rFonts w:ascii="Times New Roman" w:hAnsi="Times New Roman" w:eastAsia="宋体" w:cs="宋体"/>
                <w:kern w:val="0"/>
                <w:szCs w:val="21"/>
                <w:highlight w:val="none"/>
                <w:lang w:val="zh-CN" w:eastAsia="en-US" w:bidi="zh-CN"/>
              </w:rPr>
            </w:pPr>
            <w:r>
              <w:rPr>
                <w:rFonts w:hint="eastAsia" w:ascii="Times New Roman" w:hAnsi="Times New Roman" w:eastAsia="宋体" w:cs="宋体"/>
                <w:kern w:val="0"/>
                <w:szCs w:val="21"/>
                <w:highlight w:val="none"/>
                <w:lang w:eastAsia="en-US" w:bidi="zh-CN"/>
              </w:rPr>
              <w:t>参数</w:t>
            </w:r>
            <w:r>
              <w:rPr>
                <w:rFonts w:hint="eastAsia" w:ascii="Times New Roman" w:hAnsi="Times New Roman" w:eastAsia="宋体" w:cs="宋体"/>
                <w:kern w:val="0"/>
                <w:szCs w:val="21"/>
                <w:highlight w:val="none"/>
                <w:lang w:val="zh-CN" w:eastAsia="en-US" w:bidi="zh-CN"/>
              </w:rPr>
              <w:t>描述</w:t>
            </w:r>
          </w:p>
        </w:tc>
      </w:tr>
      <w:tr w14:paraId="1631F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22" w:type="dxa"/>
            <w:vAlign w:val="center"/>
          </w:tcPr>
          <w:p w14:paraId="3E17301C">
            <w:pPr>
              <w:autoSpaceDE w:val="0"/>
              <w:autoSpaceDN w:val="0"/>
              <w:jc w:val="center"/>
              <w:rPr>
                <w:rFonts w:ascii="Times New Roman" w:hAnsi="Times New Roman" w:eastAsia="宋体" w:cs="宋体"/>
                <w:kern w:val="0"/>
                <w:szCs w:val="21"/>
                <w:highlight w:val="none"/>
                <w:lang w:val="zh-CN" w:eastAsia="en-US" w:bidi="zh-CN"/>
              </w:rPr>
            </w:pPr>
            <w:r>
              <w:rPr>
                <w:rFonts w:hint="eastAsia" w:ascii="Times New Roman" w:hAnsi="Times New Roman" w:eastAsia="宋体" w:cs="宋体"/>
                <w:kern w:val="0"/>
                <w:szCs w:val="21"/>
                <w:highlight w:val="none"/>
                <w:lang w:val="zh-CN" w:eastAsia="en-US" w:bidi="zh-CN"/>
              </w:rPr>
              <w:t>患者服务端应用</w:t>
            </w:r>
          </w:p>
        </w:tc>
        <w:tc>
          <w:tcPr>
            <w:tcW w:w="6996" w:type="dxa"/>
            <w:vAlign w:val="center"/>
          </w:tcPr>
          <w:p w14:paraId="0992A6BD">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w:t>
            </w:r>
            <w:r>
              <w:rPr>
                <w:rFonts w:hint="eastAsia" w:ascii="Times New Roman" w:hAnsi="Times New Roman" w:eastAsia="宋体" w:cs="宋体"/>
                <w:color w:val="000000"/>
                <w:kern w:val="0"/>
                <w:szCs w:val="21"/>
                <w:highlight w:val="none"/>
                <w:lang w:eastAsia="zh-Hans" w:bidi="ar"/>
              </w:rPr>
              <w:t>根据手机号、医院处方号查询</w:t>
            </w:r>
            <w:r>
              <w:rPr>
                <w:rFonts w:hint="eastAsia" w:ascii="Times New Roman" w:hAnsi="Times New Roman" w:eastAsia="宋体" w:cs="宋体"/>
                <w:color w:val="000000"/>
                <w:kern w:val="0"/>
                <w:szCs w:val="21"/>
                <w:highlight w:val="none"/>
                <w:lang w:bidi="ar"/>
              </w:rPr>
              <w:t>；</w:t>
            </w:r>
          </w:p>
          <w:p w14:paraId="74E9F75B">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支持展示患者在医院所开代煎代配的处方；</w:t>
            </w:r>
          </w:p>
          <w:p w14:paraId="13EB2F24">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w:t>
            </w:r>
            <w:r>
              <w:rPr>
                <w:rFonts w:hint="eastAsia" w:ascii="Times New Roman" w:hAnsi="Times New Roman" w:eastAsia="宋体" w:cs="宋体"/>
                <w:color w:val="000000"/>
                <w:kern w:val="0"/>
                <w:szCs w:val="21"/>
                <w:highlight w:val="none"/>
                <w:lang w:eastAsia="zh-Hans" w:bidi="ar"/>
              </w:rPr>
              <w:t>查询代煎流程追溯信息</w:t>
            </w:r>
            <w:r>
              <w:rPr>
                <w:rFonts w:hint="eastAsia" w:ascii="Times New Roman" w:hAnsi="Times New Roman" w:eastAsia="宋体" w:cs="宋体"/>
                <w:color w:val="000000"/>
                <w:kern w:val="0"/>
                <w:szCs w:val="21"/>
                <w:highlight w:val="none"/>
                <w:lang w:bidi="ar"/>
              </w:rPr>
              <w:t>；</w:t>
            </w:r>
          </w:p>
          <w:p w14:paraId="70E94CF3">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w:t>
            </w:r>
            <w:r>
              <w:rPr>
                <w:rFonts w:hint="eastAsia" w:ascii="Times New Roman" w:hAnsi="Times New Roman" w:eastAsia="宋体" w:cs="宋体"/>
                <w:color w:val="000000"/>
                <w:kern w:val="0"/>
                <w:szCs w:val="21"/>
                <w:highlight w:val="none"/>
                <w:lang w:eastAsia="zh-Hans" w:bidi="ar"/>
              </w:rPr>
              <w:t>查询实时物流节点信息</w:t>
            </w:r>
            <w:r>
              <w:rPr>
                <w:rFonts w:hint="eastAsia" w:ascii="Times New Roman" w:hAnsi="Times New Roman" w:eastAsia="宋体" w:cs="宋体"/>
                <w:color w:val="000000"/>
                <w:kern w:val="0"/>
                <w:szCs w:val="21"/>
                <w:highlight w:val="none"/>
                <w:lang w:bidi="ar"/>
              </w:rPr>
              <w:t>；</w:t>
            </w:r>
          </w:p>
          <w:p w14:paraId="3B01D176">
            <w:pPr>
              <w:widowControl/>
              <w:numPr>
                <w:ilvl w:val="0"/>
                <w:numId w:val="2"/>
              </w:numPr>
              <w:autoSpaceDE w:val="0"/>
              <w:autoSpaceDN w:val="0"/>
              <w:ind w:left="210" w:leftChars="100"/>
              <w:jc w:val="left"/>
              <w:textAlignment w:val="center"/>
              <w:rPr>
                <w:rFonts w:ascii="Times New Roman" w:hAnsi="Times New Roman" w:eastAsia="宋体" w:cs="宋体"/>
                <w:kern w:val="0"/>
                <w:szCs w:val="21"/>
                <w:highlight w:val="none"/>
                <w:lang w:val="zh-CN" w:bidi="zh-CN"/>
              </w:rPr>
            </w:pPr>
            <w:r>
              <w:rPr>
                <w:rFonts w:hint="eastAsia" w:ascii="Times New Roman" w:hAnsi="Times New Roman" w:eastAsia="宋体" w:cs="宋体"/>
                <w:color w:val="000000"/>
                <w:kern w:val="0"/>
                <w:szCs w:val="21"/>
                <w:highlight w:val="none"/>
                <w:lang w:bidi="ar"/>
              </w:rPr>
              <w:t>支持患者对用药进行评价，评分、留言、上传图片。</w:t>
            </w:r>
          </w:p>
        </w:tc>
      </w:tr>
      <w:tr w14:paraId="57F89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22" w:type="dxa"/>
            <w:vAlign w:val="center"/>
          </w:tcPr>
          <w:p w14:paraId="1383FE18">
            <w:pPr>
              <w:autoSpaceDE w:val="0"/>
              <w:autoSpaceDN w:val="0"/>
              <w:jc w:val="center"/>
              <w:rPr>
                <w:rFonts w:ascii="Times New Roman" w:hAnsi="Times New Roman" w:eastAsia="宋体" w:cs="宋体"/>
                <w:kern w:val="0"/>
                <w:szCs w:val="21"/>
                <w:highlight w:val="none"/>
                <w:lang w:val="zh-CN" w:bidi="zh-CN"/>
              </w:rPr>
            </w:pPr>
            <w:r>
              <w:rPr>
                <w:rFonts w:hint="eastAsia" w:ascii="Times New Roman" w:hAnsi="Times New Roman" w:eastAsia="宋体" w:cs="宋体"/>
                <w:kern w:val="0"/>
                <w:szCs w:val="21"/>
                <w:highlight w:val="none"/>
                <w:lang w:val="zh-CN" w:bidi="zh-CN"/>
              </w:rPr>
              <w:t>医疗机构监管应用模块</w:t>
            </w:r>
          </w:p>
        </w:tc>
        <w:tc>
          <w:tcPr>
            <w:tcW w:w="6996" w:type="dxa"/>
            <w:vAlign w:val="center"/>
          </w:tcPr>
          <w:p w14:paraId="2BE0BE45">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w:t>
            </w:r>
            <w:r>
              <w:rPr>
                <w:rFonts w:hint="eastAsia" w:ascii="Times New Roman" w:hAnsi="Times New Roman" w:eastAsia="宋体" w:cs="宋体"/>
                <w:color w:val="000000"/>
                <w:kern w:val="0"/>
                <w:szCs w:val="21"/>
                <w:highlight w:val="none"/>
                <w:lang w:eastAsia="zh-Hans" w:bidi="ar"/>
              </w:rPr>
              <w:t>筛选查询代煎代配的处方</w:t>
            </w:r>
            <w:r>
              <w:rPr>
                <w:rFonts w:hint="eastAsia" w:ascii="Times New Roman" w:hAnsi="Times New Roman" w:eastAsia="宋体" w:cs="宋体"/>
                <w:color w:val="000000"/>
                <w:kern w:val="0"/>
                <w:szCs w:val="21"/>
                <w:highlight w:val="none"/>
                <w:lang w:bidi="ar"/>
              </w:rPr>
              <w:t>；</w:t>
            </w:r>
          </w:p>
          <w:p w14:paraId="5C5A03D8">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w:t>
            </w:r>
            <w:r>
              <w:rPr>
                <w:rFonts w:hint="eastAsia" w:ascii="Times New Roman" w:hAnsi="Times New Roman" w:eastAsia="宋体" w:cs="宋体"/>
                <w:color w:val="000000"/>
                <w:kern w:val="0"/>
                <w:szCs w:val="21"/>
                <w:highlight w:val="none"/>
                <w:lang w:eastAsia="zh-Hans" w:bidi="ar"/>
              </w:rPr>
              <w:t>处方基本信息、药品明细查看</w:t>
            </w:r>
            <w:r>
              <w:rPr>
                <w:rFonts w:hint="eastAsia" w:ascii="Times New Roman" w:hAnsi="Times New Roman" w:eastAsia="宋体" w:cs="宋体"/>
                <w:color w:val="000000"/>
                <w:kern w:val="0"/>
                <w:szCs w:val="21"/>
                <w:highlight w:val="none"/>
                <w:lang w:bidi="ar"/>
              </w:rPr>
              <w:t>；</w:t>
            </w:r>
          </w:p>
          <w:p w14:paraId="6B17E591">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w:t>
            </w:r>
            <w:r>
              <w:rPr>
                <w:rFonts w:hint="eastAsia" w:ascii="Times New Roman" w:hAnsi="Times New Roman" w:eastAsia="宋体" w:cs="宋体"/>
                <w:color w:val="000000"/>
                <w:kern w:val="0"/>
                <w:szCs w:val="21"/>
                <w:highlight w:val="none"/>
                <w:lang w:eastAsia="zh-Hans" w:bidi="ar"/>
              </w:rPr>
              <w:t>配药、煎煮全流程追溯信息查看</w:t>
            </w:r>
            <w:r>
              <w:rPr>
                <w:rFonts w:hint="eastAsia" w:ascii="Times New Roman" w:hAnsi="Times New Roman" w:eastAsia="宋体" w:cs="宋体"/>
                <w:color w:val="000000"/>
                <w:kern w:val="0"/>
                <w:szCs w:val="21"/>
                <w:highlight w:val="none"/>
                <w:lang w:bidi="ar"/>
              </w:rPr>
              <w:t>；</w:t>
            </w:r>
          </w:p>
          <w:p w14:paraId="44DA22AC">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w:t>
            </w:r>
            <w:r>
              <w:rPr>
                <w:rFonts w:hint="eastAsia" w:ascii="Times New Roman" w:hAnsi="Times New Roman" w:eastAsia="宋体" w:cs="宋体"/>
                <w:color w:val="000000"/>
                <w:kern w:val="0"/>
                <w:szCs w:val="21"/>
                <w:highlight w:val="none"/>
                <w:lang w:eastAsia="zh-Hans" w:bidi="ar"/>
              </w:rPr>
              <w:t>查询实时物流节点信息</w:t>
            </w:r>
            <w:r>
              <w:rPr>
                <w:rFonts w:hint="eastAsia" w:ascii="Times New Roman" w:hAnsi="Times New Roman" w:eastAsia="宋体" w:cs="宋体"/>
                <w:color w:val="000000"/>
                <w:kern w:val="0"/>
                <w:szCs w:val="21"/>
                <w:highlight w:val="none"/>
                <w:lang w:bidi="ar"/>
              </w:rPr>
              <w:t>；</w:t>
            </w:r>
          </w:p>
          <w:p w14:paraId="1EDCB476">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支持医院查询员工资质证书；</w:t>
            </w:r>
          </w:p>
          <w:p w14:paraId="6922CA9B">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w:t>
            </w:r>
            <w:r>
              <w:rPr>
                <w:rFonts w:hint="eastAsia" w:ascii="Times New Roman" w:hAnsi="Times New Roman" w:eastAsia="宋体" w:cs="宋体"/>
                <w:color w:val="000000"/>
                <w:kern w:val="0"/>
                <w:szCs w:val="21"/>
                <w:highlight w:val="none"/>
                <w:lang w:eastAsia="zh-Hans" w:bidi="ar"/>
              </w:rPr>
              <w:t>管理平台操作账户（增、删、改、查）</w:t>
            </w:r>
            <w:r>
              <w:rPr>
                <w:rFonts w:hint="eastAsia" w:ascii="Times New Roman" w:hAnsi="Times New Roman" w:eastAsia="宋体" w:cs="宋体"/>
                <w:color w:val="000000"/>
                <w:kern w:val="0"/>
                <w:szCs w:val="21"/>
                <w:highlight w:val="none"/>
                <w:lang w:bidi="ar"/>
              </w:rPr>
              <w:t>；</w:t>
            </w:r>
          </w:p>
          <w:p w14:paraId="577F037F">
            <w:pPr>
              <w:widowControl/>
              <w:numPr>
                <w:ilvl w:val="0"/>
                <w:numId w:val="2"/>
              </w:numPr>
              <w:autoSpaceDE w:val="0"/>
              <w:autoSpaceDN w:val="0"/>
              <w:ind w:left="210" w:leftChars="100"/>
              <w:jc w:val="left"/>
              <w:textAlignment w:val="center"/>
              <w:rPr>
                <w:rFonts w:ascii="Times New Roman" w:hAnsi="Times New Roman" w:eastAsia="宋体" w:cs="宋体"/>
                <w:kern w:val="0"/>
                <w:szCs w:val="21"/>
                <w:highlight w:val="none"/>
                <w:lang w:val="zh-CN" w:bidi="zh-CN"/>
              </w:rPr>
            </w:pPr>
            <w:r>
              <w:rPr>
                <w:rFonts w:hint="eastAsia" w:ascii="Times New Roman" w:hAnsi="Times New Roman" w:eastAsia="宋体" w:cs="宋体"/>
                <w:color w:val="000000"/>
                <w:kern w:val="0"/>
                <w:szCs w:val="21"/>
                <w:highlight w:val="none"/>
                <w:lang w:bidi="ar"/>
              </w:rPr>
              <w:t>支持汇总查询患者评价，优化患者服务。</w:t>
            </w:r>
          </w:p>
        </w:tc>
      </w:tr>
      <w:tr w14:paraId="7C57E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22" w:type="dxa"/>
            <w:vAlign w:val="center"/>
          </w:tcPr>
          <w:p w14:paraId="5AE110FF">
            <w:pPr>
              <w:autoSpaceDE w:val="0"/>
              <w:autoSpaceDN w:val="0"/>
              <w:jc w:val="center"/>
              <w:rPr>
                <w:rFonts w:ascii="Times New Roman" w:hAnsi="Times New Roman" w:eastAsia="宋体" w:cs="宋体"/>
                <w:kern w:val="0"/>
                <w:szCs w:val="21"/>
                <w:highlight w:val="none"/>
                <w:lang w:val="zh-CN" w:eastAsia="en-US" w:bidi="zh-CN"/>
              </w:rPr>
            </w:pPr>
            <w:r>
              <w:rPr>
                <w:rFonts w:hint="eastAsia" w:ascii="Times New Roman" w:hAnsi="Times New Roman" w:eastAsia="宋体" w:cs="宋体"/>
                <w:color w:val="000000"/>
                <w:kern w:val="0"/>
                <w:szCs w:val="21"/>
                <w:highlight w:val="none"/>
                <w:lang w:bidi="ar"/>
              </w:rPr>
              <w:t>代煎视频实时监控中心</w:t>
            </w:r>
          </w:p>
        </w:tc>
        <w:tc>
          <w:tcPr>
            <w:tcW w:w="6996" w:type="dxa"/>
            <w:vAlign w:val="center"/>
          </w:tcPr>
          <w:p w14:paraId="285B9A46">
            <w:pPr>
              <w:widowControl/>
              <w:numPr>
                <w:ilvl w:val="0"/>
                <w:numId w:val="2"/>
              </w:numPr>
              <w:autoSpaceDE w:val="0"/>
              <w:autoSpaceDN w:val="0"/>
              <w:ind w:left="210" w:leftChars="100"/>
              <w:jc w:val="left"/>
              <w:textAlignment w:val="center"/>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支持提供接入接口，供代煎企业进行现场多路视频接入；</w:t>
            </w:r>
          </w:p>
          <w:p w14:paraId="02927B1D">
            <w:pPr>
              <w:widowControl/>
              <w:numPr>
                <w:ilvl w:val="0"/>
                <w:numId w:val="2"/>
              </w:numPr>
              <w:autoSpaceDE w:val="0"/>
              <w:autoSpaceDN w:val="0"/>
              <w:ind w:left="210" w:leftChars="100"/>
              <w:jc w:val="left"/>
              <w:textAlignment w:val="center"/>
              <w:rPr>
                <w:rFonts w:ascii="Times New Roman" w:hAnsi="Times New Roman" w:eastAsia="宋体" w:cs="宋体"/>
                <w:kern w:val="0"/>
                <w:szCs w:val="21"/>
                <w:highlight w:val="none"/>
                <w:lang w:val="zh-CN" w:bidi="zh-CN"/>
              </w:rPr>
            </w:pPr>
            <w:r>
              <w:rPr>
                <w:rFonts w:hint="eastAsia" w:ascii="Times New Roman" w:hAnsi="Times New Roman" w:eastAsia="宋体" w:cs="宋体"/>
                <w:color w:val="000000"/>
                <w:kern w:val="0"/>
                <w:szCs w:val="21"/>
                <w:highlight w:val="none"/>
                <w:lang w:bidi="ar"/>
              </w:rPr>
              <w:t>支持展示质控相关节点实地场景画面，满足多煎药中心画面切换展示。</w:t>
            </w:r>
          </w:p>
        </w:tc>
      </w:tr>
      <w:tr w14:paraId="23FE4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22" w:type="dxa"/>
            <w:vAlign w:val="center"/>
          </w:tcPr>
          <w:p w14:paraId="3EA7F725">
            <w:pPr>
              <w:widowControl/>
              <w:autoSpaceDE w:val="0"/>
              <w:autoSpaceDN w:val="0"/>
              <w:jc w:val="center"/>
              <w:textAlignment w:val="center"/>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eastAsia="zh-Hans" w:bidi="ar"/>
              </w:rPr>
              <w:t>中药代煎</w:t>
            </w:r>
            <w:r>
              <w:rPr>
                <w:rFonts w:hint="eastAsia" w:ascii="Times New Roman" w:hAnsi="Times New Roman" w:eastAsia="宋体" w:cs="宋体"/>
                <w:color w:val="000000"/>
                <w:kern w:val="0"/>
                <w:szCs w:val="21"/>
                <w:highlight w:val="none"/>
                <w:lang w:bidi="ar"/>
              </w:rPr>
              <w:t>质控</w:t>
            </w:r>
          </w:p>
          <w:p w14:paraId="785B046B">
            <w:pPr>
              <w:widowControl/>
              <w:autoSpaceDE w:val="0"/>
              <w:autoSpaceDN w:val="0"/>
              <w:jc w:val="center"/>
              <w:textAlignment w:val="center"/>
              <w:rPr>
                <w:rFonts w:ascii="Times New Roman" w:hAnsi="Times New Roman" w:eastAsia="宋体" w:cs="宋体"/>
                <w:kern w:val="0"/>
                <w:szCs w:val="21"/>
                <w:highlight w:val="none"/>
                <w:lang w:bidi="zh-CN"/>
              </w:rPr>
            </w:pPr>
            <w:r>
              <w:rPr>
                <w:rFonts w:hint="eastAsia" w:ascii="Times New Roman" w:hAnsi="Times New Roman" w:eastAsia="宋体" w:cs="宋体"/>
                <w:color w:val="000000"/>
                <w:kern w:val="0"/>
                <w:szCs w:val="21"/>
                <w:highlight w:val="none"/>
                <w:lang w:bidi="ar"/>
              </w:rPr>
              <w:t>驾驶舱</w:t>
            </w:r>
          </w:p>
        </w:tc>
        <w:tc>
          <w:tcPr>
            <w:tcW w:w="6996" w:type="dxa"/>
            <w:vAlign w:val="center"/>
          </w:tcPr>
          <w:p w14:paraId="6989D8AD">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w:t>
            </w:r>
            <w:r>
              <w:rPr>
                <w:rFonts w:hint="eastAsia" w:ascii="Times New Roman" w:hAnsi="Times New Roman" w:eastAsia="宋体" w:cs="宋体"/>
                <w:color w:val="000000"/>
                <w:kern w:val="0"/>
                <w:szCs w:val="21"/>
                <w:highlight w:val="none"/>
                <w:lang w:eastAsia="zh-Hans" w:bidi="ar"/>
              </w:rPr>
              <w:t>医院处方量统计</w:t>
            </w:r>
            <w:r>
              <w:rPr>
                <w:rFonts w:hint="eastAsia" w:ascii="Times New Roman" w:hAnsi="Times New Roman" w:eastAsia="宋体" w:cs="宋体"/>
                <w:color w:val="000000"/>
                <w:kern w:val="0"/>
                <w:szCs w:val="21"/>
                <w:highlight w:val="none"/>
                <w:lang w:bidi="ar"/>
              </w:rPr>
              <w:t>；</w:t>
            </w:r>
          </w:p>
          <w:p w14:paraId="4173E052">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w:t>
            </w:r>
            <w:r>
              <w:rPr>
                <w:rFonts w:hint="eastAsia" w:ascii="Times New Roman" w:hAnsi="Times New Roman" w:eastAsia="宋体" w:cs="宋体"/>
                <w:color w:val="000000"/>
                <w:kern w:val="0"/>
                <w:szCs w:val="21"/>
                <w:highlight w:val="none"/>
                <w:lang w:eastAsia="zh-Hans" w:bidi="ar"/>
              </w:rPr>
              <w:t>视频对接</w:t>
            </w:r>
            <w:r>
              <w:rPr>
                <w:rFonts w:hint="eastAsia" w:ascii="Times New Roman" w:hAnsi="Times New Roman" w:eastAsia="宋体" w:cs="宋体"/>
                <w:color w:val="000000"/>
                <w:kern w:val="0"/>
                <w:szCs w:val="21"/>
                <w:highlight w:val="none"/>
                <w:lang w:bidi="ar"/>
              </w:rPr>
              <w:t>；</w:t>
            </w:r>
          </w:p>
          <w:p w14:paraId="48545B3A">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w:t>
            </w:r>
            <w:r>
              <w:rPr>
                <w:rFonts w:hint="eastAsia" w:ascii="Times New Roman" w:hAnsi="Times New Roman" w:eastAsia="宋体" w:cs="宋体"/>
                <w:color w:val="000000"/>
                <w:kern w:val="0"/>
                <w:szCs w:val="21"/>
                <w:highlight w:val="none"/>
                <w:lang w:eastAsia="zh-Hans" w:bidi="ar"/>
              </w:rPr>
              <w:t>实时操作动态</w:t>
            </w:r>
            <w:r>
              <w:rPr>
                <w:rFonts w:hint="eastAsia" w:ascii="Times New Roman" w:hAnsi="Times New Roman" w:eastAsia="宋体" w:cs="宋体"/>
                <w:color w:val="000000"/>
                <w:kern w:val="0"/>
                <w:szCs w:val="21"/>
                <w:highlight w:val="none"/>
                <w:lang w:bidi="ar"/>
              </w:rPr>
              <w:t>；</w:t>
            </w:r>
          </w:p>
          <w:p w14:paraId="4E471E04">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w:t>
            </w:r>
            <w:r>
              <w:rPr>
                <w:rFonts w:hint="eastAsia" w:ascii="Times New Roman" w:hAnsi="Times New Roman" w:eastAsia="宋体" w:cs="宋体"/>
                <w:color w:val="000000"/>
                <w:kern w:val="0"/>
                <w:szCs w:val="21"/>
                <w:highlight w:val="none"/>
                <w:lang w:eastAsia="zh-Hans" w:bidi="ar"/>
              </w:rPr>
              <w:t>实时操作记录</w:t>
            </w:r>
            <w:r>
              <w:rPr>
                <w:rFonts w:hint="eastAsia" w:ascii="Times New Roman" w:hAnsi="Times New Roman" w:eastAsia="宋体" w:cs="宋体"/>
                <w:color w:val="000000"/>
                <w:kern w:val="0"/>
                <w:szCs w:val="21"/>
                <w:highlight w:val="none"/>
                <w:lang w:bidi="ar"/>
              </w:rPr>
              <w:t>；</w:t>
            </w:r>
          </w:p>
          <w:p w14:paraId="6B51B34E">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w:t>
            </w:r>
            <w:r>
              <w:rPr>
                <w:rFonts w:hint="eastAsia" w:ascii="Times New Roman" w:hAnsi="Times New Roman" w:eastAsia="宋体" w:cs="宋体"/>
                <w:color w:val="000000"/>
                <w:kern w:val="0"/>
                <w:szCs w:val="21"/>
                <w:highlight w:val="none"/>
                <w:lang w:eastAsia="zh-Hans" w:bidi="ar"/>
              </w:rPr>
              <w:t>复核照片展示</w:t>
            </w:r>
            <w:r>
              <w:rPr>
                <w:rFonts w:hint="eastAsia" w:ascii="Times New Roman" w:hAnsi="Times New Roman" w:eastAsia="宋体" w:cs="宋体"/>
                <w:color w:val="000000"/>
                <w:kern w:val="0"/>
                <w:szCs w:val="21"/>
                <w:highlight w:val="none"/>
                <w:lang w:bidi="ar"/>
              </w:rPr>
              <w:t>；</w:t>
            </w:r>
          </w:p>
          <w:p w14:paraId="4E3A50FB">
            <w:pPr>
              <w:numPr>
                <w:ilvl w:val="0"/>
                <w:numId w:val="2"/>
              </w:numPr>
              <w:tabs>
                <w:tab w:val="left" w:pos="3278"/>
              </w:tabs>
              <w:autoSpaceDE w:val="0"/>
              <w:autoSpaceDN w:val="0"/>
              <w:ind w:left="210" w:leftChars="100"/>
              <w:jc w:val="left"/>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w:t>
            </w:r>
            <w:r>
              <w:rPr>
                <w:rFonts w:hint="eastAsia" w:ascii="Times New Roman" w:hAnsi="Times New Roman" w:eastAsia="宋体" w:cs="宋体"/>
                <w:color w:val="000000"/>
                <w:kern w:val="0"/>
                <w:szCs w:val="21"/>
                <w:highlight w:val="none"/>
                <w:lang w:eastAsia="zh-Hans" w:bidi="ar"/>
              </w:rPr>
              <w:t>追溯码</w:t>
            </w:r>
            <w:r>
              <w:rPr>
                <w:rFonts w:hint="eastAsia" w:ascii="Times New Roman" w:hAnsi="Times New Roman" w:eastAsia="宋体" w:cs="宋体"/>
                <w:color w:val="000000"/>
                <w:kern w:val="0"/>
                <w:szCs w:val="21"/>
                <w:highlight w:val="none"/>
                <w:lang w:bidi="ar"/>
              </w:rPr>
              <w:t>；</w:t>
            </w:r>
          </w:p>
          <w:p w14:paraId="55E93416">
            <w:pPr>
              <w:numPr>
                <w:ilvl w:val="0"/>
                <w:numId w:val="2"/>
              </w:numPr>
              <w:tabs>
                <w:tab w:val="left" w:pos="3278"/>
              </w:tabs>
              <w:autoSpaceDE w:val="0"/>
              <w:autoSpaceDN w:val="0"/>
              <w:ind w:left="210" w:leftChars="100"/>
              <w:jc w:val="left"/>
              <w:rPr>
                <w:rFonts w:ascii="Times New Roman" w:hAnsi="Times New Roman" w:eastAsia="宋体" w:cs="宋体"/>
                <w:kern w:val="0"/>
                <w:szCs w:val="21"/>
                <w:highlight w:val="none"/>
                <w:lang w:val="zh-CN" w:bidi="zh-CN"/>
              </w:rPr>
            </w:pPr>
            <w:r>
              <w:rPr>
                <w:rFonts w:hint="eastAsia" w:ascii="Times New Roman" w:hAnsi="Times New Roman" w:eastAsia="宋体" w:cs="宋体"/>
                <w:color w:val="000000"/>
                <w:kern w:val="0"/>
                <w:szCs w:val="21"/>
                <w:highlight w:val="none"/>
                <w:lang w:bidi="ar"/>
              </w:rPr>
              <w:t>支持人员资质证书展示。</w:t>
            </w:r>
          </w:p>
        </w:tc>
      </w:tr>
    </w:tbl>
    <w:p w14:paraId="0DCB6EE1">
      <w:pPr>
        <w:spacing w:line="360" w:lineRule="auto"/>
        <w:rPr>
          <w:rFonts w:ascii="宋体" w:hAnsi="宋体" w:eastAsia="宋体"/>
          <w:b/>
          <w:bCs/>
          <w:szCs w:val="21"/>
          <w:highlight w:val="none"/>
        </w:rPr>
      </w:pPr>
      <w:r>
        <w:rPr>
          <w:rFonts w:hint="eastAsia" w:ascii="宋体" w:hAnsi="宋体" w:eastAsia="宋体"/>
          <w:b/>
          <w:bCs/>
          <w:szCs w:val="21"/>
          <w:highlight w:val="none"/>
        </w:rPr>
        <w:t>3.药嘱服务管理</w:t>
      </w:r>
    </w:p>
    <w:tbl>
      <w:tblPr>
        <w:tblStyle w:val="17"/>
        <w:tblW w:w="8318" w:type="dxa"/>
        <w:tblInd w:w="-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6"/>
        <w:gridCol w:w="6982"/>
      </w:tblGrid>
      <w:tr w14:paraId="56F4A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36" w:type="dxa"/>
          </w:tcPr>
          <w:p w14:paraId="3CEC0D10">
            <w:pPr>
              <w:autoSpaceDE w:val="0"/>
              <w:autoSpaceDN w:val="0"/>
              <w:spacing w:before="134"/>
              <w:ind w:left="60"/>
              <w:jc w:val="center"/>
              <w:rPr>
                <w:rFonts w:ascii="Times New Roman" w:hAnsi="Times New Roman" w:eastAsia="宋体" w:cs="宋体"/>
                <w:kern w:val="0"/>
                <w:szCs w:val="21"/>
                <w:highlight w:val="none"/>
                <w:lang w:val="zh-CN" w:eastAsia="en-US" w:bidi="zh-CN"/>
              </w:rPr>
            </w:pPr>
            <w:r>
              <w:rPr>
                <w:rFonts w:hint="eastAsia" w:ascii="Times New Roman" w:hAnsi="Times New Roman" w:eastAsia="宋体" w:cs="宋体"/>
                <w:kern w:val="0"/>
                <w:szCs w:val="21"/>
                <w:highlight w:val="none"/>
                <w:lang w:val="zh-CN" w:eastAsia="en-US" w:bidi="zh-CN"/>
              </w:rPr>
              <w:t>功能模块</w:t>
            </w:r>
          </w:p>
        </w:tc>
        <w:tc>
          <w:tcPr>
            <w:tcW w:w="6982" w:type="dxa"/>
          </w:tcPr>
          <w:p w14:paraId="48BD08C7">
            <w:pPr>
              <w:autoSpaceDE w:val="0"/>
              <w:autoSpaceDN w:val="0"/>
              <w:spacing w:before="134"/>
              <w:jc w:val="center"/>
              <w:rPr>
                <w:rFonts w:ascii="Times New Roman" w:hAnsi="Times New Roman" w:eastAsia="宋体" w:cs="宋体"/>
                <w:kern w:val="0"/>
                <w:szCs w:val="21"/>
                <w:highlight w:val="none"/>
                <w:lang w:val="zh-CN" w:eastAsia="en-US" w:bidi="zh-CN"/>
              </w:rPr>
            </w:pPr>
            <w:r>
              <w:rPr>
                <w:rFonts w:hint="eastAsia" w:ascii="Times New Roman" w:hAnsi="Times New Roman" w:eastAsia="宋体" w:cs="宋体"/>
                <w:kern w:val="0"/>
                <w:szCs w:val="21"/>
                <w:highlight w:val="none"/>
                <w:lang w:eastAsia="en-US" w:bidi="zh-CN"/>
              </w:rPr>
              <w:t>参数</w:t>
            </w:r>
            <w:r>
              <w:rPr>
                <w:rFonts w:hint="eastAsia" w:ascii="Times New Roman" w:hAnsi="Times New Roman" w:eastAsia="宋体" w:cs="宋体"/>
                <w:kern w:val="0"/>
                <w:szCs w:val="21"/>
                <w:highlight w:val="none"/>
                <w:lang w:val="zh-CN" w:eastAsia="en-US" w:bidi="zh-CN"/>
              </w:rPr>
              <w:t>描述</w:t>
            </w:r>
          </w:p>
        </w:tc>
      </w:tr>
      <w:tr w14:paraId="01246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36" w:type="dxa"/>
            <w:vAlign w:val="center"/>
          </w:tcPr>
          <w:p w14:paraId="62B978D3">
            <w:pPr>
              <w:autoSpaceDE w:val="0"/>
              <w:autoSpaceDN w:val="0"/>
              <w:jc w:val="center"/>
              <w:rPr>
                <w:rFonts w:ascii="Times New Roman" w:hAnsi="Times New Roman" w:eastAsia="宋体" w:cs="宋体"/>
                <w:kern w:val="0"/>
                <w:szCs w:val="21"/>
                <w:highlight w:val="none"/>
                <w:lang w:eastAsia="en-US" w:bidi="zh-CN"/>
              </w:rPr>
            </w:pPr>
            <w:r>
              <w:rPr>
                <w:rFonts w:hint="eastAsia" w:ascii="Times New Roman" w:hAnsi="Times New Roman" w:eastAsia="宋体" w:cs="宋体"/>
                <w:color w:val="000000"/>
                <w:kern w:val="0"/>
                <w:szCs w:val="21"/>
                <w:highlight w:val="none"/>
                <w:lang w:bidi="ar"/>
              </w:rPr>
              <w:t>患者基本信息</w:t>
            </w:r>
          </w:p>
        </w:tc>
        <w:tc>
          <w:tcPr>
            <w:tcW w:w="6982" w:type="dxa"/>
            <w:vAlign w:val="center"/>
          </w:tcPr>
          <w:p w14:paraId="5DB9598E">
            <w:pPr>
              <w:widowControl/>
              <w:numPr>
                <w:ilvl w:val="0"/>
                <w:numId w:val="3"/>
              </w:numPr>
              <w:autoSpaceDE w:val="0"/>
              <w:autoSpaceDN w:val="0"/>
              <w:ind w:left="210" w:leftChars="100"/>
              <w:jc w:val="left"/>
              <w:textAlignment w:val="center"/>
              <w:rPr>
                <w:rFonts w:ascii="Times New Roman" w:hAnsi="Times New Roman" w:eastAsia="宋体" w:cs="宋体"/>
                <w:kern w:val="0"/>
                <w:szCs w:val="21"/>
                <w:highlight w:val="none"/>
                <w:lang w:bidi="zh-CN"/>
              </w:rPr>
            </w:pPr>
            <w:r>
              <w:rPr>
                <w:rFonts w:hint="eastAsia" w:ascii="Times New Roman" w:hAnsi="Times New Roman" w:eastAsia="宋体" w:cs="宋体"/>
                <w:color w:val="000000"/>
                <w:kern w:val="0"/>
                <w:szCs w:val="21"/>
                <w:highlight w:val="none"/>
                <w:lang w:bidi="ar"/>
              </w:rPr>
              <w:t>姓名、性别、年龄、诊断内容。</w:t>
            </w:r>
          </w:p>
        </w:tc>
      </w:tr>
      <w:tr w14:paraId="66CE4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36" w:type="dxa"/>
            <w:vAlign w:val="center"/>
          </w:tcPr>
          <w:p w14:paraId="0125DD67">
            <w:pPr>
              <w:autoSpaceDE w:val="0"/>
              <w:autoSpaceDN w:val="0"/>
              <w:jc w:val="center"/>
              <w:rPr>
                <w:rFonts w:ascii="Times New Roman" w:hAnsi="Times New Roman" w:eastAsia="宋体" w:cs="宋体"/>
                <w:kern w:val="0"/>
                <w:szCs w:val="21"/>
                <w:highlight w:val="none"/>
                <w:lang w:val="zh-CN" w:eastAsia="en-US" w:bidi="zh-CN"/>
              </w:rPr>
            </w:pPr>
            <w:r>
              <w:rPr>
                <w:rFonts w:hint="eastAsia" w:ascii="Times New Roman" w:hAnsi="Times New Roman" w:eastAsia="宋体" w:cs="宋体"/>
                <w:color w:val="000000"/>
                <w:kern w:val="0"/>
                <w:szCs w:val="21"/>
                <w:highlight w:val="none"/>
                <w:lang w:bidi="ar"/>
              </w:rPr>
              <w:t>患者用药信息</w:t>
            </w:r>
          </w:p>
        </w:tc>
        <w:tc>
          <w:tcPr>
            <w:tcW w:w="6982" w:type="dxa"/>
            <w:vAlign w:val="center"/>
          </w:tcPr>
          <w:p w14:paraId="35074836">
            <w:pPr>
              <w:widowControl/>
              <w:numPr>
                <w:ilvl w:val="0"/>
                <w:numId w:val="3"/>
              </w:numPr>
              <w:autoSpaceDE w:val="0"/>
              <w:autoSpaceDN w:val="0"/>
              <w:ind w:left="210" w:leftChars="100"/>
              <w:jc w:val="left"/>
              <w:textAlignment w:val="center"/>
              <w:rPr>
                <w:rFonts w:ascii="Times New Roman" w:hAnsi="Times New Roman" w:eastAsia="宋体" w:cs="宋体"/>
                <w:kern w:val="0"/>
                <w:szCs w:val="21"/>
                <w:highlight w:val="none"/>
                <w:lang w:bidi="zh-CN"/>
              </w:rPr>
            </w:pPr>
            <w:r>
              <w:rPr>
                <w:rFonts w:hint="eastAsia" w:ascii="Times New Roman" w:hAnsi="Times New Roman" w:eastAsia="宋体" w:cs="宋体"/>
                <w:color w:val="000000"/>
                <w:kern w:val="0"/>
                <w:szCs w:val="21"/>
                <w:highlight w:val="none"/>
                <w:lang w:bidi="ar"/>
              </w:rPr>
              <w:t>中药饮片处方信息、含饮片名称、单位、重量。</w:t>
            </w:r>
          </w:p>
        </w:tc>
      </w:tr>
      <w:tr w14:paraId="45AE8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36" w:type="dxa"/>
            <w:vAlign w:val="center"/>
          </w:tcPr>
          <w:p w14:paraId="4A7628AB">
            <w:pPr>
              <w:autoSpaceDE w:val="0"/>
              <w:autoSpaceDN w:val="0"/>
              <w:jc w:val="center"/>
              <w:rPr>
                <w:rFonts w:ascii="Times New Roman" w:hAnsi="Times New Roman" w:eastAsia="宋体" w:cs="宋体"/>
                <w:kern w:val="0"/>
                <w:szCs w:val="21"/>
                <w:highlight w:val="none"/>
                <w:lang w:val="zh-CN" w:eastAsia="en-US" w:bidi="zh-CN"/>
              </w:rPr>
            </w:pPr>
            <w:r>
              <w:rPr>
                <w:rFonts w:hint="eastAsia" w:ascii="Times New Roman" w:hAnsi="Times New Roman" w:eastAsia="宋体" w:cs="宋体"/>
                <w:kern w:val="0"/>
                <w:szCs w:val="21"/>
                <w:highlight w:val="none"/>
                <w:lang w:val="zh-CN" w:eastAsia="en-US" w:bidi="zh-CN"/>
              </w:rPr>
              <w:t>煎煮方案</w:t>
            </w:r>
          </w:p>
        </w:tc>
        <w:tc>
          <w:tcPr>
            <w:tcW w:w="6982" w:type="dxa"/>
            <w:vAlign w:val="center"/>
          </w:tcPr>
          <w:p w14:paraId="12BC1F4A">
            <w:pPr>
              <w:widowControl/>
              <w:numPr>
                <w:ilvl w:val="0"/>
                <w:numId w:val="3"/>
              </w:numPr>
              <w:autoSpaceDE w:val="0"/>
              <w:autoSpaceDN w:val="0"/>
              <w:ind w:left="210" w:leftChars="100"/>
              <w:jc w:val="left"/>
              <w:textAlignment w:val="center"/>
              <w:rPr>
                <w:rFonts w:ascii="Times New Roman" w:hAnsi="Times New Roman" w:eastAsia="宋体" w:cs="宋体"/>
                <w:color w:val="000000"/>
                <w:kern w:val="0"/>
                <w:szCs w:val="21"/>
                <w:highlight w:val="none"/>
                <w:lang w:val="zh-CN" w:bidi="ar"/>
              </w:rPr>
            </w:pPr>
            <w:r>
              <w:rPr>
                <w:rFonts w:hint="eastAsia" w:ascii="Times New Roman" w:hAnsi="Times New Roman" w:eastAsia="宋体" w:cs="宋体"/>
                <w:color w:val="000000"/>
                <w:kern w:val="0"/>
                <w:szCs w:val="21"/>
                <w:highlight w:val="none"/>
                <w:lang w:val="zh-CN" w:bidi="ar"/>
              </w:rPr>
              <w:t>依据处方中饮片的特殊煎法、方剂类型等因素设计煎煮方案（一煎、二煎、轻煎、浓煎、</w:t>
            </w:r>
            <w:r>
              <w:rPr>
                <w:rFonts w:hint="eastAsia" w:ascii="Times New Roman" w:hAnsi="Times New Roman" w:eastAsia="宋体" w:cs="宋体"/>
                <w:color w:val="000000"/>
                <w:kern w:val="0"/>
                <w:szCs w:val="21"/>
                <w:highlight w:val="none"/>
                <w:lang w:bidi="ar"/>
              </w:rPr>
              <w:t>煎煮时间</w:t>
            </w:r>
            <w:r>
              <w:rPr>
                <w:rFonts w:hint="eastAsia" w:ascii="Times New Roman" w:hAnsi="Times New Roman" w:eastAsia="宋体" w:cs="宋体"/>
                <w:color w:val="000000"/>
                <w:kern w:val="0"/>
                <w:szCs w:val="21"/>
                <w:highlight w:val="none"/>
                <w:lang w:val="zh-CN" w:bidi="ar"/>
              </w:rPr>
              <w:t>等）。</w:t>
            </w:r>
          </w:p>
        </w:tc>
      </w:tr>
      <w:tr w14:paraId="5F8FD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36" w:type="dxa"/>
            <w:vAlign w:val="center"/>
          </w:tcPr>
          <w:p w14:paraId="55257721">
            <w:pPr>
              <w:widowControl/>
              <w:autoSpaceDE w:val="0"/>
              <w:autoSpaceDN w:val="0"/>
              <w:jc w:val="center"/>
              <w:textAlignment w:val="center"/>
              <w:rPr>
                <w:rFonts w:ascii="Times New Roman" w:hAnsi="Times New Roman" w:eastAsia="宋体" w:cs="宋体"/>
                <w:kern w:val="0"/>
                <w:szCs w:val="21"/>
                <w:highlight w:val="none"/>
                <w:lang w:bidi="zh-CN"/>
              </w:rPr>
            </w:pPr>
            <w:r>
              <w:rPr>
                <w:rFonts w:hint="eastAsia" w:ascii="Times New Roman" w:hAnsi="Times New Roman" w:eastAsia="宋体" w:cs="宋体"/>
                <w:kern w:val="0"/>
                <w:szCs w:val="21"/>
                <w:highlight w:val="none"/>
                <w:lang w:val="zh-CN" w:bidi="zh-CN"/>
              </w:rPr>
              <w:t>服用方法</w:t>
            </w:r>
          </w:p>
        </w:tc>
        <w:tc>
          <w:tcPr>
            <w:tcW w:w="6982" w:type="dxa"/>
            <w:vAlign w:val="center"/>
          </w:tcPr>
          <w:p w14:paraId="1A30F541">
            <w:pPr>
              <w:widowControl/>
              <w:numPr>
                <w:ilvl w:val="0"/>
                <w:numId w:val="3"/>
              </w:numPr>
              <w:autoSpaceDE w:val="0"/>
              <w:autoSpaceDN w:val="0"/>
              <w:ind w:left="210" w:leftChars="100"/>
              <w:jc w:val="left"/>
              <w:textAlignment w:val="center"/>
              <w:rPr>
                <w:rFonts w:ascii="Times New Roman" w:hAnsi="Times New Roman" w:eastAsia="宋体" w:cs="宋体"/>
                <w:color w:val="000000"/>
                <w:kern w:val="0"/>
                <w:szCs w:val="21"/>
                <w:highlight w:val="none"/>
                <w:lang w:val="zh-CN" w:bidi="ar"/>
              </w:rPr>
            </w:pPr>
            <w:r>
              <w:rPr>
                <w:rFonts w:hint="eastAsia" w:ascii="Times New Roman" w:hAnsi="Times New Roman" w:eastAsia="宋体" w:cs="宋体"/>
                <w:color w:val="000000"/>
                <w:kern w:val="0"/>
                <w:szCs w:val="21"/>
                <w:highlight w:val="none"/>
                <w:lang w:val="zh-CN" w:bidi="ar"/>
              </w:rPr>
              <w:t>服药时间、服药次数、服药剂量</w:t>
            </w:r>
            <w:r>
              <w:rPr>
                <w:rFonts w:hint="eastAsia" w:ascii="Times New Roman" w:hAnsi="Times New Roman" w:eastAsia="宋体" w:cs="宋体"/>
                <w:color w:val="000000"/>
                <w:kern w:val="0"/>
                <w:szCs w:val="21"/>
                <w:highlight w:val="none"/>
                <w:lang w:bidi="ar"/>
              </w:rPr>
              <w:t>等。</w:t>
            </w:r>
          </w:p>
        </w:tc>
      </w:tr>
      <w:tr w14:paraId="15692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36" w:type="dxa"/>
            <w:vAlign w:val="center"/>
          </w:tcPr>
          <w:p w14:paraId="6697473D">
            <w:pPr>
              <w:widowControl/>
              <w:autoSpaceDE w:val="0"/>
              <w:autoSpaceDN w:val="0"/>
              <w:jc w:val="center"/>
              <w:textAlignment w:val="center"/>
              <w:rPr>
                <w:rFonts w:ascii="Times New Roman" w:hAnsi="Times New Roman" w:eastAsia="宋体" w:cs="宋体"/>
                <w:kern w:val="0"/>
                <w:szCs w:val="21"/>
                <w:highlight w:val="none"/>
                <w:lang w:bidi="zh-CN"/>
              </w:rPr>
            </w:pPr>
            <w:r>
              <w:rPr>
                <w:rFonts w:hint="eastAsia" w:ascii="Times New Roman" w:hAnsi="Times New Roman" w:eastAsia="宋体" w:cs="宋体"/>
                <w:kern w:val="0"/>
                <w:szCs w:val="21"/>
                <w:highlight w:val="none"/>
                <w:lang w:val="zh-CN" w:bidi="zh-CN"/>
              </w:rPr>
              <w:t>贮存</w:t>
            </w:r>
            <w:r>
              <w:rPr>
                <w:rFonts w:hint="eastAsia" w:ascii="Times New Roman" w:hAnsi="Times New Roman" w:eastAsia="宋体" w:cs="宋体"/>
                <w:kern w:val="0"/>
                <w:szCs w:val="21"/>
                <w:highlight w:val="none"/>
                <w:lang w:bidi="zh-CN"/>
              </w:rPr>
              <w:t>方法</w:t>
            </w:r>
          </w:p>
        </w:tc>
        <w:tc>
          <w:tcPr>
            <w:tcW w:w="6982" w:type="dxa"/>
            <w:vAlign w:val="center"/>
          </w:tcPr>
          <w:p w14:paraId="7FAEC12D">
            <w:pPr>
              <w:widowControl/>
              <w:numPr>
                <w:ilvl w:val="0"/>
                <w:numId w:val="3"/>
              </w:numPr>
              <w:autoSpaceDE w:val="0"/>
              <w:autoSpaceDN w:val="0"/>
              <w:ind w:left="210" w:leftChars="100"/>
              <w:jc w:val="left"/>
              <w:textAlignment w:val="center"/>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根据饮片、药液、膏方、丸剂等不同剂型确定贮存条件。</w:t>
            </w:r>
          </w:p>
        </w:tc>
      </w:tr>
      <w:tr w14:paraId="78755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36" w:type="dxa"/>
            <w:vAlign w:val="center"/>
          </w:tcPr>
          <w:p w14:paraId="3FC7E59B">
            <w:pPr>
              <w:widowControl/>
              <w:autoSpaceDE w:val="0"/>
              <w:autoSpaceDN w:val="0"/>
              <w:jc w:val="center"/>
              <w:textAlignment w:val="center"/>
              <w:rPr>
                <w:rFonts w:ascii="Times New Roman" w:hAnsi="Times New Roman" w:eastAsia="宋体" w:cs="宋体"/>
                <w:kern w:val="0"/>
                <w:szCs w:val="21"/>
                <w:highlight w:val="none"/>
                <w:lang w:bidi="zh-CN"/>
              </w:rPr>
            </w:pPr>
            <w:r>
              <w:rPr>
                <w:rFonts w:hint="eastAsia" w:ascii="Times New Roman" w:hAnsi="Times New Roman" w:eastAsia="宋体" w:cs="宋体"/>
                <w:kern w:val="0"/>
                <w:szCs w:val="21"/>
                <w:highlight w:val="none"/>
                <w:lang w:bidi="zh-CN"/>
              </w:rPr>
              <w:t>患者评价</w:t>
            </w:r>
          </w:p>
        </w:tc>
        <w:tc>
          <w:tcPr>
            <w:tcW w:w="6982" w:type="dxa"/>
            <w:vAlign w:val="center"/>
          </w:tcPr>
          <w:p w14:paraId="2434EEA7">
            <w:pPr>
              <w:widowControl/>
              <w:numPr>
                <w:ilvl w:val="0"/>
                <w:numId w:val="3"/>
              </w:numPr>
              <w:autoSpaceDE w:val="0"/>
              <w:autoSpaceDN w:val="0"/>
              <w:ind w:left="210" w:leftChars="100"/>
              <w:jc w:val="left"/>
              <w:textAlignment w:val="center"/>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患者微信端对本次用药进行评价，打分、留言、上传图片。</w:t>
            </w:r>
          </w:p>
        </w:tc>
      </w:tr>
      <w:tr w14:paraId="593CC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36" w:type="dxa"/>
            <w:vAlign w:val="center"/>
          </w:tcPr>
          <w:p w14:paraId="6CBDBCFA">
            <w:pPr>
              <w:widowControl/>
              <w:autoSpaceDE w:val="0"/>
              <w:autoSpaceDN w:val="0"/>
              <w:jc w:val="center"/>
              <w:textAlignment w:val="center"/>
              <w:rPr>
                <w:rFonts w:ascii="Times New Roman" w:hAnsi="Times New Roman" w:eastAsia="宋体" w:cs="宋体"/>
                <w:kern w:val="0"/>
                <w:szCs w:val="21"/>
                <w:highlight w:val="none"/>
                <w:lang w:bidi="zh-CN"/>
              </w:rPr>
            </w:pPr>
            <w:r>
              <w:rPr>
                <w:rFonts w:hint="eastAsia" w:ascii="Times New Roman" w:hAnsi="Times New Roman" w:eastAsia="宋体" w:cs="宋体"/>
                <w:kern w:val="0"/>
                <w:szCs w:val="21"/>
                <w:highlight w:val="none"/>
                <w:lang w:bidi="zh-CN"/>
              </w:rPr>
              <w:t>个性化用药指导</w:t>
            </w:r>
          </w:p>
        </w:tc>
        <w:tc>
          <w:tcPr>
            <w:tcW w:w="6982" w:type="dxa"/>
            <w:vAlign w:val="center"/>
          </w:tcPr>
          <w:p w14:paraId="4D05B04D">
            <w:pPr>
              <w:widowControl/>
              <w:numPr>
                <w:ilvl w:val="0"/>
                <w:numId w:val="3"/>
              </w:numPr>
              <w:autoSpaceDE w:val="0"/>
              <w:autoSpaceDN w:val="0"/>
              <w:ind w:left="210" w:leftChars="100"/>
              <w:jc w:val="left"/>
              <w:textAlignment w:val="center"/>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支持药师对用药指导提出意见建议，生成个性化用药指导并推送至患者端。</w:t>
            </w:r>
          </w:p>
        </w:tc>
      </w:tr>
      <w:tr w14:paraId="4895D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36" w:type="dxa"/>
            <w:vAlign w:val="center"/>
          </w:tcPr>
          <w:p w14:paraId="45E8BD31">
            <w:pPr>
              <w:widowControl/>
              <w:autoSpaceDE w:val="0"/>
              <w:autoSpaceDN w:val="0"/>
              <w:jc w:val="center"/>
              <w:textAlignment w:val="center"/>
              <w:rPr>
                <w:rFonts w:ascii="Times New Roman" w:hAnsi="Times New Roman" w:eastAsia="宋体" w:cs="宋体"/>
                <w:kern w:val="0"/>
                <w:szCs w:val="21"/>
                <w:highlight w:val="none"/>
                <w:lang w:bidi="zh-CN"/>
              </w:rPr>
            </w:pPr>
            <w:r>
              <w:rPr>
                <w:rFonts w:hint="eastAsia" w:ascii="Times New Roman" w:hAnsi="Times New Roman" w:eastAsia="宋体" w:cs="宋体"/>
                <w:color w:val="000000"/>
                <w:kern w:val="0"/>
                <w:szCs w:val="21"/>
                <w:highlight w:val="none"/>
                <w:lang w:bidi="ar"/>
              </w:rPr>
              <w:t>统计报表</w:t>
            </w:r>
          </w:p>
        </w:tc>
        <w:tc>
          <w:tcPr>
            <w:tcW w:w="6982" w:type="dxa"/>
            <w:vAlign w:val="center"/>
          </w:tcPr>
          <w:p w14:paraId="1FD71114">
            <w:pPr>
              <w:widowControl/>
              <w:numPr>
                <w:ilvl w:val="0"/>
                <w:numId w:val="3"/>
              </w:numPr>
              <w:autoSpaceDE w:val="0"/>
              <w:autoSpaceDN w:val="0"/>
              <w:ind w:left="210" w:leftChars="100"/>
              <w:jc w:val="left"/>
              <w:textAlignment w:val="center"/>
              <w:rPr>
                <w:rFonts w:ascii="Times New Roman" w:hAnsi="Times New Roman" w:eastAsia="宋体" w:cs="宋体"/>
                <w:color w:val="000000"/>
                <w:kern w:val="0"/>
                <w:szCs w:val="21"/>
                <w:highlight w:val="none"/>
                <w:lang w:bidi="ar"/>
              </w:rPr>
            </w:pPr>
            <w:r>
              <w:rPr>
                <w:rFonts w:hint="eastAsia" w:ascii="Times New Roman" w:hAnsi="Times New Roman" w:eastAsia="宋体" w:cs="宋体"/>
                <w:color w:val="000000"/>
                <w:kern w:val="0"/>
                <w:szCs w:val="21"/>
                <w:highlight w:val="none"/>
                <w:lang w:bidi="ar"/>
              </w:rPr>
              <w:t>支持统计药师人工进行用药指导频次、药物及患者个性化需求分析。支持对患者评价结果统计。</w:t>
            </w:r>
          </w:p>
        </w:tc>
      </w:tr>
      <w:tr w14:paraId="20D34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36" w:type="dxa"/>
            <w:vAlign w:val="center"/>
          </w:tcPr>
          <w:p w14:paraId="1CA9B268">
            <w:pPr>
              <w:widowControl/>
              <w:autoSpaceDE w:val="0"/>
              <w:autoSpaceDN w:val="0"/>
              <w:jc w:val="center"/>
              <w:textAlignment w:val="center"/>
              <w:rPr>
                <w:rFonts w:ascii="Times New Roman" w:hAnsi="Times New Roman" w:eastAsia="宋体" w:cs="宋体"/>
                <w:kern w:val="0"/>
                <w:szCs w:val="21"/>
                <w:highlight w:val="none"/>
                <w:lang w:bidi="zh-CN"/>
              </w:rPr>
            </w:pPr>
            <w:r>
              <w:rPr>
                <w:rFonts w:hint="eastAsia" w:ascii="Times New Roman" w:hAnsi="Times New Roman" w:eastAsia="宋体" w:cs="宋体"/>
                <w:kern w:val="0"/>
                <w:szCs w:val="21"/>
                <w:highlight w:val="none"/>
                <w:lang w:bidi="zh-CN"/>
              </w:rPr>
              <w:t>数据维护</w:t>
            </w:r>
          </w:p>
        </w:tc>
        <w:tc>
          <w:tcPr>
            <w:tcW w:w="6982" w:type="dxa"/>
            <w:vAlign w:val="center"/>
          </w:tcPr>
          <w:p w14:paraId="5AFBAF0D">
            <w:pPr>
              <w:numPr>
                <w:ilvl w:val="0"/>
                <w:numId w:val="3"/>
              </w:numPr>
              <w:tabs>
                <w:tab w:val="left" w:pos="3278"/>
              </w:tabs>
              <w:autoSpaceDE w:val="0"/>
              <w:autoSpaceDN w:val="0"/>
              <w:ind w:left="210" w:leftChars="100"/>
              <w:jc w:val="left"/>
              <w:rPr>
                <w:rFonts w:ascii="Times New Roman" w:hAnsi="Times New Roman" w:eastAsia="宋体" w:cs="宋体"/>
                <w:kern w:val="0"/>
                <w:szCs w:val="21"/>
                <w:highlight w:val="none"/>
                <w:lang w:bidi="zh-CN"/>
              </w:rPr>
            </w:pPr>
            <w:r>
              <w:rPr>
                <w:rFonts w:hint="eastAsia" w:ascii="Times New Roman" w:hAnsi="Times New Roman" w:eastAsia="宋体" w:cs="宋体"/>
                <w:kern w:val="0"/>
                <w:szCs w:val="21"/>
                <w:highlight w:val="none"/>
                <w:lang w:bidi="zh-CN"/>
              </w:rPr>
              <w:t>支持用药指导各模块人工维护、优化等。</w:t>
            </w:r>
          </w:p>
        </w:tc>
      </w:tr>
      <w:tr w14:paraId="60273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336" w:type="dxa"/>
            <w:shd w:val="clear" w:color="auto" w:fill="auto"/>
            <w:vAlign w:val="center"/>
          </w:tcPr>
          <w:p w14:paraId="53CF036D">
            <w:pPr>
              <w:widowControl/>
              <w:autoSpaceDE w:val="0"/>
              <w:autoSpaceDN w:val="0"/>
              <w:jc w:val="center"/>
              <w:textAlignment w:val="center"/>
              <w:rPr>
                <w:rFonts w:ascii="Times New Roman" w:hAnsi="Times New Roman" w:eastAsia="宋体" w:cs="宋体"/>
                <w:color w:val="000000" w:themeColor="text1"/>
                <w:kern w:val="0"/>
                <w:szCs w:val="21"/>
                <w:highlight w:val="none"/>
                <w:lang w:bidi="zh-CN"/>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接口对接</w:t>
            </w:r>
          </w:p>
        </w:tc>
        <w:tc>
          <w:tcPr>
            <w:tcW w:w="6982" w:type="dxa"/>
            <w:shd w:val="clear" w:color="auto" w:fill="auto"/>
            <w:vAlign w:val="center"/>
          </w:tcPr>
          <w:p w14:paraId="7EA74DE4">
            <w:pPr>
              <w:numPr>
                <w:ilvl w:val="0"/>
                <w:numId w:val="3"/>
              </w:numPr>
              <w:tabs>
                <w:tab w:val="left" w:pos="3278"/>
              </w:tabs>
              <w:autoSpaceDE w:val="0"/>
              <w:autoSpaceDN w:val="0"/>
              <w:ind w:left="210" w:leftChars="100"/>
              <w:jc w:val="left"/>
              <w:rPr>
                <w:rFonts w:ascii="Times New Roman" w:hAnsi="Times New Roman" w:eastAsia="宋体" w:cs="宋体"/>
                <w:color w:val="000000" w:themeColor="text1"/>
                <w:kern w:val="0"/>
                <w:szCs w:val="21"/>
                <w:highlight w:val="none"/>
                <w:lang w:bidi="zh-CN"/>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提供标准API接口，支持与智慧中药房系统、医院微信公众号、小程序等对接。</w:t>
            </w:r>
          </w:p>
        </w:tc>
      </w:tr>
    </w:tbl>
    <w:p w14:paraId="2BA6D406">
      <w:pPr>
        <w:spacing w:line="360" w:lineRule="auto"/>
        <w:rPr>
          <w:rFonts w:ascii="宋体" w:hAnsi="宋体" w:eastAsia="宋体"/>
          <w:b/>
          <w:bCs/>
          <w:szCs w:val="21"/>
          <w:highlight w:val="none"/>
        </w:rPr>
      </w:pPr>
      <w:r>
        <w:rPr>
          <w:rFonts w:hint="eastAsia" w:ascii="宋体" w:hAnsi="宋体" w:eastAsia="宋体"/>
          <w:b/>
          <w:bCs/>
          <w:szCs w:val="21"/>
          <w:highlight w:val="none"/>
        </w:rPr>
        <w:t>4.中药库房管理</w:t>
      </w:r>
    </w:p>
    <w:tbl>
      <w:tblPr>
        <w:tblStyle w:val="17"/>
        <w:tblW w:w="83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3"/>
        <w:gridCol w:w="6990"/>
      </w:tblGrid>
      <w:tr w14:paraId="516A1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43" w:type="dxa"/>
          </w:tcPr>
          <w:p w14:paraId="187025CA">
            <w:pPr>
              <w:autoSpaceDE w:val="0"/>
              <w:autoSpaceDN w:val="0"/>
              <w:ind w:left="60"/>
              <w:jc w:val="center"/>
              <w:rPr>
                <w:rFonts w:ascii="宋体" w:hAnsi="宋体" w:eastAsia="宋体" w:cs="宋体"/>
                <w:kern w:val="0"/>
                <w:szCs w:val="21"/>
                <w:highlight w:val="none"/>
                <w:lang w:val="zh-CN" w:eastAsia="en-US" w:bidi="zh-CN"/>
              </w:rPr>
            </w:pPr>
            <w:r>
              <w:rPr>
                <w:rFonts w:hint="eastAsia" w:ascii="宋体" w:hAnsi="宋体" w:eastAsia="宋体" w:cs="宋体"/>
                <w:kern w:val="0"/>
                <w:szCs w:val="21"/>
                <w:highlight w:val="none"/>
                <w:lang w:val="zh-CN" w:eastAsia="en-US" w:bidi="zh-CN"/>
              </w:rPr>
              <w:t>功能模块</w:t>
            </w:r>
          </w:p>
        </w:tc>
        <w:tc>
          <w:tcPr>
            <w:tcW w:w="6990" w:type="dxa"/>
          </w:tcPr>
          <w:p w14:paraId="5988EFA5">
            <w:pPr>
              <w:autoSpaceDE w:val="0"/>
              <w:autoSpaceDN w:val="0"/>
              <w:jc w:val="center"/>
              <w:rPr>
                <w:rFonts w:ascii="宋体" w:hAnsi="宋体" w:eastAsia="宋体" w:cs="宋体"/>
                <w:kern w:val="0"/>
                <w:szCs w:val="21"/>
                <w:highlight w:val="none"/>
                <w:lang w:val="zh-CN" w:eastAsia="en-US" w:bidi="zh-CN"/>
              </w:rPr>
            </w:pPr>
            <w:r>
              <w:rPr>
                <w:rFonts w:hint="eastAsia" w:ascii="宋体" w:hAnsi="宋体" w:eastAsia="宋体" w:cs="宋体"/>
                <w:kern w:val="0"/>
                <w:szCs w:val="21"/>
                <w:highlight w:val="none"/>
                <w:lang w:eastAsia="en-US" w:bidi="zh-CN"/>
              </w:rPr>
              <w:t>参数</w:t>
            </w:r>
            <w:r>
              <w:rPr>
                <w:rFonts w:hint="eastAsia" w:ascii="宋体" w:hAnsi="宋体" w:eastAsia="宋体" w:cs="宋体"/>
                <w:kern w:val="0"/>
                <w:szCs w:val="21"/>
                <w:highlight w:val="none"/>
                <w:lang w:val="zh-CN" w:eastAsia="en-US" w:bidi="zh-CN"/>
              </w:rPr>
              <w:t>描述</w:t>
            </w:r>
          </w:p>
        </w:tc>
      </w:tr>
      <w:tr w14:paraId="3B02B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43" w:type="dxa"/>
            <w:vAlign w:val="center"/>
          </w:tcPr>
          <w:p w14:paraId="339D898B">
            <w:pPr>
              <w:jc w:val="center"/>
              <w:rPr>
                <w:rFonts w:ascii="宋体" w:hAnsi="宋体" w:eastAsia="宋体" w:cs="宋体"/>
                <w:kern w:val="0"/>
                <w:szCs w:val="21"/>
                <w:highlight w:val="none"/>
                <w:lang w:val="zh-CN" w:eastAsia="en-US" w:bidi="zh-CN"/>
              </w:rPr>
            </w:pPr>
            <w:r>
              <w:rPr>
                <w:rFonts w:hint="eastAsia" w:ascii="宋体" w:hAnsi="宋体" w:eastAsia="宋体" w:cs="宋体"/>
                <w:szCs w:val="21"/>
                <w:highlight w:val="none"/>
                <w:lang w:eastAsia="en-US"/>
              </w:rPr>
              <w:t>库存管理</w:t>
            </w:r>
          </w:p>
        </w:tc>
        <w:tc>
          <w:tcPr>
            <w:tcW w:w="6990" w:type="dxa"/>
            <w:vAlign w:val="center"/>
          </w:tcPr>
          <w:p w14:paraId="558AB9A7">
            <w:pPr>
              <w:pStyle w:val="18"/>
              <w:numPr>
                <w:ilvl w:val="0"/>
                <w:numId w:val="4"/>
              </w:numPr>
              <w:ind w:left="210" w:leftChars="100" w:firstLine="420"/>
              <w:jc w:val="left"/>
              <w:rPr>
                <w:rFonts w:ascii="宋体" w:hAnsi="宋体" w:eastAsia="宋体" w:cs="宋体"/>
                <w:highlight w:val="none"/>
              </w:rPr>
            </w:pPr>
            <w:r>
              <w:rPr>
                <w:rFonts w:hint="eastAsia" w:ascii="宋体" w:hAnsi="宋体" w:eastAsia="宋体" w:cs="宋体"/>
                <w:highlight w:val="none"/>
              </w:rPr>
              <w:t>支持扫描药品二维码验收入库；</w:t>
            </w:r>
          </w:p>
          <w:p w14:paraId="1F39189C">
            <w:pPr>
              <w:pStyle w:val="18"/>
              <w:numPr>
                <w:ilvl w:val="0"/>
                <w:numId w:val="4"/>
              </w:numPr>
              <w:ind w:left="210" w:leftChars="100" w:firstLine="420"/>
              <w:jc w:val="left"/>
              <w:rPr>
                <w:rFonts w:ascii="宋体" w:hAnsi="宋体" w:eastAsia="宋体" w:cs="宋体"/>
                <w:kern w:val="0"/>
                <w:highlight w:val="none"/>
                <w:lang w:val="zh-CN" w:bidi="zh-CN"/>
              </w:rPr>
            </w:pPr>
            <w:r>
              <w:rPr>
                <w:rFonts w:hint="eastAsia" w:ascii="宋体" w:hAnsi="宋体" w:eastAsia="宋体" w:cs="宋体"/>
                <w:highlight w:val="none"/>
              </w:rPr>
              <w:t>支持系统库存数据进行统计分析。</w:t>
            </w:r>
          </w:p>
        </w:tc>
      </w:tr>
      <w:tr w14:paraId="4BFBC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43" w:type="dxa"/>
            <w:vAlign w:val="center"/>
          </w:tcPr>
          <w:p w14:paraId="0FD08322">
            <w:pPr>
              <w:jc w:val="center"/>
              <w:rPr>
                <w:rFonts w:ascii="宋体" w:hAnsi="宋体" w:eastAsia="宋体" w:cs="宋体"/>
                <w:kern w:val="0"/>
                <w:szCs w:val="21"/>
                <w:highlight w:val="none"/>
                <w:lang w:val="zh-CN" w:eastAsia="en-US" w:bidi="zh-CN"/>
              </w:rPr>
            </w:pPr>
            <w:r>
              <w:rPr>
                <w:rFonts w:hint="eastAsia" w:ascii="宋体" w:hAnsi="宋体" w:eastAsia="宋体" w:cs="宋体"/>
                <w:szCs w:val="21"/>
                <w:highlight w:val="none"/>
                <w:lang w:eastAsia="en-US"/>
              </w:rPr>
              <w:t>到货管理</w:t>
            </w:r>
          </w:p>
        </w:tc>
        <w:tc>
          <w:tcPr>
            <w:tcW w:w="6990" w:type="dxa"/>
            <w:vAlign w:val="center"/>
          </w:tcPr>
          <w:p w14:paraId="716CD527">
            <w:pPr>
              <w:numPr>
                <w:ilvl w:val="0"/>
                <w:numId w:val="4"/>
              </w:numPr>
              <w:ind w:left="210" w:leftChars="100"/>
              <w:jc w:val="left"/>
              <w:rPr>
                <w:rFonts w:ascii="宋体" w:hAnsi="宋体" w:eastAsia="宋体" w:cs="宋体"/>
                <w:szCs w:val="21"/>
                <w:highlight w:val="none"/>
              </w:rPr>
            </w:pPr>
            <w:r>
              <w:rPr>
                <w:rFonts w:hint="eastAsia" w:ascii="宋体" w:hAnsi="宋体" w:eastAsia="宋体" w:cs="宋体"/>
                <w:szCs w:val="21"/>
                <w:highlight w:val="none"/>
              </w:rPr>
              <w:t>支持管理所有配送单，历史配送查询；</w:t>
            </w:r>
          </w:p>
          <w:p w14:paraId="216103BC">
            <w:pPr>
              <w:pStyle w:val="18"/>
              <w:numPr>
                <w:ilvl w:val="0"/>
                <w:numId w:val="4"/>
              </w:numPr>
              <w:ind w:left="210" w:leftChars="100" w:firstLine="420"/>
              <w:jc w:val="left"/>
              <w:rPr>
                <w:rFonts w:ascii="宋体" w:hAnsi="宋体" w:eastAsia="宋体" w:cs="宋体"/>
                <w:highlight w:val="none"/>
              </w:rPr>
            </w:pPr>
            <w:r>
              <w:rPr>
                <w:rFonts w:hint="eastAsia" w:ascii="宋体" w:hAnsi="宋体" w:eastAsia="宋体" w:cs="宋体"/>
                <w:highlight w:val="none"/>
              </w:rPr>
              <w:t>支持一般类和特殊类验收单格式打印；</w:t>
            </w:r>
          </w:p>
          <w:p w14:paraId="41868602">
            <w:pPr>
              <w:pStyle w:val="18"/>
              <w:numPr>
                <w:ilvl w:val="0"/>
                <w:numId w:val="4"/>
              </w:numPr>
              <w:ind w:left="210" w:leftChars="100" w:firstLine="420"/>
              <w:jc w:val="left"/>
              <w:rPr>
                <w:rFonts w:ascii="宋体" w:hAnsi="宋体" w:eastAsia="宋体" w:cs="宋体"/>
                <w:highlight w:val="none"/>
              </w:rPr>
            </w:pPr>
            <w:r>
              <w:rPr>
                <w:rFonts w:hint="eastAsia" w:ascii="宋体" w:hAnsi="宋体" w:eastAsia="宋体" w:cs="宋体"/>
                <w:highlight w:val="none"/>
              </w:rPr>
              <w:t>支持到货验收异常管理、抽检记录；</w:t>
            </w:r>
          </w:p>
          <w:p w14:paraId="18F5A68B">
            <w:pPr>
              <w:numPr>
                <w:ilvl w:val="0"/>
                <w:numId w:val="4"/>
              </w:numPr>
              <w:ind w:left="210" w:leftChars="100"/>
              <w:rPr>
                <w:rFonts w:ascii="宋体" w:hAnsi="宋体" w:eastAsia="宋体" w:cs="宋体"/>
                <w:kern w:val="0"/>
                <w:szCs w:val="21"/>
                <w:highlight w:val="none"/>
                <w:lang w:val="zh-CN" w:bidi="zh-CN"/>
              </w:rPr>
            </w:pPr>
            <w:r>
              <w:rPr>
                <w:rFonts w:hint="eastAsia" w:ascii="宋体" w:hAnsi="宋体" w:eastAsia="宋体" w:cs="宋体"/>
                <w:szCs w:val="21"/>
                <w:highlight w:val="none"/>
              </w:rPr>
              <w:t>支持自动根据配送验收实际数据生成入库单。</w:t>
            </w:r>
          </w:p>
        </w:tc>
      </w:tr>
      <w:tr w14:paraId="6CEF1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43" w:type="dxa"/>
            <w:vAlign w:val="center"/>
          </w:tcPr>
          <w:p w14:paraId="75984386">
            <w:pPr>
              <w:widowControl/>
              <w:jc w:val="center"/>
              <w:textAlignment w:val="center"/>
              <w:rPr>
                <w:rFonts w:ascii="宋体" w:hAnsi="宋体" w:eastAsia="宋体" w:cs="宋体"/>
                <w:kern w:val="0"/>
                <w:szCs w:val="21"/>
                <w:highlight w:val="none"/>
                <w:lang w:val="zh-CN" w:eastAsia="en-US" w:bidi="zh-CN"/>
              </w:rPr>
            </w:pPr>
            <w:r>
              <w:rPr>
                <w:rFonts w:hint="eastAsia" w:ascii="宋体" w:hAnsi="宋体" w:eastAsia="宋体" w:cs="宋体"/>
                <w:szCs w:val="21"/>
                <w:highlight w:val="none"/>
                <w:lang w:eastAsia="en-US"/>
              </w:rPr>
              <w:t>养护管理</w:t>
            </w:r>
          </w:p>
        </w:tc>
        <w:tc>
          <w:tcPr>
            <w:tcW w:w="6990" w:type="dxa"/>
            <w:vAlign w:val="center"/>
          </w:tcPr>
          <w:p w14:paraId="38E59B62">
            <w:pPr>
              <w:numPr>
                <w:ilvl w:val="0"/>
                <w:numId w:val="4"/>
              </w:numPr>
              <w:ind w:left="210" w:leftChars="100"/>
              <w:jc w:val="left"/>
              <w:rPr>
                <w:rFonts w:ascii="宋体" w:hAnsi="宋体" w:eastAsia="宋体" w:cs="宋体"/>
                <w:szCs w:val="21"/>
                <w:highlight w:val="none"/>
              </w:rPr>
            </w:pPr>
            <w:r>
              <w:rPr>
                <w:rFonts w:hint="eastAsia" w:ascii="宋体" w:hAnsi="宋体" w:eastAsia="宋体" w:cs="宋体"/>
                <w:szCs w:val="21"/>
                <w:highlight w:val="none"/>
              </w:rPr>
              <w:t>支持预先设置养护模板进行养护；</w:t>
            </w:r>
          </w:p>
          <w:p w14:paraId="06D84CF1">
            <w:pPr>
              <w:numPr>
                <w:ilvl w:val="0"/>
                <w:numId w:val="4"/>
              </w:numPr>
              <w:ind w:left="210" w:leftChars="100"/>
              <w:jc w:val="left"/>
              <w:rPr>
                <w:rFonts w:ascii="宋体" w:hAnsi="宋体" w:eastAsia="宋体" w:cs="宋体"/>
                <w:szCs w:val="21"/>
                <w:highlight w:val="none"/>
                <w:lang w:val="zh-CN"/>
              </w:rPr>
            </w:pPr>
            <w:r>
              <w:rPr>
                <w:rFonts w:hint="eastAsia" w:ascii="宋体" w:hAnsi="宋体" w:eastAsia="宋体" w:cs="宋体"/>
                <w:szCs w:val="21"/>
                <w:highlight w:val="none"/>
              </w:rPr>
              <w:t>支持一键生成养护计划，支持生成养护记录并能导出养护记录表；</w:t>
            </w:r>
          </w:p>
        </w:tc>
      </w:tr>
      <w:tr w14:paraId="0D32C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43" w:type="dxa"/>
            <w:vAlign w:val="center"/>
          </w:tcPr>
          <w:p w14:paraId="7133CF60">
            <w:pPr>
              <w:widowControl/>
              <w:jc w:val="center"/>
              <w:textAlignment w:val="center"/>
              <w:rPr>
                <w:rFonts w:ascii="宋体" w:hAnsi="宋体" w:eastAsia="宋体" w:cs="宋体"/>
                <w:kern w:val="0"/>
                <w:szCs w:val="21"/>
                <w:highlight w:val="none"/>
                <w:lang w:bidi="zh-CN"/>
              </w:rPr>
            </w:pPr>
            <w:r>
              <w:rPr>
                <w:rFonts w:hint="eastAsia" w:ascii="宋体" w:hAnsi="宋体" w:eastAsia="宋体" w:cs="宋体"/>
                <w:color w:val="000000"/>
                <w:kern w:val="0"/>
                <w:szCs w:val="21"/>
                <w:highlight w:val="none"/>
              </w:rPr>
              <w:t>供应商资质及效期管理</w:t>
            </w:r>
          </w:p>
        </w:tc>
        <w:tc>
          <w:tcPr>
            <w:tcW w:w="6990" w:type="dxa"/>
            <w:vAlign w:val="center"/>
          </w:tcPr>
          <w:p w14:paraId="7A625552">
            <w:pPr>
              <w:widowControl/>
              <w:numPr>
                <w:ilvl w:val="0"/>
                <w:numId w:val="4"/>
              </w:numPr>
              <w:autoSpaceDE w:val="0"/>
              <w:autoSpaceDN w:val="0"/>
              <w:ind w:left="210" w:leftChars="100"/>
              <w:textAlignment w:val="center"/>
              <w:rPr>
                <w:rFonts w:ascii="宋体" w:hAnsi="宋体" w:eastAsia="宋体" w:cs="宋体"/>
                <w:kern w:val="0"/>
                <w:szCs w:val="21"/>
                <w:highlight w:val="none"/>
              </w:rPr>
            </w:pPr>
            <w:r>
              <w:rPr>
                <w:rFonts w:hint="eastAsia" w:ascii="宋体" w:hAnsi="宋体" w:eastAsia="宋体" w:cs="宋体"/>
                <w:kern w:val="0"/>
                <w:szCs w:val="21"/>
                <w:highlight w:val="none"/>
              </w:rPr>
              <w:t>支持供应商资质管理，维护供应商资质，包括营业执照、药品生产/经营可证、GMP/GSP证书、中药饮片供应资质等；支持按资质分类管理，如：证照资质、经营范围资质等；</w:t>
            </w:r>
          </w:p>
          <w:p w14:paraId="5634D8B4">
            <w:pPr>
              <w:pStyle w:val="18"/>
              <w:numPr>
                <w:ilvl w:val="0"/>
                <w:numId w:val="4"/>
              </w:numPr>
              <w:ind w:left="210" w:leftChars="100" w:firstLine="420"/>
              <w:rPr>
                <w:rFonts w:ascii="宋体" w:hAnsi="宋体" w:eastAsia="宋体" w:cs="宋体"/>
                <w:kern w:val="0"/>
                <w:highlight w:val="none"/>
                <w:lang w:val="zh-CN" w:bidi="zh-CN"/>
              </w:rPr>
            </w:pPr>
            <w:r>
              <w:rPr>
                <w:rFonts w:hint="eastAsia" w:ascii="宋体" w:hAnsi="宋体" w:eastAsia="宋体" w:cs="宋体"/>
                <w:kern w:val="0"/>
                <w:highlight w:val="none"/>
              </w:rPr>
              <w:t>支持按资质维护有效期，建立资质效期提醒机制，定期检查供应商资质的有效期，提醒供应商及时更新。</w:t>
            </w:r>
          </w:p>
        </w:tc>
      </w:tr>
      <w:tr w14:paraId="2DC89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43" w:type="dxa"/>
            <w:vAlign w:val="center"/>
          </w:tcPr>
          <w:p w14:paraId="348E5EC4">
            <w:pPr>
              <w:widowControl/>
              <w:jc w:val="center"/>
              <w:textAlignment w:val="center"/>
              <w:rPr>
                <w:rFonts w:ascii="宋体" w:hAnsi="宋体" w:eastAsia="宋体" w:cs="宋体"/>
                <w:szCs w:val="21"/>
                <w:highlight w:val="none"/>
                <w:lang w:eastAsia="en-US"/>
              </w:rPr>
            </w:pPr>
            <w:r>
              <w:rPr>
                <w:rFonts w:hint="eastAsia" w:ascii="宋体" w:hAnsi="宋体" w:eastAsia="宋体" w:cs="宋体"/>
                <w:color w:val="000000"/>
                <w:kern w:val="0"/>
                <w:szCs w:val="21"/>
                <w:highlight w:val="none"/>
                <w:lang w:eastAsia="en-US"/>
              </w:rPr>
              <w:t>退换货管理</w:t>
            </w:r>
          </w:p>
        </w:tc>
        <w:tc>
          <w:tcPr>
            <w:tcW w:w="6990" w:type="dxa"/>
            <w:vAlign w:val="center"/>
          </w:tcPr>
          <w:p w14:paraId="1EF51FB4">
            <w:pPr>
              <w:widowControl/>
              <w:numPr>
                <w:ilvl w:val="0"/>
                <w:numId w:val="4"/>
              </w:numPr>
              <w:autoSpaceDE w:val="0"/>
              <w:autoSpaceDN w:val="0"/>
              <w:ind w:left="210" w:leftChars="100"/>
              <w:textAlignment w:val="center"/>
              <w:rPr>
                <w:rFonts w:ascii="宋体" w:hAnsi="宋体" w:eastAsia="宋体" w:cs="宋体"/>
                <w:kern w:val="0"/>
                <w:szCs w:val="21"/>
                <w:highlight w:val="none"/>
              </w:rPr>
            </w:pPr>
            <w:r>
              <w:rPr>
                <w:rFonts w:hint="eastAsia" w:ascii="宋体" w:hAnsi="宋体" w:eastAsia="宋体" w:cs="宋体"/>
                <w:kern w:val="0"/>
                <w:szCs w:val="21"/>
                <w:highlight w:val="none"/>
              </w:rPr>
              <w:t>支持退换货管理，支持汇总验收环节退货或换货记录；</w:t>
            </w:r>
          </w:p>
          <w:p w14:paraId="799345D9">
            <w:pPr>
              <w:widowControl/>
              <w:numPr>
                <w:ilvl w:val="0"/>
                <w:numId w:val="4"/>
              </w:numPr>
              <w:autoSpaceDE w:val="0"/>
              <w:autoSpaceDN w:val="0"/>
              <w:ind w:left="210" w:leftChars="100"/>
              <w:textAlignment w:val="center"/>
              <w:rPr>
                <w:rFonts w:ascii="宋体" w:hAnsi="宋体" w:eastAsia="宋体" w:cs="宋体"/>
                <w:kern w:val="0"/>
                <w:szCs w:val="21"/>
                <w:highlight w:val="none"/>
              </w:rPr>
            </w:pPr>
            <w:r>
              <w:rPr>
                <w:rFonts w:hint="eastAsia" w:ascii="宋体" w:hAnsi="宋体" w:eastAsia="宋体" w:cs="宋体"/>
                <w:kern w:val="0"/>
                <w:szCs w:val="21"/>
                <w:highlight w:val="none"/>
              </w:rPr>
              <w:t>验收环节，支持在手持终端记录问题药品退货情况，系统自动同步到退货管理；</w:t>
            </w:r>
          </w:p>
          <w:p w14:paraId="538B0052">
            <w:pPr>
              <w:widowControl/>
              <w:numPr>
                <w:ilvl w:val="0"/>
                <w:numId w:val="4"/>
              </w:numPr>
              <w:autoSpaceDE w:val="0"/>
              <w:autoSpaceDN w:val="0"/>
              <w:ind w:left="210" w:leftChars="100"/>
              <w:textAlignment w:val="center"/>
              <w:rPr>
                <w:rFonts w:ascii="宋体" w:hAnsi="宋体" w:eastAsia="宋体" w:cs="宋体"/>
                <w:kern w:val="0"/>
                <w:szCs w:val="21"/>
                <w:highlight w:val="none"/>
              </w:rPr>
            </w:pPr>
            <w:r>
              <w:rPr>
                <w:rFonts w:hint="eastAsia" w:ascii="宋体" w:hAnsi="宋体" w:eastAsia="宋体" w:cs="宋体"/>
                <w:kern w:val="0"/>
                <w:szCs w:val="21"/>
                <w:highlight w:val="none"/>
              </w:rPr>
              <w:t>支持根据验收实际情况，分析配送数据和退货数据，自动计算退换货率；</w:t>
            </w:r>
          </w:p>
          <w:p w14:paraId="12506059">
            <w:pPr>
              <w:pStyle w:val="18"/>
              <w:numPr>
                <w:ilvl w:val="0"/>
                <w:numId w:val="4"/>
              </w:numPr>
              <w:ind w:left="210" w:leftChars="100" w:firstLine="420"/>
              <w:rPr>
                <w:rFonts w:ascii="宋体" w:hAnsi="宋体" w:eastAsia="宋体" w:cs="宋体"/>
                <w:kern w:val="0"/>
                <w:highlight w:val="none"/>
              </w:rPr>
            </w:pPr>
            <w:r>
              <w:rPr>
                <w:rFonts w:hint="eastAsia" w:ascii="宋体" w:hAnsi="宋体" w:eastAsia="宋体" w:cs="宋体"/>
                <w:kern w:val="0"/>
                <w:highlight w:val="none"/>
              </w:rPr>
              <w:t>数据支持关联供应商评估；统计数据支持形成供应商退换货报表导出。</w:t>
            </w:r>
          </w:p>
        </w:tc>
      </w:tr>
      <w:tr w14:paraId="5B11E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43" w:type="dxa"/>
            <w:vAlign w:val="center"/>
          </w:tcPr>
          <w:p w14:paraId="76E520DF">
            <w:pPr>
              <w:widowControl/>
              <w:jc w:val="center"/>
              <w:textAlignment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中药饮片质量问题管理</w:t>
            </w:r>
          </w:p>
        </w:tc>
        <w:tc>
          <w:tcPr>
            <w:tcW w:w="6990" w:type="dxa"/>
            <w:vAlign w:val="center"/>
          </w:tcPr>
          <w:p w14:paraId="545AC951">
            <w:pPr>
              <w:widowControl/>
              <w:numPr>
                <w:ilvl w:val="0"/>
                <w:numId w:val="4"/>
              </w:numPr>
              <w:autoSpaceDE w:val="0"/>
              <w:autoSpaceDN w:val="0"/>
              <w:ind w:left="210" w:leftChars="100"/>
              <w:textAlignment w:val="center"/>
              <w:rPr>
                <w:rFonts w:ascii="宋体" w:hAnsi="宋体" w:eastAsia="宋体" w:cs="宋体"/>
                <w:kern w:val="0"/>
                <w:szCs w:val="21"/>
                <w:highlight w:val="none"/>
              </w:rPr>
            </w:pPr>
            <w:r>
              <w:rPr>
                <w:rFonts w:hint="eastAsia" w:ascii="宋体" w:hAnsi="宋体" w:eastAsia="宋体" w:cs="宋体"/>
                <w:kern w:val="0"/>
                <w:szCs w:val="21"/>
                <w:highlight w:val="none"/>
              </w:rPr>
              <w:t>持提供质量问题管理，支持查询所有质量问题记录；支持手动新增质量问题记录；</w:t>
            </w:r>
          </w:p>
          <w:p w14:paraId="462C9B04">
            <w:pPr>
              <w:widowControl/>
              <w:numPr>
                <w:ilvl w:val="0"/>
                <w:numId w:val="4"/>
              </w:numPr>
              <w:autoSpaceDE w:val="0"/>
              <w:autoSpaceDN w:val="0"/>
              <w:ind w:left="210" w:leftChars="100"/>
              <w:textAlignment w:val="center"/>
              <w:rPr>
                <w:rFonts w:ascii="宋体" w:hAnsi="宋体" w:eastAsia="宋体" w:cs="宋体"/>
                <w:kern w:val="0"/>
                <w:szCs w:val="21"/>
                <w:highlight w:val="none"/>
              </w:rPr>
            </w:pPr>
            <w:r>
              <w:rPr>
                <w:rFonts w:hint="eastAsia" w:ascii="宋体" w:hAnsi="宋体" w:eastAsia="宋体" w:cs="宋体"/>
                <w:kern w:val="0"/>
                <w:szCs w:val="21"/>
                <w:highlight w:val="none"/>
              </w:rPr>
              <w:t>支持提供手持终端质量问题记录功能，在药库出库、药库/药房盘点、药库/药房养护的环节发现中药饮片存在质量问题，可进入质量问题登记功能，实时记录质量问题并同步到质量问题管理模块；</w:t>
            </w:r>
          </w:p>
          <w:p w14:paraId="3FF74789">
            <w:pPr>
              <w:pStyle w:val="18"/>
              <w:numPr>
                <w:ilvl w:val="0"/>
                <w:numId w:val="4"/>
              </w:numPr>
              <w:ind w:left="210" w:leftChars="100" w:firstLine="420"/>
              <w:rPr>
                <w:rFonts w:ascii="宋体" w:hAnsi="宋体" w:eastAsia="宋体" w:cs="宋体"/>
                <w:kern w:val="0"/>
                <w:highlight w:val="none"/>
              </w:rPr>
            </w:pPr>
            <w:r>
              <w:rPr>
                <w:rFonts w:hint="eastAsia" w:ascii="宋体" w:hAnsi="宋体" w:eastAsia="宋体" w:cs="宋体"/>
                <w:kern w:val="0"/>
                <w:highlight w:val="none"/>
              </w:rPr>
              <w:t>支持按供应商汇总统计各类质量问题数据，并支持导出excel报表。</w:t>
            </w:r>
          </w:p>
        </w:tc>
      </w:tr>
      <w:tr w14:paraId="444D7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43" w:type="dxa"/>
            <w:vAlign w:val="center"/>
          </w:tcPr>
          <w:p w14:paraId="48EB8B65">
            <w:pPr>
              <w:widowControl/>
              <w:jc w:val="center"/>
              <w:textAlignment w:val="center"/>
              <w:rPr>
                <w:rFonts w:ascii="宋体" w:hAnsi="宋体" w:eastAsia="宋体" w:cs="宋体"/>
                <w:color w:val="000000"/>
                <w:kern w:val="0"/>
                <w:szCs w:val="21"/>
                <w:highlight w:val="none"/>
                <w:lang w:eastAsia="en-US"/>
              </w:rPr>
            </w:pPr>
            <w:r>
              <w:rPr>
                <w:rFonts w:hint="eastAsia" w:ascii="宋体" w:hAnsi="宋体" w:eastAsia="宋体" w:cs="宋体"/>
                <w:color w:val="000000"/>
                <w:kern w:val="0"/>
                <w:szCs w:val="21"/>
                <w:highlight w:val="none"/>
                <w:lang w:eastAsia="en-US"/>
              </w:rPr>
              <w:t>供应商评估管理</w:t>
            </w:r>
          </w:p>
        </w:tc>
        <w:tc>
          <w:tcPr>
            <w:tcW w:w="6990" w:type="dxa"/>
            <w:vAlign w:val="center"/>
          </w:tcPr>
          <w:p w14:paraId="697BEC4F">
            <w:pPr>
              <w:widowControl/>
              <w:numPr>
                <w:ilvl w:val="0"/>
                <w:numId w:val="4"/>
              </w:numPr>
              <w:autoSpaceDE w:val="0"/>
              <w:autoSpaceDN w:val="0"/>
              <w:ind w:left="210" w:leftChars="100"/>
              <w:textAlignment w:val="center"/>
              <w:rPr>
                <w:rFonts w:ascii="宋体" w:hAnsi="宋体" w:eastAsia="宋体" w:cs="宋体"/>
                <w:kern w:val="0"/>
                <w:szCs w:val="21"/>
                <w:highlight w:val="none"/>
              </w:rPr>
            </w:pPr>
            <w:r>
              <w:rPr>
                <w:rFonts w:hint="eastAsia" w:ascii="宋体" w:hAnsi="宋体" w:eastAsia="宋体" w:cs="宋体"/>
                <w:kern w:val="0"/>
                <w:szCs w:val="21"/>
                <w:highlight w:val="none"/>
              </w:rPr>
              <w:t>支持提供供应商资质定期评估考核功能，支持对供应商证照资质、经营范围、饮片质量、药品供应、服务质量等评估指标进行评估打分，形成供应商评估考核表；</w:t>
            </w:r>
          </w:p>
          <w:p w14:paraId="7B07BA7D">
            <w:pPr>
              <w:widowControl/>
              <w:numPr>
                <w:ilvl w:val="0"/>
                <w:numId w:val="4"/>
              </w:numPr>
              <w:autoSpaceDE w:val="0"/>
              <w:autoSpaceDN w:val="0"/>
              <w:ind w:left="210" w:leftChars="100"/>
              <w:textAlignment w:val="center"/>
              <w:rPr>
                <w:rFonts w:ascii="宋体" w:hAnsi="宋体" w:eastAsia="宋体" w:cs="宋体"/>
                <w:kern w:val="0"/>
                <w:szCs w:val="21"/>
                <w:highlight w:val="none"/>
              </w:rPr>
            </w:pPr>
            <w:r>
              <w:rPr>
                <w:rFonts w:hint="eastAsia" w:ascii="宋体" w:hAnsi="宋体" w:eastAsia="宋体" w:cs="宋体"/>
                <w:kern w:val="0"/>
                <w:szCs w:val="21"/>
                <w:highlight w:val="none"/>
              </w:rPr>
              <w:t>支持管理所有供应商评估考核表，支持查询、查看历史评估考核表详细信息；</w:t>
            </w:r>
          </w:p>
          <w:p w14:paraId="66860E58">
            <w:pPr>
              <w:widowControl/>
              <w:numPr>
                <w:ilvl w:val="0"/>
                <w:numId w:val="4"/>
              </w:numPr>
              <w:autoSpaceDE w:val="0"/>
              <w:autoSpaceDN w:val="0"/>
              <w:ind w:left="210" w:leftChars="100"/>
              <w:textAlignment w:val="center"/>
              <w:rPr>
                <w:rFonts w:ascii="宋体" w:hAnsi="宋体" w:eastAsia="宋体" w:cs="宋体"/>
                <w:kern w:val="0"/>
                <w:szCs w:val="21"/>
                <w:highlight w:val="none"/>
              </w:rPr>
            </w:pPr>
            <w:r>
              <w:rPr>
                <w:rFonts w:hint="eastAsia" w:ascii="宋体" w:hAnsi="宋体" w:eastAsia="宋体" w:cs="宋体"/>
                <w:kern w:val="0"/>
                <w:szCs w:val="21"/>
                <w:highlight w:val="none"/>
              </w:rPr>
              <w:t>支持对供应商评估项目、评估指标进行数据分析，形成评估项目和指标分类统计、供应商评估排行等可视化图形，为管理人员提供决策依据；</w:t>
            </w:r>
          </w:p>
        </w:tc>
      </w:tr>
      <w:tr w14:paraId="60885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43" w:type="dxa"/>
            <w:vAlign w:val="center"/>
          </w:tcPr>
          <w:p w14:paraId="3ECF9248">
            <w:pPr>
              <w:widowControl/>
              <w:jc w:val="center"/>
              <w:textAlignment w:val="center"/>
              <w:rPr>
                <w:rFonts w:ascii="宋体" w:hAnsi="宋体" w:eastAsia="宋体" w:cs="宋体"/>
                <w:color w:val="000000"/>
                <w:kern w:val="0"/>
                <w:szCs w:val="21"/>
                <w:highlight w:val="none"/>
                <w:lang w:eastAsia="en-US"/>
              </w:rPr>
            </w:pPr>
            <w:r>
              <w:rPr>
                <w:rFonts w:hint="eastAsia" w:ascii="宋体" w:hAnsi="宋体" w:eastAsia="宋体" w:cs="宋体"/>
                <w:color w:val="000000"/>
                <w:kern w:val="0"/>
                <w:szCs w:val="21"/>
                <w:highlight w:val="none"/>
                <w:lang w:eastAsia="en-US"/>
              </w:rPr>
              <w:t>中药饮片保质管理</w:t>
            </w:r>
          </w:p>
        </w:tc>
        <w:tc>
          <w:tcPr>
            <w:tcW w:w="6990" w:type="dxa"/>
            <w:vAlign w:val="center"/>
          </w:tcPr>
          <w:p w14:paraId="2949EA49">
            <w:pPr>
              <w:widowControl/>
              <w:numPr>
                <w:ilvl w:val="0"/>
                <w:numId w:val="4"/>
              </w:numPr>
              <w:autoSpaceDE w:val="0"/>
              <w:autoSpaceDN w:val="0"/>
              <w:ind w:left="210" w:leftChars="100"/>
              <w:textAlignment w:val="center"/>
              <w:rPr>
                <w:rFonts w:ascii="宋体" w:hAnsi="宋体" w:eastAsia="宋体" w:cs="宋体"/>
                <w:kern w:val="0"/>
                <w:szCs w:val="21"/>
                <w:highlight w:val="none"/>
              </w:rPr>
            </w:pPr>
            <w:r>
              <w:rPr>
                <w:rFonts w:hint="eastAsia" w:ascii="宋体" w:hAnsi="宋体" w:eastAsia="宋体" w:cs="宋体"/>
                <w:kern w:val="0"/>
                <w:szCs w:val="21"/>
                <w:highlight w:val="none"/>
              </w:rPr>
              <w:t>支持库存批号查询时支持按在库饮片批号的饮片保质期，具备近效期提醒功能并可一键导出。</w:t>
            </w:r>
          </w:p>
        </w:tc>
      </w:tr>
      <w:tr w14:paraId="2652A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43" w:type="dxa"/>
            <w:vAlign w:val="center"/>
          </w:tcPr>
          <w:p w14:paraId="4B765BA4">
            <w:pPr>
              <w:widowControl/>
              <w:jc w:val="center"/>
              <w:textAlignment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中药饮片验收标准管理</w:t>
            </w:r>
          </w:p>
        </w:tc>
        <w:tc>
          <w:tcPr>
            <w:tcW w:w="6990" w:type="dxa"/>
            <w:vAlign w:val="center"/>
          </w:tcPr>
          <w:p w14:paraId="0CD7467C">
            <w:pPr>
              <w:widowControl/>
              <w:numPr>
                <w:ilvl w:val="0"/>
                <w:numId w:val="4"/>
              </w:numPr>
              <w:autoSpaceDE w:val="0"/>
              <w:autoSpaceDN w:val="0"/>
              <w:ind w:left="210" w:leftChars="100"/>
              <w:textAlignment w:val="center"/>
              <w:rPr>
                <w:rFonts w:ascii="宋体" w:hAnsi="宋体" w:eastAsia="宋体" w:cs="宋体"/>
                <w:kern w:val="0"/>
                <w:szCs w:val="21"/>
                <w:highlight w:val="none"/>
              </w:rPr>
            </w:pPr>
            <w:r>
              <w:rPr>
                <w:rFonts w:hint="eastAsia" w:ascii="宋体" w:hAnsi="宋体" w:eastAsia="宋体" w:cs="宋体"/>
                <w:kern w:val="0"/>
                <w:szCs w:val="21"/>
                <w:highlight w:val="none"/>
              </w:rPr>
              <w:t>支持提供验收标准管理，支持维护中药饮片验收标准，内容包括编码、饮片等级、验收标准等，标准可供验收环节参考；</w:t>
            </w:r>
          </w:p>
          <w:p w14:paraId="1E1A5CAA">
            <w:pPr>
              <w:pStyle w:val="18"/>
              <w:numPr>
                <w:ilvl w:val="0"/>
                <w:numId w:val="4"/>
              </w:numPr>
              <w:ind w:left="210" w:leftChars="100" w:firstLine="420"/>
              <w:rPr>
                <w:rFonts w:ascii="宋体" w:hAnsi="宋体" w:eastAsia="宋体" w:cs="宋体"/>
                <w:kern w:val="0"/>
                <w:highlight w:val="none"/>
              </w:rPr>
            </w:pPr>
            <w:r>
              <w:rPr>
                <w:rFonts w:hint="eastAsia" w:ascii="宋体" w:hAnsi="宋体" w:eastAsia="宋体" w:cs="宋体"/>
                <w:kern w:val="0"/>
                <w:highlight w:val="none"/>
              </w:rPr>
              <w:t>验收环节，支持验收人员使用手持终端扫码验收时，系统自动关联饮片验收标准，支持查看验收标准内容、饮片图片，提升饮片验收规范性。</w:t>
            </w:r>
          </w:p>
        </w:tc>
      </w:tr>
      <w:tr w14:paraId="5A721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43" w:type="dxa"/>
            <w:vAlign w:val="center"/>
          </w:tcPr>
          <w:p w14:paraId="10B9F486">
            <w:pPr>
              <w:widowControl/>
              <w:jc w:val="center"/>
              <w:textAlignment w:val="center"/>
              <w:rPr>
                <w:rFonts w:ascii="宋体" w:hAnsi="宋体" w:eastAsia="宋体" w:cs="宋体"/>
                <w:kern w:val="0"/>
                <w:szCs w:val="21"/>
                <w:highlight w:val="none"/>
                <w:lang w:eastAsia="en-US" w:bidi="zh-CN"/>
              </w:rPr>
            </w:pPr>
            <w:r>
              <w:rPr>
                <w:rFonts w:hint="eastAsia" w:ascii="宋体" w:hAnsi="宋体" w:eastAsia="宋体" w:cs="宋体"/>
                <w:szCs w:val="21"/>
                <w:highlight w:val="none"/>
                <w:lang w:eastAsia="en-US"/>
              </w:rPr>
              <w:t>手持移动端应用</w:t>
            </w:r>
          </w:p>
        </w:tc>
        <w:tc>
          <w:tcPr>
            <w:tcW w:w="6990" w:type="dxa"/>
            <w:vAlign w:val="center"/>
          </w:tcPr>
          <w:p w14:paraId="4AB1E3A1">
            <w:pPr>
              <w:numPr>
                <w:ilvl w:val="0"/>
                <w:numId w:val="4"/>
              </w:numPr>
              <w:ind w:left="210" w:leftChars="100"/>
              <w:jc w:val="left"/>
              <w:rPr>
                <w:rFonts w:ascii="宋体" w:hAnsi="宋体" w:eastAsia="宋体" w:cs="宋体"/>
                <w:szCs w:val="21"/>
                <w:highlight w:val="none"/>
              </w:rPr>
            </w:pPr>
            <w:r>
              <w:rPr>
                <w:rFonts w:hint="eastAsia" w:ascii="宋体" w:hAnsi="宋体" w:eastAsia="宋体" w:cs="宋体"/>
                <w:szCs w:val="21"/>
                <w:highlight w:val="none"/>
              </w:rPr>
              <w:t>支持验收入库扫描、验收抽检；</w:t>
            </w:r>
          </w:p>
          <w:p w14:paraId="64409EF2">
            <w:pPr>
              <w:numPr>
                <w:ilvl w:val="0"/>
                <w:numId w:val="4"/>
              </w:numPr>
              <w:ind w:left="210" w:leftChars="100"/>
              <w:jc w:val="left"/>
              <w:rPr>
                <w:rFonts w:ascii="宋体" w:hAnsi="宋体" w:eastAsia="宋体" w:cs="宋体"/>
                <w:szCs w:val="21"/>
                <w:highlight w:val="none"/>
              </w:rPr>
            </w:pPr>
            <w:r>
              <w:rPr>
                <w:rFonts w:hint="eastAsia" w:ascii="宋体" w:hAnsi="宋体" w:eastAsia="宋体" w:cs="宋体"/>
                <w:szCs w:val="21"/>
                <w:highlight w:val="none"/>
              </w:rPr>
              <w:t>支持验收扫描完成后，保存生成验收单；</w:t>
            </w:r>
          </w:p>
          <w:p w14:paraId="37465F7B">
            <w:pPr>
              <w:numPr>
                <w:ilvl w:val="0"/>
                <w:numId w:val="4"/>
              </w:numPr>
              <w:ind w:left="210" w:leftChars="100"/>
              <w:jc w:val="left"/>
              <w:rPr>
                <w:rFonts w:ascii="宋体" w:hAnsi="宋体" w:eastAsia="宋体" w:cs="宋体"/>
                <w:szCs w:val="21"/>
                <w:highlight w:val="none"/>
              </w:rPr>
            </w:pPr>
            <w:r>
              <w:rPr>
                <w:rFonts w:hint="eastAsia" w:ascii="宋体" w:hAnsi="宋体" w:eastAsia="宋体" w:cs="宋体"/>
                <w:szCs w:val="21"/>
                <w:highlight w:val="none"/>
              </w:rPr>
              <w:t>支持记录验收异常药品信息，如少量、缺药；</w:t>
            </w:r>
          </w:p>
          <w:p w14:paraId="49FC2F35">
            <w:pPr>
              <w:numPr>
                <w:ilvl w:val="0"/>
                <w:numId w:val="4"/>
              </w:numPr>
              <w:ind w:left="210" w:leftChars="100"/>
              <w:jc w:val="left"/>
              <w:rPr>
                <w:rFonts w:ascii="宋体" w:hAnsi="宋体" w:eastAsia="宋体" w:cs="宋体"/>
                <w:szCs w:val="21"/>
                <w:highlight w:val="none"/>
              </w:rPr>
            </w:pPr>
            <w:r>
              <w:rPr>
                <w:rFonts w:hint="eastAsia" w:ascii="宋体" w:hAnsi="宋体" w:eastAsia="宋体" w:cs="宋体"/>
                <w:szCs w:val="21"/>
                <w:highlight w:val="none"/>
              </w:rPr>
              <w:t>支持药品验收过程中，支持记录抽检信息；</w:t>
            </w:r>
          </w:p>
          <w:p w14:paraId="33CC7B6E">
            <w:pPr>
              <w:numPr>
                <w:ilvl w:val="0"/>
                <w:numId w:val="4"/>
              </w:numPr>
              <w:ind w:left="210" w:leftChars="100"/>
              <w:jc w:val="left"/>
              <w:rPr>
                <w:rFonts w:ascii="宋体" w:hAnsi="宋体" w:eastAsia="宋体" w:cs="宋体"/>
                <w:szCs w:val="21"/>
                <w:highlight w:val="none"/>
              </w:rPr>
            </w:pPr>
            <w:r>
              <w:rPr>
                <w:rFonts w:hint="eastAsia" w:ascii="宋体" w:hAnsi="宋体" w:eastAsia="宋体" w:cs="宋体"/>
                <w:szCs w:val="21"/>
                <w:highlight w:val="none"/>
              </w:rPr>
              <w:t>支持仓库出库时，扫描药品码记录出库量和批号信息；</w:t>
            </w:r>
          </w:p>
          <w:p w14:paraId="5F71464C">
            <w:pPr>
              <w:numPr>
                <w:ilvl w:val="0"/>
                <w:numId w:val="4"/>
              </w:numPr>
              <w:ind w:left="210" w:leftChars="100"/>
              <w:jc w:val="left"/>
              <w:rPr>
                <w:rFonts w:ascii="宋体" w:hAnsi="宋体" w:eastAsia="宋体" w:cs="宋体"/>
                <w:kern w:val="0"/>
                <w:szCs w:val="21"/>
                <w:highlight w:val="none"/>
                <w:lang w:val="zh-CN" w:bidi="zh-CN"/>
              </w:rPr>
            </w:pPr>
            <w:r>
              <w:rPr>
                <w:rFonts w:hint="eastAsia" w:ascii="宋体" w:hAnsi="宋体" w:eastAsia="宋体" w:cs="宋体"/>
                <w:szCs w:val="21"/>
                <w:highlight w:val="none"/>
              </w:rPr>
              <w:t>支持使用手持填写问题药品质量记录；</w:t>
            </w:r>
          </w:p>
        </w:tc>
      </w:tr>
      <w:tr w14:paraId="6DD96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43" w:type="dxa"/>
            <w:vAlign w:val="center"/>
          </w:tcPr>
          <w:p w14:paraId="1CB81B6B">
            <w:pPr>
              <w:widowControl/>
              <w:jc w:val="center"/>
              <w:textAlignment w:val="center"/>
              <w:rPr>
                <w:rFonts w:ascii="宋体" w:hAnsi="宋体" w:eastAsia="宋体" w:cs="宋体"/>
                <w:kern w:val="0"/>
                <w:szCs w:val="21"/>
                <w:highlight w:val="none"/>
                <w:lang w:eastAsia="en-US" w:bidi="zh-CN"/>
              </w:rPr>
            </w:pPr>
            <w:r>
              <w:rPr>
                <w:rFonts w:hint="eastAsia" w:ascii="宋体" w:hAnsi="宋体" w:eastAsia="宋体" w:cs="宋体"/>
                <w:szCs w:val="21"/>
                <w:highlight w:val="none"/>
                <w:lang w:eastAsia="en-US"/>
              </w:rPr>
              <w:t>盘点管理</w:t>
            </w:r>
          </w:p>
        </w:tc>
        <w:tc>
          <w:tcPr>
            <w:tcW w:w="6990" w:type="dxa"/>
            <w:vAlign w:val="center"/>
          </w:tcPr>
          <w:p w14:paraId="1B04E2A4">
            <w:pPr>
              <w:widowControl/>
              <w:numPr>
                <w:ilvl w:val="0"/>
                <w:numId w:val="4"/>
              </w:numPr>
              <w:autoSpaceDE w:val="0"/>
              <w:autoSpaceDN w:val="0"/>
              <w:ind w:left="210" w:leftChars="100"/>
              <w:jc w:val="left"/>
              <w:textAlignment w:val="center"/>
              <w:rPr>
                <w:rFonts w:ascii="宋体" w:hAnsi="宋体" w:eastAsia="宋体" w:cs="宋体"/>
                <w:kern w:val="0"/>
                <w:szCs w:val="21"/>
                <w:highlight w:val="none"/>
                <w:lang w:val="zh-CN" w:bidi="zh-CN"/>
              </w:rPr>
            </w:pPr>
            <w:r>
              <w:rPr>
                <w:rFonts w:hint="eastAsia" w:ascii="宋体" w:hAnsi="宋体" w:eastAsia="宋体" w:cs="宋体"/>
                <w:kern w:val="0"/>
                <w:szCs w:val="21"/>
                <w:highlight w:val="none"/>
              </w:rPr>
              <w:t>支持操作人员在手持上调整实际库存量，盘点完成后在电脑端生成盘点记录。</w:t>
            </w:r>
          </w:p>
        </w:tc>
      </w:tr>
      <w:tr w14:paraId="55B11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43" w:type="dxa"/>
            <w:shd w:val="clear" w:color="auto" w:fill="auto"/>
            <w:vAlign w:val="center"/>
          </w:tcPr>
          <w:p w14:paraId="1074383B">
            <w:pPr>
              <w:widowControl/>
              <w:jc w:val="center"/>
              <w:textAlignment w:val="center"/>
              <w:rPr>
                <w:rFonts w:ascii="宋体" w:hAnsi="宋体" w:eastAsia="宋体" w:cs="宋体"/>
                <w:color w:val="FF0000"/>
                <w:szCs w:val="21"/>
                <w:highlight w:val="none"/>
                <w:lang w:eastAsia="en-US"/>
              </w:rPr>
            </w:pPr>
            <w:r>
              <w:rPr>
                <w:rFonts w:hint="eastAsia" w:ascii="宋体" w:hAnsi="宋体" w:eastAsia="宋体" w:cs="宋体"/>
                <w:szCs w:val="21"/>
                <w:highlight w:val="none"/>
                <w:lang w:eastAsia="en-US"/>
              </w:rPr>
              <w:t>医院HIS接口</w:t>
            </w:r>
          </w:p>
        </w:tc>
        <w:tc>
          <w:tcPr>
            <w:tcW w:w="6990" w:type="dxa"/>
            <w:shd w:val="clear" w:color="auto" w:fill="auto"/>
            <w:vAlign w:val="center"/>
          </w:tcPr>
          <w:p w14:paraId="01E8D80F">
            <w:pPr>
              <w:widowControl/>
              <w:numPr>
                <w:ilvl w:val="0"/>
                <w:numId w:val="4"/>
              </w:numPr>
              <w:autoSpaceDE w:val="0"/>
              <w:autoSpaceDN w:val="0"/>
              <w:ind w:left="210" w:leftChars="100"/>
              <w:jc w:val="left"/>
              <w:textAlignment w:val="center"/>
              <w:rPr>
                <w:rFonts w:ascii="宋体" w:hAnsi="宋体" w:eastAsia="宋体" w:cs="宋体"/>
                <w:kern w:val="0"/>
                <w:szCs w:val="21"/>
                <w:highlight w:val="none"/>
              </w:rPr>
            </w:pPr>
            <w:r>
              <w:rPr>
                <w:rFonts w:hint="eastAsia" w:ascii="宋体" w:hAnsi="宋体" w:eastAsia="宋体" w:cs="宋体"/>
                <w:kern w:val="0"/>
                <w:szCs w:val="21"/>
                <w:highlight w:val="none"/>
              </w:rPr>
              <w:t>支持实际验收入库数据对接HIS系统，HIS系统自动生成入库单；</w:t>
            </w:r>
          </w:p>
          <w:p w14:paraId="78E9DB9B">
            <w:pPr>
              <w:numPr>
                <w:ilvl w:val="0"/>
                <w:numId w:val="4"/>
              </w:numPr>
              <w:ind w:left="210" w:leftChars="100"/>
              <w:jc w:val="left"/>
              <w:rPr>
                <w:rFonts w:ascii="宋体" w:hAnsi="宋体" w:eastAsia="宋体" w:cs="宋体"/>
                <w:kern w:val="0"/>
                <w:szCs w:val="21"/>
                <w:highlight w:val="none"/>
              </w:rPr>
            </w:pPr>
            <w:r>
              <w:rPr>
                <w:rFonts w:hint="eastAsia" w:ascii="宋体" w:hAnsi="宋体" w:eastAsia="宋体" w:cs="宋体"/>
                <w:kern w:val="0"/>
                <w:szCs w:val="21"/>
                <w:highlight w:val="none"/>
              </w:rPr>
              <w:t>支持出库数据对接HIS系统，HIS系统自动生成出库单。</w:t>
            </w:r>
          </w:p>
        </w:tc>
      </w:tr>
    </w:tbl>
    <w:p w14:paraId="42AADDE4">
      <w:pPr>
        <w:spacing w:line="360" w:lineRule="auto"/>
        <w:rPr>
          <w:rFonts w:ascii="宋体" w:hAnsi="宋体" w:eastAsia="宋体"/>
          <w:b/>
          <w:bCs/>
          <w:szCs w:val="21"/>
          <w:highlight w:val="none"/>
        </w:rPr>
      </w:pPr>
      <w:r>
        <w:rPr>
          <w:rFonts w:hint="eastAsia" w:ascii="宋体" w:hAnsi="宋体" w:eastAsia="宋体"/>
          <w:b/>
          <w:bCs/>
          <w:szCs w:val="21"/>
          <w:highlight w:val="none"/>
        </w:rPr>
        <w:t>5.高质量数据集管理系统</w:t>
      </w:r>
    </w:p>
    <w:p w14:paraId="078847C4">
      <w:pPr>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 xml:space="preserve">5.1 </w:t>
      </w:r>
      <w:r>
        <w:rPr>
          <w:rFonts w:hint="eastAsia" w:ascii="宋体" w:hAnsi="宋体" w:eastAsia="宋体" w:cs="宋体"/>
          <w:highlight w:val="none"/>
        </w:rPr>
        <w:t>★以场景为驱动，以中药药事全流程服务为主线，开展高质量数据集的建设，满足建设要求。</w:t>
      </w:r>
      <w:r>
        <w:rPr>
          <w:rFonts w:hint="eastAsia" w:ascii="宋体" w:hAnsi="宋体" w:eastAsia="宋体" w:cs="宋体"/>
          <w:szCs w:val="21"/>
          <w:highlight w:val="none"/>
        </w:rPr>
        <w:t>支持依托本院的处方数据，抽取一定量的样本，涵盖不同科室（如内科、骨科、康复科等）、不同病种、不同剂型要求及不同煎煮工艺，形成具有院内代表性的高质量、规模化处方数据集。供应商要配合医院完成智慧中药房建设系统项目验收工作</w:t>
      </w:r>
      <w:r>
        <w:rPr>
          <w:rFonts w:hint="eastAsia" w:ascii="宋体" w:hAnsi="宋体" w:eastAsia="宋体" w:cs="宋体"/>
          <w:b/>
          <w:bCs/>
          <w:szCs w:val="21"/>
          <w:highlight w:val="none"/>
        </w:rPr>
        <w:t>（投标文件提供承诺函）</w:t>
      </w:r>
      <w:r>
        <w:rPr>
          <w:rFonts w:hint="eastAsia" w:ascii="宋体" w:hAnsi="宋体" w:eastAsia="宋体" w:cs="宋体"/>
          <w:szCs w:val="21"/>
          <w:highlight w:val="none"/>
        </w:rPr>
        <w:t>。</w:t>
      </w:r>
    </w:p>
    <w:p w14:paraId="731A5F8D">
      <w:pPr>
        <w:spacing w:before="312" w:beforeLines="100" w:line="360" w:lineRule="auto"/>
        <w:jc w:val="center"/>
        <w:rPr>
          <w:rFonts w:ascii="仿宋" w:hAnsi="仿宋" w:eastAsia="仿宋" w:cs="仿宋"/>
          <w:b/>
          <w:bCs/>
          <w:kern w:val="44"/>
          <w:sz w:val="24"/>
          <w:highlight w:val="none"/>
        </w:rPr>
      </w:pPr>
      <w:r>
        <w:rPr>
          <w:rFonts w:hint="eastAsia" w:ascii="仿宋" w:hAnsi="仿宋" w:eastAsia="仿宋" w:cs="仿宋"/>
          <w:b/>
          <w:bCs/>
          <w:kern w:val="44"/>
          <w:sz w:val="24"/>
          <w:highlight w:val="none"/>
        </w:rPr>
        <w:t>产品2智慧中药房合理用药系统</w:t>
      </w:r>
    </w:p>
    <w:tbl>
      <w:tblPr>
        <w:tblStyle w:val="7"/>
        <w:tblW w:w="8374" w:type="dxa"/>
        <w:jc w:val="center"/>
        <w:tblLayout w:type="fixed"/>
        <w:tblCellMar>
          <w:top w:w="0" w:type="dxa"/>
          <w:left w:w="108" w:type="dxa"/>
          <w:bottom w:w="0" w:type="dxa"/>
          <w:right w:w="108" w:type="dxa"/>
        </w:tblCellMar>
      </w:tblPr>
      <w:tblGrid>
        <w:gridCol w:w="1377"/>
        <w:gridCol w:w="6997"/>
      </w:tblGrid>
      <w:tr w14:paraId="40A27B28">
        <w:tblPrEx>
          <w:tblCellMar>
            <w:top w:w="0" w:type="dxa"/>
            <w:left w:w="108" w:type="dxa"/>
            <w:bottom w:w="0" w:type="dxa"/>
            <w:right w:w="108" w:type="dxa"/>
          </w:tblCellMar>
        </w:tblPrEx>
        <w:trPr>
          <w:tblHeader/>
          <w:jc w:val="center"/>
        </w:trPr>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C89B">
            <w:pPr>
              <w:widowControl/>
              <w:jc w:val="center"/>
              <w:textAlignment w:val="center"/>
              <w:rPr>
                <w:rFonts w:ascii="宋体" w:hAnsi="宋体" w:eastAsia="宋体" w:cs="宋体"/>
                <w:b/>
                <w:bCs/>
                <w:color w:val="000000"/>
                <w:szCs w:val="21"/>
                <w:highlight w:val="none"/>
              </w:rPr>
            </w:pPr>
            <w:r>
              <w:rPr>
                <w:rFonts w:hint="eastAsia" w:ascii="宋体" w:hAnsi="宋体" w:eastAsia="宋体" w:cs="宋体"/>
                <w:b/>
                <w:bCs/>
                <w:color w:val="000000"/>
                <w:kern w:val="0"/>
                <w:szCs w:val="21"/>
                <w:highlight w:val="none"/>
                <w:lang w:bidi="ar"/>
              </w:rPr>
              <w:t>功能模块</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475B">
            <w:pPr>
              <w:widowControl/>
              <w:jc w:val="left"/>
              <w:textAlignment w:val="center"/>
              <w:rPr>
                <w:rFonts w:ascii="宋体" w:hAnsi="宋体" w:eastAsia="宋体" w:cs="宋体"/>
                <w:b/>
                <w:bCs/>
                <w:color w:val="000000"/>
                <w:szCs w:val="21"/>
                <w:highlight w:val="none"/>
              </w:rPr>
            </w:pPr>
            <w:r>
              <w:rPr>
                <w:rFonts w:hint="eastAsia" w:ascii="宋体" w:hAnsi="宋体" w:eastAsia="宋体" w:cs="宋体"/>
                <w:b/>
                <w:bCs/>
                <w:color w:val="000000"/>
                <w:szCs w:val="21"/>
                <w:highlight w:val="none"/>
              </w:rPr>
              <w:t>参数描述</w:t>
            </w:r>
          </w:p>
        </w:tc>
      </w:tr>
      <w:tr w14:paraId="297371DA">
        <w:tblPrEx>
          <w:tblCellMar>
            <w:top w:w="0" w:type="dxa"/>
            <w:left w:w="108" w:type="dxa"/>
            <w:bottom w:w="0" w:type="dxa"/>
            <w:right w:w="108" w:type="dxa"/>
          </w:tblCellMar>
        </w:tblPrEx>
        <w:trPr>
          <w:jc w:val="center"/>
        </w:trPr>
        <w:tc>
          <w:tcPr>
            <w:tcW w:w="13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CF9D7">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患者筛选器</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DBC7">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提供条件多样的筛选器快速定位患者，具体条件包括患者id、住院号、姓名、科室、性别、年龄区间、在院/出院状态、入院时间/出院时间区间、诊断等。</w:t>
            </w:r>
          </w:p>
        </w:tc>
      </w:tr>
      <w:tr w14:paraId="3771C2FE">
        <w:tblPrEx>
          <w:tblCellMar>
            <w:top w:w="0" w:type="dxa"/>
            <w:left w:w="108" w:type="dxa"/>
            <w:bottom w:w="0" w:type="dxa"/>
            <w:right w:w="108" w:type="dxa"/>
          </w:tblCellMar>
        </w:tblPrEx>
        <w:trPr>
          <w:jc w:val="center"/>
        </w:trPr>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F1981">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391F7">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 xml:space="preserve">院患者列表信息展示功能：可根据用户权限配置的科室或病区、患者姓名、床号、住院号等条件进行快速筛选。 </w:t>
            </w:r>
          </w:p>
        </w:tc>
      </w:tr>
      <w:tr w14:paraId="62D6F4FB">
        <w:tblPrEx>
          <w:tblCellMar>
            <w:top w:w="0" w:type="dxa"/>
            <w:left w:w="108" w:type="dxa"/>
            <w:bottom w:w="0" w:type="dxa"/>
            <w:right w:w="108" w:type="dxa"/>
          </w:tblCellMar>
        </w:tblPrEx>
        <w:trPr>
          <w:jc w:val="center"/>
        </w:trPr>
        <w:tc>
          <w:tcPr>
            <w:tcW w:w="13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3DCEEA">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患者床位卡</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51574">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在院患者床位卡：支持可视化卡片形式展示包括床号、住院号、姓名、年龄、住院医生、入院诊断、入院时间护理等级、患者关注。</w:t>
            </w:r>
          </w:p>
        </w:tc>
      </w:tr>
      <w:tr w14:paraId="263A8E40">
        <w:tblPrEx>
          <w:tblCellMar>
            <w:top w:w="0" w:type="dxa"/>
            <w:left w:w="108" w:type="dxa"/>
            <w:bottom w:w="0" w:type="dxa"/>
            <w:right w:w="108" w:type="dxa"/>
          </w:tblCellMar>
        </w:tblPrEx>
        <w:trPr>
          <w:jc w:val="center"/>
        </w:trPr>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6332F">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8A901">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在院患者床位卡标记：支持个性化视觉标记，按患者年龄（老年/儿童/新生儿）、性别展示专属头像；对手术患者添加醒目特殊标识。</w:t>
            </w:r>
          </w:p>
        </w:tc>
      </w:tr>
      <w:tr w14:paraId="49DACD96">
        <w:tblPrEx>
          <w:tblCellMar>
            <w:top w:w="0" w:type="dxa"/>
            <w:left w:w="108" w:type="dxa"/>
            <w:bottom w:w="0" w:type="dxa"/>
            <w:right w:w="108" w:type="dxa"/>
          </w:tblCellMar>
        </w:tblPrEx>
        <w:trPr>
          <w:jc w:val="center"/>
        </w:trPr>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69EDC">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5DBD9">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在院患者床位卡筛选：可根据用户权限配置的科室或病区、患者姓名、床号、住院号等条件进行快速筛选。</w:t>
            </w:r>
          </w:p>
        </w:tc>
      </w:tr>
      <w:tr w14:paraId="6ACBCA71">
        <w:tblPrEx>
          <w:tblCellMar>
            <w:top w:w="0" w:type="dxa"/>
            <w:left w:w="108" w:type="dxa"/>
            <w:bottom w:w="0" w:type="dxa"/>
            <w:right w:w="108" w:type="dxa"/>
          </w:tblCellMar>
        </w:tblPrEx>
        <w:trPr>
          <w:jc w:val="center"/>
        </w:trPr>
        <w:tc>
          <w:tcPr>
            <w:tcW w:w="13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55B7C">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患者标注关注</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56266">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临床药师根据患者的病情、当前用药情况等条件决定是否对患者进行关注，关注可以分等级，并且将患者加入到不同的关注分类中。等级分类由临床药师维护，并且可以修改，同时可以对关注标识进行调整更改。</w:t>
            </w:r>
          </w:p>
        </w:tc>
      </w:tr>
      <w:tr w14:paraId="0D490078">
        <w:tblPrEx>
          <w:tblCellMar>
            <w:top w:w="0" w:type="dxa"/>
            <w:left w:w="108" w:type="dxa"/>
            <w:bottom w:w="0" w:type="dxa"/>
            <w:right w:w="108" w:type="dxa"/>
          </w:tblCellMar>
        </w:tblPrEx>
        <w:trPr>
          <w:jc w:val="center"/>
        </w:trPr>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CD06D">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AA289">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出院患者关注：支持对出院患者进行关注，并可查看患者病历。</w:t>
            </w:r>
          </w:p>
        </w:tc>
      </w:tr>
      <w:tr w14:paraId="64ED2FFF">
        <w:tblPrEx>
          <w:tblCellMar>
            <w:top w:w="0" w:type="dxa"/>
            <w:left w:w="108" w:type="dxa"/>
            <w:bottom w:w="0" w:type="dxa"/>
            <w:right w:w="108" w:type="dxa"/>
          </w:tblCellMar>
        </w:tblPrEx>
        <w:trPr>
          <w:jc w:val="center"/>
        </w:trPr>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AE9E5">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4F989">
            <w:pPr>
              <w:pStyle w:val="19"/>
              <w:numPr>
                <w:ilvl w:val="0"/>
                <w:numId w:val="5"/>
              </w:numPr>
              <w:rPr>
                <w:rFonts w:ascii="宋体" w:hAnsi="宋体" w:cs="宋体"/>
                <w:szCs w:val="21"/>
                <w:highlight w:val="none"/>
              </w:rPr>
            </w:pPr>
            <w:r>
              <w:rPr>
                <w:rFonts w:hint="eastAsia" w:ascii="宋体" w:hAnsi="宋体" w:cs="宋体"/>
                <w:color w:val="000000"/>
                <w:kern w:val="0"/>
                <w:szCs w:val="21"/>
                <w:highlight w:val="none"/>
                <w:lang w:bidi="ar"/>
              </w:rPr>
              <w:t>重点患者关注和查询：可添对患者加重点关注标识，并支持对重点关注患者快速查询定位。</w:t>
            </w:r>
          </w:p>
        </w:tc>
      </w:tr>
      <w:tr w14:paraId="238A5274">
        <w:tblPrEx>
          <w:tblCellMar>
            <w:top w:w="0" w:type="dxa"/>
            <w:left w:w="108" w:type="dxa"/>
            <w:bottom w:w="0" w:type="dxa"/>
            <w:right w:w="108" w:type="dxa"/>
          </w:tblCellMar>
        </w:tblPrEx>
        <w:trPr>
          <w:jc w:val="center"/>
        </w:trPr>
        <w:tc>
          <w:tcPr>
            <w:tcW w:w="13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059F6A">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患者统计</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87C82">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支持从医院HIS系统中自动同步更新出（入）院患者诊断、出（入）院时间等信息。</w:t>
            </w:r>
          </w:p>
        </w:tc>
      </w:tr>
      <w:tr w14:paraId="06BCAEC3">
        <w:tblPrEx>
          <w:tblCellMar>
            <w:top w:w="0" w:type="dxa"/>
            <w:left w:w="108" w:type="dxa"/>
            <w:bottom w:w="0" w:type="dxa"/>
            <w:right w:w="108" w:type="dxa"/>
          </w:tblCellMar>
        </w:tblPrEx>
        <w:trPr>
          <w:jc w:val="center"/>
        </w:trPr>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2C507">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F211F">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支持根据用户科室病区权限、出院时间、病情、住院号、姓名等条件汇总统计患者数据。</w:t>
            </w:r>
          </w:p>
        </w:tc>
      </w:tr>
      <w:tr w14:paraId="475D4452">
        <w:tblPrEx>
          <w:tblCellMar>
            <w:top w:w="0" w:type="dxa"/>
            <w:left w:w="108" w:type="dxa"/>
            <w:bottom w:w="0" w:type="dxa"/>
            <w:right w:w="108" w:type="dxa"/>
          </w:tblCellMar>
        </w:tblPrEx>
        <w:trPr>
          <w:jc w:val="center"/>
        </w:trPr>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1448A">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患者临床信息</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FAFA">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支持查询患者基本信息、付费身份、入院记录、病程记录、检验和查询结果、体温单。可以根据某项指标画出趋势图；检验异常值进行系统提醒。可以通过Web Service、浏览器（H5方式）等多种方式调阅其它系统的患者临床信息。</w:t>
            </w:r>
          </w:p>
        </w:tc>
      </w:tr>
      <w:tr w14:paraId="38079628">
        <w:tblPrEx>
          <w:tblCellMar>
            <w:top w:w="0" w:type="dxa"/>
            <w:left w:w="108" w:type="dxa"/>
            <w:bottom w:w="0" w:type="dxa"/>
            <w:right w:w="108" w:type="dxa"/>
          </w:tblCellMar>
        </w:tblPrEx>
        <w:trPr>
          <w:jc w:val="center"/>
        </w:trPr>
        <w:tc>
          <w:tcPr>
            <w:tcW w:w="1377" w:type="dxa"/>
            <w:tcBorders>
              <w:top w:val="single" w:color="000000" w:sz="4" w:space="0"/>
              <w:left w:val="single" w:color="000000" w:sz="4" w:space="0"/>
              <w:bottom w:val="single" w:color="auto" w:sz="4" w:space="0"/>
              <w:right w:val="single" w:color="000000" w:sz="4" w:space="0"/>
            </w:tcBorders>
            <w:shd w:val="clear" w:color="auto" w:fill="auto"/>
            <w:vAlign w:val="center"/>
          </w:tcPr>
          <w:p w14:paraId="6FF93AE5">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患者用药信息</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4B51">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能够查询患者用药信息，包括药名、规格、单次用量、给药频次、给药途径、开立时间、已停药的显示停药时间、未停药的显示使用天数、医嘱状态(有效、无效、长期、临时、出院带药等)。</w:t>
            </w:r>
          </w:p>
        </w:tc>
      </w:tr>
      <w:tr w14:paraId="7D559C04">
        <w:tblPrEx>
          <w:tblCellMar>
            <w:top w:w="0" w:type="dxa"/>
            <w:left w:w="108" w:type="dxa"/>
            <w:bottom w:w="0" w:type="dxa"/>
            <w:right w:w="108" w:type="dxa"/>
          </w:tblCellMar>
        </w:tblPrEx>
        <w:trPr>
          <w:jc w:val="center"/>
        </w:trPr>
        <w:tc>
          <w:tcPr>
            <w:tcW w:w="1377"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14:paraId="40FF7205">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患者药学指标</w:t>
            </w:r>
          </w:p>
        </w:tc>
        <w:tc>
          <w:tcPr>
            <w:tcW w:w="6997" w:type="dxa"/>
            <w:tcBorders>
              <w:top w:val="single" w:color="000000" w:sz="4" w:space="0"/>
              <w:left w:val="single" w:color="auto" w:sz="4" w:space="0"/>
              <w:bottom w:val="single" w:color="000000" w:sz="4" w:space="0"/>
              <w:right w:val="single" w:color="000000" w:sz="4" w:space="0"/>
            </w:tcBorders>
            <w:shd w:val="clear" w:color="auto" w:fill="auto"/>
            <w:vAlign w:val="center"/>
          </w:tcPr>
          <w:p w14:paraId="25D5879B">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支持从药学视角全方位展示患者用药后的信息，供药师及时、准确把握患者用药后的相关情况。主要是对患者基本信息、生命体征信息、临床数据、历史医嘱等进行统一展示，对生命体征、检验指标进行趋势图展示，对于异常指标进行提示，并且能够支持药品说明书等数据的集成。</w:t>
            </w:r>
          </w:p>
        </w:tc>
      </w:tr>
      <w:tr w14:paraId="54449E96">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485A2D5C">
            <w:pPr>
              <w:jc w:val="center"/>
              <w:rPr>
                <w:rFonts w:ascii="宋体" w:hAnsi="宋体" w:eastAsia="宋体" w:cs="宋体"/>
                <w:color w:val="000000"/>
                <w:szCs w:val="21"/>
                <w:highlight w:val="none"/>
              </w:rPr>
            </w:pPr>
          </w:p>
        </w:tc>
        <w:tc>
          <w:tcPr>
            <w:tcW w:w="6997" w:type="dxa"/>
            <w:tcBorders>
              <w:top w:val="single" w:color="000000" w:sz="4" w:space="0"/>
              <w:left w:val="single" w:color="auto" w:sz="4" w:space="0"/>
              <w:bottom w:val="single" w:color="000000" w:sz="4" w:space="0"/>
              <w:right w:val="single" w:color="000000" w:sz="4" w:space="0"/>
            </w:tcBorders>
            <w:shd w:val="clear" w:color="auto" w:fill="auto"/>
            <w:vAlign w:val="center"/>
          </w:tcPr>
          <w:p w14:paraId="3DF793D6">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药师可对患者药学服务的工作进行记录、修改以及查看，包括查房记录、医嘱审核记录、药学评估、药历记录、药学监护记录。</w:t>
            </w:r>
          </w:p>
        </w:tc>
      </w:tr>
      <w:tr w14:paraId="00F5326E">
        <w:tblPrEx>
          <w:tblCellMar>
            <w:top w:w="0" w:type="dxa"/>
            <w:left w:w="108" w:type="dxa"/>
            <w:bottom w:w="0" w:type="dxa"/>
            <w:right w:w="108" w:type="dxa"/>
          </w:tblCellMar>
        </w:tblPrEx>
        <w:trPr>
          <w:jc w:val="center"/>
        </w:trPr>
        <w:tc>
          <w:tcPr>
            <w:tcW w:w="1377"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006F5C9">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医生用药咨询</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D4E33">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医生可对患者用药提出输入咨询问题，并且支持发送至药师界面，药师接收请求咨询时有提示功能，药师对咨询内容进行回复后，医生端有提示功能。</w:t>
            </w:r>
          </w:p>
        </w:tc>
      </w:tr>
      <w:tr w14:paraId="2EFF070E">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066A7C2">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2D2B">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历史咨询记录可根据问题类型、药物类型、咨询状态、创建时间筛选查询。</w:t>
            </w:r>
          </w:p>
        </w:tc>
      </w:tr>
      <w:tr w14:paraId="70160C7E">
        <w:tblPrEx>
          <w:tblCellMar>
            <w:top w:w="0" w:type="dxa"/>
            <w:left w:w="108" w:type="dxa"/>
            <w:bottom w:w="0" w:type="dxa"/>
            <w:right w:w="108" w:type="dxa"/>
          </w:tblCellMar>
        </w:tblPrEx>
        <w:trPr>
          <w:jc w:val="center"/>
        </w:trPr>
        <w:tc>
          <w:tcPr>
            <w:tcW w:w="1377"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81F1A23">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患者用药审核</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E247">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支持人工对每条医嘱标识审核意见及记录审核人/审核时间（以服务器时间为准）。</w:t>
            </w:r>
          </w:p>
        </w:tc>
      </w:tr>
      <w:tr w14:paraId="25A37139">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2300824">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3F653">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支持药师人工进行批量或单条审核医嘱。</w:t>
            </w:r>
          </w:p>
        </w:tc>
      </w:tr>
      <w:tr w14:paraId="4D89C45D">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3809A1C">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D551">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支持人工对有问题的医嘱可以驳回，并可填写驳回理由，传送至医生界面。驳回理由可自定义维护模板。</w:t>
            </w:r>
          </w:p>
        </w:tc>
      </w:tr>
      <w:tr w14:paraId="00388AA6">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C51B01A">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170F">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应提供基础的医嘱审核知识库，审核类型包括适应症、禁忌症、用法用量、频次、相互作用、配伍禁忌、重复用药，系统自动进行医嘱审核并显示系统审核结果。或对接</w:t>
            </w:r>
            <w:r>
              <w:rPr>
                <w:rFonts w:hint="eastAsia" w:ascii="宋体" w:hAnsi="宋体" w:eastAsia="宋体" w:cs="宋体"/>
                <w:color w:val="000000"/>
                <w:kern w:val="0"/>
                <w:szCs w:val="21"/>
                <w:highlight w:val="none"/>
                <w:lang w:val="en-US" w:eastAsia="zh-CN" w:bidi="ar"/>
              </w:rPr>
              <w:t>医</w:t>
            </w:r>
            <w:r>
              <w:rPr>
                <w:rFonts w:hint="eastAsia" w:ascii="宋体" w:hAnsi="宋体" w:eastAsia="宋体" w:cs="宋体"/>
                <w:color w:val="000000"/>
                <w:kern w:val="0"/>
                <w:szCs w:val="21"/>
                <w:highlight w:val="none"/>
                <w:lang w:bidi="ar"/>
              </w:rPr>
              <w:t>院第三方医嘱审核接口实现系统自动审核，供应商自行承担接口费用。如医院提供ai算力和ai接口，系统应有支持对接AI人工智能的能力，并且可在现有临床药师工作站基础上扩展AI 药学助手模块进行AI用药审核。</w:t>
            </w:r>
          </w:p>
        </w:tc>
      </w:tr>
      <w:tr w14:paraId="68ACC167">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4C40129">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3B4BE">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驳回的医嘱可以按照医嘱类型/审核人/时间/科室等进行查询。</w:t>
            </w:r>
          </w:p>
        </w:tc>
      </w:tr>
      <w:tr w14:paraId="4ABA1EE7">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9539B85">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CD07">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支持集成院内药品说明书系统或提供，并且点击医嘱药品可查看药品说明书。</w:t>
            </w:r>
          </w:p>
        </w:tc>
      </w:tr>
      <w:tr w14:paraId="550744B8">
        <w:tblPrEx>
          <w:tblCellMar>
            <w:top w:w="0" w:type="dxa"/>
            <w:left w:w="108" w:type="dxa"/>
            <w:bottom w:w="0" w:type="dxa"/>
            <w:right w:w="108" w:type="dxa"/>
          </w:tblCellMar>
        </w:tblPrEx>
        <w:trPr>
          <w:jc w:val="center"/>
        </w:trPr>
        <w:tc>
          <w:tcPr>
            <w:tcW w:w="1377"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32BFF01">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患者用药重整</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9D48">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可在医嘱查询界面添加用药重整药品，支持多选。支持自定义添加药品做用药重整。</w:t>
            </w:r>
          </w:p>
        </w:tc>
      </w:tr>
      <w:tr w14:paraId="7A60FDC1">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69809A2">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9F61">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提供药品重整规则库，根据药品设置给药频次，规则内容和规则提示内容。</w:t>
            </w:r>
          </w:p>
        </w:tc>
      </w:tr>
      <w:tr w14:paraId="158A6DD2">
        <w:tblPrEx>
          <w:tblCellMar>
            <w:top w:w="0" w:type="dxa"/>
            <w:left w:w="108" w:type="dxa"/>
            <w:bottom w:w="0" w:type="dxa"/>
            <w:right w:w="108" w:type="dxa"/>
          </w:tblCellMar>
        </w:tblPrEx>
        <w:trPr>
          <w:trHeight w:val="821" w:hRule="atLeast"/>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5E35AB7">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4C07">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根据用药重整规则自动生成用药重整单，药师可对用药重整内容进行调整和增加评价。</w:t>
            </w:r>
          </w:p>
        </w:tc>
      </w:tr>
      <w:tr w14:paraId="7C371123">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9688BC8">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EFBBF">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用药重整单可打印或导出word。</w:t>
            </w:r>
          </w:p>
        </w:tc>
      </w:tr>
      <w:tr w14:paraId="47C5EF7C">
        <w:tblPrEx>
          <w:tblCellMar>
            <w:top w:w="0" w:type="dxa"/>
            <w:left w:w="108" w:type="dxa"/>
            <w:bottom w:w="0" w:type="dxa"/>
            <w:right w:w="108" w:type="dxa"/>
          </w:tblCellMar>
        </w:tblPrEx>
        <w:trPr>
          <w:jc w:val="center"/>
        </w:trPr>
        <w:tc>
          <w:tcPr>
            <w:tcW w:w="1377"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71049AF">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患者用药教育</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5D4A">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根据出院带药或其他医嘱，自动生成用药教育单。也可以修改和选择其他药物，生成用药教育单。提供用药教育基本内容的知识库模板，并且支持自主维护和修改用药教育的模板。</w:t>
            </w:r>
          </w:p>
        </w:tc>
      </w:tr>
      <w:tr w14:paraId="695181AF">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E31F13E">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4775">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支持对患者进行个性化用药指导，并支持打印生成纸质用药指导单，交给患者。</w:t>
            </w:r>
          </w:p>
        </w:tc>
      </w:tr>
      <w:tr w14:paraId="3C536A2E">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0491BCD">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02F8">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提供用药教育知识库:内容包括用药方法、药物与食物、注意事项、运动员、驾驶和操作机器、妊娠及哺乳、老年人、儿童、肝功能不全、肾功能不全、用药监测、药师意见；</w:t>
            </w:r>
          </w:p>
        </w:tc>
      </w:tr>
      <w:tr w14:paraId="73F55DB0">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7BF988">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E050">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用药教育知识库内容需由专业药师且具备药学专业中级及以上从业资格的药学专员制作与审核。</w:t>
            </w:r>
          </w:p>
        </w:tc>
      </w:tr>
      <w:tr w14:paraId="3993C4AF">
        <w:tblPrEx>
          <w:tblCellMar>
            <w:top w:w="0" w:type="dxa"/>
            <w:left w:w="108" w:type="dxa"/>
            <w:bottom w:w="0" w:type="dxa"/>
            <w:right w:w="108" w:type="dxa"/>
          </w:tblCellMar>
        </w:tblPrEx>
        <w:trPr>
          <w:jc w:val="center"/>
        </w:trPr>
        <w:tc>
          <w:tcPr>
            <w:tcW w:w="1377"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390DFFF">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通用评估表单</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4778">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住院患者药学评估登记表入院药学评估</w:t>
            </w:r>
          </w:p>
        </w:tc>
      </w:tr>
      <w:tr w14:paraId="276D6357">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C062926">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25FA">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碳青霉烯类抗菌药物临床应用评价表</w:t>
            </w:r>
          </w:p>
        </w:tc>
      </w:tr>
      <w:tr w14:paraId="0DA0B107">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AB2C405">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5F11">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肝肾功能评级</w:t>
            </w:r>
          </w:p>
        </w:tc>
      </w:tr>
      <w:tr w14:paraId="2059E41B">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DAD7EB6">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EAA9">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住院患者糖皮质激素类药物临床应用评价表</w:t>
            </w:r>
          </w:p>
        </w:tc>
      </w:tr>
      <w:tr w14:paraId="2732896C">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699097C">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DEC92">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Morisky用药依从性问卷</w:t>
            </w:r>
          </w:p>
        </w:tc>
      </w:tr>
      <w:tr w14:paraId="6D11CD30">
        <w:tblPrEx>
          <w:tblCellMar>
            <w:top w:w="0" w:type="dxa"/>
            <w:left w:w="108" w:type="dxa"/>
            <w:bottom w:w="0" w:type="dxa"/>
            <w:right w:w="108" w:type="dxa"/>
          </w:tblCellMar>
        </w:tblPrEx>
        <w:trPr>
          <w:jc w:val="center"/>
        </w:trPr>
        <w:tc>
          <w:tcPr>
            <w:tcW w:w="1377" w:type="dxa"/>
            <w:tcBorders>
              <w:top w:val="single" w:color="auto" w:sz="4" w:space="0"/>
              <w:left w:val="single" w:color="000000" w:sz="4" w:space="0"/>
              <w:bottom w:val="single" w:color="000000" w:sz="4" w:space="0"/>
              <w:right w:val="single" w:color="000000" w:sz="4" w:space="0"/>
            </w:tcBorders>
            <w:shd w:val="clear" w:color="auto" w:fill="auto"/>
            <w:vAlign w:val="center"/>
          </w:tcPr>
          <w:p w14:paraId="58B7C8C0">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专科评估表单</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CACA7">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针对呼吸内科、内分泌、神经内科、肠道营养、心血管内科、血液科等建立专科专病评估量表</w:t>
            </w:r>
          </w:p>
        </w:tc>
      </w:tr>
      <w:tr w14:paraId="74E69434">
        <w:tblPrEx>
          <w:tblCellMar>
            <w:top w:w="0" w:type="dxa"/>
            <w:left w:w="108" w:type="dxa"/>
            <w:bottom w:w="0" w:type="dxa"/>
            <w:right w:w="108" w:type="dxa"/>
          </w:tblCellMar>
        </w:tblPrEx>
        <w:trPr>
          <w:jc w:val="center"/>
        </w:trPr>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5FA1">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自定义评估量表</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E53E">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支持根据用户要求自定义新评估量表。</w:t>
            </w:r>
          </w:p>
        </w:tc>
      </w:tr>
      <w:tr w14:paraId="40722974">
        <w:tblPrEx>
          <w:tblCellMar>
            <w:top w:w="0" w:type="dxa"/>
            <w:left w:w="108" w:type="dxa"/>
            <w:bottom w:w="0" w:type="dxa"/>
            <w:right w:w="108" w:type="dxa"/>
          </w:tblCellMar>
        </w:tblPrEx>
        <w:trPr>
          <w:trHeight w:val="624" w:hRule="atLeast"/>
          <w:jc w:val="center"/>
        </w:trPr>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4F28">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药学监护模板</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5EC7">
            <w:pPr>
              <w:widowControl/>
              <w:numPr>
                <w:ilvl w:val="0"/>
                <w:numId w:val="5"/>
              </w:numPr>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监护可分为soap、疗效、安全性、依从性监护模板。</w:t>
            </w:r>
          </w:p>
          <w:p w14:paraId="77AE619B">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对应内容可word导出。</w:t>
            </w:r>
          </w:p>
        </w:tc>
      </w:tr>
      <w:tr w14:paraId="1C5321DE">
        <w:tblPrEx>
          <w:tblCellMar>
            <w:top w:w="0" w:type="dxa"/>
            <w:left w:w="108" w:type="dxa"/>
            <w:bottom w:w="0" w:type="dxa"/>
            <w:right w:w="108" w:type="dxa"/>
          </w:tblCellMar>
        </w:tblPrEx>
        <w:trPr>
          <w:jc w:val="center"/>
        </w:trPr>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A8F4">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常用工具</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B571">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医药公式：系统应提供常用的医药学公式，包括心脏学、肺脏学、肾脏学、儿科学、神经学等公式，并提供计算功能；</w:t>
            </w:r>
          </w:p>
        </w:tc>
      </w:tr>
      <w:tr w14:paraId="07D46A82">
        <w:tblPrEx>
          <w:tblCellMar>
            <w:top w:w="0" w:type="dxa"/>
            <w:left w:w="108" w:type="dxa"/>
            <w:bottom w:w="0" w:type="dxa"/>
            <w:right w:w="108" w:type="dxa"/>
          </w:tblCellMar>
        </w:tblPrEx>
        <w:trPr>
          <w:jc w:val="center"/>
        </w:trPr>
        <w:tc>
          <w:tcPr>
            <w:tcW w:w="13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17006B">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患者药学监护</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60F92">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highlight w:val="none"/>
              </w:rPr>
              <w:t>★具备功能：</w:t>
            </w:r>
            <w:r>
              <w:rPr>
                <w:rFonts w:hint="eastAsia" w:ascii="宋体" w:hAnsi="宋体" w:eastAsia="宋体" w:cs="宋体"/>
                <w:color w:val="000000"/>
                <w:kern w:val="0"/>
                <w:szCs w:val="21"/>
                <w:highlight w:val="none"/>
                <w:lang w:bidi="ar"/>
              </w:rPr>
              <w:t>药师可为选定的病人设定监护计划。监护计划包含：监护类型选择，监护频率，监护指标选择。监护指标主要为各项检验指标。药师可依据监护指标的变化，提供规定频次的药学服务。监护计划创建后可根据监护药物和检验指标的升高降低来进行监护干预填写干预方案</w:t>
            </w:r>
            <w:r>
              <w:rPr>
                <w:rFonts w:hint="eastAsia" w:ascii="宋体" w:hAnsi="宋体" w:eastAsia="宋体" w:cs="宋体"/>
                <w:b/>
                <w:bCs/>
                <w:color w:val="000000"/>
                <w:kern w:val="0"/>
                <w:szCs w:val="21"/>
                <w:highlight w:val="none"/>
                <w:lang w:bidi="ar"/>
              </w:rPr>
              <w:t>（投标文件提供承诺函）。</w:t>
            </w:r>
          </w:p>
        </w:tc>
      </w:tr>
      <w:tr w14:paraId="4B37639D">
        <w:tblPrEx>
          <w:tblCellMar>
            <w:top w:w="0" w:type="dxa"/>
            <w:left w:w="108" w:type="dxa"/>
            <w:bottom w:w="0" w:type="dxa"/>
            <w:right w:w="108" w:type="dxa"/>
          </w:tblCellMar>
        </w:tblPrEx>
        <w:trPr>
          <w:jc w:val="center"/>
        </w:trPr>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CDA54">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7AB8F">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提供重点监护配置，包括检验、诊断、手术、生命体征、检查、药物、特殊人群可自定义设置监护阈值。系统可自动监护重点患者，并且可在查看重点患者信息时进行提示。</w:t>
            </w:r>
          </w:p>
        </w:tc>
      </w:tr>
      <w:tr w14:paraId="20E60EB9">
        <w:tblPrEx>
          <w:tblCellMar>
            <w:top w:w="0" w:type="dxa"/>
            <w:left w:w="108" w:type="dxa"/>
            <w:bottom w:w="0" w:type="dxa"/>
            <w:right w:w="108" w:type="dxa"/>
          </w:tblCellMar>
        </w:tblPrEx>
        <w:trPr>
          <w:jc w:val="center"/>
        </w:trPr>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DA69F">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479C">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默认查询执行中的医嘱，可快速查看患者用药情况和生命体征与用药时间的关系。</w:t>
            </w:r>
          </w:p>
        </w:tc>
      </w:tr>
      <w:tr w14:paraId="2EFE3F9F">
        <w:tblPrEx>
          <w:tblCellMar>
            <w:top w:w="0" w:type="dxa"/>
            <w:left w:w="108" w:type="dxa"/>
            <w:bottom w:w="0" w:type="dxa"/>
            <w:right w:w="108" w:type="dxa"/>
          </w:tblCellMar>
        </w:tblPrEx>
        <w:trPr>
          <w:jc w:val="center"/>
        </w:trPr>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83A79">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86EA">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可在医嘱中添加监护备注。</w:t>
            </w:r>
          </w:p>
        </w:tc>
      </w:tr>
      <w:tr w14:paraId="4D3A1030">
        <w:tblPrEx>
          <w:tblCellMar>
            <w:top w:w="0" w:type="dxa"/>
            <w:left w:w="108" w:type="dxa"/>
            <w:bottom w:w="0" w:type="dxa"/>
            <w:right w:w="108" w:type="dxa"/>
          </w:tblCellMar>
        </w:tblPrEx>
        <w:trPr>
          <w:jc w:val="center"/>
        </w:trPr>
        <w:tc>
          <w:tcPr>
            <w:tcW w:w="13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74D478">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患者查房记录</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B60D0">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移动端软件及设备可提供药师查房过程中的拍照、录音、录像和手写功能的多媒体记录。</w:t>
            </w:r>
          </w:p>
        </w:tc>
      </w:tr>
      <w:tr w14:paraId="2E701E71">
        <w:tblPrEx>
          <w:tblCellMar>
            <w:top w:w="0" w:type="dxa"/>
            <w:left w:w="108" w:type="dxa"/>
            <w:bottom w:w="0" w:type="dxa"/>
            <w:right w:w="108" w:type="dxa"/>
          </w:tblCellMar>
        </w:tblPrEx>
        <w:trPr>
          <w:jc w:val="center"/>
        </w:trPr>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4BD67">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5B44">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可通过时间轴或列表的形式，直观的展示药师查房工作内容。</w:t>
            </w:r>
          </w:p>
        </w:tc>
      </w:tr>
      <w:tr w14:paraId="1E65918F">
        <w:tblPrEx>
          <w:tblCellMar>
            <w:top w:w="0" w:type="dxa"/>
            <w:left w:w="108" w:type="dxa"/>
            <w:bottom w:w="0" w:type="dxa"/>
            <w:right w:w="108" w:type="dxa"/>
          </w:tblCellMar>
        </w:tblPrEx>
        <w:trPr>
          <w:jc w:val="center"/>
        </w:trPr>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BDAF4">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53CBC">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移动端和pc端支持查房日志文本记录和修改，并且移动端和pc端数据保证数据一致性。</w:t>
            </w:r>
          </w:p>
        </w:tc>
      </w:tr>
      <w:tr w14:paraId="7F05212A">
        <w:tblPrEx>
          <w:tblCellMar>
            <w:top w:w="0" w:type="dxa"/>
            <w:left w:w="108" w:type="dxa"/>
            <w:bottom w:w="0" w:type="dxa"/>
            <w:right w:w="108" w:type="dxa"/>
          </w:tblCellMar>
        </w:tblPrEx>
        <w:trPr>
          <w:jc w:val="center"/>
        </w:trPr>
        <w:tc>
          <w:tcPr>
            <w:tcW w:w="1377"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070CCB0D">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638E">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支持直接通过word文档的方式，导出查房记录内容。</w:t>
            </w:r>
          </w:p>
        </w:tc>
      </w:tr>
      <w:tr w14:paraId="3AB30B69">
        <w:tblPrEx>
          <w:tblCellMar>
            <w:top w:w="0" w:type="dxa"/>
            <w:left w:w="108" w:type="dxa"/>
            <w:bottom w:w="0" w:type="dxa"/>
            <w:right w:w="108" w:type="dxa"/>
          </w:tblCellMar>
        </w:tblPrEx>
        <w:trPr>
          <w:jc w:val="center"/>
        </w:trPr>
        <w:tc>
          <w:tcPr>
            <w:tcW w:w="1377"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14:paraId="62C3D2CC">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患者电子药历</w:t>
            </w:r>
          </w:p>
        </w:tc>
        <w:tc>
          <w:tcPr>
            <w:tcW w:w="6997" w:type="dxa"/>
            <w:tcBorders>
              <w:top w:val="single" w:color="000000" w:sz="4" w:space="0"/>
              <w:left w:val="single" w:color="auto" w:sz="4" w:space="0"/>
              <w:bottom w:val="single" w:color="000000" w:sz="4" w:space="0"/>
              <w:right w:val="single" w:color="000000" w:sz="4" w:space="0"/>
            </w:tcBorders>
            <w:shd w:val="clear" w:color="auto" w:fill="auto"/>
            <w:vAlign w:val="center"/>
          </w:tcPr>
          <w:p w14:paraId="519261DE">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提供根据电子病历信息生成SOAP格式的电子药历，详细记录病人药学相关信息，为药学科研与教学工作提供结构化数据支持。</w:t>
            </w:r>
          </w:p>
        </w:tc>
      </w:tr>
      <w:tr w14:paraId="58DDE2AF">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4F563262">
            <w:pPr>
              <w:jc w:val="center"/>
              <w:rPr>
                <w:rFonts w:ascii="宋体" w:hAnsi="宋体" w:eastAsia="宋体" w:cs="宋体"/>
                <w:color w:val="000000"/>
                <w:szCs w:val="21"/>
                <w:highlight w:val="none"/>
              </w:rPr>
            </w:pPr>
          </w:p>
        </w:tc>
        <w:tc>
          <w:tcPr>
            <w:tcW w:w="6997" w:type="dxa"/>
            <w:tcBorders>
              <w:top w:val="single" w:color="000000" w:sz="4" w:space="0"/>
              <w:left w:val="single" w:color="auto" w:sz="4" w:space="0"/>
              <w:bottom w:val="single" w:color="000000" w:sz="4" w:space="0"/>
              <w:right w:val="single" w:color="000000" w:sz="4" w:space="0"/>
            </w:tcBorders>
            <w:shd w:val="clear" w:color="auto" w:fill="auto"/>
            <w:vAlign w:val="center"/>
          </w:tcPr>
          <w:p w14:paraId="3070502D">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药历首页：首页包括患者基本信息、主诉、现病史、既往史、个人史、家族史等。可填写初始治疗方案分析，快速选择初始治疗药物。</w:t>
            </w:r>
          </w:p>
        </w:tc>
      </w:tr>
      <w:tr w14:paraId="64C9A24A">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5B7B843D">
            <w:pPr>
              <w:jc w:val="center"/>
              <w:rPr>
                <w:rFonts w:ascii="宋体" w:hAnsi="宋体" w:eastAsia="宋体" w:cs="宋体"/>
                <w:color w:val="000000"/>
                <w:szCs w:val="21"/>
                <w:highlight w:val="none"/>
              </w:rPr>
            </w:pPr>
          </w:p>
        </w:tc>
        <w:tc>
          <w:tcPr>
            <w:tcW w:w="6997" w:type="dxa"/>
            <w:tcBorders>
              <w:top w:val="single" w:color="000000" w:sz="4" w:space="0"/>
              <w:left w:val="single" w:color="auto" w:sz="4" w:space="0"/>
              <w:bottom w:val="single" w:color="000000" w:sz="4" w:space="0"/>
              <w:right w:val="single" w:color="000000" w:sz="4" w:space="0"/>
            </w:tcBorders>
            <w:shd w:val="clear" w:color="auto" w:fill="auto"/>
            <w:vAlign w:val="center"/>
          </w:tcPr>
          <w:p w14:paraId="74B5DAC5">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可记录药物治疗日志：自定义加入查房记录/病程记录/检验/检查内容，记录监护计划和监护结果。</w:t>
            </w:r>
          </w:p>
        </w:tc>
      </w:tr>
      <w:tr w14:paraId="3F2328E3">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6EBA3503">
            <w:pPr>
              <w:jc w:val="center"/>
              <w:rPr>
                <w:rFonts w:ascii="宋体" w:hAnsi="宋体" w:eastAsia="宋体" w:cs="宋体"/>
                <w:color w:val="000000"/>
                <w:szCs w:val="21"/>
                <w:highlight w:val="none"/>
              </w:rPr>
            </w:pPr>
          </w:p>
        </w:tc>
        <w:tc>
          <w:tcPr>
            <w:tcW w:w="6997" w:type="dxa"/>
            <w:tcBorders>
              <w:top w:val="single" w:color="000000" w:sz="4" w:space="0"/>
              <w:left w:val="single" w:color="auto" w:sz="4" w:space="0"/>
              <w:bottom w:val="single" w:color="000000" w:sz="4" w:space="0"/>
              <w:right w:val="single" w:color="000000" w:sz="4" w:space="0"/>
            </w:tcBorders>
            <w:shd w:val="clear" w:color="auto" w:fill="auto"/>
            <w:vAlign w:val="center"/>
          </w:tcPr>
          <w:p w14:paraId="6DE95CBC">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可设置药物治疗评价：包括1.完整治疗过程的总结性分析意见，2.临床药师在本次治疗中参与药物治疗工作的总结3.患者出院后继续治疗方案和用药指导4.治疗需要的随访计划和应自行监测的指标。</w:t>
            </w:r>
          </w:p>
        </w:tc>
      </w:tr>
      <w:tr w14:paraId="4DE0052E">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6B71C94E">
            <w:pPr>
              <w:jc w:val="center"/>
              <w:rPr>
                <w:rFonts w:ascii="宋体" w:hAnsi="宋体" w:eastAsia="宋体" w:cs="宋体"/>
                <w:color w:val="000000"/>
                <w:szCs w:val="21"/>
                <w:highlight w:val="none"/>
              </w:rPr>
            </w:pPr>
          </w:p>
        </w:tc>
        <w:tc>
          <w:tcPr>
            <w:tcW w:w="6997" w:type="dxa"/>
            <w:tcBorders>
              <w:top w:val="single" w:color="000000" w:sz="4" w:space="0"/>
              <w:left w:val="single" w:color="auto" w:sz="4" w:space="0"/>
              <w:bottom w:val="single" w:color="000000" w:sz="4" w:space="0"/>
              <w:right w:val="single" w:color="000000" w:sz="4" w:space="0"/>
            </w:tcBorders>
            <w:shd w:val="clear" w:color="auto" w:fill="auto"/>
            <w:vAlign w:val="center"/>
          </w:tcPr>
          <w:p w14:paraId="2341659A">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可查看和添加药历评价：如临床带教老师评语，药学带教老师评语。</w:t>
            </w:r>
          </w:p>
        </w:tc>
      </w:tr>
      <w:tr w14:paraId="052AA141">
        <w:tblPrEx>
          <w:tblCellMar>
            <w:top w:w="0" w:type="dxa"/>
            <w:left w:w="108" w:type="dxa"/>
            <w:bottom w:w="0" w:type="dxa"/>
            <w:right w:w="108" w:type="dxa"/>
          </w:tblCellMar>
        </w:tblPrEx>
        <w:trPr>
          <w:jc w:val="center"/>
        </w:trPr>
        <w:tc>
          <w:tcPr>
            <w:tcW w:w="1377"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46DC0C85">
            <w:pPr>
              <w:jc w:val="center"/>
              <w:rPr>
                <w:rFonts w:ascii="宋体" w:hAnsi="宋体" w:eastAsia="宋体" w:cs="宋体"/>
                <w:color w:val="000000"/>
                <w:szCs w:val="21"/>
                <w:highlight w:val="none"/>
              </w:rPr>
            </w:pPr>
          </w:p>
        </w:tc>
        <w:tc>
          <w:tcPr>
            <w:tcW w:w="6997" w:type="dxa"/>
            <w:tcBorders>
              <w:top w:val="single" w:color="000000" w:sz="4" w:space="0"/>
              <w:left w:val="single" w:color="auto" w:sz="4" w:space="0"/>
              <w:bottom w:val="single" w:color="000000" w:sz="4" w:space="0"/>
              <w:right w:val="single" w:color="000000" w:sz="4" w:space="0"/>
            </w:tcBorders>
            <w:shd w:val="clear" w:color="auto" w:fill="auto"/>
            <w:vAlign w:val="center"/>
          </w:tcPr>
          <w:p w14:paraId="77994722">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可单独设定主任药师权限，并支持对批注学员账号填写的药历进行批注留痕。</w:t>
            </w:r>
          </w:p>
        </w:tc>
      </w:tr>
      <w:tr w14:paraId="12D1D524">
        <w:tblPrEx>
          <w:tblCellMar>
            <w:top w:w="0" w:type="dxa"/>
            <w:left w:w="108" w:type="dxa"/>
            <w:bottom w:w="0" w:type="dxa"/>
            <w:right w:w="108" w:type="dxa"/>
          </w:tblCellMar>
        </w:tblPrEx>
        <w:trPr>
          <w:jc w:val="center"/>
        </w:trPr>
        <w:tc>
          <w:tcPr>
            <w:tcW w:w="1377" w:type="dxa"/>
            <w:tcBorders>
              <w:top w:val="single" w:color="auto" w:sz="4" w:space="0"/>
              <w:left w:val="single" w:color="000000" w:sz="4" w:space="0"/>
              <w:bottom w:val="single" w:color="000000" w:sz="4" w:space="0"/>
              <w:right w:val="single" w:color="000000" w:sz="4" w:space="0"/>
            </w:tcBorders>
            <w:shd w:val="clear" w:color="auto" w:fill="auto"/>
            <w:vAlign w:val="center"/>
          </w:tcPr>
          <w:p w14:paraId="52202F6E">
            <w:pPr>
              <w:widowControl/>
              <w:jc w:val="center"/>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临床会诊</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DAFF">
            <w:pPr>
              <w:widowControl/>
              <w:numPr>
                <w:ilvl w:val="0"/>
                <w:numId w:val="5"/>
              </w:numPr>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rPr>
              <w:t>提供抓取HIS中的药师会诊记录。</w:t>
            </w:r>
          </w:p>
        </w:tc>
      </w:tr>
      <w:tr w14:paraId="2A431BA8">
        <w:tblPrEx>
          <w:tblCellMar>
            <w:top w:w="0" w:type="dxa"/>
            <w:left w:w="108" w:type="dxa"/>
            <w:bottom w:w="0" w:type="dxa"/>
            <w:right w:w="108" w:type="dxa"/>
          </w:tblCellMar>
        </w:tblPrEx>
        <w:trPr>
          <w:jc w:val="center"/>
        </w:trPr>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FF9B7">
            <w:pPr>
              <w:widowControl/>
              <w:jc w:val="center"/>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统计分析</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30C3">
            <w:pPr>
              <w:widowControl/>
              <w:numPr>
                <w:ilvl w:val="0"/>
                <w:numId w:val="5"/>
              </w:numPr>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rPr>
              <w:t>提供会诊统计功能，可根据会诊目的、会诊类型、病种等方面统计，会诊记录能以PDF 或OFFICE格式导出。</w:t>
            </w:r>
          </w:p>
        </w:tc>
      </w:tr>
      <w:tr w14:paraId="1E82CCC1">
        <w:tblPrEx>
          <w:tblCellMar>
            <w:top w:w="0" w:type="dxa"/>
            <w:left w:w="108" w:type="dxa"/>
            <w:bottom w:w="0" w:type="dxa"/>
            <w:right w:w="108" w:type="dxa"/>
          </w:tblCellMar>
        </w:tblPrEx>
        <w:trPr>
          <w:jc w:val="center"/>
        </w:trPr>
        <w:tc>
          <w:tcPr>
            <w:tcW w:w="13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3C35EB">
            <w:pPr>
              <w:widowControl/>
              <w:jc w:val="center"/>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科室管理与绩效考核</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7445">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提供文件管理，包括支持文件创建、修改、删除、文件归类。提供科室内部的工作讨论和信息沟通平台。</w:t>
            </w:r>
          </w:p>
        </w:tc>
      </w:tr>
      <w:tr w14:paraId="7403E937">
        <w:tblPrEx>
          <w:tblCellMar>
            <w:top w:w="0" w:type="dxa"/>
            <w:left w:w="108" w:type="dxa"/>
            <w:bottom w:w="0" w:type="dxa"/>
            <w:right w:w="108" w:type="dxa"/>
          </w:tblCellMar>
        </w:tblPrEx>
        <w:trPr>
          <w:jc w:val="center"/>
        </w:trPr>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0205F">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14A6">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提供药师工作量统计功能，如药师查房次数、用药建议数、医嘱审核次数。</w:t>
            </w:r>
          </w:p>
        </w:tc>
      </w:tr>
      <w:tr w14:paraId="52497CF2">
        <w:tblPrEx>
          <w:tblCellMar>
            <w:top w:w="0" w:type="dxa"/>
            <w:left w:w="108" w:type="dxa"/>
            <w:bottom w:w="0" w:type="dxa"/>
            <w:right w:w="108" w:type="dxa"/>
          </w:tblCellMar>
        </w:tblPrEx>
        <w:trPr>
          <w:jc w:val="center"/>
        </w:trPr>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B03F7">
            <w:pPr>
              <w:jc w:val="center"/>
              <w:rPr>
                <w:rFonts w:ascii="宋体" w:hAnsi="宋体" w:eastAsia="宋体" w:cs="宋体"/>
                <w:color w:val="000000"/>
                <w:szCs w:val="21"/>
                <w:highlight w:val="none"/>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7768">
            <w:pPr>
              <w:widowControl/>
              <w:numPr>
                <w:ilvl w:val="0"/>
                <w:numId w:val="5"/>
              </w:numPr>
              <w:jc w:val="left"/>
              <w:textAlignment w:val="center"/>
              <w:rPr>
                <w:rFonts w:ascii="宋体" w:hAnsi="宋体" w:eastAsia="宋体" w:cs="宋体"/>
                <w:color w:val="000000"/>
                <w:szCs w:val="21"/>
                <w:highlight w:val="none"/>
              </w:rPr>
            </w:pPr>
            <w:r>
              <w:rPr>
                <w:rFonts w:hint="eastAsia" w:ascii="宋体" w:hAnsi="宋体" w:eastAsia="宋体" w:cs="宋体"/>
                <w:color w:val="000000"/>
                <w:kern w:val="0"/>
                <w:szCs w:val="21"/>
                <w:highlight w:val="none"/>
                <w:lang w:bidi="ar"/>
              </w:rPr>
              <w:t>提供统计数据图形化展示，如折线图、饼图、条形图。</w:t>
            </w:r>
          </w:p>
        </w:tc>
      </w:tr>
      <w:tr w14:paraId="7413144A">
        <w:tblPrEx>
          <w:tblCellMar>
            <w:top w:w="0" w:type="dxa"/>
            <w:left w:w="108" w:type="dxa"/>
            <w:bottom w:w="0" w:type="dxa"/>
            <w:right w:w="108" w:type="dxa"/>
          </w:tblCellMar>
        </w:tblPrEx>
        <w:trPr>
          <w:jc w:val="center"/>
        </w:trPr>
        <w:tc>
          <w:tcPr>
            <w:tcW w:w="1377" w:type="dxa"/>
            <w:vMerge w:val="restart"/>
            <w:tcBorders>
              <w:top w:val="single" w:color="000000" w:sz="4" w:space="0"/>
              <w:left w:val="single" w:color="000000" w:sz="4" w:space="0"/>
              <w:right w:val="single" w:color="000000" w:sz="4" w:space="0"/>
            </w:tcBorders>
            <w:shd w:val="clear" w:color="auto" w:fill="auto"/>
            <w:vAlign w:val="center"/>
          </w:tcPr>
          <w:p w14:paraId="08808FFC">
            <w:pPr>
              <w:widowControl/>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西成药药嘱服务</w:t>
            </w: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C975">
            <w:pPr>
              <w:widowControl/>
              <w:numPr>
                <w:ilvl w:val="0"/>
                <w:numId w:val="5"/>
              </w:numPr>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数据自动对接：支持与HIS、EMR等系统实时交互，自动获取患者诊断、检验检查结果、当前及历史处方信息。</w:t>
            </w:r>
          </w:p>
          <w:p w14:paraId="5A97561D">
            <w:pPr>
              <w:widowControl/>
              <w:numPr>
                <w:ilvl w:val="0"/>
                <w:numId w:val="5"/>
              </w:numPr>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患者端查询：支持患者绑定个人信息后，通过医院公众号/小程序查看个人处方记录及用药指导。</w:t>
            </w:r>
          </w:p>
          <w:p w14:paraId="74925C84">
            <w:pPr>
              <w:widowControl/>
              <w:numPr>
                <w:ilvl w:val="0"/>
                <w:numId w:val="5"/>
              </w:numPr>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标准化用药指导生成：支持依据处方自动生成包含药品名称、适应证、用法用量、注意事项、储存条件、疗程等内容的个体化指导单。</w:t>
            </w:r>
          </w:p>
          <w:p w14:paraId="2941E8D7">
            <w:pPr>
              <w:widowControl/>
              <w:numPr>
                <w:ilvl w:val="0"/>
                <w:numId w:val="5"/>
              </w:numPr>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药师个性化干预：支持药师调取患者既往史、过敏史、用药史及特殊人群标识（孕妇、儿童、老人、肝肾功能不全者），编辑并推送个性化用药指导。</w:t>
            </w:r>
          </w:p>
          <w:p w14:paraId="70144CEA">
            <w:pPr>
              <w:widowControl/>
              <w:numPr>
                <w:ilvl w:val="0"/>
                <w:numId w:val="5"/>
              </w:numPr>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特殊人群智能提醒：系统应自动对特殊人群处方进行标注和提示。</w:t>
            </w:r>
          </w:p>
        </w:tc>
      </w:tr>
      <w:tr w14:paraId="1F2EA7AA">
        <w:tblPrEx>
          <w:tblCellMar>
            <w:top w:w="0" w:type="dxa"/>
            <w:left w:w="108" w:type="dxa"/>
            <w:bottom w:w="0" w:type="dxa"/>
            <w:right w:w="108" w:type="dxa"/>
          </w:tblCellMar>
        </w:tblPrEx>
        <w:trPr>
          <w:jc w:val="center"/>
        </w:trPr>
        <w:tc>
          <w:tcPr>
            <w:tcW w:w="1377" w:type="dxa"/>
            <w:vMerge w:val="continue"/>
            <w:tcBorders>
              <w:left w:val="single" w:color="000000" w:sz="4" w:space="0"/>
              <w:bottom w:val="single" w:color="000000" w:sz="4" w:space="0"/>
              <w:right w:val="single" w:color="000000" w:sz="4" w:space="0"/>
            </w:tcBorders>
            <w:shd w:val="clear" w:color="auto" w:fill="auto"/>
            <w:vAlign w:val="center"/>
          </w:tcPr>
          <w:p w14:paraId="600B4F5C">
            <w:pPr>
              <w:widowControl/>
              <w:jc w:val="left"/>
              <w:textAlignment w:val="center"/>
              <w:rPr>
                <w:rFonts w:ascii="宋体" w:hAnsi="宋体" w:eastAsia="宋体" w:cs="宋体"/>
                <w:color w:val="000000"/>
                <w:kern w:val="0"/>
                <w:szCs w:val="21"/>
                <w:highlight w:val="none"/>
                <w:lang w:bidi="ar"/>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F9AF">
            <w:pPr>
              <w:widowControl/>
              <w:numPr>
                <w:ilvl w:val="0"/>
                <w:numId w:val="5"/>
              </w:numPr>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统计报表：</w:t>
            </w:r>
          </w:p>
          <w:p w14:paraId="474F85DD">
            <w:pPr>
              <w:widowControl/>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①系统应自动统计服务覆盖率（已生成指导单处方数/总处方数），支持按时间、科室等维度筛选。</w:t>
            </w:r>
          </w:p>
          <w:p w14:paraId="1CFC929D">
            <w:pPr>
              <w:widowControl/>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② 系统应自动记录药师后台维护操作量、人工干预频次及原因分类，生成统计报表，为知识库优化提供依据。</w:t>
            </w:r>
          </w:p>
          <w:p w14:paraId="2E07F6E5">
            <w:pPr>
              <w:widowControl/>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③ 系统应支持向患者推送满意度调查，收集清晰度、有用性评分及文字反馈，并汇总评分趋势分析。</w:t>
            </w:r>
          </w:p>
        </w:tc>
      </w:tr>
      <w:tr w14:paraId="59C060CD">
        <w:tblPrEx>
          <w:tblCellMar>
            <w:top w:w="0" w:type="dxa"/>
            <w:left w:w="108" w:type="dxa"/>
            <w:bottom w:w="0" w:type="dxa"/>
            <w:right w:w="108" w:type="dxa"/>
          </w:tblCellMar>
        </w:tblPrEx>
        <w:trPr>
          <w:jc w:val="center"/>
        </w:trPr>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AB87">
            <w:pPr>
              <w:widowControl/>
              <w:jc w:val="left"/>
              <w:textAlignment w:val="center"/>
              <w:rPr>
                <w:rFonts w:ascii="宋体" w:hAnsi="宋体" w:eastAsia="宋体" w:cs="宋体"/>
                <w:color w:val="000000"/>
                <w:kern w:val="0"/>
                <w:szCs w:val="21"/>
                <w:highlight w:val="none"/>
                <w:lang w:bidi="ar"/>
              </w:rPr>
            </w:pPr>
          </w:p>
        </w:tc>
        <w:tc>
          <w:tcPr>
            <w:tcW w:w="6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E969">
            <w:pPr>
              <w:widowControl/>
              <w:numPr>
                <w:ilvl w:val="0"/>
                <w:numId w:val="5"/>
              </w:numPr>
              <w:jc w:val="left"/>
              <w:textAlignment w:val="center"/>
              <w:rPr>
                <w:rFonts w:ascii="宋体" w:hAnsi="宋体" w:eastAsia="宋体" w:cs="宋体"/>
                <w:color w:val="0000FF"/>
                <w:kern w:val="0"/>
                <w:szCs w:val="21"/>
                <w:highlight w:val="none"/>
                <w:lang w:bidi="ar"/>
              </w:rPr>
            </w:pPr>
            <w:r>
              <w:rPr>
                <w:rFonts w:hint="eastAsia" w:ascii="宋体" w:hAnsi="宋体" w:eastAsia="宋体" w:cs="宋体"/>
                <w:color w:val="000000"/>
                <w:kern w:val="0"/>
                <w:szCs w:val="21"/>
                <w:highlight w:val="none"/>
                <w:lang w:bidi="ar"/>
              </w:rPr>
              <w:t>数据维护：系统需提供维护界面，支持药师自主增、删、改药品品种及基础数据，并支持数据查看与管理；支持按最新版药品说明书更新并展示内容，确保知识库时效性。</w:t>
            </w:r>
          </w:p>
        </w:tc>
      </w:tr>
    </w:tbl>
    <w:p w14:paraId="6A4BB823">
      <w:pPr>
        <w:spacing w:before="312" w:beforeLines="100" w:line="360" w:lineRule="auto"/>
        <w:jc w:val="center"/>
        <w:rPr>
          <w:rFonts w:ascii="仿宋" w:hAnsi="仿宋" w:eastAsia="仿宋" w:cs="仿宋"/>
          <w:b/>
          <w:bCs/>
          <w:kern w:val="44"/>
          <w:sz w:val="24"/>
          <w:highlight w:val="none"/>
        </w:rPr>
      </w:pPr>
      <w:r>
        <w:rPr>
          <w:rFonts w:hint="eastAsia" w:ascii="仿宋" w:hAnsi="仿宋" w:eastAsia="仿宋" w:cs="仿宋"/>
          <w:b/>
          <w:bCs/>
          <w:kern w:val="44"/>
          <w:sz w:val="24"/>
          <w:highlight w:val="none"/>
        </w:rPr>
        <w:t>产品3智能取药柜</w:t>
      </w:r>
    </w:p>
    <w:p w14:paraId="7DCA69BB">
      <w:pPr>
        <w:spacing w:line="360" w:lineRule="auto"/>
        <w:rPr>
          <w:rFonts w:ascii="宋体" w:hAnsi="宋体" w:eastAsia="宋体"/>
          <w:b/>
          <w:bCs/>
          <w:szCs w:val="21"/>
          <w:highlight w:val="none"/>
        </w:rPr>
      </w:pPr>
      <w:r>
        <w:rPr>
          <w:rFonts w:hint="eastAsia" w:ascii="宋体" w:hAnsi="宋体" w:eastAsia="宋体"/>
          <w:b/>
          <w:bCs/>
          <w:szCs w:val="21"/>
          <w:highlight w:val="none"/>
        </w:rPr>
        <w:t>（一）智能自助取药柜场景效果</w:t>
      </w:r>
    </w:p>
    <w:p w14:paraId="2FF008A3">
      <w:pPr>
        <w:widowControl/>
        <w:numPr>
          <w:ilvl w:val="0"/>
          <w:numId w:val="6"/>
        </w:numPr>
        <w:spacing w:line="360" w:lineRule="auto"/>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患者凭处方或取药码，通过触屏输入或扫码方式，在自助取药柜完成身份验证并取药，全程无需人工干预。</w:t>
      </w:r>
    </w:p>
    <w:p w14:paraId="6FFC3C3B">
      <w:pPr>
        <w:widowControl/>
        <w:numPr>
          <w:ilvl w:val="0"/>
          <w:numId w:val="6"/>
        </w:numPr>
        <w:spacing w:line="360" w:lineRule="auto"/>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支持恒温药品（如中药饮片、需冷藏药品）与常温药品分柜存储，确保药品质量。</w:t>
      </w:r>
    </w:p>
    <w:p w14:paraId="14360239">
      <w:pPr>
        <w:widowControl/>
        <w:numPr>
          <w:ilvl w:val="0"/>
          <w:numId w:val="6"/>
        </w:numPr>
        <w:spacing w:line="360" w:lineRule="auto"/>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取药信息实时回传至中药房系统，实现取药状态同步，便于药师跟踪与管理。</w:t>
      </w:r>
    </w:p>
    <w:p w14:paraId="5A253A63">
      <w:pPr>
        <w:widowControl/>
        <w:numPr>
          <w:ilvl w:val="0"/>
          <w:numId w:val="6"/>
        </w:numPr>
        <w:spacing w:line="360" w:lineRule="auto"/>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支持短信通知患者取药，提升就医体验与效率。</w:t>
      </w:r>
    </w:p>
    <w:p w14:paraId="00F6F829">
      <w:pPr>
        <w:numPr>
          <w:ilvl w:val="0"/>
          <w:numId w:val="7"/>
        </w:numPr>
        <w:spacing w:line="360" w:lineRule="auto"/>
        <w:rPr>
          <w:rFonts w:ascii="宋体" w:hAnsi="宋体" w:eastAsia="宋体"/>
          <w:b/>
          <w:bCs/>
          <w:szCs w:val="21"/>
          <w:highlight w:val="none"/>
        </w:rPr>
      </w:pPr>
      <w:r>
        <w:rPr>
          <w:rFonts w:hint="eastAsia" w:ascii="宋体" w:hAnsi="宋体" w:eastAsia="宋体"/>
          <w:b/>
          <w:bCs/>
          <w:szCs w:val="21"/>
          <w:highlight w:val="none"/>
        </w:rPr>
        <w:t>建设内容</w:t>
      </w:r>
    </w:p>
    <w:p w14:paraId="71FBA75B">
      <w:pPr>
        <w:widowControl/>
        <w:numPr>
          <w:ilvl w:val="0"/>
          <w:numId w:val="6"/>
        </w:numPr>
        <w:spacing w:line="360" w:lineRule="auto"/>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部署1套自助取药柜，包含：1台主柜（常温）+3台副柜（恒温），72个格子。</w:t>
      </w:r>
    </w:p>
    <w:p w14:paraId="53F7823B">
      <w:pPr>
        <w:widowControl/>
        <w:numPr>
          <w:ilvl w:val="0"/>
          <w:numId w:val="6"/>
        </w:numPr>
        <w:wordWrap w:val="0"/>
        <w:topLinePunct/>
        <w:spacing w:line="360" w:lineRule="auto"/>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与医院中药房系统、短信平台对接，支持患者取药与药师管理功能，实现处方获取、状态回写与消息通知。</w:t>
      </w:r>
    </w:p>
    <w:p w14:paraId="1F34347D">
      <w:pPr>
        <w:numPr>
          <w:ilvl w:val="0"/>
          <w:numId w:val="7"/>
        </w:numPr>
        <w:spacing w:line="360" w:lineRule="auto"/>
        <w:rPr>
          <w:rFonts w:ascii="宋体" w:hAnsi="宋体" w:eastAsia="宋体"/>
          <w:b/>
          <w:bCs/>
          <w:szCs w:val="21"/>
          <w:highlight w:val="none"/>
        </w:rPr>
      </w:pPr>
      <w:r>
        <w:rPr>
          <w:rFonts w:hint="eastAsia" w:ascii="宋体" w:hAnsi="宋体" w:eastAsia="宋体"/>
          <w:b/>
          <w:bCs/>
          <w:szCs w:val="21"/>
          <w:highlight w:val="none"/>
        </w:rPr>
        <w:t>技术要求</w:t>
      </w:r>
    </w:p>
    <w:p w14:paraId="641E0F64">
      <w:pPr>
        <w:widowControl/>
        <w:numPr>
          <w:ilvl w:val="0"/>
          <w:numId w:val="6"/>
        </w:numPr>
        <w:wordWrap w:val="0"/>
        <w:topLinePunct/>
        <w:spacing w:line="360" w:lineRule="auto"/>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恒温柜体温度5-20℃可调，常温柜体为室内环境温度。</w:t>
      </w:r>
    </w:p>
    <w:p w14:paraId="0AC84BAB">
      <w:pPr>
        <w:widowControl/>
        <w:numPr>
          <w:ilvl w:val="0"/>
          <w:numId w:val="6"/>
        </w:numPr>
        <w:wordWrap w:val="0"/>
        <w:topLinePunct/>
        <w:spacing w:line="360" w:lineRule="auto"/>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支持触屏输入、条形码/二维码扫描验证。</w:t>
      </w:r>
    </w:p>
    <w:p w14:paraId="3835655E">
      <w:pPr>
        <w:widowControl/>
        <w:numPr>
          <w:ilvl w:val="0"/>
          <w:numId w:val="6"/>
        </w:numPr>
        <w:wordWrap w:val="0"/>
        <w:topLinePunct/>
        <w:spacing w:line="360" w:lineRule="auto"/>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具备仓位状态实时监测功能，支持异常报警（如门未关、温度异常）。</w:t>
      </w:r>
    </w:p>
    <w:p w14:paraId="760FD0CD">
      <w:pPr>
        <w:widowControl/>
        <w:numPr>
          <w:ilvl w:val="0"/>
          <w:numId w:val="6"/>
        </w:numPr>
        <w:wordWrap w:val="0"/>
        <w:topLinePunct/>
        <w:spacing w:line="360" w:lineRule="auto"/>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系统需支持7×24小时稳定运行，数据加密传输，保障患者隐私。</w:t>
      </w:r>
    </w:p>
    <w:p w14:paraId="16FA3786">
      <w:pPr>
        <w:numPr>
          <w:ilvl w:val="0"/>
          <w:numId w:val="7"/>
        </w:numPr>
        <w:spacing w:line="360" w:lineRule="auto"/>
        <w:rPr>
          <w:rFonts w:ascii="宋体" w:hAnsi="宋体" w:eastAsia="宋体"/>
          <w:b/>
          <w:bCs/>
          <w:szCs w:val="21"/>
          <w:highlight w:val="none"/>
        </w:rPr>
      </w:pPr>
      <w:r>
        <w:rPr>
          <w:rFonts w:hint="eastAsia" w:ascii="宋体" w:hAnsi="宋体" w:eastAsia="宋体"/>
          <w:b/>
          <w:bCs/>
          <w:szCs w:val="21"/>
          <w:highlight w:val="none"/>
        </w:rPr>
        <w:t>功能模块参数</w:t>
      </w:r>
    </w:p>
    <w:tbl>
      <w:tblPr>
        <w:tblStyle w:val="7"/>
        <w:tblW w:w="50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479"/>
        <w:gridCol w:w="1773"/>
        <w:gridCol w:w="5367"/>
      </w:tblGrid>
      <w:tr w14:paraId="023C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blHeader/>
        </w:trPr>
        <w:tc>
          <w:tcPr>
            <w:tcW w:w="1478" w:type="dxa"/>
            <w:tcMar>
              <w:top w:w="150" w:type="dxa"/>
              <w:left w:w="0" w:type="dxa"/>
              <w:bottom w:w="150" w:type="dxa"/>
              <w:right w:w="240" w:type="dxa"/>
            </w:tcMar>
            <w:vAlign w:val="center"/>
          </w:tcPr>
          <w:p w14:paraId="7965E3E8">
            <w:pPr>
              <w:jc w:val="center"/>
              <w:rPr>
                <w:rFonts w:hint="eastAsia" w:ascii="宋体" w:hAnsi="宋体" w:eastAsia="宋体" w:cs="宋体"/>
                <w:szCs w:val="21"/>
                <w:highlight w:val="none"/>
              </w:rPr>
            </w:pPr>
            <w:r>
              <w:rPr>
                <w:rFonts w:hint="eastAsia" w:ascii="宋体" w:hAnsi="宋体" w:eastAsia="宋体" w:cs="宋体"/>
                <w:szCs w:val="21"/>
                <w:highlight w:val="none"/>
              </w:rPr>
              <w:t>模块</w:t>
            </w:r>
          </w:p>
        </w:tc>
        <w:tc>
          <w:tcPr>
            <w:tcW w:w="1772" w:type="dxa"/>
            <w:tcMar>
              <w:top w:w="150" w:type="dxa"/>
              <w:left w:w="240" w:type="dxa"/>
              <w:bottom w:w="150" w:type="dxa"/>
              <w:right w:w="240" w:type="dxa"/>
            </w:tcMar>
            <w:vAlign w:val="center"/>
          </w:tcPr>
          <w:p w14:paraId="0872ABF6">
            <w:pPr>
              <w:jc w:val="center"/>
              <w:rPr>
                <w:rFonts w:hint="eastAsia" w:ascii="宋体" w:hAnsi="宋体" w:eastAsia="宋体" w:cs="宋体"/>
                <w:szCs w:val="21"/>
                <w:highlight w:val="none"/>
              </w:rPr>
            </w:pPr>
            <w:r>
              <w:rPr>
                <w:rFonts w:hint="eastAsia" w:ascii="宋体" w:hAnsi="宋体" w:eastAsia="宋体" w:cs="宋体"/>
                <w:szCs w:val="21"/>
                <w:highlight w:val="none"/>
              </w:rPr>
              <w:t>功能点</w:t>
            </w:r>
          </w:p>
        </w:tc>
        <w:tc>
          <w:tcPr>
            <w:tcW w:w="5366" w:type="dxa"/>
            <w:tcMar>
              <w:top w:w="150" w:type="dxa"/>
              <w:left w:w="240" w:type="dxa"/>
              <w:bottom w:w="150" w:type="dxa"/>
              <w:right w:w="240" w:type="dxa"/>
            </w:tcMar>
            <w:vAlign w:val="center"/>
          </w:tcPr>
          <w:p w14:paraId="70153B1E">
            <w:pPr>
              <w:jc w:val="center"/>
              <w:rPr>
                <w:rFonts w:hint="eastAsia" w:ascii="宋体" w:hAnsi="宋体" w:eastAsia="宋体" w:cs="宋体"/>
                <w:szCs w:val="21"/>
                <w:highlight w:val="none"/>
              </w:rPr>
            </w:pPr>
            <w:r>
              <w:rPr>
                <w:rFonts w:hint="eastAsia" w:ascii="宋体" w:hAnsi="宋体" w:eastAsia="宋体" w:cs="宋体"/>
                <w:szCs w:val="21"/>
                <w:highlight w:val="none"/>
              </w:rPr>
              <w:t>描述</w:t>
            </w:r>
          </w:p>
        </w:tc>
      </w:tr>
      <w:tr w14:paraId="4F8A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1478" w:type="dxa"/>
            <w:vMerge w:val="restart"/>
            <w:tcMar>
              <w:top w:w="150" w:type="dxa"/>
              <w:left w:w="0" w:type="dxa"/>
              <w:bottom w:w="150" w:type="dxa"/>
              <w:right w:w="240" w:type="dxa"/>
            </w:tcMar>
            <w:vAlign w:val="center"/>
          </w:tcPr>
          <w:p w14:paraId="7C6BCA10">
            <w:pPr>
              <w:jc w:val="center"/>
              <w:rPr>
                <w:rFonts w:hint="eastAsia" w:ascii="宋体" w:hAnsi="宋体" w:eastAsia="宋体" w:cs="宋体"/>
                <w:szCs w:val="21"/>
                <w:highlight w:val="none"/>
              </w:rPr>
            </w:pPr>
            <w:r>
              <w:rPr>
                <w:rFonts w:hint="eastAsia" w:ascii="宋体" w:hAnsi="宋体" w:eastAsia="宋体" w:cs="宋体"/>
                <w:szCs w:val="21"/>
                <w:highlight w:val="none"/>
              </w:rPr>
              <w:t>普通用户</w:t>
            </w:r>
          </w:p>
        </w:tc>
        <w:tc>
          <w:tcPr>
            <w:tcW w:w="1772" w:type="dxa"/>
            <w:tcMar>
              <w:top w:w="150" w:type="dxa"/>
              <w:left w:w="240" w:type="dxa"/>
              <w:bottom w:w="150" w:type="dxa"/>
              <w:right w:w="240" w:type="dxa"/>
            </w:tcMar>
            <w:vAlign w:val="center"/>
          </w:tcPr>
          <w:p w14:paraId="39D5152F">
            <w:pPr>
              <w:jc w:val="center"/>
              <w:rPr>
                <w:rFonts w:hint="eastAsia" w:ascii="宋体" w:hAnsi="宋体" w:eastAsia="宋体" w:cs="宋体"/>
                <w:szCs w:val="21"/>
                <w:highlight w:val="none"/>
              </w:rPr>
            </w:pPr>
            <w:r>
              <w:rPr>
                <w:rFonts w:hint="eastAsia" w:ascii="宋体" w:hAnsi="宋体" w:eastAsia="宋体" w:cs="宋体"/>
                <w:szCs w:val="21"/>
                <w:highlight w:val="none"/>
              </w:rPr>
              <w:t>输入支持</w:t>
            </w:r>
          </w:p>
        </w:tc>
        <w:tc>
          <w:tcPr>
            <w:tcW w:w="5366" w:type="dxa"/>
            <w:tcMar>
              <w:top w:w="150" w:type="dxa"/>
              <w:left w:w="240" w:type="dxa"/>
              <w:bottom w:w="150" w:type="dxa"/>
              <w:right w:w="240" w:type="dxa"/>
            </w:tcMar>
            <w:vAlign w:val="center"/>
          </w:tcPr>
          <w:p w14:paraId="22572779">
            <w:pPr>
              <w:jc w:val="left"/>
              <w:rPr>
                <w:rFonts w:hint="eastAsia" w:ascii="宋体" w:hAnsi="宋体" w:eastAsia="宋体" w:cs="宋体"/>
                <w:szCs w:val="21"/>
                <w:highlight w:val="none"/>
              </w:rPr>
            </w:pPr>
            <w:r>
              <w:rPr>
                <w:rFonts w:hint="eastAsia" w:ascii="宋体" w:hAnsi="宋体" w:eastAsia="宋体" w:cs="宋体"/>
                <w:szCs w:val="21"/>
                <w:highlight w:val="none"/>
              </w:rPr>
              <w:t>7.11支持触屏手动输入取药信息</w:t>
            </w:r>
          </w:p>
        </w:tc>
      </w:tr>
      <w:tr w14:paraId="5C9A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1478" w:type="dxa"/>
            <w:vMerge w:val="continue"/>
            <w:tcMar>
              <w:top w:w="150" w:type="dxa"/>
              <w:left w:w="0" w:type="dxa"/>
              <w:bottom w:w="150" w:type="dxa"/>
              <w:right w:w="240" w:type="dxa"/>
            </w:tcMar>
            <w:vAlign w:val="center"/>
          </w:tcPr>
          <w:p w14:paraId="7A136DAB">
            <w:pPr>
              <w:jc w:val="center"/>
              <w:rPr>
                <w:rFonts w:hint="eastAsia" w:ascii="宋体" w:hAnsi="宋体" w:eastAsia="宋体" w:cs="宋体"/>
                <w:szCs w:val="21"/>
                <w:highlight w:val="none"/>
              </w:rPr>
            </w:pPr>
          </w:p>
        </w:tc>
        <w:tc>
          <w:tcPr>
            <w:tcW w:w="1772" w:type="dxa"/>
            <w:tcMar>
              <w:top w:w="150" w:type="dxa"/>
              <w:left w:w="240" w:type="dxa"/>
              <w:bottom w:w="150" w:type="dxa"/>
              <w:right w:w="240" w:type="dxa"/>
            </w:tcMar>
            <w:vAlign w:val="center"/>
          </w:tcPr>
          <w:p w14:paraId="22A9CCEB">
            <w:pPr>
              <w:jc w:val="center"/>
              <w:rPr>
                <w:rFonts w:hint="eastAsia" w:ascii="宋体" w:hAnsi="宋体" w:eastAsia="宋体" w:cs="宋体"/>
                <w:szCs w:val="21"/>
                <w:highlight w:val="none"/>
              </w:rPr>
            </w:pPr>
            <w:r>
              <w:rPr>
                <w:rFonts w:hint="eastAsia" w:ascii="宋体" w:hAnsi="宋体" w:eastAsia="宋体" w:cs="宋体"/>
                <w:szCs w:val="21"/>
                <w:highlight w:val="none"/>
              </w:rPr>
              <w:t>扫码支持</w:t>
            </w:r>
          </w:p>
        </w:tc>
        <w:tc>
          <w:tcPr>
            <w:tcW w:w="5366" w:type="dxa"/>
            <w:tcMar>
              <w:top w:w="150" w:type="dxa"/>
              <w:left w:w="240" w:type="dxa"/>
              <w:bottom w:w="150" w:type="dxa"/>
              <w:right w:w="240" w:type="dxa"/>
            </w:tcMar>
            <w:vAlign w:val="center"/>
          </w:tcPr>
          <w:p w14:paraId="2474740A">
            <w:pPr>
              <w:jc w:val="left"/>
              <w:rPr>
                <w:rFonts w:hint="eastAsia" w:ascii="宋体" w:hAnsi="宋体" w:eastAsia="宋体" w:cs="宋体"/>
                <w:szCs w:val="21"/>
                <w:highlight w:val="none"/>
              </w:rPr>
            </w:pPr>
            <w:r>
              <w:rPr>
                <w:rFonts w:hint="eastAsia" w:ascii="宋体" w:hAnsi="宋体" w:eastAsia="宋体" w:cs="宋体"/>
                <w:szCs w:val="21"/>
                <w:highlight w:val="none"/>
              </w:rPr>
              <w:t>7.12支持扫描条形码、二维码</w:t>
            </w:r>
          </w:p>
        </w:tc>
      </w:tr>
      <w:tr w14:paraId="0D3E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1478" w:type="dxa"/>
            <w:vMerge w:val="continue"/>
            <w:tcMar>
              <w:top w:w="150" w:type="dxa"/>
              <w:left w:w="0" w:type="dxa"/>
              <w:bottom w:w="150" w:type="dxa"/>
              <w:right w:w="240" w:type="dxa"/>
            </w:tcMar>
            <w:vAlign w:val="center"/>
          </w:tcPr>
          <w:p w14:paraId="633B1EB5">
            <w:pPr>
              <w:jc w:val="center"/>
              <w:rPr>
                <w:rFonts w:hint="eastAsia" w:ascii="宋体" w:hAnsi="宋体" w:eastAsia="宋体" w:cs="宋体"/>
                <w:szCs w:val="21"/>
                <w:highlight w:val="none"/>
              </w:rPr>
            </w:pPr>
          </w:p>
        </w:tc>
        <w:tc>
          <w:tcPr>
            <w:tcW w:w="1772" w:type="dxa"/>
            <w:tcMar>
              <w:top w:w="150" w:type="dxa"/>
              <w:left w:w="240" w:type="dxa"/>
              <w:bottom w:w="150" w:type="dxa"/>
              <w:right w:w="240" w:type="dxa"/>
            </w:tcMar>
            <w:vAlign w:val="center"/>
          </w:tcPr>
          <w:p w14:paraId="4584633F">
            <w:pPr>
              <w:jc w:val="center"/>
              <w:rPr>
                <w:rFonts w:hint="eastAsia" w:ascii="宋体" w:hAnsi="宋体" w:eastAsia="宋体" w:cs="宋体"/>
                <w:szCs w:val="21"/>
                <w:highlight w:val="none"/>
              </w:rPr>
            </w:pPr>
            <w:r>
              <w:rPr>
                <w:rFonts w:hint="eastAsia" w:ascii="宋体" w:hAnsi="宋体" w:eastAsia="宋体" w:cs="宋体"/>
                <w:szCs w:val="21"/>
                <w:highlight w:val="none"/>
              </w:rPr>
              <w:t>取药操作</w:t>
            </w:r>
          </w:p>
        </w:tc>
        <w:tc>
          <w:tcPr>
            <w:tcW w:w="5366" w:type="dxa"/>
            <w:tcMar>
              <w:top w:w="150" w:type="dxa"/>
              <w:left w:w="240" w:type="dxa"/>
              <w:bottom w:w="150" w:type="dxa"/>
              <w:right w:w="240" w:type="dxa"/>
            </w:tcMar>
            <w:vAlign w:val="center"/>
          </w:tcPr>
          <w:p w14:paraId="6916044C">
            <w:pPr>
              <w:jc w:val="left"/>
              <w:rPr>
                <w:rFonts w:hint="eastAsia" w:ascii="宋体" w:hAnsi="宋体" w:eastAsia="宋体" w:cs="宋体"/>
                <w:szCs w:val="21"/>
                <w:highlight w:val="none"/>
              </w:rPr>
            </w:pPr>
            <w:r>
              <w:rPr>
                <w:rFonts w:hint="eastAsia" w:ascii="宋体" w:hAnsi="宋体" w:eastAsia="宋体" w:cs="宋体"/>
                <w:szCs w:val="21"/>
                <w:highlight w:val="none"/>
              </w:rPr>
              <w:t>7.13支持自动检索并打开对应仓位，提示取药</w:t>
            </w:r>
          </w:p>
        </w:tc>
      </w:tr>
      <w:tr w14:paraId="3FB3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1478" w:type="dxa"/>
            <w:vMerge w:val="restart"/>
            <w:tcMar>
              <w:top w:w="150" w:type="dxa"/>
              <w:left w:w="0" w:type="dxa"/>
              <w:bottom w:w="150" w:type="dxa"/>
              <w:right w:w="240" w:type="dxa"/>
            </w:tcMar>
            <w:vAlign w:val="center"/>
          </w:tcPr>
          <w:p w14:paraId="00034FD1">
            <w:pPr>
              <w:jc w:val="center"/>
              <w:rPr>
                <w:rFonts w:hint="eastAsia" w:ascii="宋体" w:hAnsi="宋体" w:eastAsia="宋体" w:cs="宋体"/>
                <w:szCs w:val="21"/>
                <w:highlight w:val="none"/>
              </w:rPr>
            </w:pPr>
            <w:r>
              <w:rPr>
                <w:rFonts w:hint="eastAsia" w:ascii="宋体" w:hAnsi="宋体" w:eastAsia="宋体" w:cs="宋体"/>
                <w:szCs w:val="21"/>
                <w:highlight w:val="none"/>
              </w:rPr>
              <w:t>管理人员</w:t>
            </w:r>
          </w:p>
        </w:tc>
        <w:tc>
          <w:tcPr>
            <w:tcW w:w="1772" w:type="dxa"/>
            <w:tcMar>
              <w:top w:w="150" w:type="dxa"/>
              <w:left w:w="240" w:type="dxa"/>
              <w:bottom w:w="150" w:type="dxa"/>
              <w:right w:w="240" w:type="dxa"/>
            </w:tcMar>
            <w:vAlign w:val="center"/>
          </w:tcPr>
          <w:p w14:paraId="3A981B66">
            <w:pPr>
              <w:jc w:val="center"/>
              <w:rPr>
                <w:rFonts w:hint="eastAsia" w:ascii="宋体" w:hAnsi="宋体" w:eastAsia="宋体" w:cs="宋体"/>
                <w:szCs w:val="21"/>
                <w:highlight w:val="none"/>
              </w:rPr>
            </w:pPr>
            <w:r>
              <w:rPr>
                <w:rFonts w:hint="eastAsia" w:ascii="宋体" w:hAnsi="宋体" w:eastAsia="宋体" w:cs="宋体"/>
                <w:szCs w:val="21"/>
                <w:highlight w:val="none"/>
              </w:rPr>
              <w:t>登录</w:t>
            </w:r>
          </w:p>
        </w:tc>
        <w:tc>
          <w:tcPr>
            <w:tcW w:w="5366" w:type="dxa"/>
            <w:tcMar>
              <w:top w:w="150" w:type="dxa"/>
              <w:left w:w="240" w:type="dxa"/>
              <w:bottom w:w="150" w:type="dxa"/>
              <w:right w:w="240" w:type="dxa"/>
            </w:tcMar>
            <w:vAlign w:val="center"/>
          </w:tcPr>
          <w:p w14:paraId="7FD659B2">
            <w:pPr>
              <w:jc w:val="left"/>
              <w:rPr>
                <w:rFonts w:hint="eastAsia" w:ascii="宋体" w:hAnsi="宋体" w:eastAsia="宋体" w:cs="宋体"/>
                <w:szCs w:val="21"/>
                <w:highlight w:val="none"/>
              </w:rPr>
            </w:pPr>
            <w:r>
              <w:rPr>
                <w:rFonts w:hint="eastAsia" w:ascii="宋体" w:hAnsi="宋体" w:eastAsia="宋体" w:cs="宋体"/>
                <w:szCs w:val="21"/>
                <w:highlight w:val="none"/>
              </w:rPr>
              <w:t>7.14支持账号密码登录管理界面</w:t>
            </w:r>
          </w:p>
        </w:tc>
      </w:tr>
      <w:tr w14:paraId="737F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1478" w:type="dxa"/>
            <w:vMerge w:val="continue"/>
            <w:tcMar>
              <w:top w:w="150" w:type="dxa"/>
              <w:left w:w="0" w:type="dxa"/>
              <w:bottom w:w="150" w:type="dxa"/>
              <w:right w:w="240" w:type="dxa"/>
            </w:tcMar>
            <w:vAlign w:val="center"/>
          </w:tcPr>
          <w:p w14:paraId="370C391F">
            <w:pPr>
              <w:jc w:val="center"/>
              <w:rPr>
                <w:rFonts w:hint="eastAsia" w:ascii="宋体" w:hAnsi="宋体" w:eastAsia="宋体" w:cs="宋体"/>
                <w:szCs w:val="21"/>
                <w:highlight w:val="none"/>
              </w:rPr>
            </w:pPr>
          </w:p>
        </w:tc>
        <w:tc>
          <w:tcPr>
            <w:tcW w:w="1772" w:type="dxa"/>
            <w:tcMar>
              <w:top w:w="150" w:type="dxa"/>
              <w:left w:w="240" w:type="dxa"/>
              <w:bottom w:w="150" w:type="dxa"/>
              <w:right w:w="240" w:type="dxa"/>
            </w:tcMar>
            <w:vAlign w:val="center"/>
          </w:tcPr>
          <w:p w14:paraId="537A1032">
            <w:pPr>
              <w:jc w:val="center"/>
              <w:rPr>
                <w:rFonts w:hint="eastAsia" w:ascii="宋体" w:hAnsi="宋体" w:eastAsia="宋体" w:cs="宋体"/>
                <w:szCs w:val="21"/>
                <w:highlight w:val="none"/>
              </w:rPr>
            </w:pPr>
            <w:r>
              <w:rPr>
                <w:rFonts w:hint="eastAsia" w:ascii="宋体" w:hAnsi="宋体" w:eastAsia="宋体" w:cs="宋体"/>
                <w:szCs w:val="21"/>
                <w:highlight w:val="none"/>
              </w:rPr>
              <w:t>信息查询</w:t>
            </w:r>
          </w:p>
        </w:tc>
        <w:tc>
          <w:tcPr>
            <w:tcW w:w="5366" w:type="dxa"/>
            <w:tcMar>
              <w:top w:w="150" w:type="dxa"/>
              <w:left w:w="240" w:type="dxa"/>
              <w:bottom w:w="150" w:type="dxa"/>
              <w:right w:w="240" w:type="dxa"/>
            </w:tcMar>
            <w:vAlign w:val="center"/>
          </w:tcPr>
          <w:p w14:paraId="61346D39">
            <w:pPr>
              <w:jc w:val="left"/>
              <w:rPr>
                <w:rFonts w:hint="eastAsia" w:ascii="宋体" w:hAnsi="宋体" w:eastAsia="宋体" w:cs="宋体"/>
                <w:szCs w:val="21"/>
                <w:highlight w:val="none"/>
              </w:rPr>
            </w:pPr>
            <w:r>
              <w:rPr>
                <w:rFonts w:hint="eastAsia" w:ascii="宋体" w:hAnsi="宋体" w:eastAsia="宋体" w:cs="宋体"/>
                <w:szCs w:val="21"/>
                <w:highlight w:val="none"/>
              </w:rPr>
              <w:t>7.15支持查看仓位使用情况、药品信息</w:t>
            </w:r>
          </w:p>
        </w:tc>
      </w:tr>
      <w:tr w14:paraId="12C4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1478" w:type="dxa"/>
            <w:vMerge w:val="continue"/>
            <w:tcMar>
              <w:top w:w="150" w:type="dxa"/>
              <w:left w:w="0" w:type="dxa"/>
              <w:bottom w:w="150" w:type="dxa"/>
              <w:right w:w="240" w:type="dxa"/>
            </w:tcMar>
            <w:vAlign w:val="center"/>
          </w:tcPr>
          <w:p w14:paraId="3E2EFB40">
            <w:pPr>
              <w:jc w:val="center"/>
              <w:rPr>
                <w:rFonts w:hint="eastAsia" w:ascii="宋体" w:hAnsi="宋体" w:eastAsia="宋体" w:cs="宋体"/>
                <w:szCs w:val="21"/>
                <w:highlight w:val="none"/>
              </w:rPr>
            </w:pPr>
          </w:p>
        </w:tc>
        <w:tc>
          <w:tcPr>
            <w:tcW w:w="1772" w:type="dxa"/>
            <w:tcMar>
              <w:top w:w="150" w:type="dxa"/>
              <w:left w:w="240" w:type="dxa"/>
              <w:bottom w:w="150" w:type="dxa"/>
              <w:right w:w="240" w:type="dxa"/>
            </w:tcMar>
            <w:vAlign w:val="center"/>
          </w:tcPr>
          <w:p w14:paraId="560528ED">
            <w:pPr>
              <w:jc w:val="center"/>
              <w:rPr>
                <w:rFonts w:hint="eastAsia" w:ascii="宋体" w:hAnsi="宋体" w:eastAsia="宋体" w:cs="宋体"/>
                <w:szCs w:val="21"/>
                <w:highlight w:val="none"/>
              </w:rPr>
            </w:pPr>
            <w:r>
              <w:rPr>
                <w:rFonts w:hint="eastAsia" w:ascii="宋体" w:hAnsi="宋体" w:eastAsia="宋体" w:cs="宋体"/>
                <w:szCs w:val="21"/>
                <w:highlight w:val="none"/>
              </w:rPr>
              <w:t>入库操作</w:t>
            </w:r>
          </w:p>
        </w:tc>
        <w:tc>
          <w:tcPr>
            <w:tcW w:w="5366" w:type="dxa"/>
            <w:tcMar>
              <w:top w:w="150" w:type="dxa"/>
              <w:left w:w="240" w:type="dxa"/>
              <w:bottom w:w="150" w:type="dxa"/>
              <w:right w:w="240" w:type="dxa"/>
            </w:tcMar>
            <w:vAlign w:val="center"/>
          </w:tcPr>
          <w:p w14:paraId="2B99CEFE">
            <w:pPr>
              <w:jc w:val="left"/>
              <w:rPr>
                <w:rFonts w:hint="eastAsia" w:ascii="宋体" w:hAnsi="宋体" w:eastAsia="宋体" w:cs="宋体"/>
                <w:szCs w:val="21"/>
                <w:highlight w:val="none"/>
              </w:rPr>
            </w:pPr>
            <w:r>
              <w:rPr>
                <w:rFonts w:hint="eastAsia" w:ascii="宋体" w:hAnsi="宋体" w:eastAsia="宋体" w:cs="宋体"/>
                <w:szCs w:val="21"/>
                <w:highlight w:val="none"/>
              </w:rPr>
              <w:t>7.16支持扫描处方码，自动分配仓位并打开</w:t>
            </w:r>
          </w:p>
        </w:tc>
      </w:tr>
      <w:tr w14:paraId="3BC8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1478" w:type="dxa"/>
            <w:vMerge w:val="continue"/>
            <w:tcMar>
              <w:top w:w="150" w:type="dxa"/>
              <w:left w:w="0" w:type="dxa"/>
              <w:bottom w:w="150" w:type="dxa"/>
              <w:right w:w="240" w:type="dxa"/>
            </w:tcMar>
            <w:vAlign w:val="center"/>
          </w:tcPr>
          <w:p w14:paraId="630425C3">
            <w:pPr>
              <w:jc w:val="center"/>
              <w:rPr>
                <w:rFonts w:hint="eastAsia" w:ascii="宋体" w:hAnsi="宋体" w:eastAsia="宋体" w:cs="宋体"/>
                <w:szCs w:val="21"/>
                <w:highlight w:val="none"/>
              </w:rPr>
            </w:pPr>
          </w:p>
        </w:tc>
        <w:tc>
          <w:tcPr>
            <w:tcW w:w="1772" w:type="dxa"/>
            <w:tcMar>
              <w:top w:w="150" w:type="dxa"/>
              <w:left w:w="240" w:type="dxa"/>
              <w:bottom w:w="150" w:type="dxa"/>
              <w:right w:w="240" w:type="dxa"/>
            </w:tcMar>
            <w:vAlign w:val="center"/>
          </w:tcPr>
          <w:p w14:paraId="71C294E0">
            <w:pPr>
              <w:jc w:val="center"/>
              <w:rPr>
                <w:rFonts w:hint="eastAsia" w:ascii="宋体" w:hAnsi="宋体" w:eastAsia="宋体" w:cs="宋体"/>
                <w:szCs w:val="21"/>
                <w:highlight w:val="none"/>
              </w:rPr>
            </w:pPr>
            <w:r>
              <w:rPr>
                <w:rFonts w:hint="eastAsia" w:ascii="宋体" w:hAnsi="宋体" w:eastAsia="宋体" w:cs="宋体"/>
                <w:szCs w:val="21"/>
                <w:highlight w:val="none"/>
              </w:rPr>
              <w:t>出库操作</w:t>
            </w:r>
          </w:p>
        </w:tc>
        <w:tc>
          <w:tcPr>
            <w:tcW w:w="5366" w:type="dxa"/>
            <w:tcMar>
              <w:top w:w="150" w:type="dxa"/>
              <w:left w:w="240" w:type="dxa"/>
              <w:bottom w:w="150" w:type="dxa"/>
              <w:right w:w="240" w:type="dxa"/>
            </w:tcMar>
            <w:vAlign w:val="center"/>
          </w:tcPr>
          <w:p w14:paraId="72E5D1D4">
            <w:pPr>
              <w:jc w:val="left"/>
              <w:rPr>
                <w:rFonts w:hint="eastAsia" w:ascii="宋体" w:hAnsi="宋体" w:eastAsia="宋体" w:cs="宋体"/>
                <w:szCs w:val="21"/>
                <w:highlight w:val="none"/>
              </w:rPr>
            </w:pPr>
            <w:r>
              <w:rPr>
                <w:rFonts w:hint="eastAsia" w:ascii="宋体" w:hAnsi="宋体" w:eastAsia="宋体" w:cs="宋体"/>
                <w:szCs w:val="21"/>
                <w:highlight w:val="none"/>
              </w:rPr>
              <w:t>7.17支持可以打开指定仓位，进行出库操作</w:t>
            </w:r>
          </w:p>
        </w:tc>
      </w:tr>
      <w:tr w14:paraId="011E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1478" w:type="dxa"/>
            <w:vMerge w:val="continue"/>
            <w:tcMar>
              <w:top w:w="150" w:type="dxa"/>
              <w:left w:w="0" w:type="dxa"/>
              <w:bottom w:w="150" w:type="dxa"/>
              <w:right w:w="240" w:type="dxa"/>
            </w:tcMar>
            <w:vAlign w:val="center"/>
          </w:tcPr>
          <w:p w14:paraId="409E1F2D">
            <w:pPr>
              <w:jc w:val="center"/>
              <w:rPr>
                <w:rFonts w:hint="eastAsia" w:ascii="宋体" w:hAnsi="宋体" w:eastAsia="宋体" w:cs="宋体"/>
                <w:szCs w:val="21"/>
                <w:highlight w:val="none"/>
              </w:rPr>
            </w:pPr>
          </w:p>
        </w:tc>
        <w:tc>
          <w:tcPr>
            <w:tcW w:w="1772" w:type="dxa"/>
            <w:tcMar>
              <w:top w:w="150" w:type="dxa"/>
              <w:left w:w="240" w:type="dxa"/>
              <w:bottom w:w="150" w:type="dxa"/>
              <w:right w:w="240" w:type="dxa"/>
            </w:tcMar>
            <w:vAlign w:val="center"/>
          </w:tcPr>
          <w:p w14:paraId="7F3742B8">
            <w:pPr>
              <w:jc w:val="center"/>
              <w:rPr>
                <w:rFonts w:hint="eastAsia" w:ascii="宋体" w:hAnsi="宋体" w:eastAsia="宋体" w:cs="宋体"/>
                <w:szCs w:val="21"/>
                <w:highlight w:val="none"/>
              </w:rPr>
            </w:pPr>
            <w:r>
              <w:rPr>
                <w:rFonts w:hint="eastAsia" w:ascii="宋体" w:hAnsi="宋体" w:eastAsia="宋体" w:cs="宋体"/>
                <w:szCs w:val="21"/>
                <w:highlight w:val="none"/>
              </w:rPr>
              <w:t>记录查询</w:t>
            </w:r>
          </w:p>
        </w:tc>
        <w:tc>
          <w:tcPr>
            <w:tcW w:w="5366" w:type="dxa"/>
            <w:tcMar>
              <w:top w:w="150" w:type="dxa"/>
              <w:left w:w="240" w:type="dxa"/>
              <w:bottom w:w="150" w:type="dxa"/>
              <w:right w:w="240" w:type="dxa"/>
            </w:tcMar>
            <w:vAlign w:val="center"/>
          </w:tcPr>
          <w:p w14:paraId="65D65737">
            <w:pPr>
              <w:jc w:val="left"/>
              <w:rPr>
                <w:rFonts w:hint="eastAsia" w:ascii="宋体" w:hAnsi="宋体" w:eastAsia="宋体" w:cs="宋体"/>
                <w:szCs w:val="21"/>
                <w:highlight w:val="none"/>
              </w:rPr>
            </w:pPr>
            <w:r>
              <w:rPr>
                <w:rFonts w:hint="eastAsia" w:ascii="宋体" w:hAnsi="宋体" w:eastAsia="宋体" w:cs="宋体"/>
                <w:szCs w:val="21"/>
                <w:highlight w:val="none"/>
              </w:rPr>
              <w:t>7.18支持查看所有操作记录，支持按仓位筛选</w:t>
            </w:r>
          </w:p>
        </w:tc>
      </w:tr>
      <w:tr w14:paraId="2D139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1478" w:type="dxa"/>
            <w:vMerge w:val="restart"/>
            <w:tcMar>
              <w:top w:w="150" w:type="dxa"/>
              <w:left w:w="0" w:type="dxa"/>
              <w:bottom w:w="150" w:type="dxa"/>
              <w:right w:w="240" w:type="dxa"/>
            </w:tcMar>
            <w:vAlign w:val="center"/>
          </w:tcPr>
          <w:p w14:paraId="14996E95">
            <w:pPr>
              <w:jc w:val="center"/>
              <w:rPr>
                <w:rFonts w:hint="eastAsia" w:ascii="宋体" w:hAnsi="宋体" w:eastAsia="宋体" w:cs="宋体"/>
                <w:szCs w:val="21"/>
                <w:highlight w:val="none"/>
              </w:rPr>
            </w:pPr>
            <w:r>
              <w:rPr>
                <w:rFonts w:hint="eastAsia" w:ascii="宋体" w:hAnsi="宋体" w:eastAsia="宋体" w:cs="宋体"/>
                <w:szCs w:val="21"/>
                <w:highlight w:val="none"/>
              </w:rPr>
              <w:t>系统对接</w:t>
            </w:r>
          </w:p>
        </w:tc>
        <w:tc>
          <w:tcPr>
            <w:tcW w:w="1772" w:type="dxa"/>
            <w:tcMar>
              <w:top w:w="150" w:type="dxa"/>
              <w:left w:w="240" w:type="dxa"/>
              <w:bottom w:w="150" w:type="dxa"/>
              <w:right w:w="240" w:type="dxa"/>
            </w:tcMar>
            <w:vAlign w:val="center"/>
          </w:tcPr>
          <w:p w14:paraId="6493C44C">
            <w:pPr>
              <w:jc w:val="center"/>
              <w:rPr>
                <w:rFonts w:hint="eastAsia" w:ascii="宋体" w:hAnsi="宋体" w:eastAsia="宋体" w:cs="宋体"/>
                <w:szCs w:val="21"/>
                <w:highlight w:val="none"/>
              </w:rPr>
            </w:pPr>
            <w:r>
              <w:rPr>
                <w:rFonts w:hint="eastAsia" w:ascii="宋体" w:hAnsi="宋体" w:eastAsia="宋体" w:cs="宋体"/>
                <w:szCs w:val="21"/>
                <w:highlight w:val="none"/>
              </w:rPr>
              <w:t>处方获取</w:t>
            </w:r>
          </w:p>
        </w:tc>
        <w:tc>
          <w:tcPr>
            <w:tcW w:w="5366" w:type="dxa"/>
            <w:tcMar>
              <w:top w:w="150" w:type="dxa"/>
              <w:left w:w="240" w:type="dxa"/>
              <w:bottom w:w="150" w:type="dxa"/>
              <w:right w:w="240" w:type="dxa"/>
            </w:tcMar>
            <w:vAlign w:val="center"/>
          </w:tcPr>
          <w:p w14:paraId="7E8F69A7">
            <w:pPr>
              <w:jc w:val="left"/>
              <w:rPr>
                <w:rFonts w:hint="eastAsia" w:ascii="宋体" w:hAnsi="宋体" w:eastAsia="宋体" w:cs="宋体"/>
                <w:szCs w:val="21"/>
                <w:highlight w:val="none"/>
              </w:rPr>
            </w:pPr>
            <w:r>
              <w:rPr>
                <w:rFonts w:hint="eastAsia" w:ascii="宋体" w:hAnsi="宋体" w:eastAsia="宋体" w:cs="宋体"/>
                <w:szCs w:val="21"/>
                <w:highlight w:val="none"/>
              </w:rPr>
              <w:t>7.19支持从医院智慧中药房相关系统获取处方信息</w:t>
            </w:r>
          </w:p>
        </w:tc>
      </w:tr>
      <w:tr w14:paraId="6FC4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1478" w:type="dxa"/>
            <w:vMerge w:val="continue"/>
            <w:tcMar>
              <w:top w:w="150" w:type="dxa"/>
              <w:left w:w="0" w:type="dxa"/>
              <w:bottom w:w="150" w:type="dxa"/>
              <w:right w:w="240" w:type="dxa"/>
            </w:tcMar>
            <w:vAlign w:val="center"/>
          </w:tcPr>
          <w:p w14:paraId="333BCE99">
            <w:pPr>
              <w:jc w:val="center"/>
              <w:rPr>
                <w:rFonts w:hint="eastAsia" w:ascii="宋体" w:hAnsi="宋体" w:eastAsia="宋体" w:cs="宋体"/>
                <w:szCs w:val="21"/>
                <w:highlight w:val="none"/>
              </w:rPr>
            </w:pPr>
          </w:p>
        </w:tc>
        <w:tc>
          <w:tcPr>
            <w:tcW w:w="1772" w:type="dxa"/>
            <w:tcMar>
              <w:top w:w="150" w:type="dxa"/>
              <w:left w:w="240" w:type="dxa"/>
              <w:bottom w:w="150" w:type="dxa"/>
              <w:right w:w="240" w:type="dxa"/>
            </w:tcMar>
            <w:vAlign w:val="center"/>
          </w:tcPr>
          <w:p w14:paraId="2EE63B35">
            <w:pPr>
              <w:jc w:val="center"/>
              <w:rPr>
                <w:rFonts w:hint="eastAsia" w:ascii="宋体" w:hAnsi="宋体" w:eastAsia="宋体" w:cs="宋体"/>
                <w:szCs w:val="21"/>
                <w:highlight w:val="none"/>
              </w:rPr>
            </w:pPr>
            <w:r>
              <w:rPr>
                <w:rFonts w:hint="eastAsia" w:ascii="宋体" w:hAnsi="宋体" w:eastAsia="宋体" w:cs="宋体"/>
                <w:szCs w:val="21"/>
                <w:highlight w:val="none"/>
              </w:rPr>
              <w:t>状态回写</w:t>
            </w:r>
          </w:p>
        </w:tc>
        <w:tc>
          <w:tcPr>
            <w:tcW w:w="5366" w:type="dxa"/>
            <w:tcMar>
              <w:top w:w="150" w:type="dxa"/>
              <w:left w:w="240" w:type="dxa"/>
              <w:bottom w:w="150" w:type="dxa"/>
              <w:right w:w="240" w:type="dxa"/>
            </w:tcMar>
            <w:vAlign w:val="center"/>
          </w:tcPr>
          <w:p w14:paraId="3373DDB4">
            <w:pPr>
              <w:jc w:val="left"/>
              <w:rPr>
                <w:rFonts w:hint="eastAsia" w:ascii="宋体" w:hAnsi="宋体" w:eastAsia="宋体" w:cs="宋体"/>
                <w:szCs w:val="21"/>
                <w:highlight w:val="none"/>
              </w:rPr>
            </w:pPr>
            <w:r>
              <w:rPr>
                <w:rFonts w:hint="eastAsia" w:ascii="宋体" w:hAnsi="宋体" w:eastAsia="宋体" w:cs="宋体"/>
                <w:szCs w:val="21"/>
                <w:highlight w:val="none"/>
              </w:rPr>
              <w:t>7.20支持回写取药状态、时间等信息</w:t>
            </w:r>
          </w:p>
        </w:tc>
      </w:tr>
      <w:tr w14:paraId="0E21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exact"/>
        </w:trPr>
        <w:tc>
          <w:tcPr>
            <w:tcW w:w="1478" w:type="dxa"/>
            <w:vMerge w:val="continue"/>
            <w:tcMar>
              <w:top w:w="150" w:type="dxa"/>
              <w:left w:w="0" w:type="dxa"/>
              <w:bottom w:w="150" w:type="dxa"/>
              <w:right w:w="240" w:type="dxa"/>
            </w:tcMar>
            <w:vAlign w:val="center"/>
          </w:tcPr>
          <w:p w14:paraId="39A73EA9">
            <w:pPr>
              <w:jc w:val="center"/>
              <w:rPr>
                <w:rFonts w:hint="eastAsia" w:ascii="宋体" w:hAnsi="宋体" w:eastAsia="宋体" w:cs="宋体"/>
                <w:szCs w:val="21"/>
                <w:highlight w:val="none"/>
              </w:rPr>
            </w:pPr>
          </w:p>
        </w:tc>
        <w:tc>
          <w:tcPr>
            <w:tcW w:w="1772" w:type="dxa"/>
            <w:tcMar>
              <w:top w:w="150" w:type="dxa"/>
              <w:left w:w="240" w:type="dxa"/>
              <w:bottom w:w="150" w:type="dxa"/>
              <w:right w:w="240" w:type="dxa"/>
            </w:tcMar>
            <w:vAlign w:val="center"/>
          </w:tcPr>
          <w:p w14:paraId="0E9C44F5">
            <w:pPr>
              <w:jc w:val="center"/>
              <w:rPr>
                <w:rFonts w:hint="eastAsia" w:ascii="宋体" w:hAnsi="宋体" w:eastAsia="宋体" w:cs="宋体"/>
                <w:szCs w:val="21"/>
                <w:highlight w:val="none"/>
              </w:rPr>
            </w:pPr>
            <w:r>
              <w:rPr>
                <w:rFonts w:hint="eastAsia" w:ascii="宋体" w:hAnsi="宋体" w:eastAsia="宋体" w:cs="宋体"/>
                <w:szCs w:val="21"/>
                <w:highlight w:val="none"/>
              </w:rPr>
              <w:t>短信通知</w:t>
            </w:r>
          </w:p>
        </w:tc>
        <w:tc>
          <w:tcPr>
            <w:tcW w:w="5366" w:type="dxa"/>
            <w:tcMar>
              <w:top w:w="150" w:type="dxa"/>
              <w:left w:w="240" w:type="dxa"/>
              <w:bottom w:w="150" w:type="dxa"/>
              <w:right w:w="240" w:type="dxa"/>
            </w:tcMar>
            <w:vAlign w:val="center"/>
          </w:tcPr>
          <w:p w14:paraId="309B1204">
            <w:pPr>
              <w:jc w:val="left"/>
              <w:rPr>
                <w:rFonts w:hint="eastAsia" w:ascii="宋体" w:hAnsi="宋体" w:eastAsia="宋体" w:cs="宋体"/>
                <w:szCs w:val="21"/>
                <w:highlight w:val="none"/>
              </w:rPr>
            </w:pPr>
            <w:r>
              <w:rPr>
                <w:rFonts w:hint="eastAsia" w:ascii="宋体" w:hAnsi="宋体" w:eastAsia="宋体" w:cs="宋体"/>
                <w:szCs w:val="21"/>
                <w:highlight w:val="none"/>
              </w:rPr>
              <w:t>7.21支持对接短信平台，发送取药通知</w:t>
            </w:r>
          </w:p>
        </w:tc>
      </w:tr>
    </w:tbl>
    <w:p w14:paraId="2141DE47">
      <w:pPr>
        <w:spacing w:before="312" w:beforeLines="100" w:line="360" w:lineRule="auto"/>
        <w:jc w:val="center"/>
        <w:rPr>
          <w:rFonts w:ascii="仿宋" w:hAnsi="仿宋" w:eastAsia="仿宋" w:cs="仿宋"/>
          <w:b/>
          <w:bCs/>
          <w:kern w:val="44"/>
          <w:sz w:val="24"/>
          <w:highlight w:val="none"/>
        </w:rPr>
      </w:pPr>
      <w:r>
        <w:rPr>
          <w:rFonts w:hint="eastAsia" w:ascii="仿宋" w:hAnsi="仿宋" w:eastAsia="仿宋" w:cs="仿宋"/>
          <w:b/>
          <w:bCs/>
          <w:kern w:val="44"/>
          <w:sz w:val="24"/>
          <w:highlight w:val="none"/>
        </w:rPr>
        <w:t>产品4平板PAD</w:t>
      </w:r>
    </w:p>
    <w:p w14:paraId="57956E19">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操作系统：能对接移动终端安全管理系统，配合接入。与本项目的软件相适配。</w:t>
      </w:r>
    </w:p>
    <w:p w14:paraId="0547D332">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CPU核数：≥四核</w:t>
      </w:r>
    </w:p>
    <w:p w14:paraId="4826CAD7">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屏幕尺寸：≥9英寸</w:t>
      </w:r>
    </w:p>
    <w:p w14:paraId="294BA454">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屏幕类型：LCD</w:t>
      </w:r>
    </w:p>
    <w:p w14:paraId="6E9DFBB0">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分辨率：1920*1200</w:t>
      </w:r>
    </w:p>
    <w:p w14:paraId="5DD17ED9">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运行内存（RAM）：≥8GB</w:t>
      </w:r>
    </w:p>
    <w:p w14:paraId="4EB95EFF">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存储容量（ROM）：≥128GB</w:t>
      </w:r>
    </w:p>
    <w:p w14:paraId="32D81771">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蓝牙：BT5.1</w:t>
      </w:r>
    </w:p>
    <w:p w14:paraId="686F8964">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WLAN：支持</w:t>
      </w:r>
    </w:p>
    <w:p w14:paraId="0C150FB1">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前置摄像头：≥500万像素</w:t>
      </w:r>
    </w:p>
    <w:p w14:paraId="11A8CD96">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后置摄像头：≥500万像素</w:t>
      </w:r>
    </w:p>
    <w:p w14:paraId="6CBDFD32">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电池类型：锂离子聚合物电池</w:t>
      </w:r>
    </w:p>
    <w:p w14:paraId="53C17EC6">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电池容量：≥7700mAh典型值</w:t>
      </w:r>
    </w:p>
    <w:p w14:paraId="66DCA65F">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快充：支持</w:t>
      </w:r>
    </w:p>
    <w:p w14:paraId="2508C513">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数据接口：Type-C</w:t>
      </w:r>
    </w:p>
    <w:p w14:paraId="2411AC4B">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产品存储温度：–40℃～+70℃</w:t>
      </w:r>
    </w:p>
    <w:p w14:paraId="459DF296">
      <w:pPr>
        <w:widowControl/>
        <w:numPr>
          <w:ilvl w:val="0"/>
          <w:numId w:val="8"/>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产品工作温度：0℃～35℃</w:t>
      </w:r>
    </w:p>
    <w:p w14:paraId="20031761">
      <w:pPr>
        <w:spacing w:before="312" w:beforeLines="100" w:line="360" w:lineRule="auto"/>
        <w:jc w:val="center"/>
        <w:rPr>
          <w:rFonts w:ascii="仿宋" w:hAnsi="仿宋" w:eastAsia="仿宋" w:cs="仿宋"/>
          <w:b/>
          <w:bCs/>
          <w:kern w:val="44"/>
          <w:sz w:val="24"/>
          <w:highlight w:val="none"/>
        </w:rPr>
      </w:pPr>
      <w:r>
        <w:rPr>
          <w:rFonts w:hint="eastAsia" w:ascii="仿宋" w:hAnsi="仿宋" w:eastAsia="仿宋" w:cs="仿宋"/>
          <w:b/>
          <w:bCs/>
          <w:kern w:val="44"/>
          <w:sz w:val="24"/>
          <w:highlight w:val="none"/>
        </w:rPr>
        <w:t>产品5手持PDA</w:t>
      </w:r>
    </w:p>
    <w:p w14:paraId="4C85D48B">
      <w:pPr>
        <w:widowControl/>
        <w:numPr>
          <w:ilvl w:val="0"/>
          <w:numId w:val="9"/>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ascii="宋体" w:hAnsi="宋体" w:eastAsia="宋体" w:cs="宋体"/>
          <w:color w:val="000000"/>
          <w:kern w:val="0"/>
          <w:szCs w:val="21"/>
          <w:highlight w:val="none"/>
          <w:lang w:bidi="ar"/>
        </w:rPr>
        <w:t>支持 WIFI\蓝牙、4G 全网通、5.5英寸高清全屏，二维码激光扫描头，操作系统</w:t>
      </w:r>
      <w:r>
        <w:rPr>
          <w:rFonts w:hint="eastAsia" w:ascii="宋体" w:hAnsi="宋体" w:eastAsia="宋体" w:cs="宋体"/>
          <w:color w:val="000000"/>
          <w:kern w:val="0"/>
          <w:szCs w:val="21"/>
          <w:highlight w:val="none"/>
          <w:lang w:bidi="ar"/>
        </w:rPr>
        <w:t>能对接移动终端安全管理系统，配合接入。与本项目的软件相适配。</w:t>
      </w:r>
    </w:p>
    <w:p w14:paraId="750ECDBA">
      <w:pPr>
        <w:widowControl/>
        <w:numPr>
          <w:ilvl w:val="0"/>
          <w:numId w:val="9"/>
        </w:numPr>
        <w:wordWrap w:val="0"/>
        <w:topLinePunct/>
        <w:spacing w:line="360" w:lineRule="auto"/>
        <w:ind w:left="0" w:firstLine="420" w:firstLineChars="200"/>
        <w:jc w:val="left"/>
        <w:textAlignment w:val="center"/>
        <w:rPr>
          <w:rFonts w:ascii="宋体" w:hAnsi="宋体" w:eastAsia="宋体" w:cs="宋体"/>
          <w:color w:val="000000"/>
          <w:kern w:val="0"/>
          <w:szCs w:val="21"/>
          <w:highlight w:val="none"/>
          <w:lang w:bidi="ar"/>
        </w:rPr>
      </w:pPr>
      <w:r>
        <w:rPr>
          <w:rFonts w:ascii="宋体" w:hAnsi="宋体" w:eastAsia="宋体" w:cs="宋体"/>
          <w:color w:val="000000"/>
          <w:kern w:val="0"/>
          <w:szCs w:val="21"/>
          <w:highlight w:val="none"/>
          <w:lang w:bidi="ar"/>
        </w:rPr>
        <w:t>1300万像素摄像,CPU 八核 2.0GHz，内存:64GB ROM+4GB RAM</w:t>
      </w:r>
    </w:p>
    <w:p w14:paraId="216564B8">
      <w:pPr>
        <w:spacing w:before="312" w:beforeLines="100" w:line="360" w:lineRule="auto"/>
        <w:jc w:val="center"/>
        <w:rPr>
          <w:rFonts w:ascii="仿宋" w:hAnsi="仿宋" w:eastAsia="仿宋" w:cs="仿宋"/>
          <w:b/>
          <w:bCs/>
          <w:kern w:val="44"/>
          <w:sz w:val="24"/>
          <w:highlight w:val="none"/>
        </w:rPr>
      </w:pPr>
      <w:r>
        <w:rPr>
          <w:rFonts w:hint="eastAsia" w:ascii="仿宋" w:hAnsi="仿宋" w:eastAsia="仿宋" w:cs="仿宋"/>
          <w:b/>
          <w:bCs/>
          <w:kern w:val="44"/>
          <w:sz w:val="24"/>
          <w:highlight w:val="none"/>
        </w:rPr>
        <w:t>产品6显示屏</w:t>
      </w:r>
    </w:p>
    <w:p w14:paraId="105A97B2">
      <w:pPr>
        <w:widowControl/>
        <w:numPr>
          <w:ilvl w:val="0"/>
          <w:numId w:val="10"/>
        </w:numPr>
        <w:wordWrap w:val="0"/>
        <w:topLinePunct/>
        <w:spacing w:line="360" w:lineRule="auto"/>
        <w:ind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屏幕尺寸：100</w:t>
      </w:r>
      <w:r>
        <w:rPr>
          <w:rFonts w:hint="eastAsia" w:ascii="宋体" w:hAnsi="宋体" w:eastAsia="宋体" w:cs="宋体"/>
          <w:color w:val="000000"/>
          <w:kern w:val="0"/>
          <w:szCs w:val="21"/>
          <w:highlight w:val="none"/>
          <w:lang w:val="en-US" w:eastAsia="zh-CN" w:bidi="ar"/>
        </w:rPr>
        <w:t>英</w:t>
      </w:r>
      <w:r>
        <w:rPr>
          <w:rFonts w:hint="eastAsia" w:ascii="宋体" w:hAnsi="宋体" w:eastAsia="宋体" w:cs="宋体"/>
          <w:color w:val="000000"/>
          <w:kern w:val="0"/>
          <w:szCs w:val="21"/>
          <w:highlight w:val="none"/>
          <w:lang w:bidi="ar"/>
        </w:rPr>
        <w:t>寸</w:t>
      </w:r>
    </w:p>
    <w:p w14:paraId="35F05591">
      <w:pPr>
        <w:widowControl/>
        <w:numPr>
          <w:ilvl w:val="0"/>
          <w:numId w:val="10"/>
        </w:numPr>
        <w:wordWrap w:val="0"/>
        <w:topLinePunct/>
        <w:spacing w:line="360" w:lineRule="auto"/>
        <w:ind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屏幕比例：16:9</w:t>
      </w:r>
    </w:p>
    <w:p w14:paraId="05BE84A0">
      <w:pPr>
        <w:widowControl/>
        <w:numPr>
          <w:ilvl w:val="0"/>
          <w:numId w:val="10"/>
        </w:numPr>
        <w:wordWrap w:val="0"/>
        <w:topLinePunct/>
        <w:spacing w:line="360" w:lineRule="auto"/>
        <w:ind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屏幕分辨率：3840×2160</w:t>
      </w:r>
    </w:p>
    <w:p w14:paraId="1C37F1F3">
      <w:pPr>
        <w:widowControl/>
        <w:numPr>
          <w:ilvl w:val="0"/>
          <w:numId w:val="10"/>
        </w:numPr>
        <w:wordWrap w:val="0"/>
        <w:topLinePunct/>
        <w:spacing w:line="360" w:lineRule="auto"/>
        <w:ind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高清格式：2160P</w:t>
      </w:r>
    </w:p>
    <w:p w14:paraId="0DBDA33C">
      <w:pPr>
        <w:widowControl/>
        <w:numPr>
          <w:ilvl w:val="0"/>
          <w:numId w:val="10"/>
        </w:numPr>
        <w:wordWrap w:val="0"/>
        <w:topLinePunct/>
        <w:spacing w:line="360" w:lineRule="auto"/>
        <w:ind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背光性能：直下式</w:t>
      </w:r>
    </w:p>
    <w:p w14:paraId="70CAD08F">
      <w:pPr>
        <w:widowControl/>
        <w:numPr>
          <w:ilvl w:val="0"/>
          <w:numId w:val="10"/>
        </w:numPr>
        <w:wordWrap w:val="0"/>
        <w:topLinePunct/>
        <w:spacing w:line="360" w:lineRule="auto"/>
        <w:ind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屏幕刷新频率：120Hz</w:t>
      </w:r>
    </w:p>
    <w:p w14:paraId="549FA0A1">
      <w:pPr>
        <w:widowControl/>
        <w:numPr>
          <w:ilvl w:val="0"/>
          <w:numId w:val="10"/>
        </w:numPr>
        <w:wordWrap w:val="0"/>
        <w:topLinePunct/>
        <w:spacing w:line="360" w:lineRule="auto"/>
        <w:ind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配套主机：</w:t>
      </w:r>
    </w:p>
    <w:p w14:paraId="25352D1D">
      <w:pPr>
        <w:widowControl/>
        <w:numPr>
          <w:ilvl w:val="255"/>
          <w:numId w:val="0"/>
        </w:numPr>
        <w:wordWrap w:val="0"/>
        <w:topLinePunct/>
        <w:spacing w:line="360" w:lineRule="auto"/>
        <w:ind w:left="420" w:leftChars="20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内存容量：≥2GB</w:t>
      </w:r>
    </w:p>
    <w:p w14:paraId="1BE20746">
      <w:pPr>
        <w:widowControl/>
        <w:numPr>
          <w:ilvl w:val="255"/>
          <w:numId w:val="0"/>
        </w:numPr>
        <w:wordWrap w:val="0"/>
        <w:topLinePunct/>
        <w:spacing w:line="360" w:lineRule="auto"/>
        <w:ind w:left="420" w:leftChars="20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存储空间：≥32GB</w:t>
      </w:r>
    </w:p>
    <w:p w14:paraId="38CF063E">
      <w:pPr>
        <w:widowControl/>
        <w:numPr>
          <w:ilvl w:val="0"/>
          <w:numId w:val="10"/>
        </w:numPr>
        <w:wordWrap w:val="0"/>
        <w:topLinePunct/>
        <w:spacing w:line="360" w:lineRule="auto"/>
        <w:ind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WiFi(WLAN)：支持WiFi,2.4GHz</w:t>
      </w:r>
    </w:p>
    <w:p w14:paraId="10CD8E5C">
      <w:pPr>
        <w:spacing w:before="312" w:beforeLines="100" w:line="360" w:lineRule="auto"/>
        <w:jc w:val="center"/>
        <w:rPr>
          <w:rFonts w:ascii="仿宋" w:hAnsi="仿宋" w:eastAsia="仿宋" w:cs="仿宋"/>
          <w:b/>
          <w:bCs/>
          <w:kern w:val="44"/>
          <w:sz w:val="24"/>
          <w:highlight w:val="none"/>
        </w:rPr>
      </w:pPr>
      <w:r>
        <w:rPr>
          <w:rFonts w:hint="eastAsia" w:ascii="仿宋" w:hAnsi="仿宋" w:eastAsia="仿宋" w:cs="仿宋"/>
          <w:b/>
          <w:bCs/>
          <w:kern w:val="44"/>
          <w:sz w:val="24"/>
          <w:highlight w:val="none"/>
        </w:rPr>
        <w:t>产品</w:t>
      </w:r>
      <w:r>
        <w:rPr>
          <w:rFonts w:hint="eastAsia" w:ascii="仿宋" w:hAnsi="仿宋" w:eastAsia="仿宋" w:cs="仿宋"/>
          <w:b/>
          <w:bCs/>
          <w:kern w:val="44"/>
          <w:sz w:val="24"/>
          <w:highlight w:val="none"/>
          <w:lang w:val="en-US" w:eastAsia="zh-CN"/>
        </w:rPr>
        <w:t>7</w:t>
      </w:r>
      <w:r>
        <w:rPr>
          <w:rFonts w:hint="eastAsia" w:ascii="仿宋" w:hAnsi="仿宋" w:eastAsia="仿宋" w:cs="仿宋"/>
          <w:b/>
          <w:bCs/>
          <w:kern w:val="44"/>
          <w:sz w:val="24"/>
          <w:szCs w:val="20"/>
          <w:highlight w:val="none"/>
        </w:rPr>
        <w:t>服务器</w:t>
      </w:r>
    </w:p>
    <w:p w14:paraId="6AB37430">
      <w:pPr>
        <w:keepNext w:val="0"/>
        <w:keepLines w:val="0"/>
        <w:pageBreakBefore w:val="0"/>
        <w:widowControl/>
        <w:numPr>
          <w:ilvl w:val="0"/>
          <w:numId w:val="0"/>
        </w:numPr>
        <w:kinsoku/>
        <w:wordWrap w:val="0"/>
        <w:overflowPunct/>
        <w:topLinePunct/>
        <w:autoSpaceDE/>
        <w:autoSpaceDN/>
        <w:bidi w:val="0"/>
        <w:adjustRightInd/>
        <w:snapToGrid/>
        <w:spacing w:line="360" w:lineRule="auto"/>
        <w:ind w:leftChars="0" w:firstLine="420" w:firstLineChars="200"/>
        <w:jc w:val="left"/>
        <w:textAlignment w:val="center"/>
        <w:rPr>
          <w:rFonts w:hint="default" w:ascii="宋体" w:hAnsi="宋体" w:eastAsia="宋体" w:cs="宋体"/>
          <w:color w:val="000000"/>
          <w:kern w:val="0"/>
          <w:szCs w:val="21"/>
          <w:highlight w:val="none"/>
          <w:lang w:val="en-US" w:eastAsia="zh-CN" w:bidi="ar"/>
        </w:rPr>
      </w:pPr>
      <w:r>
        <w:rPr>
          <w:rFonts w:hint="eastAsia" w:ascii="宋体" w:hAnsi="宋体" w:eastAsia="宋体" w:cs="宋体"/>
          <w:color w:val="000000"/>
          <w:kern w:val="0"/>
          <w:szCs w:val="21"/>
          <w:highlight w:val="none"/>
          <w:lang w:val="en-US" w:eastAsia="zh-CN" w:bidi="ar"/>
        </w:rPr>
        <w:t>11.1</w:t>
      </w:r>
      <w:r>
        <w:rPr>
          <w:rFonts w:hint="eastAsia" w:ascii="宋体" w:hAnsi="宋体" w:eastAsia="宋体" w:cs="宋体"/>
          <w:color w:val="000000"/>
          <w:kern w:val="0"/>
          <w:szCs w:val="21"/>
          <w:highlight w:val="none"/>
          <w:lang w:bidi="ar"/>
        </w:rPr>
        <w:t>超融合服务器</w:t>
      </w:r>
    </w:p>
    <w:p w14:paraId="3022E44D">
      <w:pPr>
        <w:keepNext w:val="0"/>
        <w:keepLines w:val="0"/>
        <w:pageBreakBefore w:val="0"/>
        <w:widowControl/>
        <w:numPr>
          <w:ilvl w:val="0"/>
          <w:numId w:val="0"/>
        </w:numPr>
        <w:kinsoku/>
        <w:wordWrap w:val="0"/>
        <w:overflowPunct/>
        <w:topLinePunct/>
        <w:autoSpaceDE/>
        <w:autoSpaceDN/>
        <w:bidi w:val="0"/>
        <w:adjustRightInd/>
        <w:snapToGrid/>
        <w:spacing w:line="360" w:lineRule="auto"/>
        <w:ind w:leftChars="0" w:firstLine="420" w:firstLineChars="200"/>
        <w:jc w:val="left"/>
        <w:textAlignment w:val="center"/>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CPU：2颗x86 CPU@2.90GHZ（16C），内存≥128GB（共计不少于24个内存插槽），系统盘≥2块240GB SSD，缓存盘≥2块1.92TB nvme SSD，数据盘≥2*8TB HDD，标配盘位数≥12，白金冗余电源，接口≥4千兆电口、≥6万兆光口（含万兆光模块），≥4个USB3.0口，≥1个VGA口；提供3年质保及集成服务，确保服务器与现有超融合平台兼容适配，不存在兼容性问题。</w:t>
      </w:r>
    </w:p>
    <w:p w14:paraId="1E0E07F8">
      <w:pPr>
        <w:keepNext w:val="0"/>
        <w:keepLines w:val="0"/>
        <w:pageBreakBefore w:val="0"/>
        <w:widowControl/>
        <w:numPr>
          <w:ilvl w:val="0"/>
          <w:numId w:val="0"/>
        </w:numPr>
        <w:kinsoku/>
        <w:wordWrap w:val="0"/>
        <w:overflowPunct/>
        <w:topLinePunct/>
        <w:autoSpaceDE/>
        <w:autoSpaceDN/>
        <w:bidi w:val="0"/>
        <w:adjustRightInd/>
        <w:snapToGrid/>
        <w:spacing w:line="360" w:lineRule="auto"/>
        <w:ind w:leftChars="0" w:firstLine="420" w:firstLineChars="200"/>
        <w:jc w:val="left"/>
        <w:textAlignment w:val="center"/>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val="en-US" w:eastAsia="zh-CN" w:bidi="ar"/>
        </w:rPr>
        <w:t>11.2</w:t>
      </w:r>
      <w:r>
        <w:rPr>
          <w:rFonts w:hint="eastAsia" w:ascii="宋体" w:hAnsi="宋体" w:eastAsia="宋体" w:cs="宋体"/>
          <w:color w:val="000000"/>
          <w:kern w:val="0"/>
          <w:szCs w:val="21"/>
          <w:highlight w:val="none"/>
          <w:lang w:bidi="ar"/>
        </w:rPr>
        <w:t>超融合软件授权</w:t>
      </w:r>
    </w:p>
    <w:p w14:paraId="48968EF8">
      <w:pPr>
        <w:keepNext w:val="0"/>
        <w:keepLines w:val="0"/>
        <w:pageBreakBefore w:val="0"/>
        <w:widowControl/>
        <w:numPr>
          <w:ilvl w:val="0"/>
          <w:numId w:val="0"/>
        </w:numPr>
        <w:kinsoku/>
        <w:wordWrap w:val="0"/>
        <w:overflowPunct/>
        <w:topLinePunct/>
        <w:autoSpaceDE/>
        <w:autoSpaceDN/>
        <w:bidi w:val="0"/>
        <w:adjustRightInd/>
        <w:snapToGrid/>
        <w:spacing w:line="360" w:lineRule="auto"/>
        <w:ind w:leftChars="0" w:firstLine="420" w:firstLineChars="200"/>
        <w:jc w:val="left"/>
        <w:textAlignment w:val="center"/>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val="en-US" w:eastAsia="zh-CN" w:bidi="ar"/>
        </w:rPr>
        <w:t>11.2.1</w:t>
      </w:r>
      <w:r>
        <w:rPr>
          <w:rFonts w:hint="eastAsia" w:ascii="宋体" w:hAnsi="宋体" w:eastAsia="宋体" w:cs="宋体"/>
          <w:color w:val="000000"/>
          <w:kern w:val="0"/>
          <w:szCs w:val="21"/>
          <w:highlight w:val="none"/>
          <w:lang w:bidi="ar"/>
        </w:rPr>
        <w:t>基于现有超融合平台无缝扩容，扩容2颗服务器虚拟化、网络虚拟化、存储虚拟化授权、安全虚拟化，提供3年软件升级服务；</w:t>
      </w:r>
    </w:p>
    <w:p w14:paraId="2B688988">
      <w:pPr>
        <w:keepNext w:val="0"/>
        <w:keepLines w:val="0"/>
        <w:pageBreakBefore w:val="0"/>
        <w:widowControl/>
        <w:numPr>
          <w:ilvl w:val="0"/>
          <w:numId w:val="0"/>
        </w:numPr>
        <w:kinsoku/>
        <w:wordWrap w:val="0"/>
        <w:overflowPunct/>
        <w:topLinePunct/>
        <w:autoSpaceDE/>
        <w:autoSpaceDN/>
        <w:bidi w:val="0"/>
        <w:adjustRightInd/>
        <w:snapToGrid/>
        <w:spacing w:line="360" w:lineRule="auto"/>
        <w:ind w:leftChars="0" w:firstLine="420" w:firstLineChars="200"/>
        <w:jc w:val="left"/>
        <w:textAlignment w:val="center"/>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val="en-US" w:eastAsia="zh-CN" w:bidi="ar"/>
        </w:rPr>
        <w:t>11.2.2</w:t>
      </w:r>
      <w:r>
        <w:rPr>
          <w:rFonts w:hint="eastAsia" w:ascii="宋体" w:hAnsi="宋体" w:eastAsia="宋体" w:cs="宋体"/>
          <w:color w:val="000000"/>
          <w:kern w:val="0"/>
          <w:szCs w:val="21"/>
          <w:highlight w:val="none"/>
          <w:lang w:bidi="ar"/>
        </w:rPr>
        <w:t>可在亚健康主机列表界面显示被注入CE、UE错误的主机，实现内存CE、UE告警功能，并扫描到物理主机的内存条出现ECC CE、ECC UE错误时，能够将对应内存空间进行隔离并定位故障内存的槽位；</w:t>
      </w:r>
    </w:p>
    <w:p w14:paraId="56C78F2F">
      <w:pPr>
        <w:keepNext w:val="0"/>
        <w:keepLines w:val="0"/>
        <w:pageBreakBefore w:val="0"/>
        <w:widowControl/>
        <w:numPr>
          <w:ilvl w:val="0"/>
          <w:numId w:val="0"/>
        </w:numPr>
        <w:kinsoku/>
        <w:wordWrap w:val="0"/>
        <w:overflowPunct/>
        <w:topLinePunct/>
        <w:autoSpaceDE/>
        <w:autoSpaceDN/>
        <w:bidi w:val="0"/>
        <w:adjustRightInd/>
        <w:snapToGrid/>
        <w:spacing w:line="360" w:lineRule="auto"/>
        <w:ind w:leftChars="0" w:firstLine="420" w:firstLineChars="200"/>
        <w:jc w:val="left"/>
        <w:textAlignment w:val="center"/>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val="en-US" w:eastAsia="zh-CN" w:bidi="ar"/>
        </w:rPr>
        <w:t>11.2.3</w:t>
      </w:r>
      <w:r>
        <w:rPr>
          <w:rFonts w:hint="eastAsia" w:ascii="宋体" w:hAnsi="宋体" w:eastAsia="宋体" w:cs="宋体"/>
          <w:color w:val="000000"/>
          <w:kern w:val="0"/>
          <w:szCs w:val="21"/>
          <w:highlight w:val="none"/>
          <w:lang w:bidi="ar"/>
        </w:rPr>
        <w:t>持坏道修复功能，发现坏道后，主动修复坏道区域的数据，及时恢复数据副本的冗余性；当硬盘的坏道数过多，系统能自动将该盘的数据迁移至其他健康的硬盘上，保障数据的安全；</w:t>
      </w:r>
    </w:p>
    <w:p w14:paraId="6B51AAA3">
      <w:pPr>
        <w:keepNext w:val="0"/>
        <w:keepLines w:val="0"/>
        <w:pageBreakBefore w:val="0"/>
        <w:widowControl/>
        <w:numPr>
          <w:ilvl w:val="0"/>
          <w:numId w:val="0"/>
        </w:numPr>
        <w:kinsoku/>
        <w:wordWrap w:val="0"/>
        <w:overflowPunct/>
        <w:topLinePunct/>
        <w:autoSpaceDE/>
        <w:autoSpaceDN/>
        <w:bidi w:val="0"/>
        <w:adjustRightInd/>
        <w:snapToGrid/>
        <w:spacing w:line="360" w:lineRule="auto"/>
        <w:ind w:leftChars="0" w:firstLine="420" w:firstLineChars="200"/>
        <w:jc w:val="left"/>
        <w:textAlignment w:val="center"/>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val="en-US" w:eastAsia="zh-CN" w:bidi="ar"/>
        </w:rPr>
        <w:t>11.2.4</w:t>
      </w:r>
      <w:r>
        <w:rPr>
          <w:rFonts w:hint="eastAsia" w:ascii="宋体" w:hAnsi="宋体" w:eastAsia="宋体" w:cs="宋体"/>
          <w:color w:val="000000"/>
          <w:kern w:val="0"/>
          <w:szCs w:val="21"/>
          <w:highlight w:val="none"/>
          <w:lang w:bidi="ar"/>
        </w:rPr>
        <w:t>提供虚拟路由器、虚拟交换机等设备的连通性探测功能，能够定位到出现故障的虚拟网络设备，排查到ACL策略配置错误；</w:t>
      </w:r>
    </w:p>
    <w:p w14:paraId="04AB042A">
      <w:pPr>
        <w:keepNext w:val="0"/>
        <w:keepLines w:val="0"/>
        <w:pageBreakBefore w:val="0"/>
        <w:widowControl/>
        <w:numPr>
          <w:ilvl w:val="0"/>
          <w:numId w:val="0"/>
        </w:numPr>
        <w:kinsoku/>
        <w:wordWrap w:val="0"/>
        <w:overflowPunct/>
        <w:topLinePunct/>
        <w:autoSpaceDE/>
        <w:autoSpaceDN/>
        <w:bidi w:val="0"/>
        <w:adjustRightInd/>
        <w:snapToGrid/>
        <w:spacing w:line="360" w:lineRule="auto"/>
        <w:ind w:leftChars="0" w:firstLine="420" w:firstLineChars="200"/>
        <w:jc w:val="left"/>
        <w:textAlignment w:val="center"/>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val="en-US" w:eastAsia="zh-CN" w:bidi="ar"/>
        </w:rPr>
        <w:t>11.2.5</w:t>
      </w:r>
      <w:r>
        <w:rPr>
          <w:rFonts w:hint="eastAsia" w:ascii="宋体" w:hAnsi="宋体" w:eastAsia="宋体" w:cs="宋体"/>
          <w:color w:val="000000"/>
          <w:kern w:val="0"/>
          <w:szCs w:val="21"/>
          <w:highlight w:val="none"/>
          <w:lang w:bidi="ar"/>
        </w:rPr>
        <w:t>支持在管理平台管理界面上提供虚拟机删除、开关机、挂起与恢复、重启、关闭、关闭电源、克隆、迁移、备份、模板导出、快照、标签管理等功能，并支持批量操作；</w:t>
      </w:r>
    </w:p>
    <w:p w14:paraId="4EDD908F">
      <w:pPr>
        <w:keepNext w:val="0"/>
        <w:keepLines w:val="0"/>
        <w:pageBreakBefore w:val="0"/>
        <w:widowControl/>
        <w:numPr>
          <w:ilvl w:val="0"/>
          <w:numId w:val="0"/>
        </w:numPr>
        <w:kinsoku/>
        <w:wordWrap w:val="0"/>
        <w:overflowPunct/>
        <w:topLinePunct/>
        <w:autoSpaceDE/>
        <w:autoSpaceDN/>
        <w:bidi w:val="0"/>
        <w:adjustRightInd/>
        <w:snapToGrid/>
        <w:spacing w:line="360" w:lineRule="auto"/>
        <w:ind w:leftChars="0" w:firstLine="420" w:firstLineChars="200"/>
        <w:jc w:val="left"/>
        <w:textAlignment w:val="center"/>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val="en-US" w:eastAsia="zh-CN" w:bidi="ar"/>
        </w:rPr>
        <w:t>11.2.6</w:t>
      </w:r>
      <w:r>
        <w:rPr>
          <w:rFonts w:hint="eastAsia" w:ascii="宋体" w:hAnsi="宋体" w:eastAsia="宋体" w:cs="宋体"/>
          <w:color w:val="000000"/>
          <w:kern w:val="0"/>
          <w:szCs w:val="21"/>
          <w:highlight w:val="none"/>
          <w:lang w:bidi="ar"/>
        </w:rPr>
        <w:t>支持无代理跨物理主机的虚拟机USB映射，需要使用USB KEY时，无需在虚拟机上安装客户端插件，且虚拟机迁移到其它物理主机后，仍能正常使用迁移前所在物理主机上的USB资源，对于业务的自适应能力、使用便捷性更佳；</w:t>
      </w:r>
    </w:p>
    <w:p w14:paraId="213BCFF2">
      <w:pPr>
        <w:keepNext w:val="0"/>
        <w:keepLines w:val="0"/>
        <w:pageBreakBefore w:val="0"/>
        <w:widowControl/>
        <w:numPr>
          <w:ilvl w:val="0"/>
          <w:numId w:val="0"/>
        </w:numPr>
        <w:kinsoku/>
        <w:wordWrap w:val="0"/>
        <w:overflowPunct/>
        <w:topLinePunct/>
        <w:autoSpaceDE/>
        <w:autoSpaceDN/>
        <w:bidi w:val="0"/>
        <w:adjustRightInd/>
        <w:snapToGrid/>
        <w:spacing w:line="360" w:lineRule="auto"/>
        <w:ind w:leftChars="0" w:firstLine="420" w:firstLineChars="200"/>
        <w:jc w:val="left"/>
        <w:textAlignment w:val="center"/>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val="en-US" w:eastAsia="zh-CN" w:bidi="ar"/>
        </w:rPr>
        <w:t>11.2.7</w:t>
      </w:r>
      <w:r>
        <w:rPr>
          <w:rFonts w:hint="eastAsia" w:ascii="宋体" w:hAnsi="宋体" w:eastAsia="宋体" w:cs="宋体"/>
          <w:color w:val="000000"/>
          <w:kern w:val="0"/>
          <w:szCs w:val="21"/>
          <w:highlight w:val="none"/>
          <w:lang w:bidi="ar"/>
        </w:rPr>
        <w:t>提供数据重建，智能保护业务性能，提供数据重建优先级调整，在故障数据重新恢复时，可由用户指定优先重建的虚拟机，保证重要的业务优先恢复数据的安全性；</w:t>
      </w:r>
    </w:p>
    <w:p w14:paraId="35EE3CD6">
      <w:pPr>
        <w:keepNext w:val="0"/>
        <w:keepLines w:val="0"/>
        <w:pageBreakBefore w:val="0"/>
        <w:widowControl/>
        <w:numPr>
          <w:ilvl w:val="0"/>
          <w:numId w:val="0"/>
        </w:numPr>
        <w:kinsoku/>
        <w:wordWrap w:val="0"/>
        <w:overflowPunct/>
        <w:topLinePunct/>
        <w:autoSpaceDE/>
        <w:autoSpaceDN/>
        <w:bidi w:val="0"/>
        <w:adjustRightInd/>
        <w:snapToGrid/>
        <w:spacing w:line="360" w:lineRule="auto"/>
        <w:ind w:leftChars="0" w:firstLine="420" w:firstLineChars="200"/>
        <w:jc w:val="left"/>
        <w:textAlignment w:val="center"/>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val="en-US" w:eastAsia="zh-CN" w:bidi="ar"/>
        </w:rPr>
        <w:t>11.2.8</w:t>
      </w:r>
      <w:r>
        <w:rPr>
          <w:rFonts w:hint="eastAsia" w:ascii="宋体" w:hAnsi="宋体" w:eastAsia="宋体" w:cs="宋体"/>
          <w:color w:val="000000"/>
          <w:kern w:val="0"/>
          <w:szCs w:val="21"/>
          <w:highlight w:val="none"/>
          <w:lang w:bidi="ar"/>
        </w:rPr>
        <w:t>分布式防火墙基于监测虚机IP地址和端口进行东西向流量隔离控制，并提供实时拦截日志，以及支持“数据直通ByPass”功能，方便出现问题快速定位问题；</w:t>
      </w:r>
    </w:p>
    <w:p w14:paraId="68806958">
      <w:pPr>
        <w:keepNext w:val="0"/>
        <w:keepLines w:val="0"/>
        <w:pageBreakBefore w:val="0"/>
        <w:widowControl/>
        <w:numPr>
          <w:ilvl w:val="0"/>
          <w:numId w:val="0"/>
        </w:numPr>
        <w:kinsoku/>
        <w:wordWrap w:val="0"/>
        <w:overflowPunct/>
        <w:topLinePunct/>
        <w:autoSpaceDE/>
        <w:autoSpaceDN/>
        <w:bidi w:val="0"/>
        <w:adjustRightInd/>
        <w:snapToGrid/>
        <w:spacing w:line="360" w:lineRule="auto"/>
        <w:ind w:leftChars="0" w:firstLine="420" w:firstLineChars="200"/>
        <w:jc w:val="left"/>
        <w:textAlignment w:val="center"/>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val="en-US" w:eastAsia="zh-CN" w:bidi="ar"/>
        </w:rPr>
        <w:t>11.2.9</w:t>
      </w:r>
      <w:r>
        <w:rPr>
          <w:rFonts w:hint="eastAsia" w:ascii="宋体" w:hAnsi="宋体" w:eastAsia="宋体" w:cs="宋体"/>
          <w:color w:val="000000"/>
          <w:kern w:val="0"/>
          <w:szCs w:val="21"/>
          <w:highlight w:val="none"/>
          <w:lang w:bidi="ar"/>
        </w:rPr>
        <w:t>虚拟化管理平台具备监控功能，对资源池中CPU、网络、磁盘使用率等指标进行实时的数据统计，当指标超过设置的阈值，可以通过多种方式（短信、邮箱）告知管理员进行排障；</w:t>
      </w:r>
    </w:p>
    <w:p w14:paraId="75F69CA3">
      <w:pPr>
        <w:keepNext w:val="0"/>
        <w:keepLines w:val="0"/>
        <w:pageBreakBefore w:val="0"/>
        <w:widowControl/>
        <w:numPr>
          <w:ilvl w:val="0"/>
          <w:numId w:val="0"/>
        </w:numPr>
        <w:kinsoku/>
        <w:wordWrap w:val="0"/>
        <w:overflowPunct/>
        <w:topLinePunct/>
        <w:autoSpaceDE/>
        <w:autoSpaceDN/>
        <w:bidi w:val="0"/>
        <w:adjustRightInd/>
        <w:snapToGrid/>
        <w:spacing w:line="360" w:lineRule="auto"/>
        <w:ind w:leftChars="0" w:firstLine="420" w:firstLineChars="200"/>
        <w:jc w:val="left"/>
        <w:textAlignment w:val="center"/>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val="en-US" w:eastAsia="zh-CN" w:bidi="ar"/>
        </w:rPr>
        <w:t>11.2.10</w:t>
      </w:r>
      <w:r>
        <w:rPr>
          <w:rFonts w:hint="eastAsia" w:ascii="宋体" w:hAnsi="宋体" w:eastAsia="宋体" w:cs="宋体"/>
          <w:color w:val="000000"/>
          <w:kern w:val="0"/>
          <w:szCs w:val="21"/>
          <w:highlight w:val="none"/>
          <w:lang w:bidi="ar"/>
        </w:rPr>
        <w:t>可对虚拟机上业务进行监控告警，监控策略包括HTTP、TCP等自定义端口协议等，当业务出现故障时，通过多种方式告知管理员进行排障；</w:t>
      </w:r>
    </w:p>
    <w:p w14:paraId="57DAE148">
      <w:pPr>
        <w:widowControl/>
        <w:numPr>
          <w:ilvl w:val="0"/>
          <w:numId w:val="0"/>
        </w:numPr>
        <w:wordWrap w:val="0"/>
        <w:topLinePunct/>
        <w:spacing w:line="360" w:lineRule="auto"/>
        <w:ind w:leftChars="0" w:firstLine="420" w:firstLineChars="200"/>
        <w:jc w:val="left"/>
        <w:textAlignment w:val="center"/>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val="en-US" w:eastAsia="zh-CN" w:bidi="ar"/>
        </w:rPr>
        <w:t>11.2.11</w:t>
      </w:r>
      <w:r>
        <w:rPr>
          <w:rFonts w:hint="eastAsia" w:ascii="宋体" w:hAnsi="宋体" w:eastAsia="宋体" w:cs="宋体"/>
          <w:color w:val="000000"/>
          <w:kern w:val="0"/>
          <w:szCs w:val="21"/>
          <w:highlight w:val="none"/>
          <w:lang w:bidi="ar"/>
        </w:rPr>
        <w:t>配置服务器虚拟化授权、网络虚拟化授权、存储虚拟化授权、延伸集群授权、虚拟化防护授权（防病毒、网络攻击防护、漏洞管理和实现虚拟机数据自动保护），提供3年产品软件免费升级，可无缝不停机扩容进现有超融合集群。</w:t>
      </w:r>
    </w:p>
    <w:p w14:paraId="77EA971D">
      <w:pPr>
        <w:numPr>
          <w:ilvl w:val="0"/>
          <w:numId w:val="11"/>
        </w:numPr>
        <w:spacing w:line="360" w:lineRule="auto"/>
        <w:outlineLvl w:val="1"/>
        <w:rPr>
          <w:rFonts w:ascii="宋体" w:hAnsi="宋体" w:eastAsia="宋体"/>
          <w:b/>
          <w:sz w:val="24"/>
          <w:szCs w:val="18"/>
          <w:highlight w:val="none"/>
        </w:rPr>
      </w:pPr>
      <w:r>
        <w:rPr>
          <w:rFonts w:hint="eastAsia" w:ascii="宋体" w:hAnsi="宋体" w:eastAsia="宋体"/>
          <w:b/>
          <w:sz w:val="24"/>
          <w:szCs w:val="18"/>
          <w:highlight w:val="none"/>
        </w:rPr>
        <w:t>人员配置要求</w:t>
      </w:r>
      <w:r>
        <w:rPr>
          <w:rFonts w:hint="eastAsia" w:ascii="宋体" w:hAnsi="宋体" w:eastAsia="宋体"/>
          <w:b/>
          <w:sz w:val="24"/>
          <w:szCs w:val="18"/>
          <w:highlight w:val="none"/>
          <w:lang w:eastAsia="zh-CN"/>
        </w:rPr>
        <w:t>（</w:t>
      </w:r>
      <w:r>
        <w:rPr>
          <w:rFonts w:hint="eastAsia" w:ascii="宋体" w:hAnsi="宋体" w:eastAsia="宋体"/>
          <w:b/>
          <w:sz w:val="24"/>
          <w:szCs w:val="18"/>
          <w:highlight w:val="none"/>
          <w:lang w:val="en-US" w:eastAsia="zh-CN"/>
        </w:rPr>
        <w:t>投标文件中须提供承诺函，否则作无效投标处理。）</w:t>
      </w:r>
    </w:p>
    <w:p w14:paraId="1985E111">
      <w:pPr>
        <w:widowControl/>
        <w:numPr>
          <w:ilvl w:val="255"/>
          <w:numId w:val="0"/>
        </w:numPr>
        <w:spacing w:line="360" w:lineRule="auto"/>
        <w:ind w:firstLine="437"/>
        <w:jc w:val="left"/>
        <w:rPr>
          <w:rFonts w:ascii="宋体" w:hAnsi="宋体" w:eastAsia="宋体"/>
          <w:bCs/>
          <w:sz w:val="24"/>
          <w:szCs w:val="18"/>
          <w:highlight w:val="none"/>
        </w:rPr>
      </w:pPr>
      <w:r>
        <w:rPr>
          <w:rFonts w:ascii="宋体" w:hAnsi="宋体" w:eastAsia="宋体"/>
          <w:bCs/>
          <w:sz w:val="24"/>
          <w:szCs w:val="18"/>
          <w:highlight w:val="none"/>
        </w:rPr>
        <w:t>1.项目固定负责人</w:t>
      </w:r>
    </w:p>
    <w:p w14:paraId="1E99F2D1">
      <w:pPr>
        <w:widowControl/>
        <w:numPr>
          <w:ilvl w:val="255"/>
          <w:numId w:val="0"/>
        </w:numPr>
        <w:spacing w:line="360" w:lineRule="auto"/>
        <w:ind w:firstLine="437"/>
        <w:jc w:val="left"/>
        <w:rPr>
          <w:rFonts w:ascii="宋体" w:hAnsi="宋体" w:eastAsia="宋体"/>
          <w:bCs/>
          <w:sz w:val="24"/>
          <w:szCs w:val="18"/>
          <w:highlight w:val="none"/>
        </w:rPr>
      </w:pPr>
      <w:r>
        <w:rPr>
          <w:rFonts w:hint="eastAsia" w:ascii="宋体" w:hAnsi="宋体" w:eastAsia="宋体"/>
          <w:bCs/>
          <w:sz w:val="24"/>
          <w:szCs w:val="18"/>
          <w:highlight w:val="none"/>
        </w:rPr>
        <w:t>投标人</w:t>
      </w:r>
      <w:r>
        <w:rPr>
          <w:rFonts w:ascii="宋体" w:hAnsi="宋体" w:eastAsia="宋体"/>
          <w:bCs/>
          <w:sz w:val="24"/>
          <w:szCs w:val="18"/>
          <w:highlight w:val="none"/>
        </w:rPr>
        <w:t>须指定1名具备本项目同类实施经验的项目经理作为固定负责人，全程负责需求对接、进度管控及沟通协调；项目固定负责人未经采购人书面同意不得更换；确需更换的，接替人员资历不得低于原人员，并提前15个工作日书面报备。</w:t>
      </w:r>
    </w:p>
    <w:p w14:paraId="762EABAE">
      <w:pPr>
        <w:widowControl/>
        <w:numPr>
          <w:ilvl w:val="255"/>
          <w:numId w:val="0"/>
        </w:numPr>
        <w:spacing w:line="360" w:lineRule="auto"/>
        <w:ind w:firstLine="437"/>
        <w:jc w:val="left"/>
        <w:rPr>
          <w:rFonts w:ascii="宋体" w:hAnsi="宋体" w:eastAsia="宋体"/>
          <w:bCs/>
          <w:sz w:val="24"/>
          <w:szCs w:val="18"/>
          <w:highlight w:val="none"/>
        </w:rPr>
      </w:pPr>
      <w:r>
        <w:rPr>
          <w:rFonts w:ascii="宋体" w:hAnsi="宋体" w:eastAsia="宋体"/>
          <w:bCs/>
          <w:sz w:val="24"/>
          <w:szCs w:val="18"/>
          <w:highlight w:val="none"/>
        </w:rPr>
        <w:t>2.驻点服务人员</w:t>
      </w:r>
    </w:p>
    <w:p w14:paraId="74DCB9A9">
      <w:pPr>
        <w:widowControl/>
        <w:numPr>
          <w:ilvl w:val="255"/>
          <w:numId w:val="0"/>
        </w:numPr>
        <w:spacing w:line="360" w:lineRule="auto"/>
        <w:ind w:firstLine="437"/>
        <w:jc w:val="left"/>
        <w:rPr>
          <w:rFonts w:ascii="宋体" w:hAnsi="宋体" w:eastAsia="宋体"/>
          <w:bCs/>
          <w:sz w:val="24"/>
          <w:szCs w:val="18"/>
          <w:highlight w:val="none"/>
        </w:rPr>
      </w:pPr>
      <w:r>
        <w:rPr>
          <w:rFonts w:hint="eastAsia" w:ascii="宋体" w:hAnsi="宋体" w:eastAsia="宋体"/>
          <w:bCs/>
          <w:sz w:val="24"/>
          <w:szCs w:val="18"/>
          <w:highlight w:val="none"/>
        </w:rPr>
        <w:t>（1）</w:t>
      </w:r>
      <w:r>
        <w:rPr>
          <w:rFonts w:ascii="宋体" w:hAnsi="宋体" w:eastAsia="宋体"/>
          <w:bCs/>
          <w:sz w:val="24"/>
          <w:szCs w:val="18"/>
          <w:highlight w:val="none"/>
        </w:rPr>
        <w:t>供应商须配备≥2名的固定驻点人员，每周驻场≥5天，驻点人员变更须经采购人同意，并预留10个工作日工作交接期。</w:t>
      </w:r>
    </w:p>
    <w:p w14:paraId="51FE9435">
      <w:pPr>
        <w:widowControl/>
        <w:numPr>
          <w:ilvl w:val="255"/>
          <w:numId w:val="0"/>
        </w:numPr>
        <w:spacing w:line="360" w:lineRule="auto"/>
        <w:ind w:firstLine="437"/>
        <w:jc w:val="left"/>
        <w:rPr>
          <w:rFonts w:ascii="宋体" w:hAnsi="宋体" w:eastAsia="宋体"/>
          <w:bCs/>
          <w:sz w:val="24"/>
          <w:szCs w:val="18"/>
          <w:highlight w:val="none"/>
        </w:rPr>
      </w:pPr>
      <w:r>
        <w:rPr>
          <w:rFonts w:hint="eastAsia" w:ascii="宋体" w:hAnsi="宋体" w:eastAsia="宋体"/>
          <w:bCs/>
          <w:sz w:val="24"/>
          <w:szCs w:val="18"/>
          <w:highlight w:val="none"/>
        </w:rPr>
        <w:t>（2）</w:t>
      </w:r>
      <w:r>
        <w:rPr>
          <w:rFonts w:ascii="宋体" w:hAnsi="宋体" w:eastAsia="宋体"/>
          <w:bCs/>
          <w:sz w:val="24"/>
          <w:szCs w:val="18"/>
          <w:highlight w:val="none"/>
        </w:rPr>
        <w:t>驻场人员在完成系统部署、调试及上线工作后，需持续跟进系统运行状况，直至系统进入稳定运行阶段。驻场人员离场条件：通过项目验收之日起满180个日历天。在此期间，系统应无重大功能缺陷、无导致业务中断的故障，且各项性能指标满足合同约定及甲方要求。稳定运行期满后，经采购人书面确认，驻场人员方可撤离现场。</w:t>
      </w:r>
    </w:p>
    <w:p w14:paraId="7211EA8A">
      <w:pPr>
        <w:spacing w:line="360" w:lineRule="auto"/>
        <w:outlineLvl w:val="1"/>
        <w:rPr>
          <w:rFonts w:ascii="宋体" w:hAnsi="宋体" w:eastAsia="宋体"/>
          <w:b/>
          <w:sz w:val="24"/>
          <w:szCs w:val="18"/>
          <w:highlight w:val="none"/>
        </w:rPr>
      </w:pPr>
      <w:r>
        <w:rPr>
          <w:rFonts w:hint="eastAsia" w:ascii="宋体" w:hAnsi="宋体" w:eastAsia="宋体"/>
          <w:b/>
          <w:sz w:val="24"/>
          <w:szCs w:val="18"/>
          <w:highlight w:val="none"/>
        </w:rPr>
        <w:t>四、报价要求</w:t>
      </w:r>
      <w:bookmarkEnd w:id="5"/>
      <w:bookmarkEnd w:id="6"/>
    </w:p>
    <w:p w14:paraId="6015AA15">
      <w:pPr>
        <w:spacing w:line="360" w:lineRule="auto"/>
        <w:ind w:firstLine="437"/>
        <w:rPr>
          <w:rFonts w:ascii="宋体" w:hAnsi="宋体" w:eastAsia="宋体"/>
          <w:bCs/>
          <w:sz w:val="24"/>
          <w:szCs w:val="18"/>
          <w:highlight w:val="none"/>
        </w:rPr>
      </w:pPr>
      <w:r>
        <w:rPr>
          <w:rFonts w:hint="eastAsia" w:ascii="宋体" w:hAnsi="宋体" w:eastAsia="宋体"/>
          <w:bCs/>
          <w:sz w:val="24"/>
          <w:szCs w:val="18"/>
          <w:highlight w:val="none"/>
        </w:rPr>
        <w:t>本项目报总价，投标报价</w:t>
      </w:r>
      <w:r>
        <w:rPr>
          <w:rFonts w:ascii="宋体" w:hAnsi="宋体" w:eastAsia="宋体"/>
          <w:bCs/>
          <w:sz w:val="24"/>
          <w:szCs w:val="18"/>
          <w:highlight w:val="none"/>
        </w:rPr>
        <w:t>包括</w:t>
      </w:r>
      <w:r>
        <w:rPr>
          <w:rFonts w:hint="eastAsia" w:ascii="宋体" w:hAnsi="宋体" w:eastAsia="宋体"/>
          <w:bCs/>
          <w:sz w:val="24"/>
          <w:szCs w:val="18"/>
          <w:highlight w:val="none"/>
        </w:rPr>
        <w:t>完成本项目需求的所有软件、硬件设备、所有系统接口费、配套服务器及存储设备费、所需正版软件授权费、所需附件购置费、包装费、运输费、人工费、安装调试费、各种税费、资料费、培训费、质保期内运维服务费及完成项目应有的全部费用，本项目不再追加任何额外费用。</w:t>
      </w:r>
    </w:p>
    <w:p w14:paraId="29D6A966">
      <w:pPr>
        <w:spacing w:line="360" w:lineRule="auto"/>
        <w:outlineLvl w:val="1"/>
        <w:rPr>
          <w:rFonts w:ascii="宋体" w:hAnsi="宋体" w:eastAsia="宋体"/>
          <w:b/>
          <w:sz w:val="24"/>
          <w:szCs w:val="18"/>
          <w:highlight w:val="none"/>
        </w:rPr>
      </w:pPr>
      <w:bookmarkStart w:id="7" w:name="_Toc532199625"/>
      <w:bookmarkStart w:id="8" w:name="_Toc455587094"/>
      <w:bookmarkStart w:id="9" w:name="_Toc445554753"/>
      <w:bookmarkStart w:id="10" w:name="_Toc455587278"/>
      <w:r>
        <w:rPr>
          <w:rFonts w:hint="eastAsia" w:ascii="宋体" w:hAnsi="宋体" w:eastAsia="宋体"/>
          <w:b/>
          <w:sz w:val="24"/>
          <w:szCs w:val="18"/>
          <w:highlight w:val="none"/>
        </w:rPr>
        <w:t>五、安装调试、验收试验及质量保证</w:t>
      </w:r>
      <w:bookmarkEnd w:id="7"/>
    </w:p>
    <w:p w14:paraId="49EDBB38">
      <w:pPr>
        <w:spacing w:line="360" w:lineRule="auto"/>
        <w:ind w:firstLine="437"/>
        <w:rPr>
          <w:rFonts w:ascii="宋体" w:hAnsi="宋体" w:eastAsia="宋体"/>
          <w:bCs/>
          <w:sz w:val="24"/>
          <w:szCs w:val="18"/>
          <w:highlight w:val="none"/>
        </w:rPr>
      </w:pPr>
      <w:r>
        <w:rPr>
          <w:rFonts w:ascii="宋体" w:hAnsi="宋体" w:eastAsia="宋体"/>
          <w:bCs/>
          <w:sz w:val="24"/>
          <w:szCs w:val="18"/>
          <w:highlight w:val="none"/>
        </w:rPr>
        <w:t>1、中标人在</w:t>
      </w:r>
      <w:r>
        <w:rPr>
          <w:rFonts w:hint="eastAsia" w:ascii="宋体" w:hAnsi="宋体" w:eastAsia="宋体"/>
          <w:bCs/>
          <w:sz w:val="24"/>
          <w:szCs w:val="18"/>
          <w:highlight w:val="none"/>
        </w:rPr>
        <w:t>采购人指定</w:t>
      </w:r>
      <w:r>
        <w:rPr>
          <w:rFonts w:ascii="宋体" w:hAnsi="宋体" w:eastAsia="宋体"/>
          <w:bCs/>
          <w:sz w:val="24"/>
          <w:szCs w:val="18"/>
          <w:highlight w:val="none"/>
        </w:rPr>
        <w:t>地点负责安装、调试。</w:t>
      </w:r>
    </w:p>
    <w:p w14:paraId="7C8BDAD9">
      <w:pPr>
        <w:spacing w:line="360" w:lineRule="auto"/>
        <w:ind w:firstLine="437"/>
        <w:rPr>
          <w:rFonts w:ascii="宋体" w:hAnsi="宋体" w:eastAsia="宋体"/>
          <w:bCs/>
          <w:sz w:val="24"/>
          <w:szCs w:val="18"/>
          <w:highlight w:val="none"/>
        </w:rPr>
      </w:pPr>
      <w:r>
        <w:rPr>
          <w:rFonts w:ascii="宋体" w:hAnsi="宋体" w:eastAsia="宋体"/>
          <w:bCs/>
          <w:sz w:val="24"/>
          <w:szCs w:val="18"/>
          <w:highlight w:val="none"/>
        </w:rPr>
        <w:t>2、验收标准和程序按采购人要求执行，下列验收程序可参照执行：</w:t>
      </w:r>
    </w:p>
    <w:p w14:paraId="11840BE4">
      <w:pPr>
        <w:spacing w:line="360" w:lineRule="auto"/>
        <w:ind w:firstLine="437"/>
        <w:rPr>
          <w:rFonts w:ascii="宋体" w:hAnsi="宋体" w:eastAsia="宋体"/>
          <w:bCs/>
          <w:sz w:val="24"/>
          <w:szCs w:val="18"/>
          <w:highlight w:val="none"/>
        </w:rPr>
      </w:pPr>
      <w:r>
        <w:rPr>
          <w:rFonts w:ascii="宋体" w:hAnsi="宋体" w:eastAsia="宋体"/>
          <w:bCs/>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44EDDDC2">
      <w:pPr>
        <w:spacing w:line="360" w:lineRule="auto"/>
        <w:ind w:firstLine="437"/>
        <w:rPr>
          <w:rFonts w:ascii="宋体" w:hAnsi="宋体" w:eastAsia="宋体"/>
          <w:bCs/>
          <w:sz w:val="24"/>
          <w:szCs w:val="18"/>
          <w:highlight w:val="none"/>
        </w:rPr>
      </w:pPr>
      <w:r>
        <w:rPr>
          <w:rFonts w:ascii="宋体" w:hAnsi="宋体" w:eastAsia="宋体"/>
          <w:bCs/>
          <w:sz w:val="24"/>
          <w:szCs w:val="18"/>
          <w:highlight w:val="none"/>
        </w:rPr>
        <w:t>2.2货物在验收时，中标人应提供发票、制造厂家出具的产品合格证书</w:t>
      </w:r>
      <w:r>
        <w:rPr>
          <w:rFonts w:hint="eastAsia" w:ascii="宋体" w:hAnsi="宋体" w:eastAsia="宋体"/>
          <w:bCs/>
          <w:sz w:val="24"/>
          <w:szCs w:val="18"/>
          <w:highlight w:val="none"/>
        </w:rPr>
        <w:t>（软件检测报告）</w:t>
      </w:r>
      <w:r>
        <w:rPr>
          <w:rFonts w:ascii="宋体" w:hAnsi="宋体" w:eastAsia="宋体"/>
          <w:bCs/>
          <w:sz w:val="24"/>
          <w:szCs w:val="18"/>
          <w:highlight w:val="none"/>
        </w:rPr>
        <w:t>、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3AFACE87">
      <w:pPr>
        <w:spacing w:line="360" w:lineRule="auto"/>
        <w:ind w:firstLine="437"/>
        <w:rPr>
          <w:rFonts w:ascii="宋体" w:hAnsi="宋体" w:eastAsia="宋体"/>
          <w:bCs/>
          <w:sz w:val="24"/>
          <w:szCs w:val="18"/>
          <w:highlight w:val="none"/>
        </w:rPr>
      </w:pPr>
      <w:r>
        <w:rPr>
          <w:rFonts w:ascii="宋体" w:hAnsi="宋体" w:eastAsia="宋体"/>
          <w:bCs/>
          <w:sz w:val="24"/>
          <w:szCs w:val="18"/>
          <w:highlight w:val="none"/>
        </w:rPr>
        <w:t>2.</w:t>
      </w:r>
      <w:r>
        <w:rPr>
          <w:rFonts w:hint="eastAsia" w:ascii="宋体" w:hAnsi="宋体" w:eastAsia="宋体"/>
          <w:bCs/>
          <w:sz w:val="24"/>
          <w:szCs w:val="18"/>
          <w:highlight w:val="none"/>
        </w:rPr>
        <w:t>3</w:t>
      </w:r>
      <w:r>
        <w:rPr>
          <w:rFonts w:ascii="宋体" w:hAnsi="宋体" w:eastAsia="宋体"/>
          <w:bCs/>
          <w:sz w:val="24"/>
          <w:szCs w:val="18"/>
          <w:highlight w:val="none"/>
        </w:rPr>
        <w:t xml:space="preserve"> 运行测试及最终验收。在系统安装、调试结束后，采购人对其进行全面的测试，对测试中暴露出来的问题，中标人应及时进行整改，系统最终测试完毕经验收合格后，采购人应向中标人签发</w:t>
      </w:r>
      <w:bookmarkStart w:id="16" w:name="_GoBack"/>
      <w:bookmarkEnd w:id="16"/>
      <w:r>
        <w:rPr>
          <w:rFonts w:ascii="宋体" w:hAnsi="宋体" w:eastAsia="宋体"/>
          <w:bCs/>
          <w:sz w:val="24"/>
          <w:szCs w:val="18"/>
          <w:highlight w:val="none"/>
        </w:rPr>
        <w:t>最终验收证明。</w:t>
      </w:r>
    </w:p>
    <w:p w14:paraId="0BED61DB">
      <w:pPr>
        <w:spacing w:line="360" w:lineRule="auto"/>
        <w:ind w:firstLine="437"/>
        <w:rPr>
          <w:rFonts w:ascii="宋体" w:hAnsi="宋体" w:eastAsia="宋体"/>
          <w:bCs/>
          <w:sz w:val="24"/>
          <w:szCs w:val="18"/>
          <w:highlight w:val="none"/>
        </w:rPr>
      </w:pPr>
      <w:r>
        <w:rPr>
          <w:rFonts w:ascii="宋体" w:hAnsi="宋体" w:eastAsia="宋体"/>
          <w:bCs/>
          <w:sz w:val="24"/>
          <w:szCs w:val="18"/>
          <w:highlight w:val="none"/>
        </w:rPr>
        <w:t>2.</w:t>
      </w:r>
      <w:r>
        <w:rPr>
          <w:rFonts w:hint="eastAsia" w:ascii="宋体" w:hAnsi="宋体" w:eastAsia="宋体"/>
          <w:bCs/>
          <w:sz w:val="24"/>
          <w:szCs w:val="18"/>
          <w:highlight w:val="none"/>
        </w:rPr>
        <w:t>4</w:t>
      </w:r>
      <w:r>
        <w:rPr>
          <w:rFonts w:ascii="宋体" w:hAnsi="宋体" w:eastAsia="宋体"/>
          <w:bCs/>
          <w:sz w:val="24"/>
          <w:szCs w:val="18"/>
          <w:highlight w:val="none"/>
        </w:rPr>
        <w:t xml:space="preserve"> 中标人应向采购人提供安装调试过程中的各种文档资料,以便采购人今后能掌握操作和维护方法。</w:t>
      </w:r>
    </w:p>
    <w:bookmarkEnd w:id="8"/>
    <w:bookmarkEnd w:id="9"/>
    <w:bookmarkEnd w:id="10"/>
    <w:p w14:paraId="3C0B4846">
      <w:pPr>
        <w:spacing w:line="360" w:lineRule="auto"/>
        <w:outlineLvl w:val="1"/>
        <w:rPr>
          <w:rFonts w:ascii="宋体" w:hAnsi="宋体" w:eastAsia="宋体"/>
          <w:b/>
          <w:sz w:val="24"/>
          <w:szCs w:val="18"/>
          <w:highlight w:val="none"/>
        </w:rPr>
      </w:pPr>
      <w:bookmarkStart w:id="11" w:name="_Toc455587095"/>
      <w:bookmarkStart w:id="12" w:name="_Toc455587279"/>
      <w:bookmarkStart w:id="13" w:name="_Toc532199627"/>
      <w:bookmarkStart w:id="14" w:name="_Toc445554754"/>
      <w:r>
        <w:rPr>
          <w:rFonts w:hint="eastAsia" w:ascii="宋体" w:hAnsi="宋体" w:eastAsia="宋体"/>
          <w:b/>
          <w:sz w:val="24"/>
          <w:szCs w:val="18"/>
          <w:highlight w:val="none"/>
        </w:rPr>
        <w:t>六、技术培训</w:t>
      </w:r>
      <w:bookmarkEnd w:id="11"/>
      <w:bookmarkEnd w:id="12"/>
      <w:bookmarkEnd w:id="13"/>
      <w:bookmarkEnd w:id="14"/>
    </w:p>
    <w:p w14:paraId="7C40B88B">
      <w:pPr>
        <w:spacing w:line="360" w:lineRule="auto"/>
        <w:ind w:firstLine="437"/>
        <w:outlineLvl w:val="1"/>
        <w:rPr>
          <w:rFonts w:ascii="宋体" w:hAnsi="宋体" w:eastAsia="宋体"/>
          <w:bCs/>
          <w:sz w:val="24"/>
          <w:szCs w:val="18"/>
          <w:highlight w:val="none"/>
        </w:rPr>
      </w:pPr>
      <w:r>
        <w:rPr>
          <w:rFonts w:ascii="宋体" w:hAnsi="宋体" w:eastAsia="宋体"/>
          <w:bCs/>
          <w:sz w:val="24"/>
          <w:szCs w:val="18"/>
          <w:highlight w:val="none"/>
        </w:rPr>
        <w:t>1、为使</w:t>
      </w:r>
      <w:r>
        <w:rPr>
          <w:rFonts w:hint="eastAsia" w:ascii="宋体" w:hAnsi="宋体" w:eastAsia="宋体"/>
          <w:bCs/>
          <w:sz w:val="24"/>
          <w:szCs w:val="18"/>
          <w:highlight w:val="none"/>
        </w:rPr>
        <w:t>系统及设备</w:t>
      </w:r>
      <w:r>
        <w:rPr>
          <w:rFonts w:ascii="宋体" w:hAnsi="宋体" w:eastAsia="宋体"/>
          <w:bCs/>
          <w:sz w:val="24"/>
          <w:szCs w:val="18"/>
          <w:highlight w:val="none"/>
        </w:rPr>
        <w:t>能正常安装和运行，由中标人提供相应的技术培训</w:t>
      </w:r>
      <w:r>
        <w:rPr>
          <w:rFonts w:hint="eastAsia" w:ascii="宋体" w:hAnsi="宋体" w:eastAsia="宋体"/>
          <w:bCs/>
          <w:sz w:val="24"/>
          <w:szCs w:val="18"/>
          <w:highlight w:val="none"/>
        </w:rPr>
        <w:t>，</w:t>
      </w:r>
      <w:r>
        <w:rPr>
          <w:rFonts w:ascii="宋体" w:hAnsi="宋体" w:eastAsia="宋体"/>
          <w:bCs/>
          <w:sz w:val="24"/>
          <w:szCs w:val="18"/>
          <w:highlight w:val="none"/>
        </w:rPr>
        <w:t>培训费用</w:t>
      </w:r>
      <w:r>
        <w:rPr>
          <w:rFonts w:hint="eastAsia" w:ascii="宋体" w:hAnsi="宋体" w:eastAsia="宋体"/>
          <w:bCs/>
          <w:sz w:val="24"/>
          <w:szCs w:val="18"/>
          <w:highlight w:val="none"/>
        </w:rPr>
        <w:t>包含在投标报价内</w:t>
      </w:r>
      <w:r>
        <w:rPr>
          <w:rFonts w:ascii="宋体" w:hAnsi="宋体" w:eastAsia="宋体"/>
          <w:bCs/>
          <w:sz w:val="24"/>
          <w:szCs w:val="18"/>
          <w:highlight w:val="none"/>
        </w:rPr>
        <w:t>。</w:t>
      </w:r>
    </w:p>
    <w:p w14:paraId="7183CAF6">
      <w:pPr>
        <w:spacing w:line="360" w:lineRule="auto"/>
        <w:ind w:firstLine="437"/>
        <w:outlineLvl w:val="1"/>
        <w:rPr>
          <w:rFonts w:ascii="宋体" w:hAnsi="宋体" w:eastAsia="宋体"/>
          <w:bCs/>
          <w:sz w:val="24"/>
          <w:szCs w:val="18"/>
          <w:highlight w:val="none"/>
        </w:rPr>
      </w:pPr>
      <w:r>
        <w:rPr>
          <w:rFonts w:ascii="宋体" w:hAnsi="宋体" w:eastAsia="宋体"/>
          <w:bCs/>
          <w:sz w:val="24"/>
          <w:szCs w:val="18"/>
          <w:highlight w:val="none"/>
        </w:rPr>
        <w:t>2、培训的时间、人数、地点等具体内容由双方商定，内容至少包括：</w:t>
      </w:r>
      <w:r>
        <w:rPr>
          <w:rFonts w:hint="eastAsia" w:ascii="宋体" w:hAnsi="宋体" w:eastAsia="宋体"/>
          <w:bCs/>
          <w:sz w:val="24"/>
          <w:szCs w:val="18"/>
          <w:highlight w:val="none"/>
        </w:rPr>
        <w:t>操作</w:t>
      </w:r>
      <w:r>
        <w:rPr>
          <w:rFonts w:ascii="宋体" w:hAnsi="宋体" w:eastAsia="宋体"/>
          <w:bCs/>
          <w:sz w:val="24"/>
          <w:szCs w:val="18"/>
          <w:highlight w:val="none"/>
        </w:rPr>
        <w:t>原理、使用、维护、运行操作、常见故障处理等。</w:t>
      </w:r>
    </w:p>
    <w:p w14:paraId="016D8747">
      <w:pPr>
        <w:spacing w:line="360" w:lineRule="auto"/>
        <w:outlineLvl w:val="1"/>
        <w:rPr>
          <w:rFonts w:ascii="宋体" w:hAnsi="宋体" w:eastAsia="宋体"/>
          <w:b/>
          <w:sz w:val="24"/>
          <w:szCs w:val="18"/>
          <w:highlight w:val="none"/>
        </w:rPr>
      </w:pPr>
      <w:bookmarkStart w:id="15" w:name="_Toc532199628"/>
      <w:r>
        <w:rPr>
          <w:rFonts w:hint="eastAsia" w:ascii="宋体" w:hAnsi="宋体" w:eastAsia="宋体"/>
          <w:b/>
          <w:sz w:val="24"/>
          <w:szCs w:val="18"/>
          <w:highlight w:val="none"/>
        </w:rPr>
        <w:t>七、质保及售后服务</w:t>
      </w:r>
    </w:p>
    <w:p w14:paraId="5827F99F">
      <w:pPr>
        <w:spacing w:line="360" w:lineRule="auto"/>
        <w:ind w:firstLine="437"/>
        <w:outlineLvl w:val="1"/>
        <w:rPr>
          <w:rFonts w:ascii="宋体" w:hAnsi="宋体" w:eastAsia="宋体"/>
          <w:bCs/>
          <w:sz w:val="24"/>
          <w:szCs w:val="18"/>
          <w:highlight w:val="none"/>
        </w:rPr>
      </w:pPr>
      <w:r>
        <w:rPr>
          <w:rFonts w:ascii="宋体" w:hAnsi="宋体" w:eastAsia="宋体"/>
          <w:bCs/>
          <w:sz w:val="24"/>
          <w:szCs w:val="18"/>
          <w:highlight w:val="none"/>
        </w:rPr>
        <w:t>1、自双方签订《验收报告》起进入质保期。</w:t>
      </w:r>
    </w:p>
    <w:p w14:paraId="616CB685">
      <w:pPr>
        <w:widowControl/>
        <w:numPr>
          <w:ilvl w:val="255"/>
          <w:numId w:val="0"/>
        </w:numPr>
        <w:spacing w:line="360" w:lineRule="auto"/>
        <w:ind w:firstLine="437"/>
        <w:jc w:val="left"/>
        <w:rPr>
          <w:rFonts w:ascii="宋体" w:hAnsi="宋体" w:eastAsia="宋体"/>
          <w:bCs/>
          <w:sz w:val="24"/>
          <w:szCs w:val="18"/>
          <w:highlight w:val="none"/>
        </w:rPr>
      </w:pPr>
      <w:r>
        <w:rPr>
          <w:rFonts w:ascii="宋体" w:hAnsi="宋体" w:eastAsia="宋体"/>
          <w:bCs/>
          <w:sz w:val="24"/>
          <w:szCs w:val="18"/>
          <w:highlight w:val="none"/>
        </w:rPr>
        <w:t>2、</w:t>
      </w:r>
      <w:r>
        <w:rPr>
          <w:rFonts w:hint="eastAsia" w:ascii="宋体" w:hAnsi="宋体" w:eastAsia="宋体"/>
          <w:bCs/>
          <w:sz w:val="24"/>
          <w:szCs w:val="18"/>
          <w:highlight w:val="none"/>
        </w:rPr>
        <w:t>验</w:t>
      </w:r>
      <w:r>
        <w:rPr>
          <w:rFonts w:ascii="宋体" w:hAnsi="宋体" w:eastAsia="宋体"/>
          <w:bCs/>
          <w:sz w:val="24"/>
          <w:szCs w:val="18"/>
          <w:highlight w:val="none"/>
        </w:rPr>
        <w:t>收合格后，</w:t>
      </w:r>
      <w:r>
        <w:rPr>
          <w:rFonts w:hint="eastAsia" w:ascii="宋体" w:hAnsi="宋体" w:eastAsia="宋体"/>
          <w:bCs/>
          <w:sz w:val="24"/>
          <w:szCs w:val="18"/>
          <w:highlight w:val="none"/>
        </w:rPr>
        <w:t>中标人需</w:t>
      </w:r>
      <w:r>
        <w:rPr>
          <w:rFonts w:ascii="宋体" w:hAnsi="宋体" w:eastAsia="宋体"/>
          <w:bCs/>
          <w:sz w:val="24"/>
          <w:szCs w:val="18"/>
          <w:highlight w:val="none"/>
        </w:rPr>
        <w:t>全年7*24小时提供技术支持维护，解决软</w:t>
      </w:r>
      <w:r>
        <w:rPr>
          <w:rFonts w:hint="eastAsia" w:ascii="宋体" w:hAnsi="宋体" w:eastAsia="宋体"/>
          <w:bCs/>
          <w:sz w:val="24"/>
          <w:szCs w:val="18"/>
          <w:highlight w:val="none"/>
          <w:lang w:val="en-US" w:eastAsia="zh-CN"/>
        </w:rPr>
        <w:t>硬件</w:t>
      </w:r>
      <w:r>
        <w:rPr>
          <w:rFonts w:ascii="宋体" w:hAnsi="宋体" w:eastAsia="宋体"/>
          <w:bCs/>
          <w:sz w:val="24"/>
          <w:szCs w:val="18"/>
          <w:highlight w:val="none"/>
        </w:rPr>
        <w:t>故障，支持方式包括不限于电话、传真、电子邮件等，提供实时响应远程解决。出现故障，10分钟内电话响应，在远程维护12小时内无法排除故障后，24小时内到达现场处理问题。</w:t>
      </w:r>
    </w:p>
    <w:p w14:paraId="04DF5FFF">
      <w:pPr>
        <w:spacing w:line="360" w:lineRule="auto"/>
        <w:ind w:firstLine="437"/>
        <w:outlineLvl w:val="1"/>
        <w:rPr>
          <w:rFonts w:ascii="宋体" w:hAnsi="宋体" w:eastAsia="宋体"/>
          <w:bCs/>
          <w:sz w:val="24"/>
          <w:szCs w:val="18"/>
          <w:highlight w:val="none"/>
        </w:rPr>
      </w:pPr>
      <w:r>
        <w:rPr>
          <w:rFonts w:hint="eastAsia" w:ascii="宋体" w:hAnsi="宋体" w:eastAsia="宋体"/>
          <w:bCs/>
          <w:sz w:val="24"/>
          <w:szCs w:val="18"/>
          <w:highlight w:val="none"/>
        </w:rPr>
        <w:t>3、</w:t>
      </w:r>
      <w:r>
        <w:rPr>
          <w:rFonts w:ascii="宋体" w:hAnsi="宋体" w:eastAsia="宋体"/>
          <w:bCs/>
          <w:sz w:val="24"/>
          <w:szCs w:val="18"/>
          <w:highlight w:val="none"/>
        </w:rPr>
        <w:t>在质保期间内，非采购人过失和故意并且在正常使用的情况下发现</w:t>
      </w:r>
      <w:r>
        <w:rPr>
          <w:rFonts w:hint="eastAsia" w:ascii="宋体" w:hAnsi="宋体" w:eastAsia="宋体"/>
          <w:bCs/>
          <w:sz w:val="24"/>
          <w:szCs w:val="18"/>
          <w:highlight w:val="none"/>
        </w:rPr>
        <w:t>产品</w:t>
      </w:r>
      <w:r>
        <w:rPr>
          <w:rFonts w:ascii="宋体" w:hAnsi="宋体" w:eastAsia="宋体"/>
          <w:bCs/>
          <w:sz w:val="24"/>
          <w:szCs w:val="18"/>
          <w:highlight w:val="none"/>
        </w:rPr>
        <w:t>有缺陷，中标人</w:t>
      </w:r>
      <w:r>
        <w:rPr>
          <w:rFonts w:hint="eastAsia" w:ascii="宋体" w:hAnsi="宋体" w:eastAsia="宋体"/>
          <w:bCs/>
          <w:sz w:val="24"/>
          <w:szCs w:val="18"/>
          <w:highlight w:val="none"/>
        </w:rPr>
        <w:t>应</w:t>
      </w:r>
      <w:r>
        <w:rPr>
          <w:rFonts w:ascii="宋体" w:hAnsi="宋体" w:eastAsia="宋体"/>
          <w:bCs/>
          <w:sz w:val="24"/>
          <w:szCs w:val="18"/>
          <w:highlight w:val="none"/>
        </w:rPr>
        <w:t>修理或替换该设备；在质保期间内，非采购人过失和故意并且在正常使用的情况下设备发生故障，中标人应及时提供服务。</w:t>
      </w:r>
      <w:bookmarkEnd w:id="15"/>
    </w:p>
    <w:p w14:paraId="3905070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179C87"/>
    <w:multiLevelType w:val="singleLevel"/>
    <w:tmpl w:val="9D179C87"/>
    <w:lvl w:ilvl="0" w:tentative="0">
      <w:start w:val="2"/>
      <w:numFmt w:val="chineseCounting"/>
      <w:suff w:val="nothing"/>
      <w:lvlText w:val="（%1）"/>
      <w:lvlJc w:val="left"/>
      <w:rPr>
        <w:rFonts w:hint="eastAsia"/>
      </w:rPr>
    </w:lvl>
  </w:abstractNum>
  <w:abstractNum w:abstractNumId="1">
    <w:nsid w:val="9E86354E"/>
    <w:multiLevelType w:val="multilevel"/>
    <w:tmpl w:val="9E86354E"/>
    <w:lvl w:ilvl="0" w:tentative="0">
      <w:start w:val="1"/>
      <w:numFmt w:val="decimal"/>
      <w:suff w:val="space"/>
      <w:lvlText w:val="6.%1"/>
      <w:lvlJc w:val="left"/>
      <w:pPr>
        <w:ind w:left="0" w:firstLine="0"/>
      </w:pPr>
      <w:rPr>
        <w:rFonts w:hint="default"/>
        <w:color w:val="auto"/>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C8FD8488"/>
    <w:multiLevelType w:val="singleLevel"/>
    <w:tmpl w:val="C8FD8488"/>
    <w:lvl w:ilvl="0" w:tentative="0">
      <w:start w:val="3"/>
      <w:numFmt w:val="chineseCounting"/>
      <w:suff w:val="nothing"/>
      <w:lvlText w:val="%1、"/>
      <w:lvlJc w:val="left"/>
      <w:rPr>
        <w:rFonts w:hint="eastAsia"/>
      </w:rPr>
    </w:lvl>
  </w:abstractNum>
  <w:abstractNum w:abstractNumId="3">
    <w:nsid w:val="C9014A11"/>
    <w:multiLevelType w:val="multilevel"/>
    <w:tmpl w:val="C9014A11"/>
    <w:lvl w:ilvl="0" w:tentative="0">
      <w:start w:val="1"/>
      <w:numFmt w:val="decimal"/>
      <w:suff w:val="space"/>
      <w:lvlText w:val="1.%1"/>
      <w:lvlJc w:val="left"/>
      <w:pPr>
        <w:ind w:left="0" w:firstLine="0"/>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
    <w:nsid w:val="CF61BBFF"/>
    <w:multiLevelType w:val="multilevel"/>
    <w:tmpl w:val="CF61BBFF"/>
    <w:lvl w:ilvl="0" w:tentative="0">
      <w:start w:val="1"/>
      <w:numFmt w:val="decimal"/>
      <w:suff w:val="space"/>
      <w:lvlText w:val="2.%1"/>
      <w:lvlJc w:val="left"/>
      <w:pPr>
        <w:ind w:left="0" w:firstLine="0"/>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5">
    <w:nsid w:val="E28A9C05"/>
    <w:multiLevelType w:val="multilevel"/>
    <w:tmpl w:val="E28A9C05"/>
    <w:lvl w:ilvl="0" w:tentative="0">
      <w:start w:val="1"/>
      <w:numFmt w:val="decimal"/>
      <w:lvlText w:val="9.%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6">
    <w:nsid w:val="FBCA40A3"/>
    <w:multiLevelType w:val="multilevel"/>
    <w:tmpl w:val="FBCA40A3"/>
    <w:lvl w:ilvl="0" w:tentative="0">
      <w:start w:val="1"/>
      <w:numFmt w:val="decimal"/>
      <w:suff w:val="space"/>
      <w:lvlText w:val="8.%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1AF60A6E"/>
    <w:multiLevelType w:val="multilevel"/>
    <w:tmpl w:val="1AF60A6E"/>
    <w:lvl w:ilvl="0" w:tentative="0">
      <w:start w:val="1"/>
      <w:numFmt w:val="decimal"/>
      <w:suff w:val="space"/>
      <w:lvlText w:val="3.%1"/>
      <w:lvlJc w:val="left"/>
      <w:pPr>
        <w:ind w:left="0" w:firstLine="0"/>
      </w:pPr>
      <w:rPr>
        <w:rFonts w:hint="default" w:ascii="Times New Roman" w:hAnsi="Times New Roman" w:cs="Times New Roman"/>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8">
    <w:nsid w:val="31545CAE"/>
    <w:multiLevelType w:val="multilevel"/>
    <w:tmpl w:val="31545CAE"/>
    <w:lvl w:ilvl="0" w:tentative="0">
      <w:start w:val="1"/>
      <w:numFmt w:val="decimal"/>
      <w:suff w:val="space"/>
      <w:lvlText w:val="4.%1"/>
      <w:lvlJc w:val="left"/>
      <w:pPr>
        <w:ind w:left="0" w:firstLine="0"/>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1FFBE3D"/>
    <w:multiLevelType w:val="multilevel"/>
    <w:tmpl w:val="71FFBE3D"/>
    <w:lvl w:ilvl="0" w:tentative="0">
      <w:start w:val="1"/>
      <w:numFmt w:val="decimal"/>
      <w:suff w:val="space"/>
      <w:lvlText w:val="10.%1"/>
      <w:lvlJc w:val="left"/>
      <w:pPr>
        <w:ind w:left="0" w:firstLine="0"/>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0">
    <w:nsid w:val="7278C7A4"/>
    <w:multiLevelType w:val="multilevel"/>
    <w:tmpl w:val="7278C7A4"/>
    <w:lvl w:ilvl="0" w:tentative="0">
      <w:start w:val="1"/>
      <w:numFmt w:val="decimal"/>
      <w:lvlText w:val="7.%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3"/>
  </w:num>
  <w:num w:numId="2">
    <w:abstractNumId w:val="4"/>
  </w:num>
  <w:num w:numId="3">
    <w:abstractNumId w:val="7"/>
  </w:num>
  <w:num w:numId="4">
    <w:abstractNumId w:val="8"/>
  </w:num>
  <w:num w:numId="5">
    <w:abstractNumId w:val="1"/>
  </w:num>
  <w:num w:numId="6">
    <w:abstractNumId w:val="10"/>
  </w:num>
  <w:num w:numId="7">
    <w:abstractNumId w:val="0"/>
  </w:num>
  <w:num w:numId="8">
    <w:abstractNumId w:val="6"/>
  </w:num>
  <w:num w:numId="9">
    <w:abstractNumId w:val="5"/>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1973CB"/>
    <w:rsid w:val="07035F04"/>
    <w:rsid w:val="0FD046E6"/>
    <w:rsid w:val="1140361C"/>
    <w:rsid w:val="18AD0069"/>
    <w:rsid w:val="201973CB"/>
    <w:rsid w:val="30B4572B"/>
    <w:rsid w:val="43AF4742"/>
    <w:rsid w:val="48BF68A4"/>
    <w:rsid w:val="4AA14387"/>
    <w:rsid w:val="4FE71AF7"/>
    <w:rsid w:val="537B1BBD"/>
    <w:rsid w:val="5A176F16"/>
    <w:rsid w:val="5AB21DC2"/>
    <w:rsid w:val="656C4390"/>
    <w:rsid w:val="6F413BF1"/>
    <w:rsid w:val="78B96B74"/>
    <w:rsid w:val="7E9E6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link w:val="10"/>
    <w:qFormat/>
    <w:uiPriority w:val="0"/>
    <w:pPr>
      <w:widowControl/>
      <w:spacing w:before="50" w:beforeLines="50" w:beforeAutospacing="0" w:after="50" w:afterLines="50" w:afterAutospacing="0"/>
      <w:jc w:val="left"/>
      <w:outlineLvl w:val="0"/>
    </w:pPr>
    <w:rPr>
      <w:rFonts w:ascii="宋体" w:hAnsi="宋体" w:eastAsia="黑体" w:cs="宋体"/>
      <w:b/>
      <w:bCs/>
      <w:kern w:val="36"/>
      <w:sz w:val="32"/>
      <w:szCs w:val="48"/>
    </w:rPr>
  </w:style>
  <w:style w:type="paragraph" w:styleId="3">
    <w:name w:val="heading 2"/>
    <w:basedOn w:val="1"/>
    <w:next w:val="1"/>
    <w:link w:val="11"/>
    <w:semiHidden/>
    <w:unhideWhenUsed/>
    <w:qFormat/>
    <w:uiPriority w:val="0"/>
    <w:pPr>
      <w:spacing w:line="360" w:lineRule="auto"/>
      <w:jc w:val="left"/>
      <w:outlineLvl w:val="1"/>
    </w:pPr>
    <w:rPr>
      <w:rFonts w:ascii="仿宋" w:hAnsi="仿宋" w:eastAsia="楷体" w:cs="仿宋"/>
      <w:bCs/>
      <w:sz w:val="32"/>
      <w:szCs w:val="28"/>
    </w:rPr>
  </w:style>
  <w:style w:type="paragraph" w:styleId="4">
    <w:name w:val="heading 5"/>
    <w:basedOn w:val="1"/>
    <w:next w:val="1"/>
    <w:link w:val="12"/>
    <w:semiHidden/>
    <w:unhideWhenUsed/>
    <w:qFormat/>
    <w:uiPriority w:val="0"/>
    <w:pPr>
      <w:widowControl/>
      <w:spacing w:before="50" w:beforeLines="50" w:beforeAutospacing="0" w:afterAutospacing="0" w:line="240" w:lineRule="auto"/>
      <w:jc w:val="center"/>
      <w:outlineLvl w:val="4"/>
    </w:pPr>
    <w:rPr>
      <w:rFonts w:ascii="宋体" w:hAnsi="宋体" w:eastAsia="仿宋" w:cs="宋体"/>
      <w:b/>
      <w:bCs/>
      <w:kern w:val="0"/>
      <w:sz w:val="28"/>
      <w:szCs w:val="20"/>
    </w:rPr>
  </w:style>
  <w:style w:type="character" w:default="1" w:styleId="8">
    <w:name w:val="Default Paragraph Font"/>
    <w:unhideWhenUsed/>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5">
    <w:name w:val="Plain Text"/>
    <w:basedOn w:val="1"/>
    <w:link w:val="9"/>
    <w:qFormat/>
    <w:uiPriority w:val="0"/>
    <w:pPr>
      <w:spacing w:before="50" w:beforeLines="50"/>
    </w:pPr>
    <w:rPr>
      <w:rFonts w:ascii="宋体" w:hAnsi="宋体" w:eastAsia="宋体" w:cs="Times New Roman"/>
      <w:b/>
      <w:sz w:val="24"/>
      <w:szCs w:val="20"/>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纯文本 Char"/>
    <w:link w:val="5"/>
    <w:qFormat/>
    <w:uiPriority w:val="0"/>
    <w:rPr>
      <w:rFonts w:ascii="宋体" w:hAnsi="宋体" w:eastAsia="宋体" w:cs="Times New Roman"/>
      <w:b/>
      <w:kern w:val="2"/>
      <w:sz w:val="24"/>
      <w:lang w:val="en-US" w:eastAsia="zh-CN" w:bidi="ar-SA"/>
    </w:rPr>
  </w:style>
  <w:style w:type="character" w:customStyle="1" w:styleId="10">
    <w:name w:val="标题 1 Char"/>
    <w:basedOn w:val="8"/>
    <w:link w:val="2"/>
    <w:autoRedefine/>
    <w:qFormat/>
    <w:uiPriority w:val="0"/>
    <w:rPr>
      <w:rFonts w:ascii="宋体" w:hAnsi="宋体" w:eastAsia="黑体" w:cs="宋体"/>
      <w:b/>
      <w:bCs/>
      <w:kern w:val="36"/>
      <w:sz w:val="48"/>
      <w:szCs w:val="48"/>
    </w:rPr>
  </w:style>
  <w:style w:type="character" w:customStyle="1" w:styleId="11">
    <w:name w:val="标题 2 Char"/>
    <w:basedOn w:val="8"/>
    <w:link w:val="3"/>
    <w:autoRedefine/>
    <w:qFormat/>
    <w:uiPriority w:val="0"/>
    <w:rPr>
      <w:rFonts w:eastAsia="楷体" w:cs="Times New Roman"/>
      <w:bCs/>
      <w:sz w:val="32"/>
      <w:szCs w:val="32"/>
    </w:rPr>
  </w:style>
  <w:style w:type="character" w:customStyle="1" w:styleId="12">
    <w:name w:val="标题 5 字符"/>
    <w:basedOn w:val="8"/>
    <w:link w:val="4"/>
    <w:qFormat/>
    <w:uiPriority w:val="9"/>
    <w:rPr>
      <w:rFonts w:ascii="宋体" w:hAnsi="宋体" w:eastAsia="仿宋" w:cs="宋体"/>
      <w:b/>
      <w:bCs/>
      <w:kern w:val="0"/>
      <w:sz w:val="28"/>
      <w:szCs w:val="20"/>
    </w:rPr>
  </w:style>
  <w:style w:type="paragraph" w:customStyle="1" w:styleId="13">
    <w:name w:val="样式4"/>
    <w:basedOn w:val="1"/>
    <w:qFormat/>
    <w:uiPriority w:val="0"/>
    <w:pPr>
      <w:widowControl/>
      <w:adjustRightInd w:val="0"/>
      <w:snapToGrid w:val="0"/>
      <w:spacing w:line="360" w:lineRule="auto"/>
      <w:ind w:firstLine="480" w:firstLineChars="200"/>
      <w:jc w:val="left"/>
    </w:pPr>
    <w:rPr>
      <w:rFonts w:hint="eastAsia" w:ascii="宋体" w:hAnsi="宋体" w:eastAsia="宋体" w:cs="宋体"/>
      <w:color w:val="000000"/>
      <w:kern w:val="0"/>
      <w:sz w:val="24"/>
    </w:rPr>
  </w:style>
  <w:style w:type="paragraph" w:customStyle="1" w:styleId="14">
    <w:name w:val="标题5"/>
    <w:basedOn w:val="1"/>
    <w:qFormat/>
    <w:uiPriority w:val="0"/>
    <w:pPr>
      <w:widowControl/>
      <w:adjustRightInd w:val="0"/>
      <w:snapToGrid w:val="0"/>
      <w:spacing w:before="50" w:beforeLines="50" w:line="360" w:lineRule="auto"/>
      <w:ind w:left="0" w:firstLine="883" w:firstLineChars="200"/>
      <w:jc w:val="left"/>
    </w:pPr>
    <w:rPr>
      <w:rFonts w:hint="eastAsia" w:ascii="宋体" w:hAnsi="宋体" w:eastAsia="宋体" w:cs="宋体"/>
      <w:b/>
      <w:color w:val="000000"/>
      <w:kern w:val="0"/>
      <w:sz w:val="24"/>
    </w:rPr>
  </w:style>
  <w:style w:type="paragraph" w:customStyle="1" w:styleId="15">
    <w:name w:val="D&amp;L"/>
    <w:basedOn w:val="6"/>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6">
    <w:name w:val="xl31"/>
    <w:basedOn w:val="1"/>
    <w:autoRedefine/>
    <w:qFormat/>
    <w:uiPriority w:val="0"/>
    <w:pPr>
      <w:widowControl/>
      <w:spacing w:before="100" w:beforeAutospacing="1" w:after="100" w:afterAutospacing="1"/>
      <w:jc w:val="center"/>
    </w:pPr>
    <w:rPr>
      <w:b/>
      <w:bCs/>
      <w:kern w:val="0"/>
      <w:sz w:val="28"/>
      <w:szCs w:val="28"/>
    </w:rPr>
  </w:style>
  <w:style w:type="table" w:customStyle="1" w:styleId="17">
    <w:name w:val="Table Normal"/>
    <w:autoRedefine/>
    <w:semiHidden/>
    <w:unhideWhenUsed/>
    <w:qFormat/>
    <w:uiPriority w:val="0"/>
    <w:tblPr>
      <w:tblCellMar>
        <w:top w:w="0" w:type="dxa"/>
        <w:left w:w="0" w:type="dxa"/>
        <w:bottom w:w="0" w:type="dxa"/>
        <w:right w:w="0" w:type="dxa"/>
      </w:tblCellMar>
    </w:tblPr>
  </w:style>
  <w:style w:type="paragraph" w:customStyle="1" w:styleId="18">
    <w:name w:val="列出段落1"/>
    <w:basedOn w:val="1"/>
    <w:autoRedefine/>
    <w:qFormat/>
    <w:uiPriority w:val="0"/>
    <w:pPr>
      <w:ind w:firstLine="420" w:firstLineChars="200"/>
    </w:pPr>
    <w:rPr>
      <w:szCs w:val="21"/>
    </w:rPr>
  </w:style>
  <w:style w:type="paragraph" w:customStyle="1" w:styleId="19">
    <w:name w:val="无间隔1"/>
    <w:next w:val="1"/>
    <w:qFormat/>
    <w:uiPriority w:val="0"/>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2026-08-28T13:40:00Z</dcterms:created>
  <dc:creator>我是榛子先生</dc:creator>
  <cp:lastModifiedBy>我是榛子先生</cp:lastModifiedBy>
  <dcterms:modified xsi:type="dcterms:W3CDTF">2026-08-28T13:42:05Z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15696EFAC7844B819C9988FFC6C302B4_11</vt:lpwstr>
  </property>
  <property fmtid="{D5CDD505-2E9C-101B-9397-08002B2CF9AE}" pid="4" name="KSOTemplateDocerSaveRecord">
    <vt:lpwstr>eyJoZGlkIjoiODExY2ZhMTRhZmQ5NjNkYzcyZmQ3OWI4OTZjYmJkYmIiLCJ1c2VySWQiOiI1MzA1MTY1NjYifQ==</vt:lpwstr>
  </property>
</Properties>
</file>