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77E90">
      <w:pPr>
        <w:spacing w:line="360" w:lineRule="auto"/>
        <w:jc w:val="center"/>
        <w:outlineLvl w:val="0"/>
        <w:rPr>
          <w:rFonts w:asciiTheme="minorEastAsia" w:hAnsiTheme="minorEastAsia" w:eastAsiaTheme="minorEastAsia"/>
          <w:b/>
          <w:sz w:val="28"/>
        </w:rPr>
      </w:pPr>
      <w:bookmarkStart w:id="0" w:name="_Toc13066"/>
      <w:bookmarkStart w:id="30" w:name="_GoBack"/>
      <w:bookmarkEnd w:id="30"/>
      <w:r>
        <w:rPr>
          <w:rFonts w:hint="eastAsia" w:asciiTheme="minorEastAsia" w:hAnsiTheme="minorEastAsia" w:eastAsiaTheme="minorEastAsia"/>
          <w:b/>
          <w:sz w:val="28"/>
        </w:rPr>
        <w:t>采购需求</w:t>
      </w:r>
      <w:bookmarkEnd w:id="0"/>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277"/>
        <w:gridCol w:w="6287"/>
      </w:tblGrid>
      <w:tr w14:paraId="1AFC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4FD51F9">
            <w:pPr>
              <w:spacing w:line="360" w:lineRule="auto"/>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序号</w:t>
            </w:r>
          </w:p>
        </w:tc>
        <w:tc>
          <w:tcPr>
            <w:tcW w:w="1277" w:type="dxa"/>
            <w:vAlign w:val="center"/>
          </w:tcPr>
          <w:p w14:paraId="00D5C08F">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内容</w:t>
            </w:r>
          </w:p>
        </w:tc>
        <w:tc>
          <w:tcPr>
            <w:tcW w:w="6287" w:type="dxa"/>
            <w:vAlign w:val="center"/>
          </w:tcPr>
          <w:p w14:paraId="039E8E8A">
            <w:pPr>
              <w:spacing w:line="360" w:lineRule="auto"/>
              <w:ind w:firstLine="435"/>
              <w:jc w:val="center"/>
              <w:rPr>
                <w:rFonts w:hint="eastAsia" w:asciiTheme="minorEastAsia" w:hAnsiTheme="minorEastAsia" w:eastAsiaTheme="minorEastAsia" w:cstheme="minorEastAsia"/>
                <w:b/>
                <w:kern w:val="2"/>
                <w:sz w:val="24"/>
                <w:szCs w:val="22"/>
              </w:rPr>
            </w:pPr>
            <w:r>
              <w:rPr>
                <w:rFonts w:hint="eastAsia" w:asciiTheme="minorEastAsia" w:hAnsiTheme="minorEastAsia" w:eastAsiaTheme="minorEastAsia" w:cstheme="minorEastAsia"/>
                <w:b/>
                <w:kern w:val="2"/>
                <w:sz w:val="24"/>
                <w:szCs w:val="22"/>
              </w:rPr>
              <w:t>说明和要求</w:t>
            </w:r>
          </w:p>
        </w:tc>
      </w:tr>
      <w:tr w14:paraId="243F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3AFA0E7">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w:t>
            </w:r>
          </w:p>
        </w:tc>
        <w:tc>
          <w:tcPr>
            <w:tcW w:w="1277" w:type="dxa"/>
            <w:vAlign w:val="center"/>
          </w:tcPr>
          <w:p w14:paraId="17FEDC8A">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人员到岗及履约要求</w:t>
            </w:r>
          </w:p>
        </w:tc>
        <w:tc>
          <w:tcPr>
            <w:tcW w:w="6287" w:type="dxa"/>
            <w:vAlign w:val="center"/>
          </w:tcPr>
          <w:p w14:paraId="10CA0C23">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1）供应商一旦成交，磋商时所报的本项目的项目经理、施工现场技术负责人、各专业负责工程师及施工机械等在整个项目施工期内必须在位，否则采购人有权解除合同。由此造成的损失，成交供应商自行承担并赔偿可能给采购人造成的损失。</w:t>
            </w:r>
          </w:p>
          <w:p w14:paraId="7173BFB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059333DC">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成交供应商未能按照承诺到岗尽职的，采购人将视情况严重程度对其作出相应处理，并发出整改通知。如仍未及时整改，采购人有权责令其停工整改、直至解除合同，引进新的承包人。采购人还将停止支付工程款项，扣留任何未付的工程进度款项补偿建设单位的有关损失或工期延误的损失，并就此向承包人索赔。</w:t>
            </w:r>
          </w:p>
        </w:tc>
      </w:tr>
      <w:tr w14:paraId="7ED1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73824DF8">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2</w:t>
            </w:r>
          </w:p>
        </w:tc>
        <w:tc>
          <w:tcPr>
            <w:tcW w:w="1277" w:type="dxa"/>
            <w:vAlign w:val="center"/>
          </w:tcPr>
          <w:p w14:paraId="0E2CC1F0">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材料要求</w:t>
            </w:r>
          </w:p>
        </w:tc>
        <w:tc>
          <w:tcPr>
            <w:tcW w:w="6287" w:type="dxa"/>
            <w:vAlign w:val="center"/>
          </w:tcPr>
          <w:p w14:paraId="27E7108A">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成交供应商自行采购的材料应满足设计和规范要求的质量等级，并须按有关技术规范要求对材料质量进行检验。成交供应商选定的材料供应厂家和价格须经采购人和监理单位认可。如采购人和监理单位对某种或某些材料的质量有异议，有权提出停止使用的要求，成交供应商必须服从该要求。若该材料经权威检验部门鉴定确有质量问题，由此而发生的一切费用由成交供应商自负。因成交供应商自行采购的材料质量引起的工程质量问题由成交供应商承担所造成的一切损失。</w:t>
            </w:r>
          </w:p>
        </w:tc>
      </w:tr>
      <w:tr w14:paraId="5CED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20D0A14">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3</w:t>
            </w:r>
          </w:p>
        </w:tc>
        <w:tc>
          <w:tcPr>
            <w:tcW w:w="1277" w:type="dxa"/>
            <w:vAlign w:val="center"/>
          </w:tcPr>
          <w:p w14:paraId="353768DB">
            <w:pPr>
              <w:spacing w:line="360" w:lineRule="auto"/>
              <w:rPr>
                <w:rFonts w:hint="eastAsia" w:asciiTheme="minorEastAsia" w:hAnsiTheme="minorEastAsia" w:eastAsiaTheme="minorEastAsia" w:cstheme="minorEastAsia"/>
                <w:b/>
                <w:bCs/>
                <w:color w:val="auto"/>
                <w:kern w:val="2"/>
                <w:sz w:val="24"/>
                <w:szCs w:val="22"/>
              </w:rPr>
            </w:pPr>
            <w:r>
              <w:rPr>
                <w:rFonts w:hint="eastAsia" w:asciiTheme="minorEastAsia" w:hAnsiTheme="minorEastAsia" w:eastAsiaTheme="minorEastAsia" w:cstheme="minorEastAsia"/>
                <w:b/>
                <w:bCs/>
                <w:color w:val="auto"/>
                <w:kern w:val="2"/>
                <w:sz w:val="24"/>
                <w:szCs w:val="22"/>
              </w:rPr>
              <w:t>工程施工重点难点</w:t>
            </w:r>
          </w:p>
        </w:tc>
        <w:tc>
          <w:tcPr>
            <w:tcW w:w="6287" w:type="dxa"/>
            <w:vAlign w:val="center"/>
          </w:tcPr>
          <w:p w14:paraId="073B047B">
            <w:pPr>
              <w:spacing w:line="360" w:lineRule="auto"/>
              <w:rPr>
                <w:rFonts w:hint="eastAsia" w:asciiTheme="minorEastAsia" w:hAnsiTheme="minorEastAsia" w:eastAsiaTheme="minorEastAsia" w:cstheme="minorEastAsia"/>
                <w:b/>
                <w:bCs/>
                <w:color w:val="auto"/>
                <w:kern w:val="2"/>
                <w:sz w:val="24"/>
                <w:szCs w:val="22"/>
                <w:lang w:eastAsia="zh-CN"/>
              </w:rPr>
            </w:pPr>
            <w:r>
              <w:rPr>
                <w:rFonts w:hint="eastAsia" w:asciiTheme="minorEastAsia" w:hAnsiTheme="minorEastAsia" w:eastAsiaTheme="minorEastAsia" w:cstheme="minorEastAsia"/>
                <w:b/>
                <w:bCs/>
                <w:color w:val="auto"/>
                <w:kern w:val="2"/>
                <w:sz w:val="24"/>
                <w:szCs w:val="22"/>
                <w:lang w:eastAsia="zh-CN"/>
              </w:rPr>
              <w:t>本项目施工场地位于学校内；工期紧、任务重，同时须保护好校园已有的公共设施等及校园内师生员工的人身安全；本项内容与施工组织设计重难点评审相对应，投标人必须在施工组织设计中全面重点阐述。</w:t>
            </w:r>
          </w:p>
        </w:tc>
      </w:tr>
      <w:tr w14:paraId="7F56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01D774FA">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4</w:t>
            </w:r>
          </w:p>
        </w:tc>
        <w:tc>
          <w:tcPr>
            <w:tcW w:w="1277" w:type="dxa"/>
            <w:vAlign w:val="center"/>
          </w:tcPr>
          <w:p w14:paraId="6E83AA42">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报价须知</w:t>
            </w:r>
          </w:p>
        </w:tc>
        <w:tc>
          <w:tcPr>
            <w:tcW w:w="6287" w:type="dxa"/>
            <w:vAlign w:val="center"/>
          </w:tcPr>
          <w:p w14:paraId="0B0D56D2">
            <w:pPr>
              <w:spacing w:line="360" w:lineRule="auto"/>
              <w:rPr>
                <w:rFonts w:hint="eastAsia" w:asciiTheme="minorEastAsia" w:hAnsiTheme="minorEastAsia" w:eastAsiaTheme="minorEastAsia" w:cstheme="minorEastAsia"/>
                <w:kern w:val="2"/>
                <w:sz w:val="21"/>
                <w:szCs w:val="22"/>
              </w:rPr>
            </w:pPr>
            <w:r>
              <w:rPr>
                <w:rFonts w:hint="eastAsia" w:asciiTheme="minorEastAsia" w:hAnsiTheme="minorEastAsia" w:eastAsiaTheme="minorEastAsia" w:cstheme="minorEastAsia"/>
                <w:kern w:val="2"/>
                <w:sz w:val="24"/>
                <w:szCs w:val="22"/>
              </w:rPr>
              <w:t>供应商最后报价均不得高于磋商文件（公告）列明的项目预算、最高限价，否则其响应文件将被认定为响应无效。</w:t>
            </w:r>
          </w:p>
        </w:tc>
      </w:tr>
      <w:tr w14:paraId="0A5E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581257BF">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5</w:t>
            </w:r>
          </w:p>
        </w:tc>
        <w:tc>
          <w:tcPr>
            <w:tcW w:w="1277" w:type="dxa"/>
            <w:vAlign w:val="center"/>
          </w:tcPr>
          <w:p w14:paraId="40AC0CAC">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重要说明</w:t>
            </w:r>
          </w:p>
        </w:tc>
        <w:tc>
          <w:tcPr>
            <w:tcW w:w="6287" w:type="dxa"/>
            <w:vAlign w:val="center"/>
          </w:tcPr>
          <w:p w14:paraId="12ACDF9F">
            <w:pPr>
              <w:spacing w:line="360" w:lineRule="auto"/>
              <w:rPr>
                <w:rFonts w:hint="eastAsia" w:asciiTheme="minorEastAsia" w:hAnsiTheme="minorEastAsia" w:eastAsiaTheme="minorEastAsia" w:cstheme="minorEastAsia"/>
                <w:kern w:val="2"/>
                <w:sz w:val="24"/>
                <w:szCs w:val="18"/>
              </w:rPr>
            </w:pPr>
            <w:bookmarkStart w:id="1" w:name="OLE_LINK3"/>
            <w:r>
              <w:rPr>
                <w:rFonts w:hint="eastAsia" w:asciiTheme="minorEastAsia" w:hAnsiTheme="minorEastAsia" w:eastAsiaTheme="minorEastAsia" w:cstheme="minorEastAsia"/>
                <w:kern w:val="2"/>
                <w:sz w:val="24"/>
                <w:szCs w:val="24"/>
              </w:rPr>
              <w:t>政府采购政策（包括但不限于下列具体政策要求）</w:t>
            </w:r>
            <w:r>
              <w:rPr>
                <w:rFonts w:hint="eastAsia" w:asciiTheme="minorEastAsia" w:hAnsiTheme="minorEastAsia" w:eastAsiaTheme="minorEastAsia" w:cstheme="minorEastAsia"/>
                <w:kern w:val="2"/>
                <w:sz w:val="24"/>
                <w:szCs w:val="18"/>
              </w:rPr>
              <w:t>：</w:t>
            </w:r>
          </w:p>
          <w:p w14:paraId="113595C4">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446646DA">
            <w:pPr>
              <w:spacing w:line="360" w:lineRule="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469ED52">
            <w:pPr>
              <w:spacing w:line="360" w:lineRule="auto"/>
              <w:rPr>
                <w:rFonts w:hint="eastAsia" w:asciiTheme="minorEastAsia" w:hAnsiTheme="minorEastAsia" w:eastAsiaTheme="minorEastAsia" w:cstheme="minorEastAsia"/>
                <w:kern w:val="2"/>
                <w:sz w:val="24"/>
                <w:szCs w:val="22"/>
                <w:lang w:val="en-US" w:eastAsia="zh-CN"/>
              </w:rPr>
            </w:pPr>
            <w:bookmarkStart w:id="2" w:name="OLE_LINK5"/>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4"/>
                <w:lang w:val="en-US" w:eastAsia="zh-CN"/>
              </w:rPr>
              <w:t>3</w:t>
            </w:r>
            <w:r>
              <w:rPr>
                <w:rFonts w:hint="eastAsia" w:asciiTheme="minorEastAsia" w:hAnsiTheme="minorEastAsia" w:eastAsiaTheme="minorEastAsia" w:cstheme="minorEastAsia"/>
                <w:kern w:val="2"/>
                <w:sz w:val="24"/>
                <w:szCs w:val="24"/>
                <w:lang w:eastAsia="zh-CN"/>
              </w:rPr>
              <w:t>）</w:t>
            </w:r>
            <w:r>
              <w:rPr>
                <w:rFonts w:hint="eastAsia" w:asciiTheme="minorEastAsia" w:hAnsiTheme="minorEastAsia" w:eastAsiaTheme="minorEastAsia" w:cstheme="minorEastAsia"/>
                <w:kern w:val="2"/>
                <w:sz w:val="24"/>
                <w:szCs w:val="22"/>
                <w:lang w:val="en-US"/>
              </w:rPr>
              <w:t>根据《关于进一步做好政府采购支持绿色建材促进建筑品质提升相关工作的通知》（</w:t>
            </w:r>
            <w:r>
              <w:rPr>
                <w:rFonts w:hint="eastAsia" w:asciiTheme="minorEastAsia" w:hAnsiTheme="minorEastAsia" w:eastAsiaTheme="minorEastAsia" w:cstheme="minorEastAsia"/>
                <w:kern w:val="2"/>
                <w:sz w:val="24"/>
                <w:szCs w:val="22"/>
              </w:rPr>
              <w:t>合财购〔2025〕167号</w:t>
            </w:r>
            <w:r>
              <w:rPr>
                <w:rFonts w:hint="eastAsia" w:asciiTheme="minorEastAsia" w:hAnsiTheme="minorEastAsia" w:eastAsiaTheme="minorEastAsia" w:cstheme="minorEastAsia"/>
                <w:kern w:val="2"/>
                <w:sz w:val="24"/>
                <w:szCs w:val="22"/>
                <w:lang w:val="en-US"/>
              </w:rPr>
              <w:t>）、《</w:t>
            </w:r>
            <w:r>
              <w:rPr>
                <w:rFonts w:hint="eastAsia" w:asciiTheme="minorEastAsia" w:hAnsiTheme="minorEastAsia" w:eastAsiaTheme="minorEastAsia" w:cstheme="minorEastAsia"/>
                <w:kern w:val="2"/>
                <w:sz w:val="24"/>
                <w:szCs w:val="22"/>
              </w:rPr>
              <w:t>合肥市政府采购支持绿色建材促进建筑品质提升试点实施方案</w:t>
            </w:r>
            <w:r>
              <w:rPr>
                <w:rFonts w:hint="eastAsia" w:asciiTheme="minorEastAsia" w:hAnsiTheme="minorEastAsia" w:eastAsiaTheme="minorEastAsia" w:cstheme="minorEastAsia"/>
                <w:kern w:val="2"/>
                <w:sz w:val="24"/>
                <w:szCs w:val="22"/>
                <w:lang w:val="en-US"/>
              </w:rPr>
              <w:t>》，属于实施范围内的政府采购工程项目，</w:t>
            </w:r>
            <w:r>
              <w:rPr>
                <w:rFonts w:hint="eastAsia" w:asciiTheme="minorEastAsia" w:hAnsiTheme="minorEastAsia" w:eastAsiaTheme="minorEastAsia" w:cstheme="minorEastAsia"/>
                <w:kern w:val="2"/>
                <w:sz w:val="24"/>
                <w:szCs w:val="22"/>
              </w:rPr>
              <w:t>应</w:t>
            </w:r>
            <w:r>
              <w:rPr>
                <w:rFonts w:hint="eastAsia" w:asciiTheme="minorEastAsia" w:hAnsiTheme="minorEastAsia" w:eastAsiaTheme="minorEastAsia" w:cstheme="minorEastAsia"/>
                <w:kern w:val="2"/>
                <w:sz w:val="24"/>
                <w:szCs w:val="22"/>
                <w:lang w:val="en-US"/>
              </w:rPr>
              <w:t>按照</w:t>
            </w:r>
            <w:r>
              <w:rPr>
                <w:rFonts w:hint="eastAsia" w:asciiTheme="minorEastAsia" w:hAnsiTheme="minorEastAsia" w:eastAsiaTheme="minorEastAsia" w:cstheme="minorEastAsia"/>
                <w:kern w:val="2"/>
                <w:sz w:val="24"/>
                <w:szCs w:val="22"/>
              </w:rPr>
              <w:t>财政部、住建部、工信部联合印发的《绿色建筑和绿色建材政府采购需求标准》</w:t>
            </w:r>
            <w:r>
              <w:rPr>
                <w:rFonts w:hint="eastAsia" w:asciiTheme="minorEastAsia" w:hAnsiTheme="minorEastAsia" w:eastAsiaTheme="minorEastAsia" w:cstheme="minorEastAsia"/>
                <w:kern w:val="2"/>
                <w:sz w:val="24"/>
                <w:szCs w:val="22"/>
                <w:lang w:val="en-US"/>
              </w:rPr>
              <w:t>和</w:t>
            </w:r>
            <w:r>
              <w:rPr>
                <w:rFonts w:hint="eastAsia" w:asciiTheme="minorEastAsia" w:hAnsiTheme="minorEastAsia" w:eastAsiaTheme="minorEastAsia" w:cstheme="minorEastAsia"/>
                <w:kern w:val="2"/>
                <w:sz w:val="24"/>
                <w:szCs w:val="22"/>
              </w:rPr>
              <w:t>《政府采购支持绿色建材促进建筑品质提升政策项目实施指南》</w:t>
            </w:r>
            <w:r>
              <w:rPr>
                <w:rFonts w:hint="eastAsia" w:asciiTheme="minorEastAsia" w:hAnsiTheme="minorEastAsia" w:eastAsiaTheme="minorEastAsia" w:cstheme="minorEastAsia"/>
                <w:kern w:val="2"/>
                <w:sz w:val="24"/>
                <w:szCs w:val="22"/>
                <w:lang w:val="en-US"/>
              </w:rPr>
              <w:t>应</w:t>
            </w:r>
            <w:r>
              <w:rPr>
                <w:rFonts w:hint="eastAsia" w:asciiTheme="minorEastAsia" w:hAnsiTheme="minorEastAsia" w:eastAsiaTheme="minorEastAsia" w:cstheme="minorEastAsia"/>
                <w:kern w:val="2"/>
                <w:sz w:val="24"/>
                <w:szCs w:val="22"/>
              </w:rPr>
              <w:t>用绿色建筑和绿色建材</w:t>
            </w:r>
            <w:r>
              <w:rPr>
                <w:rFonts w:hint="eastAsia" w:asciiTheme="minorEastAsia" w:hAnsiTheme="minorEastAsia" w:eastAsiaTheme="minorEastAsia" w:cstheme="minorEastAsia"/>
                <w:kern w:val="2"/>
                <w:sz w:val="24"/>
                <w:szCs w:val="24"/>
                <w:lang w:val="en-US" w:eastAsia="zh-CN"/>
              </w:rPr>
              <w:t>。</w:t>
            </w:r>
            <w:bookmarkEnd w:id="1"/>
            <w:bookmarkEnd w:id="2"/>
          </w:p>
        </w:tc>
      </w:tr>
      <w:tr w14:paraId="4FC3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2EDB3F1E">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6</w:t>
            </w:r>
          </w:p>
        </w:tc>
        <w:tc>
          <w:tcPr>
            <w:tcW w:w="1277" w:type="dxa"/>
            <w:vAlign w:val="center"/>
          </w:tcPr>
          <w:p w14:paraId="12D66054">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项目经理</w:t>
            </w:r>
          </w:p>
        </w:tc>
        <w:tc>
          <w:tcPr>
            <w:tcW w:w="6287" w:type="dxa"/>
            <w:vAlign w:val="center"/>
          </w:tcPr>
          <w:p w14:paraId="652EA65B">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1</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符合竞争性磋商公告中“项目经理资格要求”</w:t>
            </w:r>
            <w:r>
              <w:rPr>
                <w:rFonts w:hint="eastAsia" w:asciiTheme="minorEastAsia" w:hAnsiTheme="minorEastAsia" w:eastAsiaTheme="minorEastAsia" w:cstheme="minorEastAsia"/>
                <w:kern w:val="2"/>
                <w:sz w:val="24"/>
                <w:szCs w:val="22"/>
                <w:lang w:eastAsia="zh-CN"/>
              </w:rPr>
              <w:t>，</w:t>
            </w:r>
            <w:r>
              <w:rPr>
                <w:rFonts w:hint="eastAsia" w:ascii="Times New Roman" w:hAnsi="Times New Roman" w:cs="楷体"/>
                <w:bCs/>
                <w:snapToGrid w:val="0"/>
                <w:color w:val="000000"/>
                <w:kern w:val="0"/>
                <w:sz w:val="24"/>
                <w:szCs w:val="24"/>
              </w:rPr>
              <w:t>且必须是本单位人员（</w:t>
            </w:r>
            <w:r>
              <w:rPr>
                <w:rFonts w:hint="eastAsia" w:asciiTheme="minorEastAsia" w:hAnsiTheme="minorEastAsia" w:eastAsiaTheme="minorEastAsia" w:cstheme="minorEastAsia"/>
                <w:kern w:val="2"/>
                <w:sz w:val="24"/>
                <w:szCs w:val="22"/>
              </w:rPr>
              <w:t>竞争性磋商公告</w:t>
            </w:r>
            <w:r>
              <w:rPr>
                <w:rFonts w:hint="eastAsia" w:ascii="Times New Roman" w:hAnsi="Times New Roman" w:cs="楷体"/>
                <w:bCs/>
                <w:snapToGrid w:val="0"/>
                <w:color w:val="000000"/>
                <w:kern w:val="0"/>
                <w:sz w:val="24"/>
                <w:szCs w:val="24"/>
              </w:rPr>
              <w:t>中要求的注册证书注册单位应当与</w:t>
            </w:r>
            <w:r>
              <w:rPr>
                <w:rFonts w:hint="eastAsia" w:ascii="Times New Roman" w:hAnsi="Times New Roman" w:cs="楷体"/>
                <w:bCs/>
                <w:snapToGrid w:val="0"/>
                <w:color w:val="000000"/>
                <w:kern w:val="0"/>
                <w:sz w:val="24"/>
                <w:szCs w:val="24"/>
                <w:lang w:val="en-US" w:eastAsia="zh-CN"/>
              </w:rPr>
              <w:t>供应商</w:t>
            </w:r>
            <w:r>
              <w:rPr>
                <w:rFonts w:hint="eastAsia" w:ascii="Times New Roman" w:hAnsi="Times New Roman" w:cs="楷体"/>
                <w:bCs/>
                <w:snapToGrid w:val="0"/>
                <w:color w:val="000000"/>
                <w:kern w:val="0"/>
                <w:sz w:val="24"/>
                <w:szCs w:val="24"/>
              </w:rPr>
              <w:t>名称一致）</w:t>
            </w:r>
            <w:r>
              <w:rPr>
                <w:rFonts w:hint="eastAsia" w:asciiTheme="minorEastAsia" w:hAnsiTheme="minorEastAsia" w:eastAsiaTheme="minorEastAsia" w:cstheme="minorEastAsia"/>
                <w:kern w:val="2"/>
                <w:sz w:val="24"/>
                <w:szCs w:val="22"/>
              </w:rPr>
              <w:t>。</w:t>
            </w:r>
          </w:p>
          <w:p w14:paraId="19A4A645">
            <w:pPr>
              <w:spacing w:line="360" w:lineRule="auto"/>
              <w:rPr>
                <w:rFonts w:hint="eastAsia" w:asciiTheme="minorEastAsia" w:hAnsiTheme="minorEastAsia" w:eastAsiaTheme="minorEastAsia" w:cstheme="minorEastAsia"/>
                <w:kern w:val="2"/>
                <w:sz w:val="24"/>
                <w:szCs w:val="22"/>
              </w:rPr>
            </w:pPr>
            <w:bookmarkStart w:id="3" w:name="OLE_LINK9"/>
            <w:bookmarkStart w:id="4" w:name="OLE_LINK10"/>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lang w:val="en-US" w:eastAsia="zh-CN"/>
              </w:rPr>
              <w:t>2</w:t>
            </w:r>
            <w:r>
              <w:rPr>
                <w:rFonts w:hint="eastAsia" w:asciiTheme="minorEastAsia" w:hAnsiTheme="minorEastAsia" w:eastAsiaTheme="minorEastAsia" w:cstheme="minorEastAsia"/>
                <w:kern w:val="2"/>
                <w:sz w:val="24"/>
                <w:szCs w:val="22"/>
                <w:lang w:eastAsia="zh-CN"/>
              </w:rPr>
              <w:t>）</w:t>
            </w:r>
            <w:r>
              <w:rPr>
                <w:rFonts w:hint="eastAsia" w:asciiTheme="minorEastAsia" w:hAnsiTheme="minorEastAsia" w:eastAsiaTheme="minorEastAsia" w:cstheme="minorEastAsia"/>
                <w:kern w:val="2"/>
                <w:sz w:val="24"/>
                <w:szCs w:val="22"/>
              </w:rPr>
              <w:t>项目经理不得同时担任两个及以上建设工程施工项目经理，以下情形除外：</w:t>
            </w:r>
          </w:p>
          <w:p w14:paraId="777E2243">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1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①</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法定情形；</w:t>
            </w:r>
          </w:p>
          <w:p w14:paraId="649F55F7">
            <w:pPr>
              <w:spacing w:line="360" w:lineRule="auto"/>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fldChar w:fldCharType="begin"/>
            </w:r>
            <w:r>
              <w:rPr>
                <w:rFonts w:hint="eastAsia" w:asciiTheme="minorEastAsia" w:hAnsiTheme="minorEastAsia" w:eastAsiaTheme="minorEastAsia" w:cstheme="minorEastAsia"/>
                <w:kern w:val="2"/>
                <w:sz w:val="24"/>
                <w:szCs w:val="22"/>
              </w:rPr>
              <w:instrText xml:space="preserve"> = 2 \* GB3 \* MERGEFORMAT </w:instrText>
            </w:r>
            <w:r>
              <w:rPr>
                <w:rFonts w:hint="eastAsia" w:asciiTheme="minorEastAsia" w:hAnsiTheme="minorEastAsia" w:eastAsiaTheme="minorEastAsia" w:cstheme="minorEastAsia"/>
                <w:kern w:val="2"/>
                <w:sz w:val="24"/>
                <w:szCs w:val="22"/>
              </w:rPr>
              <w:fldChar w:fldCharType="separate"/>
            </w:r>
            <w:r>
              <w:rPr>
                <w:rFonts w:hint="eastAsia" w:asciiTheme="minorEastAsia" w:hAnsiTheme="minorEastAsia" w:eastAsiaTheme="minorEastAsia" w:cstheme="minorEastAsia"/>
                <w:kern w:val="2"/>
                <w:sz w:val="24"/>
                <w:szCs w:val="22"/>
              </w:rPr>
              <w:t>②</w:t>
            </w:r>
            <w:r>
              <w:rPr>
                <w:rFonts w:hint="eastAsia" w:asciiTheme="minorEastAsia" w:hAnsiTheme="minorEastAsia" w:eastAsiaTheme="minorEastAsia" w:cstheme="minorEastAsia"/>
                <w:kern w:val="2"/>
                <w:sz w:val="24"/>
                <w:szCs w:val="22"/>
              </w:rPr>
              <w:fldChar w:fldCharType="end"/>
            </w:r>
            <w:r>
              <w:rPr>
                <w:rFonts w:hint="eastAsia" w:asciiTheme="minorEastAsia" w:hAnsiTheme="minorEastAsia" w:eastAsiaTheme="minorEastAsia" w:cstheme="minorEastAsia"/>
                <w:kern w:val="2"/>
                <w:sz w:val="24"/>
                <w:szCs w:val="22"/>
              </w:rPr>
              <w:t>虽在其他项目上担任项目经理岗位，但承诺在本项目成交后合同签订前能够从其他项目变更至本项目并全面履约。</w:t>
            </w:r>
            <w:bookmarkEnd w:id="3"/>
            <w:bookmarkEnd w:id="4"/>
          </w:p>
        </w:tc>
      </w:tr>
      <w:tr w14:paraId="10F3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142583FF">
            <w:pPr>
              <w:spacing w:line="360" w:lineRule="auto"/>
              <w:jc w:val="cente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7</w:t>
            </w:r>
          </w:p>
        </w:tc>
        <w:tc>
          <w:tcPr>
            <w:tcW w:w="1277" w:type="dxa"/>
            <w:vAlign w:val="center"/>
          </w:tcPr>
          <w:p w14:paraId="523C089F">
            <w:pPr>
              <w:pStyle w:val="12"/>
              <w:widowControl w:val="0"/>
              <w:spacing w:before="0" w:beforeAutospacing="0" w:after="0" w:afterAutospacing="0" w:line="360" w:lineRule="auto"/>
              <w:rPr>
                <w:rFonts w:hint="eastAsia" w:asciiTheme="minorEastAsia" w:hAnsiTheme="minorEastAsia" w:eastAsiaTheme="minorEastAsia" w:cstheme="minorEastAsia"/>
                <w:kern w:val="2"/>
                <w:sz w:val="24"/>
              </w:rPr>
            </w:pPr>
            <w:r>
              <w:rPr>
                <w:rFonts w:hint="eastAsia" w:asciiTheme="minorEastAsia" w:hAnsiTheme="minorEastAsia" w:eastAsiaTheme="minorEastAsia" w:cstheme="minorEastAsia"/>
                <w:b w:val="0"/>
                <w:kern w:val="2"/>
                <w:sz w:val="24"/>
              </w:rPr>
              <w:t>本项目采购标的名称及所属行业</w:t>
            </w:r>
          </w:p>
        </w:tc>
        <w:tc>
          <w:tcPr>
            <w:tcW w:w="6287" w:type="dxa"/>
            <w:vAlign w:val="center"/>
          </w:tcPr>
          <w:p w14:paraId="7641205F">
            <w:pPr>
              <w:spacing w:line="360" w:lineRule="auto"/>
              <w:jc w:val="left"/>
              <w:rPr>
                <w:rFonts w:hint="eastAsia" w:asciiTheme="minorEastAsia" w:hAnsiTheme="minorEastAsia" w:eastAsiaTheme="minorEastAsia" w:cstheme="minorEastAsia"/>
                <w:kern w:val="2"/>
                <w:sz w:val="24"/>
                <w:szCs w:val="22"/>
                <w:lang w:eastAsia="zh-CN"/>
              </w:rPr>
            </w:pPr>
            <w:r>
              <w:rPr>
                <w:rFonts w:hint="eastAsia" w:asciiTheme="minorEastAsia" w:hAnsiTheme="minorEastAsia" w:eastAsiaTheme="minorEastAsia" w:cstheme="minorEastAsia"/>
                <w:kern w:val="2"/>
                <w:sz w:val="24"/>
                <w:szCs w:val="22"/>
              </w:rPr>
              <w:t>标的名称：</w:t>
            </w:r>
            <w:r>
              <w:rPr>
                <w:rFonts w:hint="eastAsia" w:asciiTheme="minorEastAsia" w:hAnsiTheme="minorEastAsia" w:eastAsiaTheme="minorEastAsia" w:cstheme="minorEastAsia"/>
                <w:kern w:val="2"/>
                <w:sz w:val="24"/>
                <w:szCs w:val="18"/>
                <w:lang w:eastAsia="zh-CN"/>
              </w:rPr>
              <w:t>安徽大学磬苑校区北田径场改造更新项目</w:t>
            </w:r>
          </w:p>
          <w:p w14:paraId="4BFC1A37">
            <w:pPr>
              <w:rPr>
                <w:rFonts w:hint="eastAsia" w:asciiTheme="minorEastAsia" w:hAnsiTheme="minorEastAsia" w:eastAsiaTheme="minorEastAsia" w:cstheme="minorEastAsia"/>
                <w:kern w:val="2"/>
                <w:sz w:val="24"/>
                <w:szCs w:val="22"/>
              </w:rPr>
            </w:pPr>
            <w:r>
              <w:rPr>
                <w:rFonts w:hint="eastAsia" w:asciiTheme="minorEastAsia" w:hAnsiTheme="minorEastAsia" w:eastAsiaTheme="minorEastAsia" w:cstheme="minorEastAsia"/>
                <w:kern w:val="2"/>
                <w:sz w:val="24"/>
                <w:szCs w:val="22"/>
              </w:rPr>
              <w:t>所属行业：建筑业</w:t>
            </w:r>
          </w:p>
        </w:tc>
      </w:tr>
    </w:tbl>
    <w:p w14:paraId="4B846D4D">
      <w:pPr>
        <w:pStyle w:val="3"/>
        <w:spacing w:before="0" w:after="0" w:line="360" w:lineRule="auto"/>
        <w:rPr>
          <w:rFonts w:asciiTheme="minorEastAsia" w:hAnsiTheme="minorEastAsia" w:eastAsiaTheme="minorEastAsia" w:cstheme="minorEastAsia"/>
          <w:sz w:val="24"/>
          <w:szCs w:val="24"/>
        </w:rPr>
      </w:pPr>
      <w:bookmarkStart w:id="5" w:name="_Toc23730"/>
      <w:bookmarkStart w:id="6" w:name="_Toc15645"/>
      <w:r>
        <w:rPr>
          <w:rFonts w:hint="eastAsia" w:asciiTheme="minorEastAsia" w:hAnsiTheme="minorEastAsia" w:eastAsiaTheme="minorEastAsia" w:cstheme="minorEastAsia"/>
          <w:sz w:val="24"/>
          <w:szCs w:val="24"/>
          <w:lang w:val="en-US"/>
        </w:rPr>
        <w:t>一、</w:t>
      </w:r>
      <w:r>
        <w:rPr>
          <w:rFonts w:hint="eastAsia" w:asciiTheme="minorEastAsia" w:hAnsiTheme="minorEastAsia" w:eastAsiaTheme="minorEastAsia" w:cstheme="minorEastAsia"/>
          <w:sz w:val="24"/>
          <w:szCs w:val="24"/>
        </w:rPr>
        <w:t>项目概况及总体要求</w:t>
      </w:r>
      <w:bookmarkEnd w:id="5"/>
      <w:bookmarkEnd w:id="6"/>
    </w:p>
    <w:p w14:paraId="520343E4">
      <w:pPr>
        <w:spacing w:line="360" w:lineRule="auto"/>
        <w:ind w:firstLine="480" w:firstLineChars="200"/>
        <w:textAlignment w:val="baseline"/>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val="0"/>
          <w:bCs w:val="0"/>
          <w:color w:val="auto"/>
          <w:sz w:val="24"/>
          <w:szCs w:val="24"/>
          <w:lang w:eastAsia="zh-CN"/>
        </w:rPr>
        <w:t>安徽大学磬苑校区北田径场改造更新项目，磬苑校区塑胶跑道、足球草坪已严重损坏，为保障师生日常体育教学、锻炼，拟进行塑胶跑道、草坪整体换新。其中运动场跑道面层重新铺设、人造草皮重新铺设，具体</w:t>
      </w:r>
      <w:r>
        <w:rPr>
          <w:rFonts w:hint="eastAsia" w:asciiTheme="minorEastAsia" w:hAnsiTheme="minorEastAsia" w:eastAsiaTheme="minorEastAsia" w:cstheme="minorEastAsia"/>
          <w:b w:val="0"/>
          <w:bCs w:val="0"/>
          <w:color w:val="auto"/>
          <w:sz w:val="24"/>
          <w:szCs w:val="24"/>
        </w:rPr>
        <w:t>内容详见图纸及清单。</w:t>
      </w:r>
    </w:p>
    <w:p w14:paraId="5C97AB2A">
      <w:pPr>
        <w:pStyle w:val="6"/>
        <w:widowControl/>
        <w:spacing w:line="360" w:lineRule="auto"/>
        <w:outlineLvl w:val="1"/>
        <w:rPr>
          <w:rStyle w:val="13"/>
          <w:rFonts w:asciiTheme="minorEastAsia" w:hAnsiTheme="minorEastAsia" w:eastAsiaTheme="minorEastAsia" w:cstheme="minorEastAsia"/>
          <w:sz w:val="24"/>
          <w:szCs w:val="24"/>
        </w:rPr>
      </w:pPr>
      <w:bookmarkStart w:id="7" w:name="_Toc455587091"/>
      <w:bookmarkStart w:id="8" w:name="_Toc455587275"/>
      <w:bookmarkStart w:id="9" w:name="_Toc466024558"/>
      <w:bookmarkStart w:id="10" w:name="_Toc12271"/>
      <w:bookmarkStart w:id="11" w:name="_Toc445554749"/>
      <w:bookmarkStart w:id="12" w:name="_Toc18199"/>
      <w:r>
        <w:rPr>
          <w:rStyle w:val="13"/>
          <w:rFonts w:hint="eastAsia" w:asciiTheme="minorEastAsia" w:hAnsiTheme="minorEastAsia" w:cstheme="minorEastAsia"/>
          <w:sz w:val="24"/>
          <w:szCs w:val="24"/>
        </w:rPr>
        <w:t>二、</w:t>
      </w:r>
      <w:r>
        <w:rPr>
          <w:rStyle w:val="13"/>
          <w:rFonts w:hint="eastAsia" w:asciiTheme="minorEastAsia" w:hAnsiTheme="minorEastAsia" w:eastAsiaTheme="minorEastAsia" w:cstheme="minorEastAsia"/>
          <w:sz w:val="24"/>
          <w:szCs w:val="24"/>
        </w:rPr>
        <w:t>技术要求</w:t>
      </w:r>
      <w:bookmarkEnd w:id="7"/>
      <w:bookmarkEnd w:id="8"/>
      <w:bookmarkEnd w:id="9"/>
      <w:bookmarkEnd w:id="10"/>
      <w:bookmarkEnd w:id="11"/>
      <w:bookmarkEnd w:id="12"/>
      <w:r>
        <w:rPr>
          <w:rStyle w:val="13"/>
          <w:rFonts w:hint="eastAsia" w:asciiTheme="minorEastAsia" w:hAnsiTheme="minorEastAsia" w:cstheme="minorEastAsia"/>
          <w:sz w:val="24"/>
          <w:szCs w:val="24"/>
        </w:rPr>
        <w:t>（</w:t>
      </w:r>
      <w:r>
        <w:rPr>
          <w:rStyle w:val="13"/>
          <w:rFonts w:hint="eastAsia" w:asciiTheme="minorEastAsia" w:hAnsiTheme="minorEastAsia" w:cstheme="minorEastAsia"/>
          <w:sz w:val="24"/>
          <w:szCs w:val="24"/>
          <w:lang w:val="en-US"/>
        </w:rPr>
        <w:t>以下要求均为最低技术参数要求</w:t>
      </w:r>
      <w:r>
        <w:rPr>
          <w:rStyle w:val="13"/>
          <w:rFonts w:hint="eastAsia" w:asciiTheme="minorEastAsia" w:hAnsiTheme="minorEastAsia" w:cstheme="minorEastAsia"/>
          <w:sz w:val="24"/>
          <w:szCs w:val="24"/>
        </w:rPr>
        <w:t>）</w:t>
      </w:r>
    </w:p>
    <w:p w14:paraId="7ED7EFF8">
      <w:pPr>
        <w:pStyle w:val="6"/>
        <w:widowControl/>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按照图纸、工程量清单要求及最新国家相关标准、规范要求执行。</w:t>
      </w:r>
    </w:p>
    <w:p w14:paraId="3D237E81">
      <w:pPr>
        <w:pStyle w:val="6"/>
        <w:keepNext w:val="0"/>
        <w:keepLines w:val="0"/>
        <w:pageBreakBefore w:val="0"/>
        <w:widowControl/>
        <w:kinsoku/>
        <w:wordWrap/>
        <w:overflowPunct/>
        <w:topLinePunct w:val="0"/>
        <w:autoSpaceDE/>
        <w:autoSpaceDN/>
        <w:bidi w:val="0"/>
        <w:adjustRightInd/>
        <w:snapToGrid/>
        <w:spacing w:line="360" w:lineRule="auto"/>
        <w:ind w:left="0" w:firstLine="48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2.田径场地需要满足中国田协场地二类认证，足球场地满足FIFA Quality Pro认证</w:t>
      </w:r>
      <w:r>
        <w:rPr>
          <w:rFonts w:hint="eastAsia" w:asciiTheme="minorEastAsia" w:hAnsiTheme="minorEastAsia" w:cstheme="minorEastAsia"/>
          <w:sz w:val="24"/>
          <w:szCs w:val="24"/>
          <w:lang w:val="en-US" w:eastAsia="zh-CN"/>
        </w:rPr>
        <w:t>。</w:t>
      </w:r>
    </w:p>
    <w:p w14:paraId="5BDE50F7">
      <w:pPr>
        <w:pStyle w:val="6"/>
        <w:keepNext w:val="0"/>
        <w:keepLines w:val="0"/>
        <w:pageBreakBefore w:val="0"/>
        <w:widowControl/>
        <w:kinsoku/>
        <w:wordWrap/>
        <w:overflowPunct/>
        <w:topLinePunct w:val="0"/>
        <w:autoSpaceDE/>
        <w:autoSpaceDN/>
        <w:bidi w:val="0"/>
        <w:adjustRightInd/>
        <w:snapToGrid/>
        <w:spacing w:line="360" w:lineRule="auto"/>
        <w:ind w:left="0"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合同签订后，施工选用的面层材料</w:t>
      </w:r>
      <w:r>
        <w:rPr>
          <w:rFonts w:hint="eastAsia" w:asciiTheme="minorEastAsia" w:hAnsiTheme="minorEastAsia" w:cstheme="minorEastAsia"/>
          <w:sz w:val="24"/>
          <w:szCs w:val="24"/>
          <w:lang w:val="en-US" w:eastAsia="zh-CN"/>
        </w:rPr>
        <w:t>（品牌及颜色等）</w:t>
      </w:r>
      <w:r>
        <w:rPr>
          <w:rFonts w:hint="eastAsia" w:asciiTheme="minorEastAsia" w:hAnsiTheme="minorEastAsia" w:eastAsiaTheme="minorEastAsia" w:cstheme="minorEastAsia"/>
          <w:sz w:val="24"/>
          <w:szCs w:val="24"/>
          <w:lang w:val="en-US" w:eastAsia="zh-CN"/>
        </w:rPr>
        <w:t>选用须经过建设单位、监理单位、设计单位同意，并符合标准要求</w:t>
      </w:r>
      <w:r>
        <w:rPr>
          <w:rFonts w:hint="eastAsia" w:asciiTheme="minorEastAsia" w:hAnsiTheme="minorEastAsia" w:cstheme="minorEastAsia"/>
          <w:sz w:val="24"/>
          <w:szCs w:val="24"/>
          <w:lang w:val="en-US" w:eastAsia="zh-CN"/>
        </w:rPr>
        <w:t>：</w:t>
      </w:r>
    </w:p>
    <w:p w14:paraId="2060445A">
      <w:pPr>
        <w:pStyle w:val="6"/>
        <w:keepNext w:val="0"/>
        <w:keepLines w:val="0"/>
        <w:pageBreakBefore w:val="0"/>
        <w:widowControl/>
        <w:kinsoku/>
        <w:wordWrap/>
        <w:overflowPunct/>
        <w:topLinePunct w:val="0"/>
        <w:autoSpaceDE/>
        <w:autoSpaceDN/>
        <w:bidi w:val="0"/>
        <w:adjustRightInd/>
        <w:snapToGrid/>
        <w:spacing w:line="360" w:lineRule="auto"/>
        <w:ind w:left="0" w:firstLine="48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1）塑胶跑道面层技术参数及要求：</w:t>
      </w:r>
    </w:p>
    <w:p w14:paraId="550F464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非固体原料中有害物质限量</w:t>
      </w:r>
      <w:r>
        <w:rPr>
          <w:rFonts w:hint="eastAsia" w:asciiTheme="minorEastAsia" w:hAnsiTheme="minorEastAsia" w:cstheme="minorEastAsia"/>
          <w:b/>
          <w:bCs/>
          <w:sz w:val="24"/>
          <w:szCs w:val="24"/>
          <w:lang w:val="en-US" w:eastAsia="zh-CN"/>
        </w:rPr>
        <w:t>最低</w:t>
      </w:r>
      <w:r>
        <w:rPr>
          <w:rFonts w:hint="eastAsia" w:asciiTheme="minorEastAsia" w:hAnsiTheme="minorEastAsia" w:eastAsiaTheme="minorEastAsia" w:cstheme="minorEastAsia"/>
          <w:b/>
          <w:color w:val="000000"/>
          <w:sz w:val="24"/>
          <w:szCs w:val="24"/>
        </w:rPr>
        <w:t>要求</w:t>
      </w:r>
    </w:p>
    <w:tbl>
      <w:tblPr>
        <w:tblStyle w:val="9"/>
        <w:tblW w:w="9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7116"/>
        <w:gridCol w:w="1310"/>
      </w:tblGrid>
      <w:tr w14:paraId="6437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837" w:type="dxa"/>
            <w:gridSpan w:val="2"/>
            <w:tcBorders>
              <w:top w:val="single" w:color="auto" w:sz="4" w:space="0"/>
              <w:left w:val="single" w:color="auto" w:sz="4" w:space="0"/>
              <w:bottom w:val="single" w:color="auto" w:sz="4" w:space="0"/>
              <w:right w:val="single" w:color="auto" w:sz="4" w:space="0"/>
            </w:tcBorders>
            <w:noWrap w:val="0"/>
            <w:vAlign w:val="center"/>
          </w:tcPr>
          <w:p w14:paraId="77473D0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检  测  项  目</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2A446F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技术指标</w:t>
            </w:r>
          </w:p>
        </w:tc>
      </w:tr>
      <w:tr w14:paraId="32BD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1" w:type="dxa"/>
            <w:vMerge w:val="restart"/>
            <w:tcBorders>
              <w:top w:val="single" w:color="auto" w:sz="4" w:space="0"/>
              <w:left w:val="single" w:color="auto" w:sz="4" w:space="0"/>
              <w:right w:val="single" w:color="auto" w:sz="4" w:space="0"/>
            </w:tcBorders>
            <w:noWrap w:val="0"/>
            <w:vAlign w:val="center"/>
          </w:tcPr>
          <w:p w14:paraId="350A183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有害物质含量</w:t>
            </w:r>
          </w:p>
        </w:tc>
        <w:tc>
          <w:tcPr>
            <w:tcW w:w="7116" w:type="dxa"/>
            <w:tcBorders>
              <w:top w:val="single" w:color="auto" w:sz="4" w:space="0"/>
              <w:left w:val="single" w:color="auto" w:sz="4" w:space="0"/>
              <w:bottom w:val="single" w:color="auto" w:sz="4" w:space="0"/>
              <w:right w:val="single" w:color="auto" w:sz="4" w:space="0"/>
            </w:tcBorders>
            <w:noWrap w:val="0"/>
            <w:vAlign w:val="center"/>
          </w:tcPr>
          <w:p w14:paraId="37C4CF4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3种</w:t>
            </w:r>
            <w:r>
              <w:rPr>
                <w:rFonts w:hint="eastAsia" w:asciiTheme="minorEastAsia" w:hAnsiTheme="minorEastAsia" w:eastAsiaTheme="minorEastAsia" w:cstheme="minorEastAsia"/>
                <w:color w:val="000000"/>
                <w:sz w:val="24"/>
                <w:szCs w:val="24"/>
                <w:lang w:eastAsia="zh-CN"/>
              </w:rPr>
              <w:t>邻苯</w:t>
            </w:r>
            <w:r>
              <w:rPr>
                <w:rFonts w:hint="eastAsia" w:asciiTheme="minorEastAsia" w:hAnsiTheme="minorEastAsia" w:eastAsiaTheme="minorEastAsia" w:cstheme="minorEastAsia"/>
                <w:color w:val="000000"/>
                <w:sz w:val="24"/>
                <w:szCs w:val="24"/>
              </w:rPr>
              <w:t>二甲酸酯类化合物（DBP、BBP、DEHP）总和/（g/kg）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5CAECC1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390F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21" w:type="dxa"/>
            <w:vMerge w:val="continue"/>
            <w:tcBorders>
              <w:left w:val="single" w:color="auto" w:sz="4" w:space="0"/>
              <w:right w:val="single" w:color="auto" w:sz="4" w:space="0"/>
            </w:tcBorders>
            <w:noWrap w:val="0"/>
            <w:vAlign w:val="center"/>
          </w:tcPr>
          <w:p w14:paraId="7E16E82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67D7692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3种</w:t>
            </w:r>
            <w:r>
              <w:rPr>
                <w:rFonts w:hint="eastAsia" w:asciiTheme="minorEastAsia" w:hAnsiTheme="minorEastAsia" w:eastAsiaTheme="minorEastAsia" w:cstheme="minorEastAsia"/>
                <w:color w:val="000000"/>
                <w:sz w:val="24"/>
                <w:szCs w:val="24"/>
                <w:lang w:eastAsia="zh-CN"/>
              </w:rPr>
              <w:t>邻苯</w:t>
            </w:r>
            <w:r>
              <w:rPr>
                <w:rFonts w:hint="eastAsia" w:asciiTheme="minorEastAsia" w:hAnsiTheme="minorEastAsia" w:eastAsiaTheme="minorEastAsia" w:cstheme="minorEastAsia"/>
                <w:color w:val="000000"/>
                <w:sz w:val="24"/>
                <w:szCs w:val="24"/>
              </w:rPr>
              <w:t>二甲酸酯类化合物（DNOP、DINP、DIDP）总和/（g/kg）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C385FE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4B08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1" w:type="dxa"/>
            <w:vMerge w:val="continue"/>
            <w:tcBorders>
              <w:left w:val="single" w:color="auto" w:sz="4" w:space="0"/>
              <w:right w:val="single" w:color="auto" w:sz="4" w:space="0"/>
            </w:tcBorders>
            <w:noWrap w:val="0"/>
            <w:vAlign w:val="center"/>
          </w:tcPr>
          <w:p w14:paraId="2AB8374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442E6B2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短链氯化石蜡（C10-C13）∕(g/kg)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DE437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r>
      <w:tr w14:paraId="21B9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1" w:type="dxa"/>
            <w:vMerge w:val="continue"/>
            <w:tcBorders>
              <w:left w:val="single" w:color="auto" w:sz="4" w:space="0"/>
              <w:right w:val="single" w:color="auto" w:sz="4" w:space="0"/>
            </w:tcBorders>
            <w:noWrap w:val="0"/>
            <w:vAlign w:val="center"/>
          </w:tcPr>
          <w:p w14:paraId="2B4A976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735777E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游离甲苯二异氰酸酯（TDI）和游离六亚甲基二异氰酸酯（HDI）总和∕(g/kg)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1CA72C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16A3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21" w:type="dxa"/>
            <w:vMerge w:val="continue"/>
            <w:tcBorders>
              <w:left w:val="single" w:color="auto" w:sz="4" w:space="0"/>
              <w:right w:val="single" w:color="auto" w:sz="4" w:space="0"/>
            </w:tcBorders>
            <w:noWrap w:val="0"/>
            <w:vAlign w:val="center"/>
          </w:tcPr>
          <w:p w14:paraId="5A605E6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34FC4F4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挥发性有机化合物∕(g/L)</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59882CB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038F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1" w:type="dxa"/>
            <w:vMerge w:val="continue"/>
            <w:tcBorders>
              <w:left w:val="single" w:color="auto" w:sz="4" w:space="0"/>
              <w:right w:val="single" w:color="auto" w:sz="4" w:space="0"/>
            </w:tcBorders>
            <w:noWrap w:val="0"/>
            <w:vAlign w:val="center"/>
          </w:tcPr>
          <w:p w14:paraId="4C0FF09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38956A9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游离甲醛/(g/kg)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156294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≤0.5</w:t>
            </w:r>
          </w:p>
        </w:tc>
      </w:tr>
      <w:tr w14:paraId="4DFA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21" w:type="dxa"/>
            <w:vMerge w:val="continue"/>
            <w:tcBorders>
              <w:left w:val="single" w:color="auto" w:sz="4" w:space="0"/>
              <w:right w:val="single" w:color="auto" w:sz="4" w:space="0"/>
            </w:tcBorders>
            <w:noWrap w:val="0"/>
            <w:vAlign w:val="center"/>
          </w:tcPr>
          <w:p w14:paraId="539A1DF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04FC0E6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DF3B1A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≤0.05</w:t>
            </w:r>
          </w:p>
        </w:tc>
      </w:tr>
      <w:tr w14:paraId="188E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21" w:type="dxa"/>
            <w:vMerge w:val="continue"/>
            <w:tcBorders>
              <w:left w:val="single" w:color="auto" w:sz="4" w:space="0"/>
              <w:right w:val="single" w:color="auto" w:sz="4" w:space="0"/>
            </w:tcBorders>
            <w:noWrap w:val="0"/>
            <w:vAlign w:val="center"/>
          </w:tcPr>
          <w:p w14:paraId="01AAA8A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54DDCC9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甲苯、二甲苯和乙苯总和∕(g/kg)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14C192B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2810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1" w:type="dxa"/>
            <w:vMerge w:val="continue"/>
            <w:tcBorders>
              <w:left w:val="single" w:color="auto" w:sz="4" w:space="0"/>
              <w:right w:val="single" w:color="auto" w:sz="4" w:space="0"/>
            </w:tcBorders>
            <w:noWrap w:val="0"/>
            <w:vAlign w:val="center"/>
          </w:tcPr>
          <w:p w14:paraId="11559CF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7A8285E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可溶性铅/(mg/kg)</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1C798CC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4DC5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21" w:type="dxa"/>
            <w:vMerge w:val="continue"/>
            <w:tcBorders>
              <w:left w:val="single" w:color="auto" w:sz="4" w:space="0"/>
              <w:right w:val="single" w:color="auto" w:sz="4" w:space="0"/>
            </w:tcBorders>
            <w:noWrap w:val="0"/>
            <w:vAlign w:val="center"/>
          </w:tcPr>
          <w:p w14:paraId="15F2696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113B2A4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可溶性镉/(mg/kg)</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D2A188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7E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21" w:type="dxa"/>
            <w:vMerge w:val="continue"/>
            <w:tcBorders>
              <w:left w:val="single" w:color="auto" w:sz="4" w:space="0"/>
              <w:right w:val="single" w:color="auto" w:sz="4" w:space="0"/>
            </w:tcBorders>
            <w:noWrap w:val="0"/>
            <w:vAlign w:val="center"/>
          </w:tcPr>
          <w:p w14:paraId="742DE1C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59F253E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可溶性铬/(mg/kg)</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53B900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2880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21" w:type="dxa"/>
            <w:vMerge w:val="continue"/>
            <w:tcBorders>
              <w:left w:val="single" w:color="auto" w:sz="4" w:space="0"/>
              <w:bottom w:val="single" w:color="auto" w:sz="4" w:space="0"/>
              <w:right w:val="single" w:color="auto" w:sz="4" w:space="0"/>
            </w:tcBorders>
            <w:noWrap w:val="0"/>
            <w:vAlign w:val="center"/>
          </w:tcPr>
          <w:p w14:paraId="65FA717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lang w:val="en-US" w:eastAsia="zh-CN"/>
              </w:rPr>
            </w:pPr>
          </w:p>
        </w:tc>
        <w:tc>
          <w:tcPr>
            <w:tcW w:w="7116" w:type="dxa"/>
            <w:tcBorders>
              <w:top w:val="single" w:color="auto" w:sz="4" w:space="0"/>
              <w:left w:val="single" w:color="auto" w:sz="4" w:space="0"/>
              <w:bottom w:val="single" w:color="auto" w:sz="4" w:space="0"/>
              <w:right w:val="single" w:color="auto" w:sz="4" w:space="0"/>
            </w:tcBorders>
            <w:noWrap w:val="0"/>
            <w:vAlign w:val="center"/>
          </w:tcPr>
          <w:p w14:paraId="445E2F6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可溶性汞/(mg/kg)</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FC0BFF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bl>
    <w:p w14:paraId="0A52ABCC">
      <w:pPr>
        <w:keepNext w:val="0"/>
        <w:keepLines w:val="0"/>
        <w:pageBreakBefore w:val="0"/>
        <w:kinsoku/>
        <w:wordWrap/>
        <w:overflowPunct/>
        <w:topLinePunct w:val="0"/>
        <w:autoSpaceDE/>
        <w:autoSpaceDN/>
        <w:bidi w:val="0"/>
        <w:adjustRightInd/>
        <w:snapToGrid/>
        <w:spacing w:line="360" w:lineRule="auto"/>
        <w:ind w:left="0" w:firstLine="234" w:firstLineChars="97"/>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固体原料中有害物质限量及气味</w:t>
      </w:r>
      <w:r>
        <w:rPr>
          <w:rFonts w:hint="eastAsia" w:asciiTheme="minorEastAsia" w:hAnsiTheme="minorEastAsia" w:cstheme="minorEastAsia"/>
          <w:b/>
          <w:bCs/>
          <w:sz w:val="24"/>
          <w:szCs w:val="24"/>
          <w:lang w:val="en-US" w:eastAsia="zh-CN"/>
        </w:rPr>
        <w:t>最低</w:t>
      </w:r>
      <w:r>
        <w:rPr>
          <w:rFonts w:hint="eastAsia" w:asciiTheme="minorEastAsia" w:hAnsiTheme="minorEastAsia" w:eastAsiaTheme="minorEastAsia" w:cstheme="minorEastAsia"/>
          <w:b/>
          <w:color w:val="000000"/>
          <w:sz w:val="24"/>
          <w:szCs w:val="24"/>
        </w:rPr>
        <w:t>要求</w:t>
      </w:r>
    </w:p>
    <w:tbl>
      <w:tblPr>
        <w:tblStyle w:val="9"/>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5720"/>
        <w:gridCol w:w="2272"/>
      </w:tblGrid>
      <w:tr w14:paraId="5222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85" w:type="dxa"/>
            <w:gridSpan w:val="2"/>
            <w:tcBorders>
              <w:top w:val="single" w:color="auto" w:sz="4" w:space="0"/>
              <w:left w:val="single" w:color="auto" w:sz="4" w:space="0"/>
              <w:bottom w:val="single" w:color="auto" w:sz="4" w:space="0"/>
              <w:right w:val="single" w:color="auto" w:sz="4" w:space="0"/>
            </w:tcBorders>
            <w:noWrap w:val="0"/>
            <w:vAlign w:val="center"/>
          </w:tcPr>
          <w:p w14:paraId="045B928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检  测  项  目</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5ED0EE9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技术指标</w:t>
            </w:r>
          </w:p>
        </w:tc>
      </w:tr>
      <w:tr w14:paraId="30C2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165" w:type="dxa"/>
            <w:vMerge w:val="restart"/>
            <w:tcBorders>
              <w:left w:val="single" w:color="auto" w:sz="4" w:space="0"/>
              <w:right w:val="single" w:color="auto" w:sz="4" w:space="0"/>
            </w:tcBorders>
            <w:noWrap w:val="0"/>
            <w:vAlign w:val="center"/>
          </w:tcPr>
          <w:p w14:paraId="41D9F47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有害物质含量</w:t>
            </w:r>
          </w:p>
        </w:tc>
        <w:tc>
          <w:tcPr>
            <w:tcW w:w="5720" w:type="dxa"/>
            <w:vMerge w:val="restart"/>
            <w:tcBorders>
              <w:top w:val="single" w:color="auto" w:sz="4" w:space="0"/>
              <w:left w:val="single" w:color="auto" w:sz="4" w:space="0"/>
              <w:right w:val="single" w:color="auto" w:sz="4" w:space="0"/>
            </w:tcBorders>
            <w:noWrap w:val="0"/>
            <w:vAlign w:val="center"/>
          </w:tcPr>
          <w:p w14:paraId="59042B9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18种多环芳烃总和а∕(mg/kg)</w:t>
            </w:r>
          </w:p>
        </w:tc>
        <w:tc>
          <w:tcPr>
            <w:tcW w:w="2272" w:type="dxa"/>
            <w:tcBorders>
              <w:top w:val="single" w:color="auto" w:sz="4" w:space="0"/>
              <w:left w:val="single" w:color="auto" w:sz="4" w:space="0"/>
              <w:bottom w:val="single" w:color="auto" w:sz="4" w:space="0"/>
              <w:right w:val="single" w:color="auto" w:sz="4" w:space="0"/>
            </w:tcBorders>
            <w:noWrap w:val="0"/>
            <w:vAlign w:val="top"/>
          </w:tcPr>
          <w:p w14:paraId="26630BF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726B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165" w:type="dxa"/>
            <w:vMerge w:val="continue"/>
            <w:tcBorders>
              <w:left w:val="single" w:color="auto" w:sz="4" w:space="0"/>
              <w:right w:val="single" w:color="auto" w:sz="4" w:space="0"/>
            </w:tcBorders>
            <w:noWrap w:val="0"/>
            <w:vAlign w:val="center"/>
          </w:tcPr>
          <w:p w14:paraId="66DDF78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5720" w:type="dxa"/>
            <w:vMerge w:val="continue"/>
            <w:tcBorders>
              <w:left w:val="single" w:color="auto" w:sz="4" w:space="0"/>
              <w:bottom w:val="single" w:color="auto" w:sz="4" w:space="0"/>
              <w:right w:val="single" w:color="auto" w:sz="4" w:space="0"/>
            </w:tcBorders>
            <w:noWrap w:val="0"/>
            <w:vAlign w:val="center"/>
          </w:tcPr>
          <w:p w14:paraId="44EEE08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2272" w:type="dxa"/>
            <w:tcBorders>
              <w:top w:val="single" w:color="auto" w:sz="4" w:space="0"/>
              <w:left w:val="single" w:color="auto" w:sz="4" w:space="0"/>
              <w:bottom w:val="single" w:color="auto" w:sz="4" w:space="0"/>
              <w:right w:val="single" w:color="auto" w:sz="4" w:space="0"/>
            </w:tcBorders>
            <w:noWrap w:val="0"/>
            <w:vAlign w:val="top"/>
          </w:tcPr>
          <w:p w14:paraId="536E0C0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4694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5" w:type="dxa"/>
            <w:vMerge w:val="continue"/>
            <w:tcBorders>
              <w:left w:val="single" w:color="auto" w:sz="4" w:space="0"/>
              <w:right w:val="single" w:color="auto" w:sz="4" w:space="0"/>
            </w:tcBorders>
            <w:noWrap w:val="0"/>
            <w:vAlign w:val="center"/>
          </w:tcPr>
          <w:p w14:paraId="0C0215F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5720" w:type="dxa"/>
            <w:tcBorders>
              <w:top w:val="single" w:color="auto" w:sz="4" w:space="0"/>
              <w:left w:val="single" w:color="auto" w:sz="4" w:space="0"/>
              <w:bottom w:val="single" w:color="auto" w:sz="4" w:space="0"/>
              <w:right w:val="single" w:color="auto" w:sz="4" w:space="0"/>
            </w:tcBorders>
            <w:noWrap w:val="0"/>
            <w:vAlign w:val="center"/>
          </w:tcPr>
          <w:p w14:paraId="450B7E5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苯并［a］芘∕(mg/kg)</w:t>
            </w:r>
          </w:p>
        </w:tc>
        <w:tc>
          <w:tcPr>
            <w:tcW w:w="2272" w:type="dxa"/>
            <w:tcBorders>
              <w:top w:val="single" w:color="auto" w:sz="4" w:space="0"/>
              <w:left w:val="single" w:color="auto" w:sz="4" w:space="0"/>
              <w:bottom w:val="single" w:color="auto" w:sz="4" w:space="0"/>
              <w:right w:val="single" w:color="auto" w:sz="4" w:space="0"/>
            </w:tcBorders>
            <w:noWrap w:val="0"/>
            <w:vAlign w:val="top"/>
          </w:tcPr>
          <w:p w14:paraId="77DE208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r>
      <w:tr w14:paraId="142B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65" w:type="dxa"/>
            <w:vMerge w:val="continue"/>
            <w:tcBorders>
              <w:left w:val="single" w:color="auto" w:sz="4" w:space="0"/>
              <w:right w:val="single" w:color="auto" w:sz="4" w:space="0"/>
            </w:tcBorders>
            <w:noWrap w:val="0"/>
            <w:vAlign w:val="center"/>
          </w:tcPr>
          <w:p w14:paraId="64C1BF3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5720" w:type="dxa"/>
            <w:tcBorders>
              <w:top w:val="single" w:color="auto" w:sz="4" w:space="0"/>
              <w:left w:val="single" w:color="auto" w:sz="4" w:space="0"/>
              <w:bottom w:val="single" w:color="auto" w:sz="4" w:space="0"/>
              <w:right w:val="single" w:color="auto" w:sz="4" w:space="0"/>
            </w:tcBorders>
            <w:noWrap w:val="0"/>
            <w:vAlign w:val="center"/>
          </w:tcPr>
          <w:p w14:paraId="4AEFD47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可溶性铅/(mg/kg)</w:t>
            </w:r>
          </w:p>
        </w:tc>
        <w:tc>
          <w:tcPr>
            <w:tcW w:w="2272" w:type="dxa"/>
            <w:tcBorders>
              <w:top w:val="single" w:color="auto" w:sz="4" w:space="0"/>
              <w:left w:val="single" w:color="auto" w:sz="4" w:space="0"/>
              <w:bottom w:val="single" w:color="auto" w:sz="4" w:space="0"/>
              <w:right w:val="single" w:color="auto" w:sz="4" w:space="0"/>
            </w:tcBorders>
            <w:noWrap w:val="0"/>
            <w:vAlign w:val="top"/>
          </w:tcPr>
          <w:p w14:paraId="0A9658B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2AFA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165" w:type="dxa"/>
            <w:vMerge w:val="continue"/>
            <w:tcBorders>
              <w:left w:val="single" w:color="auto" w:sz="4" w:space="0"/>
              <w:right w:val="single" w:color="auto" w:sz="4" w:space="0"/>
            </w:tcBorders>
            <w:noWrap w:val="0"/>
            <w:vAlign w:val="center"/>
          </w:tcPr>
          <w:p w14:paraId="2AC2A73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5720" w:type="dxa"/>
            <w:tcBorders>
              <w:top w:val="single" w:color="auto" w:sz="4" w:space="0"/>
              <w:left w:val="single" w:color="auto" w:sz="4" w:space="0"/>
              <w:bottom w:val="single" w:color="auto" w:sz="4" w:space="0"/>
              <w:right w:val="single" w:color="auto" w:sz="4" w:space="0"/>
            </w:tcBorders>
            <w:noWrap w:val="0"/>
            <w:vAlign w:val="center"/>
          </w:tcPr>
          <w:p w14:paraId="01ED99E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可溶性镉/(mg/kg)</w:t>
            </w:r>
          </w:p>
        </w:tc>
        <w:tc>
          <w:tcPr>
            <w:tcW w:w="2272" w:type="dxa"/>
            <w:tcBorders>
              <w:top w:val="single" w:color="auto" w:sz="4" w:space="0"/>
              <w:left w:val="single" w:color="auto" w:sz="4" w:space="0"/>
              <w:bottom w:val="single" w:color="auto" w:sz="4" w:space="0"/>
              <w:right w:val="single" w:color="auto" w:sz="4" w:space="0"/>
            </w:tcBorders>
            <w:noWrap w:val="0"/>
            <w:vAlign w:val="top"/>
          </w:tcPr>
          <w:p w14:paraId="5EA4175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0251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5" w:type="dxa"/>
            <w:vMerge w:val="continue"/>
            <w:tcBorders>
              <w:left w:val="single" w:color="auto" w:sz="4" w:space="0"/>
              <w:right w:val="single" w:color="auto" w:sz="4" w:space="0"/>
            </w:tcBorders>
            <w:noWrap w:val="0"/>
            <w:vAlign w:val="center"/>
          </w:tcPr>
          <w:p w14:paraId="70D3D06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5720" w:type="dxa"/>
            <w:tcBorders>
              <w:top w:val="single" w:color="auto" w:sz="4" w:space="0"/>
              <w:left w:val="single" w:color="auto" w:sz="4" w:space="0"/>
              <w:bottom w:val="single" w:color="auto" w:sz="4" w:space="0"/>
              <w:right w:val="single" w:color="auto" w:sz="4" w:space="0"/>
            </w:tcBorders>
            <w:noWrap w:val="0"/>
            <w:vAlign w:val="center"/>
          </w:tcPr>
          <w:p w14:paraId="723586A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可溶性铬/(mg/kg)</w:t>
            </w:r>
          </w:p>
        </w:tc>
        <w:tc>
          <w:tcPr>
            <w:tcW w:w="2272" w:type="dxa"/>
            <w:tcBorders>
              <w:top w:val="single" w:color="auto" w:sz="4" w:space="0"/>
              <w:left w:val="single" w:color="auto" w:sz="4" w:space="0"/>
              <w:bottom w:val="single" w:color="auto" w:sz="4" w:space="0"/>
              <w:right w:val="single" w:color="auto" w:sz="4" w:space="0"/>
            </w:tcBorders>
            <w:noWrap w:val="0"/>
            <w:vAlign w:val="top"/>
          </w:tcPr>
          <w:p w14:paraId="1EAE8B9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57F5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5" w:type="dxa"/>
            <w:vMerge w:val="continue"/>
            <w:tcBorders>
              <w:left w:val="single" w:color="auto" w:sz="4" w:space="0"/>
              <w:bottom w:val="single" w:color="auto" w:sz="4" w:space="0"/>
              <w:right w:val="single" w:color="auto" w:sz="4" w:space="0"/>
            </w:tcBorders>
            <w:noWrap w:val="0"/>
            <w:vAlign w:val="center"/>
          </w:tcPr>
          <w:p w14:paraId="5090B9A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5720" w:type="dxa"/>
            <w:tcBorders>
              <w:top w:val="single" w:color="auto" w:sz="4" w:space="0"/>
              <w:left w:val="single" w:color="auto" w:sz="4" w:space="0"/>
              <w:bottom w:val="single" w:color="auto" w:sz="4" w:space="0"/>
              <w:right w:val="single" w:color="auto" w:sz="4" w:space="0"/>
            </w:tcBorders>
            <w:noWrap w:val="0"/>
            <w:vAlign w:val="center"/>
          </w:tcPr>
          <w:p w14:paraId="12E8396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可溶性汞/(mg/kg)</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140DC70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63F6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65" w:type="dxa"/>
            <w:tcBorders>
              <w:top w:val="single" w:color="auto" w:sz="4" w:space="0"/>
              <w:left w:val="single" w:color="auto" w:sz="4" w:space="0"/>
              <w:bottom w:val="single" w:color="auto" w:sz="4" w:space="0"/>
              <w:right w:val="single" w:color="auto" w:sz="4" w:space="0"/>
            </w:tcBorders>
            <w:noWrap w:val="0"/>
            <w:vAlign w:val="center"/>
          </w:tcPr>
          <w:p w14:paraId="5D02A59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气味</w:t>
            </w:r>
          </w:p>
        </w:tc>
        <w:tc>
          <w:tcPr>
            <w:tcW w:w="5720" w:type="dxa"/>
            <w:tcBorders>
              <w:top w:val="single" w:color="auto" w:sz="4" w:space="0"/>
              <w:left w:val="single" w:color="auto" w:sz="4" w:space="0"/>
              <w:bottom w:val="single" w:color="auto" w:sz="4" w:space="0"/>
              <w:right w:val="single" w:color="auto" w:sz="4" w:space="0"/>
            </w:tcBorders>
            <w:noWrap w:val="0"/>
            <w:vAlign w:val="center"/>
          </w:tcPr>
          <w:p w14:paraId="272CAD5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气味等级/级</w:t>
            </w:r>
          </w:p>
        </w:tc>
        <w:tc>
          <w:tcPr>
            <w:tcW w:w="2272" w:type="dxa"/>
            <w:tcBorders>
              <w:top w:val="single" w:color="auto" w:sz="4" w:space="0"/>
              <w:left w:val="single" w:color="auto" w:sz="4" w:space="0"/>
              <w:bottom w:val="single" w:color="auto" w:sz="4" w:space="0"/>
              <w:right w:val="single" w:color="auto" w:sz="4" w:space="0"/>
            </w:tcBorders>
            <w:noWrap w:val="0"/>
            <w:vAlign w:val="center"/>
          </w:tcPr>
          <w:p w14:paraId="2D78A4D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r>
    </w:tbl>
    <w:p w14:paraId="541D761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塑胶面层成品中有害物质限量及气味</w:t>
      </w:r>
      <w:r>
        <w:rPr>
          <w:rFonts w:hint="eastAsia" w:asciiTheme="minorEastAsia" w:hAnsiTheme="minorEastAsia" w:cstheme="minorEastAsia"/>
          <w:b/>
          <w:bCs/>
          <w:sz w:val="24"/>
          <w:szCs w:val="24"/>
          <w:lang w:val="en-US" w:eastAsia="zh-CN"/>
        </w:rPr>
        <w:t>最低</w:t>
      </w:r>
      <w:r>
        <w:rPr>
          <w:rFonts w:hint="eastAsia" w:asciiTheme="minorEastAsia" w:hAnsiTheme="minorEastAsia" w:eastAsiaTheme="minorEastAsia" w:cstheme="minorEastAsia"/>
          <w:b/>
          <w:color w:val="000000"/>
          <w:sz w:val="24"/>
          <w:szCs w:val="24"/>
        </w:rPr>
        <w:t>要求</w:t>
      </w:r>
    </w:p>
    <w:tbl>
      <w:tblPr>
        <w:tblStyle w:val="9"/>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6730"/>
        <w:gridCol w:w="1416"/>
      </w:tblGrid>
      <w:tr w14:paraId="7DA2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631" w:type="dxa"/>
            <w:gridSpan w:val="2"/>
            <w:tcBorders>
              <w:top w:val="single" w:color="auto" w:sz="4" w:space="0"/>
              <w:left w:val="single" w:color="auto" w:sz="4" w:space="0"/>
              <w:bottom w:val="single" w:color="auto" w:sz="4" w:space="0"/>
              <w:right w:val="single" w:color="auto" w:sz="4" w:space="0"/>
            </w:tcBorders>
            <w:noWrap w:val="0"/>
            <w:vAlign w:val="center"/>
          </w:tcPr>
          <w:p w14:paraId="3339B7C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检  测  项  目</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627116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技术指标</w:t>
            </w:r>
          </w:p>
        </w:tc>
      </w:tr>
      <w:tr w14:paraId="7D0C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1" w:type="dxa"/>
            <w:vMerge w:val="restart"/>
            <w:tcBorders>
              <w:top w:val="single" w:color="auto" w:sz="4" w:space="0"/>
              <w:left w:val="single" w:color="auto" w:sz="4" w:space="0"/>
              <w:right w:val="single" w:color="auto" w:sz="4" w:space="0"/>
            </w:tcBorders>
            <w:noWrap w:val="0"/>
            <w:vAlign w:val="center"/>
          </w:tcPr>
          <w:p w14:paraId="6323001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有害物质含量</w:t>
            </w:r>
          </w:p>
        </w:tc>
        <w:tc>
          <w:tcPr>
            <w:tcW w:w="6730" w:type="dxa"/>
            <w:tcBorders>
              <w:top w:val="single" w:color="auto" w:sz="4" w:space="0"/>
              <w:left w:val="single" w:color="auto" w:sz="4" w:space="0"/>
              <w:bottom w:val="single" w:color="auto" w:sz="4" w:space="0"/>
              <w:right w:val="single" w:color="auto" w:sz="4" w:space="0"/>
            </w:tcBorders>
            <w:noWrap w:val="0"/>
            <w:vAlign w:val="center"/>
          </w:tcPr>
          <w:p w14:paraId="3CD6DA3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3种</w:t>
            </w:r>
            <w:r>
              <w:rPr>
                <w:rFonts w:hint="eastAsia" w:asciiTheme="minorEastAsia" w:hAnsiTheme="minorEastAsia" w:eastAsiaTheme="minorEastAsia" w:cstheme="minorEastAsia"/>
                <w:color w:val="000000"/>
                <w:sz w:val="24"/>
                <w:szCs w:val="24"/>
                <w:lang w:eastAsia="zh-CN"/>
              </w:rPr>
              <w:t>邻苯</w:t>
            </w:r>
            <w:r>
              <w:rPr>
                <w:rFonts w:hint="eastAsia" w:asciiTheme="minorEastAsia" w:hAnsiTheme="minorEastAsia" w:eastAsiaTheme="minorEastAsia" w:cstheme="minorEastAsia"/>
                <w:color w:val="000000"/>
                <w:sz w:val="24"/>
                <w:szCs w:val="24"/>
              </w:rPr>
              <w:t>二甲酸酯类化合物（DBP、BBP、DEHP）总和/（g/kg）</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353E32A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3D0C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01" w:type="dxa"/>
            <w:vMerge w:val="continue"/>
            <w:tcBorders>
              <w:left w:val="single" w:color="auto" w:sz="4" w:space="0"/>
              <w:right w:val="single" w:color="auto" w:sz="4" w:space="0"/>
            </w:tcBorders>
            <w:noWrap w:val="0"/>
            <w:vAlign w:val="center"/>
          </w:tcPr>
          <w:p w14:paraId="2BF26EB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7456A80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3种</w:t>
            </w:r>
            <w:r>
              <w:rPr>
                <w:rFonts w:hint="eastAsia" w:asciiTheme="minorEastAsia" w:hAnsiTheme="minorEastAsia" w:eastAsiaTheme="minorEastAsia" w:cstheme="minorEastAsia"/>
                <w:color w:val="000000"/>
                <w:sz w:val="24"/>
                <w:szCs w:val="24"/>
                <w:lang w:eastAsia="zh-CN"/>
              </w:rPr>
              <w:t>邻苯</w:t>
            </w:r>
            <w:r>
              <w:rPr>
                <w:rFonts w:hint="eastAsia" w:asciiTheme="minorEastAsia" w:hAnsiTheme="minorEastAsia" w:eastAsiaTheme="minorEastAsia" w:cstheme="minorEastAsia"/>
                <w:color w:val="000000"/>
                <w:sz w:val="24"/>
                <w:szCs w:val="24"/>
              </w:rPr>
              <w:t>二甲酸酯类化合物（DNOP、DINP、DIDP）总和/（g/kg）</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54D5F53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2EFE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1" w:type="dxa"/>
            <w:vMerge w:val="continue"/>
            <w:tcBorders>
              <w:left w:val="single" w:color="auto" w:sz="4" w:space="0"/>
              <w:right w:val="single" w:color="auto" w:sz="4" w:space="0"/>
            </w:tcBorders>
            <w:noWrap w:val="0"/>
            <w:vAlign w:val="center"/>
          </w:tcPr>
          <w:p w14:paraId="245C5BA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vMerge w:val="restart"/>
            <w:tcBorders>
              <w:top w:val="single" w:color="auto" w:sz="4" w:space="0"/>
              <w:left w:val="single" w:color="auto" w:sz="4" w:space="0"/>
              <w:right w:val="single" w:color="auto" w:sz="4" w:space="0"/>
            </w:tcBorders>
            <w:noWrap w:val="0"/>
            <w:vAlign w:val="center"/>
          </w:tcPr>
          <w:p w14:paraId="1BA860F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18种多环芳烃总和∕(mg/kg)</w:t>
            </w:r>
          </w:p>
        </w:tc>
        <w:tc>
          <w:tcPr>
            <w:tcW w:w="1416" w:type="dxa"/>
            <w:tcBorders>
              <w:top w:val="single" w:color="auto" w:sz="4" w:space="0"/>
              <w:left w:val="single" w:color="auto" w:sz="4" w:space="0"/>
              <w:bottom w:val="single" w:color="auto" w:sz="4" w:space="0"/>
              <w:right w:val="single" w:color="auto" w:sz="4" w:space="0"/>
            </w:tcBorders>
            <w:noWrap w:val="0"/>
            <w:vAlign w:val="top"/>
          </w:tcPr>
          <w:p w14:paraId="2ADEFF5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4E5A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901" w:type="dxa"/>
            <w:vMerge w:val="continue"/>
            <w:tcBorders>
              <w:left w:val="single" w:color="auto" w:sz="4" w:space="0"/>
              <w:right w:val="single" w:color="auto" w:sz="4" w:space="0"/>
            </w:tcBorders>
            <w:noWrap w:val="0"/>
            <w:vAlign w:val="center"/>
          </w:tcPr>
          <w:p w14:paraId="4934A76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vMerge w:val="continue"/>
            <w:tcBorders>
              <w:left w:val="single" w:color="auto" w:sz="4" w:space="0"/>
              <w:bottom w:val="single" w:color="auto" w:sz="4" w:space="0"/>
              <w:right w:val="single" w:color="auto" w:sz="4" w:space="0"/>
            </w:tcBorders>
            <w:noWrap w:val="0"/>
            <w:vAlign w:val="center"/>
          </w:tcPr>
          <w:p w14:paraId="17A212B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1416" w:type="dxa"/>
            <w:tcBorders>
              <w:top w:val="single" w:color="auto" w:sz="4" w:space="0"/>
              <w:left w:val="single" w:color="auto" w:sz="4" w:space="0"/>
              <w:bottom w:val="single" w:color="auto" w:sz="4" w:space="0"/>
              <w:right w:val="single" w:color="auto" w:sz="4" w:space="0"/>
            </w:tcBorders>
            <w:noWrap w:val="0"/>
            <w:vAlign w:val="top"/>
          </w:tcPr>
          <w:p w14:paraId="36D2A24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418B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1" w:type="dxa"/>
            <w:vMerge w:val="continue"/>
            <w:tcBorders>
              <w:left w:val="single" w:color="auto" w:sz="4" w:space="0"/>
              <w:right w:val="single" w:color="auto" w:sz="4" w:space="0"/>
            </w:tcBorders>
            <w:noWrap w:val="0"/>
            <w:vAlign w:val="center"/>
          </w:tcPr>
          <w:p w14:paraId="46F6A9D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2718841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苯并［a］芘∕(mg/kg)</w:t>
            </w:r>
          </w:p>
        </w:tc>
        <w:tc>
          <w:tcPr>
            <w:tcW w:w="1416" w:type="dxa"/>
            <w:tcBorders>
              <w:top w:val="single" w:color="auto" w:sz="4" w:space="0"/>
              <w:left w:val="single" w:color="auto" w:sz="4" w:space="0"/>
              <w:bottom w:val="single" w:color="auto" w:sz="4" w:space="0"/>
              <w:right w:val="single" w:color="auto" w:sz="4" w:space="0"/>
            </w:tcBorders>
            <w:noWrap w:val="0"/>
            <w:vAlign w:val="top"/>
          </w:tcPr>
          <w:p w14:paraId="09778DD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r>
      <w:tr w14:paraId="6A51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vMerge w:val="continue"/>
            <w:tcBorders>
              <w:left w:val="single" w:color="auto" w:sz="4" w:space="0"/>
              <w:right w:val="single" w:color="auto" w:sz="4" w:space="0"/>
            </w:tcBorders>
            <w:noWrap w:val="0"/>
            <w:vAlign w:val="center"/>
          </w:tcPr>
          <w:p w14:paraId="7D0BCDC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0EA7476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短链氯化石蜡（C10-C13）∕(g/kg)</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08F47F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≤1.5</w:t>
            </w:r>
          </w:p>
        </w:tc>
      </w:tr>
      <w:tr w14:paraId="7B9B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01" w:type="dxa"/>
            <w:vMerge w:val="continue"/>
            <w:tcBorders>
              <w:left w:val="single" w:color="auto" w:sz="4" w:space="0"/>
              <w:right w:val="single" w:color="auto" w:sz="4" w:space="0"/>
            </w:tcBorders>
            <w:noWrap w:val="0"/>
            <w:vAlign w:val="center"/>
          </w:tcPr>
          <w:p w14:paraId="12FBC07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4F891EB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4,4’-二氨基-3,3’-二氯二苯甲烷（MOCA）∕(g/kg)</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3337F61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221E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1" w:type="dxa"/>
            <w:vMerge w:val="continue"/>
            <w:tcBorders>
              <w:left w:val="single" w:color="auto" w:sz="4" w:space="0"/>
              <w:right w:val="single" w:color="auto" w:sz="4" w:space="0"/>
            </w:tcBorders>
            <w:noWrap w:val="0"/>
            <w:vAlign w:val="center"/>
          </w:tcPr>
          <w:p w14:paraId="3BB2925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1F527547">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游离甲苯二异氰酸酯（TDI）和游离六亚甲基二异氰酸酯（HDI）总和∕(g/kg)</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5C54015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≤0.2</w:t>
            </w:r>
          </w:p>
        </w:tc>
      </w:tr>
      <w:tr w14:paraId="47FD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 w:type="dxa"/>
            <w:vMerge w:val="continue"/>
            <w:tcBorders>
              <w:left w:val="single" w:color="auto" w:sz="4" w:space="0"/>
              <w:right w:val="single" w:color="auto" w:sz="4" w:space="0"/>
            </w:tcBorders>
            <w:noWrap w:val="0"/>
            <w:vAlign w:val="center"/>
          </w:tcPr>
          <w:p w14:paraId="1BB4794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575EF38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游离二苯基甲烷二异氰酸酯（MDI）∕(g/kg)</w:t>
            </w:r>
          </w:p>
        </w:tc>
        <w:tc>
          <w:tcPr>
            <w:tcW w:w="1416" w:type="dxa"/>
            <w:tcBorders>
              <w:top w:val="single" w:color="auto" w:sz="4" w:space="0"/>
              <w:left w:val="single" w:color="auto" w:sz="4" w:space="0"/>
              <w:bottom w:val="single" w:color="auto" w:sz="4" w:space="0"/>
              <w:right w:val="single" w:color="auto" w:sz="4" w:space="0"/>
            </w:tcBorders>
            <w:noWrap w:val="0"/>
            <w:vAlign w:val="top"/>
          </w:tcPr>
          <w:p w14:paraId="16BBBB31">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1986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01" w:type="dxa"/>
            <w:vMerge w:val="continue"/>
            <w:tcBorders>
              <w:left w:val="single" w:color="auto" w:sz="4" w:space="0"/>
              <w:right w:val="single" w:color="auto" w:sz="4" w:space="0"/>
            </w:tcBorders>
            <w:noWrap w:val="0"/>
            <w:vAlign w:val="center"/>
          </w:tcPr>
          <w:p w14:paraId="06731B3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1FB5FEA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可溶性铅/(mg/kg)</w:t>
            </w:r>
          </w:p>
        </w:tc>
        <w:tc>
          <w:tcPr>
            <w:tcW w:w="1416" w:type="dxa"/>
            <w:tcBorders>
              <w:top w:val="single" w:color="auto" w:sz="4" w:space="0"/>
              <w:left w:val="single" w:color="auto" w:sz="4" w:space="0"/>
              <w:bottom w:val="single" w:color="auto" w:sz="4" w:space="0"/>
              <w:right w:val="single" w:color="auto" w:sz="4" w:space="0"/>
            </w:tcBorders>
            <w:noWrap w:val="0"/>
            <w:vAlign w:val="top"/>
          </w:tcPr>
          <w:p w14:paraId="4C1E6DF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0D6C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01" w:type="dxa"/>
            <w:vMerge w:val="continue"/>
            <w:tcBorders>
              <w:left w:val="single" w:color="auto" w:sz="4" w:space="0"/>
              <w:right w:val="single" w:color="auto" w:sz="4" w:space="0"/>
            </w:tcBorders>
            <w:noWrap w:val="0"/>
            <w:vAlign w:val="center"/>
          </w:tcPr>
          <w:p w14:paraId="1F194E2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772D87A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可溶性镉/(mg/kg)</w:t>
            </w:r>
          </w:p>
        </w:tc>
        <w:tc>
          <w:tcPr>
            <w:tcW w:w="1416" w:type="dxa"/>
            <w:tcBorders>
              <w:top w:val="single" w:color="auto" w:sz="4" w:space="0"/>
              <w:left w:val="single" w:color="auto" w:sz="4" w:space="0"/>
              <w:bottom w:val="single" w:color="auto" w:sz="4" w:space="0"/>
              <w:right w:val="single" w:color="auto" w:sz="4" w:space="0"/>
            </w:tcBorders>
            <w:noWrap w:val="0"/>
            <w:vAlign w:val="top"/>
          </w:tcPr>
          <w:p w14:paraId="7F76350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354F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01" w:type="dxa"/>
            <w:vMerge w:val="continue"/>
            <w:tcBorders>
              <w:left w:val="single" w:color="auto" w:sz="4" w:space="0"/>
              <w:right w:val="single" w:color="auto" w:sz="4" w:space="0"/>
            </w:tcBorders>
            <w:noWrap w:val="0"/>
            <w:vAlign w:val="center"/>
          </w:tcPr>
          <w:p w14:paraId="7735B05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0E93B64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可溶性铬/(mg/kg)</w:t>
            </w:r>
          </w:p>
        </w:tc>
        <w:tc>
          <w:tcPr>
            <w:tcW w:w="1416" w:type="dxa"/>
            <w:tcBorders>
              <w:top w:val="single" w:color="auto" w:sz="4" w:space="0"/>
              <w:left w:val="single" w:color="auto" w:sz="4" w:space="0"/>
              <w:bottom w:val="single" w:color="auto" w:sz="4" w:space="0"/>
              <w:right w:val="single" w:color="auto" w:sz="4" w:space="0"/>
            </w:tcBorders>
            <w:noWrap w:val="0"/>
            <w:vAlign w:val="top"/>
          </w:tcPr>
          <w:p w14:paraId="008B6A3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057E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1" w:type="dxa"/>
            <w:vMerge w:val="continue"/>
            <w:tcBorders>
              <w:left w:val="single" w:color="auto" w:sz="4" w:space="0"/>
              <w:bottom w:val="single" w:color="auto" w:sz="4" w:space="0"/>
              <w:right w:val="single" w:color="auto" w:sz="4" w:space="0"/>
            </w:tcBorders>
            <w:noWrap w:val="0"/>
            <w:vAlign w:val="center"/>
          </w:tcPr>
          <w:p w14:paraId="7BA86A3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0EBD53A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可溶性汞/(mg/kg)</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3CF1153A">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0793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 w:type="dxa"/>
            <w:vMerge w:val="restart"/>
            <w:tcBorders>
              <w:top w:val="single" w:color="auto" w:sz="4" w:space="0"/>
              <w:left w:val="single" w:color="auto" w:sz="4" w:space="0"/>
              <w:right w:val="single" w:color="auto" w:sz="4" w:space="0"/>
            </w:tcBorders>
            <w:noWrap w:val="0"/>
            <w:vAlign w:val="center"/>
          </w:tcPr>
          <w:p w14:paraId="06E798F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有害物质释放量</w:t>
            </w:r>
          </w:p>
        </w:tc>
        <w:tc>
          <w:tcPr>
            <w:tcW w:w="6730" w:type="dxa"/>
            <w:tcBorders>
              <w:top w:val="single" w:color="auto" w:sz="4" w:space="0"/>
              <w:left w:val="single" w:color="auto" w:sz="4" w:space="0"/>
              <w:bottom w:val="single" w:color="auto" w:sz="4" w:space="0"/>
              <w:right w:val="single" w:color="auto" w:sz="4" w:space="0"/>
            </w:tcBorders>
            <w:noWrap w:val="0"/>
            <w:vAlign w:val="center"/>
          </w:tcPr>
          <w:p w14:paraId="0C5D29BB">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总挥发性有机化合物（TVOC）（mg/（㎡·h））</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2B96AD28">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5EE4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01" w:type="dxa"/>
            <w:vMerge w:val="continue"/>
            <w:tcBorders>
              <w:left w:val="single" w:color="auto" w:sz="4" w:space="0"/>
              <w:right w:val="single" w:color="auto" w:sz="4" w:space="0"/>
            </w:tcBorders>
            <w:noWrap w:val="0"/>
            <w:vAlign w:val="center"/>
          </w:tcPr>
          <w:p w14:paraId="4438A6A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6B733896">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甲醛/（mg/（㎡·h））</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FAA7E6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≤0.4</w:t>
            </w:r>
          </w:p>
        </w:tc>
      </w:tr>
      <w:tr w14:paraId="64BD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vMerge w:val="continue"/>
            <w:tcBorders>
              <w:left w:val="single" w:color="auto" w:sz="4" w:space="0"/>
              <w:right w:val="single" w:color="auto" w:sz="4" w:space="0"/>
            </w:tcBorders>
            <w:noWrap w:val="0"/>
            <w:vAlign w:val="center"/>
          </w:tcPr>
          <w:p w14:paraId="7A555B9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2FE81A4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苯/（mg/（㎡·h））</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5B9A3FC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≤0.1</w:t>
            </w:r>
          </w:p>
        </w:tc>
      </w:tr>
      <w:tr w14:paraId="1AA1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01" w:type="dxa"/>
            <w:vMerge w:val="continue"/>
            <w:tcBorders>
              <w:left w:val="single" w:color="auto" w:sz="4" w:space="0"/>
              <w:right w:val="single" w:color="auto" w:sz="4" w:space="0"/>
            </w:tcBorders>
            <w:noWrap w:val="0"/>
            <w:vAlign w:val="center"/>
          </w:tcPr>
          <w:p w14:paraId="71DFE3B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74BF885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甲苯、二甲苯和乙苯总和/（mg/（㎡·h））</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63F6B8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6130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01" w:type="dxa"/>
            <w:vMerge w:val="continue"/>
            <w:tcBorders>
              <w:left w:val="single" w:color="auto" w:sz="4" w:space="0"/>
              <w:bottom w:val="single" w:color="auto" w:sz="4" w:space="0"/>
              <w:right w:val="single" w:color="auto" w:sz="4" w:space="0"/>
            </w:tcBorders>
            <w:noWrap w:val="0"/>
            <w:vAlign w:val="center"/>
          </w:tcPr>
          <w:p w14:paraId="6821056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p>
        </w:tc>
        <w:tc>
          <w:tcPr>
            <w:tcW w:w="6730" w:type="dxa"/>
            <w:tcBorders>
              <w:top w:val="single" w:color="auto" w:sz="4" w:space="0"/>
              <w:left w:val="single" w:color="auto" w:sz="4" w:space="0"/>
              <w:bottom w:val="single" w:color="auto" w:sz="4" w:space="0"/>
              <w:right w:val="single" w:color="auto" w:sz="4" w:space="0"/>
            </w:tcBorders>
            <w:noWrap w:val="0"/>
            <w:vAlign w:val="center"/>
          </w:tcPr>
          <w:p w14:paraId="529A438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二硫化碳/（mg/（㎡·h））</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4D68DA7C">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≤7.0</w:t>
            </w:r>
          </w:p>
        </w:tc>
      </w:tr>
      <w:tr w14:paraId="5896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01" w:type="dxa"/>
            <w:tcBorders>
              <w:top w:val="single" w:color="auto" w:sz="4" w:space="0"/>
              <w:left w:val="single" w:color="auto" w:sz="4" w:space="0"/>
              <w:bottom w:val="single" w:color="auto" w:sz="4" w:space="0"/>
              <w:right w:val="single" w:color="auto" w:sz="4" w:space="0"/>
            </w:tcBorders>
            <w:noWrap w:val="0"/>
            <w:vAlign w:val="center"/>
          </w:tcPr>
          <w:p w14:paraId="53789E2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气味</w:t>
            </w:r>
          </w:p>
        </w:tc>
        <w:tc>
          <w:tcPr>
            <w:tcW w:w="6730" w:type="dxa"/>
            <w:tcBorders>
              <w:top w:val="single" w:color="auto" w:sz="4" w:space="0"/>
              <w:left w:val="single" w:color="auto" w:sz="4" w:space="0"/>
              <w:bottom w:val="single" w:color="auto" w:sz="4" w:space="0"/>
              <w:right w:val="single" w:color="auto" w:sz="4" w:space="0"/>
            </w:tcBorders>
            <w:noWrap w:val="0"/>
            <w:vAlign w:val="center"/>
          </w:tcPr>
          <w:p w14:paraId="06E6AA93">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气味等级/级</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3AC4B4E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r>
    </w:tbl>
    <w:p w14:paraId="5E76DA04">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b/>
          <w:i w:val="0"/>
          <w:iCs/>
          <w:color w:val="000000"/>
          <w:sz w:val="24"/>
          <w:szCs w:val="24"/>
          <w:lang w:val="en-US" w:eastAsia="zh-CN"/>
        </w:rPr>
      </w:pPr>
      <w:r>
        <w:rPr>
          <w:rFonts w:hint="eastAsia" w:asciiTheme="minorEastAsia" w:hAnsiTheme="minorEastAsia" w:eastAsiaTheme="minorEastAsia" w:cstheme="minorEastAsia"/>
          <w:b/>
          <w:i w:val="0"/>
          <w:iCs/>
          <w:color w:val="000000"/>
          <w:sz w:val="24"/>
          <w:szCs w:val="24"/>
          <w:lang w:val="en-US" w:eastAsia="zh-CN"/>
        </w:rPr>
        <w:t>13mm及20mm全塑型自结纹塑胶跑道技术要求：</w:t>
      </w:r>
    </w:p>
    <w:p w14:paraId="15998D88">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b w:val="0"/>
          <w:bCs/>
          <w:i w:val="0"/>
          <w:iCs/>
          <w:color w:val="000000"/>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①塑胶跑道需符合GB36246-2018《中小学合成材料面层运动场地》全项型式检验要求；</w:t>
      </w:r>
    </w:p>
    <w:p w14:paraId="7C82C7E5">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②塑胶跑道产品原材料聚氨酯胶水满足阻燃性能、气味等级等均需符合GB36246-2018《中小学合成材料面层运动场地》检验要求；</w:t>
      </w:r>
    </w:p>
    <w:p w14:paraId="2588A48E">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③塑胶跑道产品原材料聚氨酯胶水多环芳</w:t>
      </w:r>
      <w:r>
        <w:rPr>
          <w:rFonts w:hint="eastAsia" w:asciiTheme="minorEastAsia" w:hAnsiTheme="minorEastAsia" w:eastAsiaTheme="minorEastAsia" w:cstheme="minorEastAsia"/>
          <w:color w:val="000000"/>
          <w:sz w:val="24"/>
          <w:szCs w:val="24"/>
        </w:rPr>
        <w:t>烃</w:t>
      </w:r>
      <w:r>
        <w:rPr>
          <w:rFonts w:hint="eastAsia" w:asciiTheme="minorEastAsia" w:hAnsiTheme="minorEastAsia" w:eastAsiaTheme="minorEastAsia" w:cstheme="minorEastAsia"/>
          <w:b w:val="0"/>
          <w:bCs/>
          <w:i w:val="0"/>
          <w:iCs/>
          <w:color w:val="000000"/>
          <w:sz w:val="24"/>
          <w:szCs w:val="24"/>
          <w:lang w:val="en-US" w:eastAsia="zh-CN"/>
        </w:rPr>
        <w:t>总和、</w:t>
      </w:r>
      <w:r>
        <w:rPr>
          <w:rFonts w:hint="eastAsia" w:asciiTheme="minorEastAsia" w:hAnsiTheme="minorEastAsia" w:eastAsiaTheme="minorEastAsia" w:cstheme="minorEastAsia"/>
          <w:color w:val="000000"/>
          <w:sz w:val="24"/>
          <w:szCs w:val="24"/>
        </w:rPr>
        <w:t>苯并［a］芘∕(mg/kg)</w:t>
      </w:r>
      <w:r>
        <w:rPr>
          <w:rFonts w:hint="eastAsia" w:asciiTheme="minorEastAsia" w:hAnsiTheme="minorEastAsia" w:eastAsiaTheme="minorEastAsia" w:cstheme="minorEastAsia"/>
          <w:color w:val="000000"/>
          <w:sz w:val="24"/>
          <w:szCs w:val="24"/>
          <w:lang w:val="en-US" w:eastAsia="zh-CN"/>
        </w:rPr>
        <w:t>等</w:t>
      </w:r>
      <w:r>
        <w:rPr>
          <w:rFonts w:hint="eastAsia" w:asciiTheme="minorEastAsia" w:hAnsiTheme="minorEastAsia" w:eastAsiaTheme="minorEastAsia" w:cstheme="minorEastAsia"/>
          <w:b w:val="0"/>
          <w:bCs/>
          <w:i w:val="0"/>
          <w:iCs/>
          <w:color w:val="000000"/>
          <w:sz w:val="24"/>
          <w:szCs w:val="24"/>
          <w:lang w:val="en-US" w:eastAsia="zh-CN"/>
        </w:rPr>
        <w:t>均需符合GB36246-2018《中小学合成材料面层运动场地》检验要求；</w:t>
      </w:r>
    </w:p>
    <w:p w14:paraId="24AE93B5">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④为了保证产品的环保性能，塑胶跑道样块</w:t>
      </w:r>
      <w:r>
        <w:rPr>
          <w:rFonts w:hint="eastAsia" w:asciiTheme="minorEastAsia" w:hAnsiTheme="minorEastAsia" w:eastAsiaTheme="minorEastAsia" w:cstheme="minorEastAsia"/>
          <w:color w:val="000000"/>
          <w:sz w:val="24"/>
          <w:szCs w:val="24"/>
          <w:lang w:val="en-US" w:eastAsia="zh-CN"/>
        </w:rPr>
        <w:t>等</w:t>
      </w:r>
      <w:r>
        <w:rPr>
          <w:rFonts w:hint="eastAsia" w:asciiTheme="minorEastAsia" w:hAnsiTheme="minorEastAsia" w:eastAsiaTheme="minorEastAsia" w:cstheme="minorEastAsia"/>
          <w:b w:val="0"/>
          <w:bCs/>
          <w:i w:val="0"/>
          <w:iCs/>
          <w:color w:val="000000"/>
          <w:sz w:val="24"/>
          <w:szCs w:val="24"/>
          <w:lang w:val="en-US" w:eastAsia="zh-CN"/>
        </w:rPr>
        <w:t>均需符合GB36246-2018《中小学合成材料面层运动场地》检验要求；</w:t>
      </w:r>
    </w:p>
    <w:p w14:paraId="1761F2A1">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⑤塑胶跑道产品抗老化性能等均需符合GB/T22517.4-2017《体育场地使用要求及检验方法 第4部分：合成面层篮球场地》检验要求；</w:t>
      </w:r>
    </w:p>
    <w:p w14:paraId="0D628DF9">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⑥为了避免学生于塑胶跑道上发生跌落头部受伤事故，塑胶跑道产品冲击衰减值等均需符合GB/T30228-2013《运动场地地面冲击衰减的安全性能要求和试验方法》及GB36246-2018《中小学合成材料面层运动场地》检验要求；</w:t>
      </w:r>
    </w:p>
    <w:p w14:paraId="5E26252B">
      <w:pPr>
        <w:pStyle w:val="8"/>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i w:val="0"/>
          <w:iCs/>
          <w:color w:val="000000"/>
          <w:sz w:val="24"/>
          <w:szCs w:val="24"/>
          <w:lang w:val="en-US" w:eastAsia="zh-CN"/>
        </w:rPr>
        <w:t>⑦塑胶跑道底层材料等均需符合GB36246-2018《中小学合成材料面层运动场地》的有毒有害物质型式抽样检验要求。</w:t>
      </w:r>
    </w:p>
    <w:p w14:paraId="6599CC5C">
      <w:pPr>
        <w:pStyle w:val="6"/>
        <w:keepNext w:val="0"/>
        <w:keepLines w:val="0"/>
        <w:pageBreakBefore w:val="0"/>
        <w:widowControl/>
        <w:kinsoku/>
        <w:wordWrap/>
        <w:overflowPunct/>
        <w:topLinePunct w:val="0"/>
        <w:autoSpaceDE/>
        <w:autoSpaceDN/>
        <w:bidi w:val="0"/>
        <w:adjustRightInd/>
        <w:snapToGrid/>
        <w:spacing w:line="360" w:lineRule="auto"/>
        <w:ind w:left="0" w:firstLine="480"/>
        <w:textAlignment w:val="auto"/>
        <w:rPr>
          <w:rFonts w:hint="eastAsia" w:asciiTheme="minorEastAsia" w:hAnsiTheme="minorEastAsia" w:eastAsiaTheme="minorEastAsia" w:cstheme="minorEastAsia"/>
          <w:b/>
          <w:i w:val="0"/>
          <w:iCs/>
          <w:color w:val="000000"/>
          <w:sz w:val="24"/>
          <w:szCs w:val="24"/>
          <w:lang w:eastAsia="zh-CN"/>
        </w:rPr>
      </w:pPr>
      <w:r>
        <w:rPr>
          <w:rFonts w:hint="eastAsia" w:asciiTheme="minorEastAsia" w:hAnsiTheme="minorEastAsia" w:eastAsiaTheme="minorEastAsia" w:cstheme="minorEastAsia"/>
          <w:b/>
          <w:i w:val="0"/>
          <w:iCs/>
          <w:color w:val="000000"/>
          <w:sz w:val="24"/>
          <w:szCs w:val="24"/>
        </w:rPr>
        <w:t>2）人造</w:t>
      </w:r>
      <w:r>
        <w:rPr>
          <w:rFonts w:hint="eastAsia" w:asciiTheme="minorEastAsia" w:hAnsiTheme="minorEastAsia" w:eastAsiaTheme="minorEastAsia" w:cstheme="minorEastAsia"/>
          <w:b/>
          <w:bCs/>
          <w:sz w:val="24"/>
          <w:szCs w:val="24"/>
          <w:lang w:val="en-US" w:eastAsia="zh-CN"/>
        </w:rPr>
        <w:t>草坪</w:t>
      </w:r>
      <w:r>
        <w:rPr>
          <w:rFonts w:hint="eastAsia" w:asciiTheme="minorEastAsia" w:hAnsiTheme="minorEastAsia" w:cstheme="minorEastAsia"/>
          <w:b/>
          <w:bCs/>
          <w:sz w:val="24"/>
          <w:szCs w:val="24"/>
          <w:lang w:val="en-US" w:eastAsia="zh-CN"/>
        </w:rPr>
        <w:t>最低</w:t>
      </w:r>
      <w:r>
        <w:rPr>
          <w:rFonts w:hint="eastAsia" w:asciiTheme="minorEastAsia" w:hAnsiTheme="minorEastAsia" w:eastAsiaTheme="minorEastAsia" w:cstheme="minorEastAsia"/>
          <w:b/>
          <w:i w:val="0"/>
          <w:iCs/>
          <w:color w:val="000000"/>
          <w:sz w:val="24"/>
          <w:szCs w:val="24"/>
        </w:rPr>
        <w:t>技术参数及要求</w:t>
      </w:r>
      <w:r>
        <w:rPr>
          <w:rFonts w:hint="eastAsia" w:asciiTheme="minorEastAsia" w:hAnsiTheme="minorEastAsia" w:cstheme="minorEastAsia"/>
          <w:b/>
          <w:i w:val="0"/>
          <w:iCs/>
          <w:color w:val="000000"/>
          <w:sz w:val="24"/>
          <w:szCs w:val="24"/>
          <w:lang w:eastAsia="zh-CN"/>
        </w:rPr>
        <w:t>：</w:t>
      </w:r>
    </w:p>
    <w:tbl>
      <w:tblPr>
        <w:tblStyle w:val="9"/>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7041"/>
      </w:tblGrid>
      <w:tr w14:paraId="3F34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76" w:type="dxa"/>
            <w:noWrap w:val="0"/>
            <w:vAlign w:val="center"/>
          </w:tcPr>
          <w:p w14:paraId="2BA171FD">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生产方式</w:t>
            </w:r>
          </w:p>
        </w:tc>
        <w:tc>
          <w:tcPr>
            <w:tcW w:w="7041" w:type="dxa"/>
            <w:noWrap w:val="0"/>
            <w:vAlign w:val="center"/>
          </w:tcPr>
          <w:p w14:paraId="1FA0E196">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簇绒编织直线走针型，针距：5/8英寸</w:t>
            </w:r>
          </w:p>
        </w:tc>
      </w:tr>
      <w:tr w14:paraId="5466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076" w:type="dxa"/>
            <w:noWrap w:val="0"/>
            <w:vAlign w:val="center"/>
          </w:tcPr>
          <w:p w14:paraId="542FEDD5">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人造草坪材质</w:t>
            </w:r>
          </w:p>
        </w:tc>
        <w:tc>
          <w:tcPr>
            <w:tcW w:w="7041" w:type="dxa"/>
            <w:noWrap w:val="0"/>
            <w:vAlign w:val="center"/>
          </w:tcPr>
          <w:p w14:paraId="7E7AA5A0">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挤塑型</w:t>
            </w:r>
            <w:r>
              <w:rPr>
                <w:rFonts w:hint="eastAsia" w:asciiTheme="minorEastAsia" w:hAnsiTheme="minorEastAsia" w:eastAsiaTheme="minorEastAsia" w:cstheme="minorEastAsia"/>
                <w:color w:val="000000"/>
                <w:sz w:val="24"/>
                <w:szCs w:val="24"/>
                <w:lang w:val="en-US" w:eastAsia="zh-CN"/>
              </w:rPr>
              <w:t>单丝（PE）</w:t>
            </w:r>
          </w:p>
        </w:tc>
      </w:tr>
      <w:tr w14:paraId="4B4E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297C31B9">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人造草坪标线</w:t>
            </w:r>
            <w:r>
              <w:rPr>
                <w:rFonts w:hint="eastAsia" w:asciiTheme="minorEastAsia" w:hAnsiTheme="minorEastAsia" w:eastAsiaTheme="minorEastAsia" w:cstheme="minorEastAsia"/>
                <w:color w:val="000000"/>
                <w:sz w:val="24"/>
                <w:szCs w:val="24"/>
              </w:rPr>
              <w:t>基布</w:t>
            </w:r>
          </w:p>
        </w:tc>
        <w:tc>
          <w:tcPr>
            <w:tcW w:w="7041" w:type="dxa"/>
            <w:noWrap w:val="0"/>
            <w:vAlign w:val="center"/>
          </w:tcPr>
          <w:p w14:paraId="5D489A5E">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复合网格基布</w:t>
            </w:r>
          </w:p>
        </w:tc>
      </w:tr>
      <w:tr w14:paraId="5F8B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02F92BCD">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环保填充颗粒</w:t>
            </w:r>
          </w:p>
        </w:tc>
        <w:tc>
          <w:tcPr>
            <w:tcW w:w="7041" w:type="dxa"/>
            <w:noWrap w:val="0"/>
            <w:vAlign w:val="center"/>
          </w:tcPr>
          <w:p w14:paraId="083A2BCD">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TPE颗粒，按不低于6KG/m2填充</w:t>
            </w:r>
          </w:p>
        </w:tc>
      </w:tr>
      <w:tr w14:paraId="1DF3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7F7EA07A">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植草高度</w:t>
            </w:r>
          </w:p>
        </w:tc>
        <w:tc>
          <w:tcPr>
            <w:tcW w:w="7041" w:type="dxa"/>
            <w:noWrap w:val="0"/>
            <w:vAlign w:val="center"/>
          </w:tcPr>
          <w:p w14:paraId="1FF56DB0">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50mm </w:t>
            </w:r>
          </w:p>
        </w:tc>
      </w:tr>
      <w:tr w14:paraId="101D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4C744ACA">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石英砂</w:t>
            </w:r>
          </w:p>
        </w:tc>
        <w:tc>
          <w:tcPr>
            <w:tcW w:w="7041" w:type="dxa"/>
            <w:noWrap w:val="0"/>
            <w:vAlign w:val="center"/>
          </w:tcPr>
          <w:p w14:paraId="65784B39">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白色无粉尘、大小均匀、无尖锐菱角，按不低于30KG/m2填充</w:t>
            </w:r>
          </w:p>
        </w:tc>
      </w:tr>
      <w:tr w14:paraId="64FA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2CA51283">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人造草坪标线颜色</w:t>
            </w:r>
          </w:p>
        </w:tc>
        <w:tc>
          <w:tcPr>
            <w:tcW w:w="7041" w:type="dxa"/>
            <w:noWrap w:val="0"/>
            <w:vAlign w:val="center"/>
          </w:tcPr>
          <w:p w14:paraId="40534550">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白色成品人造草</w:t>
            </w:r>
          </w:p>
        </w:tc>
      </w:tr>
      <w:tr w14:paraId="6CEE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7F5C0D6E">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植草密度</w:t>
            </w:r>
          </w:p>
          <w:p w14:paraId="1FD47A87">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（簇密度）</w:t>
            </w:r>
          </w:p>
        </w:tc>
        <w:tc>
          <w:tcPr>
            <w:tcW w:w="7041" w:type="dxa"/>
            <w:noWrap w:val="0"/>
            <w:vAlign w:val="center"/>
          </w:tcPr>
          <w:p w14:paraId="4A7C2DC7">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r>
              <w:rPr>
                <w:rFonts w:hint="eastAsia" w:asciiTheme="minorEastAsia" w:hAnsiTheme="minorEastAsia" w:eastAsiaTheme="minorEastAsia" w:cstheme="minorEastAsia"/>
                <w:color w:val="000000"/>
                <w:sz w:val="24"/>
                <w:szCs w:val="24"/>
                <w:lang w:val="en-US" w:eastAsia="zh-CN"/>
              </w:rPr>
              <w:t>7</w:t>
            </w:r>
            <w:r>
              <w:rPr>
                <w:rFonts w:hint="eastAsia" w:asciiTheme="minorEastAsia" w:hAnsiTheme="minorEastAsia" w:eastAsiaTheme="minorEastAsia" w:cstheme="minorEastAsia"/>
                <w:color w:val="000000"/>
                <w:sz w:val="24"/>
                <w:szCs w:val="24"/>
              </w:rPr>
              <w:t>00针/ m2</w:t>
            </w:r>
          </w:p>
        </w:tc>
      </w:tr>
      <w:tr w14:paraId="7928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76" w:type="dxa"/>
            <w:noWrap w:val="0"/>
            <w:vAlign w:val="center"/>
          </w:tcPr>
          <w:p w14:paraId="51F200CC">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人造草坪颜色</w:t>
            </w:r>
          </w:p>
        </w:tc>
        <w:tc>
          <w:tcPr>
            <w:tcW w:w="7041" w:type="dxa"/>
            <w:noWrap w:val="0"/>
            <w:vAlign w:val="center"/>
          </w:tcPr>
          <w:p w14:paraId="6A639637">
            <w:pPr>
              <w:keepNext w:val="0"/>
              <w:keepLines w:val="0"/>
              <w:pageBreakBefore w:val="0"/>
              <w:widowControl w:val="0"/>
              <w:tabs>
                <w:tab w:val="left" w:pos="0"/>
                <w:tab w:val="left" w:pos="993"/>
                <w:tab w:val="left" w:pos="1134"/>
              </w:tabs>
              <w:kinsoku/>
              <w:wordWrap/>
              <w:overflowPunct/>
              <w:topLinePunct w:val="0"/>
              <w:autoSpaceDE/>
              <w:autoSpaceDN/>
              <w:bidi w:val="0"/>
              <w:adjustRightInd/>
              <w:snapToGrid/>
              <w:spacing w:line="360" w:lineRule="auto"/>
              <w:ind w:right="0" w:rightChars="0"/>
              <w:textAlignment w:val="auto"/>
              <w:outlineLvl w:val="9"/>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 xml:space="preserve">田园绿 </w:t>
            </w:r>
          </w:p>
        </w:tc>
      </w:tr>
    </w:tbl>
    <w:p w14:paraId="0F664D8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人造草面层成品中有害物质限量</w:t>
      </w:r>
      <w:r>
        <w:rPr>
          <w:rFonts w:hint="eastAsia" w:asciiTheme="minorEastAsia" w:hAnsiTheme="minorEastAsia" w:cstheme="minorEastAsia"/>
          <w:b/>
          <w:bCs/>
          <w:sz w:val="24"/>
          <w:szCs w:val="24"/>
          <w:lang w:val="en-US" w:eastAsia="zh-CN"/>
        </w:rPr>
        <w:t>最低</w:t>
      </w:r>
      <w:r>
        <w:rPr>
          <w:rFonts w:hint="eastAsia" w:asciiTheme="minorEastAsia" w:hAnsiTheme="minorEastAsia" w:eastAsiaTheme="minorEastAsia" w:cstheme="minorEastAsia"/>
          <w:b/>
          <w:color w:val="000000"/>
          <w:sz w:val="24"/>
          <w:szCs w:val="24"/>
        </w:rPr>
        <w:t>要求</w:t>
      </w:r>
    </w:p>
    <w:tbl>
      <w:tblPr>
        <w:tblStyle w:val="9"/>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6528"/>
        <w:gridCol w:w="1415"/>
      </w:tblGrid>
      <w:tr w14:paraId="08D1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735" w:type="dxa"/>
            <w:gridSpan w:val="2"/>
            <w:tcBorders>
              <w:top w:val="single" w:color="auto" w:sz="4" w:space="0"/>
              <w:left w:val="single" w:color="auto" w:sz="4" w:space="0"/>
              <w:bottom w:val="single" w:color="auto" w:sz="4" w:space="0"/>
              <w:right w:val="single" w:color="auto" w:sz="4" w:space="0"/>
            </w:tcBorders>
            <w:noWrap w:val="0"/>
            <w:vAlign w:val="center"/>
          </w:tcPr>
          <w:p w14:paraId="55FF9E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检  测  项  目</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29952D5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技术指标</w:t>
            </w:r>
          </w:p>
        </w:tc>
      </w:tr>
      <w:tr w14:paraId="373A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restart"/>
            <w:tcBorders>
              <w:top w:val="single" w:color="auto" w:sz="4" w:space="0"/>
              <w:left w:val="single" w:color="auto" w:sz="4" w:space="0"/>
              <w:right w:val="single" w:color="auto" w:sz="4" w:space="0"/>
            </w:tcBorders>
            <w:noWrap w:val="0"/>
            <w:vAlign w:val="center"/>
          </w:tcPr>
          <w:p w14:paraId="5629565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有害物质含量</w:t>
            </w:r>
          </w:p>
        </w:tc>
        <w:tc>
          <w:tcPr>
            <w:tcW w:w="6528" w:type="dxa"/>
            <w:tcBorders>
              <w:top w:val="single" w:color="auto" w:sz="4" w:space="0"/>
              <w:left w:val="single" w:color="auto" w:sz="4" w:space="0"/>
              <w:bottom w:val="single" w:color="auto" w:sz="4" w:space="0"/>
              <w:right w:val="single" w:color="auto" w:sz="4" w:space="0"/>
            </w:tcBorders>
            <w:noWrap w:val="0"/>
            <w:vAlign w:val="center"/>
          </w:tcPr>
          <w:p w14:paraId="6CC224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3种</w:t>
            </w:r>
            <w:r>
              <w:rPr>
                <w:rFonts w:hint="eastAsia" w:asciiTheme="minorEastAsia" w:hAnsiTheme="minorEastAsia" w:eastAsiaTheme="minorEastAsia" w:cstheme="minorEastAsia"/>
                <w:color w:val="000000"/>
                <w:sz w:val="24"/>
                <w:szCs w:val="24"/>
                <w:lang w:eastAsia="zh-CN"/>
              </w:rPr>
              <w:t>邻苯</w:t>
            </w:r>
            <w:r>
              <w:rPr>
                <w:rFonts w:hint="eastAsia" w:asciiTheme="minorEastAsia" w:hAnsiTheme="minorEastAsia" w:eastAsiaTheme="minorEastAsia" w:cstheme="minorEastAsia"/>
                <w:color w:val="000000"/>
                <w:sz w:val="24"/>
                <w:szCs w:val="24"/>
              </w:rPr>
              <w:t>二甲酸酯类化合物（DBP、BBP、DEHP）总和а/（g/kg）</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6C0470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6179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7923AE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57B9D0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3种</w:t>
            </w:r>
            <w:r>
              <w:rPr>
                <w:rFonts w:hint="eastAsia" w:asciiTheme="minorEastAsia" w:hAnsiTheme="minorEastAsia" w:eastAsiaTheme="minorEastAsia" w:cstheme="minorEastAsia"/>
                <w:color w:val="000000"/>
                <w:sz w:val="24"/>
                <w:szCs w:val="24"/>
                <w:lang w:eastAsia="zh-CN"/>
              </w:rPr>
              <w:t>邻苯</w:t>
            </w:r>
            <w:r>
              <w:rPr>
                <w:rFonts w:hint="eastAsia" w:asciiTheme="minorEastAsia" w:hAnsiTheme="minorEastAsia" w:eastAsiaTheme="minorEastAsia" w:cstheme="minorEastAsia"/>
                <w:color w:val="000000"/>
                <w:sz w:val="24"/>
                <w:szCs w:val="24"/>
              </w:rPr>
              <w:t>二甲酸酯类化合物（DNOP、DINP、DIDP）总和а/（g/kg）</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B2B60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0F8E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7" w:type="dxa"/>
            <w:vMerge w:val="continue"/>
            <w:tcBorders>
              <w:left w:val="single" w:color="auto" w:sz="4" w:space="0"/>
              <w:right w:val="single" w:color="auto" w:sz="4" w:space="0"/>
            </w:tcBorders>
            <w:noWrap w:val="0"/>
            <w:vAlign w:val="center"/>
          </w:tcPr>
          <w:p w14:paraId="22ECEE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right w:val="single" w:color="auto" w:sz="4" w:space="0"/>
            </w:tcBorders>
            <w:noWrap w:val="0"/>
            <w:vAlign w:val="center"/>
          </w:tcPr>
          <w:p w14:paraId="5423E2C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18种多环芳烃总和∕(mg/kg)</w:t>
            </w:r>
          </w:p>
        </w:tc>
        <w:tc>
          <w:tcPr>
            <w:tcW w:w="1415" w:type="dxa"/>
            <w:tcBorders>
              <w:top w:val="single" w:color="auto" w:sz="4" w:space="0"/>
              <w:left w:val="single" w:color="auto" w:sz="4" w:space="0"/>
              <w:right w:val="single" w:color="auto" w:sz="4" w:space="0"/>
            </w:tcBorders>
            <w:noWrap w:val="0"/>
            <w:vAlign w:val="top"/>
          </w:tcPr>
          <w:p w14:paraId="09D954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4FDC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207" w:type="dxa"/>
            <w:vMerge w:val="continue"/>
            <w:tcBorders>
              <w:left w:val="single" w:color="auto" w:sz="4" w:space="0"/>
              <w:right w:val="single" w:color="auto" w:sz="4" w:space="0"/>
            </w:tcBorders>
            <w:noWrap w:val="0"/>
            <w:vAlign w:val="center"/>
          </w:tcPr>
          <w:p w14:paraId="2E8D3B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5B907A1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苯并［a］芘∕(mg/kg)</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74E2A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r>
      <w:tr w14:paraId="57CB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1B9FA86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708E60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可溶性铅/(mg/kg)</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6BAA5D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5586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2A69FF7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43D1762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可溶性镉/(mg/kg)</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0B8C5F0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4256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0DC8672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276F1A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可溶性铬/(mg/kg)</w:t>
            </w:r>
          </w:p>
        </w:tc>
        <w:tc>
          <w:tcPr>
            <w:tcW w:w="1415" w:type="dxa"/>
            <w:tcBorders>
              <w:top w:val="single" w:color="auto" w:sz="4" w:space="0"/>
              <w:left w:val="single" w:color="auto" w:sz="4" w:space="0"/>
              <w:bottom w:val="single" w:color="auto" w:sz="4" w:space="0"/>
              <w:right w:val="single" w:color="auto" w:sz="4" w:space="0"/>
            </w:tcBorders>
            <w:noWrap w:val="0"/>
            <w:vAlign w:val="top"/>
          </w:tcPr>
          <w:p w14:paraId="35C996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6D2D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bottom w:val="single" w:color="auto" w:sz="4" w:space="0"/>
              <w:right w:val="single" w:color="auto" w:sz="4" w:space="0"/>
            </w:tcBorders>
            <w:noWrap w:val="0"/>
            <w:vAlign w:val="center"/>
          </w:tcPr>
          <w:p w14:paraId="24CE0D3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43C794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可溶性汞/(mg/kg)</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31CCD0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67F7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restart"/>
            <w:tcBorders>
              <w:top w:val="single" w:color="auto" w:sz="4" w:space="0"/>
              <w:left w:val="single" w:color="auto" w:sz="4" w:space="0"/>
              <w:right w:val="single" w:color="auto" w:sz="4" w:space="0"/>
            </w:tcBorders>
            <w:noWrap w:val="0"/>
            <w:vAlign w:val="center"/>
          </w:tcPr>
          <w:p w14:paraId="2518D1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有害物质释放量</w:t>
            </w:r>
          </w:p>
        </w:tc>
        <w:tc>
          <w:tcPr>
            <w:tcW w:w="6528" w:type="dxa"/>
            <w:tcBorders>
              <w:top w:val="single" w:color="auto" w:sz="4" w:space="0"/>
              <w:left w:val="single" w:color="auto" w:sz="4" w:space="0"/>
              <w:bottom w:val="single" w:color="auto" w:sz="4" w:space="0"/>
              <w:right w:val="single" w:color="auto" w:sz="4" w:space="0"/>
            </w:tcBorders>
            <w:noWrap w:val="0"/>
            <w:vAlign w:val="center"/>
          </w:tcPr>
          <w:p w14:paraId="0815CDF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总挥发性有机化合物（TVOC）（mg/（㎡·h））</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4B74BB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1289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03651D1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4FA5D5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甲醛/（mg/（㎡·h））</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5A840C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≤0.4</w:t>
            </w:r>
          </w:p>
        </w:tc>
      </w:tr>
      <w:tr w14:paraId="2BF9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7CC404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0D22E06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苯/（mg/（㎡·h））</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60F455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≤0.1</w:t>
            </w:r>
          </w:p>
        </w:tc>
      </w:tr>
      <w:tr w14:paraId="2A20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7" w:type="dxa"/>
            <w:vMerge w:val="continue"/>
            <w:tcBorders>
              <w:left w:val="single" w:color="auto" w:sz="4" w:space="0"/>
              <w:right w:val="single" w:color="auto" w:sz="4" w:space="0"/>
            </w:tcBorders>
            <w:noWrap w:val="0"/>
            <w:vAlign w:val="center"/>
          </w:tcPr>
          <w:p w14:paraId="64BD3D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6528" w:type="dxa"/>
            <w:tcBorders>
              <w:top w:val="single" w:color="auto" w:sz="4" w:space="0"/>
              <w:left w:val="single" w:color="auto" w:sz="4" w:space="0"/>
              <w:bottom w:val="single" w:color="auto" w:sz="4" w:space="0"/>
              <w:right w:val="single" w:color="auto" w:sz="4" w:space="0"/>
            </w:tcBorders>
            <w:noWrap w:val="0"/>
            <w:vAlign w:val="center"/>
          </w:tcPr>
          <w:p w14:paraId="454229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甲苯、二甲苯和乙苯总和/（mg/（㎡·h））</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5EA1D5F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bl>
    <w:p w14:paraId="6C7B2132">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人造草坪塑胶原料填充物中有害物质限量及气味</w:t>
      </w:r>
      <w:r>
        <w:rPr>
          <w:rFonts w:hint="eastAsia" w:asciiTheme="minorEastAsia" w:hAnsiTheme="minorEastAsia" w:cstheme="minorEastAsia"/>
          <w:b/>
          <w:bCs/>
          <w:sz w:val="24"/>
          <w:szCs w:val="24"/>
          <w:lang w:val="en-US" w:eastAsia="zh-CN"/>
        </w:rPr>
        <w:t>最低</w:t>
      </w:r>
      <w:r>
        <w:rPr>
          <w:rFonts w:hint="eastAsia" w:asciiTheme="minorEastAsia" w:hAnsiTheme="minorEastAsia" w:eastAsiaTheme="minorEastAsia" w:cstheme="minorEastAsia"/>
          <w:b/>
          <w:color w:val="000000"/>
          <w:sz w:val="24"/>
          <w:szCs w:val="24"/>
        </w:rPr>
        <w:t>要求</w:t>
      </w:r>
    </w:p>
    <w:tbl>
      <w:tblPr>
        <w:tblStyle w:val="9"/>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5040"/>
        <w:gridCol w:w="2344"/>
      </w:tblGrid>
      <w:tr w14:paraId="6B98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645" w:type="dxa"/>
            <w:gridSpan w:val="2"/>
            <w:tcBorders>
              <w:top w:val="single" w:color="auto" w:sz="4" w:space="0"/>
              <w:left w:val="single" w:color="auto" w:sz="4" w:space="0"/>
              <w:bottom w:val="single" w:color="auto" w:sz="4" w:space="0"/>
              <w:right w:val="single" w:color="auto" w:sz="4" w:space="0"/>
            </w:tcBorders>
            <w:noWrap w:val="0"/>
            <w:vAlign w:val="center"/>
          </w:tcPr>
          <w:p w14:paraId="4962F7D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检  测  项  目</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6DFF862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技术指标</w:t>
            </w:r>
          </w:p>
        </w:tc>
      </w:tr>
      <w:tr w14:paraId="2618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05" w:type="dxa"/>
            <w:vMerge w:val="restart"/>
            <w:tcBorders>
              <w:left w:val="single" w:color="auto" w:sz="4" w:space="0"/>
              <w:right w:val="single" w:color="auto" w:sz="4" w:space="0"/>
            </w:tcBorders>
            <w:noWrap w:val="0"/>
            <w:vAlign w:val="center"/>
          </w:tcPr>
          <w:p w14:paraId="5CB969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有害物质含量</w:t>
            </w:r>
          </w:p>
        </w:tc>
        <w:tc>
          <w:tcPr>
            <w:tcW w:w="5040" w:type="dxa"/>
            <w:vMerge w:val="restart"/>
            <w:tcBorders>
              <w:top w:val="single" w:color="auto" w:sz="4" w:space="0"/>
              <w:left w:val="single" w:color="auto" w:sz="4" w:space="0"/>
              <w:right w:val="single" w:color="auto" w:sz="4" w:space="0"/>
            </w:tcBorders>
            <w:noWrap w:val="0"/>
            <w:vAlign w:val="center"/>
          </w:tcPr>
          <w:p w14:paraId="5AC1408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18种多环芳烃总和∕(mg/kg)</w:t>
            </w:r>
          </w:p>
        </w:tc>
        <w:tc>
          <w:tcPr>
            <w:tcW w:w="2344" w:type="dxa"/>
            <w:tcBorders>
              <w:top w:val="single" w:color="auto" w:sz="4" w:space="0"/>
              <w:left w:val="single" w:color="auto" w:sz="4" w:space="0"/>
              <w:bottom w:val="single" w:color="auto" w:sz="4" w:space="0"/>
              <w:right w:val="single" w:color="auto" w:sz="4" w:space="0"/>
            </w:tcBorders>
            <w:noWrap w:val="0"/>
            <w:vAlign w:val="top"/>
          </w:tcPr>
          <w:p w14:paraId="2024BF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2034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605" w:type="dxa"/>
            <w:vMerge w:val="continue"/>
            <w:tcBorders>
              <w:left w:val="single" w:color="auto" w:sz="4" w:space="0"/>
              <w:right w:val="single" w:color="auto" w:sz="4" w:space="0"/>
            </w:tcBorders>
            <w:noWrap w:val="0"/>
            <w:vAlign w:val="center"/>
          </w:tcPr>
          <w:p w14:paraId="4B8C45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5040" w:type="dxa"/>
            <w:vMerge w:val="continue"/>
            <w:tcBorders>
              <w:left w:val="single" w:color="auto" w:sz="4" w:space="0"/>
              <w:bottom w:val="single" w:color="auto" w:sz="4" w:space="0"/>
              <w:right w:val="single" w:color="auto" w:sz="4" w:space="0"/>
            </w:tcBorders>
            <w:noWrap w:val="0"/>
            <w:vAlign w:val="center"/>
          </w:tcPr>
          <w:p w14:paraId="54CF265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2344" w:type="dxa"/>
            <w:tcBorders>
              <w:top w:val="single" w:color="auto" w:sz="4" w:space="0"/>
              <w:left w:val="single" w:color="auto" w:sz="4" w:space="0"/>
              <w:bottom w:val="single" w:color="auto" w:sz="4" w:space="0"/>
              <w:right w:val="single" w:color="auto" w:sz="4" w:space="0"/>
            </w:tcBorders>
            <w:noWrap w:val="0"/>
            <w:vAlign w:val="top"/>
          </w:tcPr>
          <w:p w14:paraId="3EB272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1D02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5" w:type="dxa"/>
            <w:vMerge w:val="continue"/>
            <w:tcBorders>
              <w:left w:val="single" w:color="auto" w:sz="4" w:space="0"/>
              <w:right w:val="single" w:color="auto" w:sz="4" w:space="0"/>
            </w:tcBorders>
            <w:noWrap w:val="0"/>
            <w:vAlign w:val="center"/>
          </w:tcPr>
          <w:p w14:paraId="506CAE6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5FBBA1C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苯并［a］芘∕(mg/kg)</w:t>
            </w:r>
          </w:p>
        </w:tc>
        <w:tc>
          <w:tcPr>
            <w:tcW w:w="2344" w:type="dxa"/>
            <w:tcBorders>
              <w:top w:val="single" w:color="auto" w:sz="4" w:space="0"/>
              <w:left w:val="single" w:color="auto" w:sz="4" w:space="0"/>
              <w:bottom w:val="single" w:color="auto" w:sz="4" w:space="0"/>
              <w:right w:val="single" w:color="auto" w:sz="4" w:space="0"/>
            </w:tcBorders>
            <w:noWrap w:val="0"/>
            <w:vAlign w:val="top"/>
          </w:tcPr>
          <w:p w14:paraId="33CC969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r>
      <w:tr w14:paraId="11F0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5" w:type="dxa"/>
            <w:vMerge w:val="continue"/>
            <w:tcBorders>
              <w:left w:val="single" w:color="auto" w:sz="4" w:space="0"/>
              <w:right w:val="single" w:color="auto" w:sz="4" w:space="0"/>
            </w:tcBorders>
            <w:noWrap w:val="0"/>
            <w:vAlign w:val="center"/>
          </w:tcPr>
          <w:p w14:paraId="5F321E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28811EA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可溶性铅/(mg/kg)</w:t>
            </w:r>
          </w:p>
        </w:tc>
        <w:tc>
          <w:tcPr>
            <w:tcW w:w="2344" w:type="dxa"/>
            <w:tcBorders>
              <w:top w:val="single" w:color="auto" w:sz="4" w:space="0"/>
              <w:left w:val="single" w:color="auto" w:sz="4" w:space="0"/>
              <w:bottom w:val="single" w:color="auto" w:sz="4" w:space="0"/>
              <w:right w:val="single" w:color="auto" w:sz="4" w:space="0"/>
            </w:tcBorders>
            <w:noWrap w:val="0"/>
            <w:vAlign w:val="top"/>
          </w:tcPr>
          <w:p w14:paraId="7CF041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p>
        </w:tc>
      </w:tr>
      <w:tr w14:paraId="6537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5" w:type="dxa"/>
            <w:vMerge w:val="continue"/>
            <w:tcBorders>
              <w:left w:val="single" w:color="auto" w:sz="4" w:space="0"/>
              <w:right w:val="single" w:color="auto" w:sz="4" w:space="0"/>
            </w:tcBorders>
            <w:noWrap w:val="0"/>
            <w:vAlign w:val="center"/>
          </w:tcPr>
          <w:p w14:paraId="79B7F6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37C82C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可溶性镉/(mg/kg)</w:t>
            </w:r>
          </w:p>
        </w:tc>
        <w:tc>
          <w:tcPr>
            <w:tcW w:w="2344" w:type="dxa"/>
            <w:tcBorders>
              <w:top w:val="single" w:color="auto" w:sz="4" w:space="0"/>
              <w:left w:val="single" w:color="auto" w:sz="4" w:space="0"/>
              <w:bottom w:val="single" w:color="auto" w:sz="4" w:space="0"/>
              <w:right w:val="single" w:color="auto" w:sz="4" w:space="0"/>
            </w:tcBorders>
            <w:noWrap w:val="0"/>
            <w:vAlign w:val="top"/>
          </w:tcPr>
          <w:p w14:paraId="0F9E32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3EBC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5" w:type="dxa"/>
            <w:vMerge w:val="continue"/>
            <w:tcBorders>
              <w:left w:val="single" w:color="auto" w:sz="4" w:space="0"/>
              <w:right w:val="single" w:color="auto" w:sz="4" w:space="0"/>
            </w:tcBorders>
            <w:noWrap w:val="0"/>
            <w:vAlign w:val="center"/>
          </w:tcPr>
          <w:p w14:paraId="0034B8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2F19A5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可溶性铬/(mg/kg)</w:t>
            </w:r>
          </w:p>
        </w:tc>
        <w:tc>
          <w:tcPr>
            <w:tcW w:w="2344" w:type="dxa"/>
            <w:tcBorders>
              <w:top w:val="single" w:color="auto" w:sz="4" w:space="0"/>
              <w:left w:val="single" w:color="auto" w:sz="4" w:space="0"/>
              <w:bottom w:val="single" w:color="auto" w:sz="4" w:space="0"/>
              <w:right w:val="single" w:color="auto" w:sz="4" w:space="0"/>
            </w:tcBorders>
            <w:noWrap w:val="0"/>
            <w:vAlign w:val="top"/>
          </w:tcPr>
          <w:p w14:paraId="2CBE326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r>
      <w:tr w14:paraId="4667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5" w:type="dxa"/>
            <w:vMerge w:val="continue"/>
            <w:tcBorders>
              <w:left w:val="single" w:color="auto" w:sz="4" w:space="0"/>
              <w:bottom w:val="single" w:color="auto" w:sz="4" w:space="0"/>
              <w:right w:val="single" w:color="auto" w:sz="4" w:space="0"/>
            </w:tcBorders>
            <w:noWrap w:val="0"/>
            <w:vAlign w:val="center"/>
          </w:tcPr>
          <w:p w14:paraId="12DFED5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p>
        </w:tc>
        <w:tc>
          <w:tcPr>
            <w:tcW w:w="5040" w:type="dxa"/>
            <w:tcBorders>
              <w:top w:val="single" w:color="auto" w:sz="4" w:space="0"/>
              <w:left w:val="single" w:color="auto" w:sz="4" w:space="0"/>
              <w:bottom w:val="single" w:color="auto" w:sz="4" w:space="0"/>
              <w:right w:val="single" w:color="auto" w:sz="4" w:space="0"/>
            </w:tcBorders>
            <w:noWrap w:val="0"/>
            <w:vAlign w:val="center"/>
          </w:tcPr>
          <w:p w14:paraId="4EFDDE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可溶性汞/(mg/kg)</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6E29243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≤2.0</w:t>
            </w:r>
          </w:p>
        </w:tc>
      </w:tr>
      <w:tr w14:paraId="014B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05" w:type="dxa"/>
            <w:tcBorders>
              <w:top w:val="single" w:color="auto" w:sz="4" w:space="0"/>
              <w:left w:val="single" w:color="auto" w:sz="4" w:space="0"/>
              <w:bottom w:val="single" w:color="auto" w:sz="4" w:space="0"/>
              <w:right w:val="single" w:color="auto" w:sz="4" w:space="0"/>
            </w:tcBorders>
            <w:noWrap w:val="0"/>
            <w:vAlign w:val="center"/>
          </w:tcPr>
          <w:p w14:paraId="06D542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气味</w:t>
            </w:r>
          </w:p>
        </w:tc>
        <w:tc>
          <w:tcPr>
            <w:tcW w:w="5040" w:type="dxa"/>
            <w:tcBorders>
              <w:top w:val="single" w:color="auto" w:sz="4" w:space="0"/>
              <w:left w:val="single" w:color="auto" w:sz="4" w:space="0"/>
              <w:bottom w:val="single" w:color="auto" w:sz="4" w:space="0"/>
              <w:right w:val="single" w:color="auto" w:sz="4" w:space="0"/>
            </w:tcBorders>
            <w:noWrap w:val="0"/>
            <w:vAlign w:val="center"/>
          </w:tcPr>
          <w:p w14:paraId="65A3D0A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气味等级/级</w:t>
            </w:r>
          </w:p>
        </w:tc>
        <w:tc>
          <w:tcPr>
            <w:tcW w:w="2344" w:type="dxa"/>
            <w:tcBorders>
              <w:top w:val="single" w:color="auto" w:sz="4" w:space="0"/>
              <w:left w:val="single" w:color="auto" w:sz="4" w:space="0"/>
              <w:bottom w:val="single" w:color="auto" w:sz="4" w:space="0"/>
              <w:right w:val="single" w:color="auto" w:sz="4" w:space="0"/>
            </w:tcBorders>
            <w:noWrap w:val="0"/>
            <w:vAlign w:val="center"/>
          </w:tcPr>
          <w:p w14:paraId="4D466E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r>
    </w:tbl>
    <w:p w14:paraId="0DB77BE6">
      <w:pPr>
        <w:pStyle w:val="8"/>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人造草技术其他要求：</w:t>
      </w:r>
    </w:p>
    <w:p w14:paraId="7BCB0109">
      <w:pPr>
        <w:pStyle w:val="7"/>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kern w:val="2"/>
          <w:sz w:val="24"/>
          <w:szCs w:val="24"/>
          <w:lang w:val="en-US" w:eastAsia="zh-CN" w:bidi="ar-SA"/>
        </w:rPr>
        <w:t>①人造草坪需满足GB36246-2018</w:t>
      </w:r>
      <w:r>
        <w:rPr>
          <w:rFonts w:hint="eastAsia" w:asciiTheme="minorEastAsia" w:hAnsiTheme="minorEastAsia" w:eastAsiaTheme="minorEastAsia" w:cstheme="minorEastAsia"/>
          <w:b w:val="0"/>
          <w:bCs/>
          <w:i w:val="0"/>
          <w:iCs/>
          <w:color w:val="000000"/>
          <w:sz w:val="24"/>
          <w:szCs w:val="24"/>
          <w:lang w:val="en-US" w:eastAsia="zh-CN"/>
        </w:rPr>
        <w:t>《中小学合成材料面层运动场地》</w:t>
      </w:r>
      <w:r>
        <w:rPr>
          <w:rFonts w:hint="eastAsia" w:asciiTheme="minorEastAsia" w:hAnsiTheme="minorEastAsia" w:eastAsiaTheme="minorEastAsia" w:cstheme="minorEastAsia"/>
          <w:b w:val="0"/>
          <w:bCs w:val="0"/>
          <w:color w:val="000000"/>
          <w:kern w:val="2"/>
          <w:sz w:val="24"/>
          <w:szCs w:val="24"/>
          <w:lang w:val="en-US" w:eastAsia="zh-CN" w:bidi="ar-SA"/>
        </w:rPr>
        <w:t>标准中物理机械性能、耐老化、有害物质含量、有害物质释放量的检测要求；</w:t>
      </w:r>
    </w:p>
    <w:p w14:paraId="55EB3D4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color w:val="000000"/>
          <w:kern w:val="2"/>
          <w:sz w:val="24"/>
          <w:szCs w:val="24"/>
          <w:lang w:val="en-US" w:eastAsia="zh-CN" w:bidi="ar-SA"/>
        </w:rPr>
        <w:t>②人造草坪需满足GB/T20394-2019《体育用人造草》标准中的重金属含量、有害物质释放限量检测要求；</w:t>
      </w:r>
    </w:p>
    <w:p w14:paraId="50BFF452">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color w:val="000000"/>
          <w:kern w:val="2"/>
          <w:sz w:val="24"/>
          <w:szCs w:val="24"/>
          <w:lang w:val="en-US" w:eastAsia="zh-CN" w:bidi="ar-SA"/>
        </w:rPr>
        <w:t>③人造草坪产品依据GB/T20394-2019《体育用人造草》标准方法；</w:t>
      </w:r>
    </w:p>
    <w:p w14:paraId="2C070B42">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color w:val="000000"/>
          <w:kern w:val="2"/>
          <w:sz w:val="24"/>
          <w:szCs w:val="24"/>
          <w:lang w:val="en-US" w:eastAsia="zh-CN" w:bidi="ar-SA"/>
        </w:rPr>
        <w:t>④人造草坪系统（人造草坪、双组分聚氨酯胶黏剂、草坪填充颗粒、弹性垫层）分别依据GB21027-2020《学生用品的安全通用要求》判定标准。</w:t>
      </w:r>
    </w:p>
    <w:p w14:paraId="6C1B4C79">
      <w:pPr>
        <w:pStyle w:val="6"/>
        <w:keepNext w:val="0"/>
        <w:keepLines w:val="0"/>
        <w:pageBreakBefore w:val="0"/>
        <w:widowControl/>
        <w:kinsoku/>
        <w:wordWrap/>
        <w:overflowPunct/>
        <w:topLinePunct w:val="0"/>
        <w:autoSpaceDE/>
        <w:autoSpaceDN/>
        <w:bidi w:val="0"/>
        <w:adjustRightInd/>
        <w:snapToGrid/>
        <w:spacing w:line="360" w:lineRule="auto"/>
        <w:ind w:left="0" w:firstLine="480"/>
        <w:textAlignment w:val="auto"/>
        <w:rPr>
          <w:rFonts w:hint="default" w:asciiTheme="minorEastAsia" w:hAnsiTheme="minorEastAsia" w:eastAsiaTheme="minorEastAsia" w:cstheme="minorEastAsia"/>
          <w:b/>
          <w:i w:val="0"/>
          <w:iCs/>
          <w:color w:val="000000"/>
          <w:sz w:val="24"/>
          <w:szCs w:val="24"/>
          <w:lang w:val="en-US" w:eastAsia="zh-CN"/>
        </w:rPr>
      </w:pPr>
      <w:r>
        <w:rPr>
          <w:rFonts w:hint="eastAsia" w:asciiTheme="minorEastAsia" w:hAnsiTheme="minorEastAsia" w:cstheme="minorEastAsia"/>
          <w:b/>
          <w:i w:val="0"/>
          <w:iCs/>
          <w:color w:val="000000"/>
          <w:sz w:val="24"/>
          <w:szCs w:val="24"/>
          <w:lang w:val="en-US" w:eastAsia="zh-CN"/>
        </w:rPr>
        <w:t>3.相当于或优于以下品牌</w:t>
      </w:r>
    </w:p>
    <w:tbl>
      <w:tblPr>
        <w:tblStyle w:val="9"/>
        <w:tblW w:w="9175" w:type="dxa"/>
        <w:jc w:val="center"/>
        <w:tblLayout w:type="fixed"/>
        <w:tblCellMar>
          <w:top w:w="0" w:type="dxa"/>
          <w:left w:w="108" w:type="dxa"/>
          <w:bottom w:w="0" w:type="dxa"/>
          <w:right w:w="108" w:type="dxa"/>
        </w:tblCellMar>
      </w:tblPr>
      <w:tblGrid>
        <w:gridCol w:w="675"/>
        <w:gridCol w:w="2149"/>
        <w:gridCol w:w="1323"/>
        <w:gridCol w:w="1323"/>
        <w:gridCol w:w="1323"/>
        <w:gridCol w:w="1323"/>
        <w:gridCol w:w="1059"/>
      </w:tblGrid>
      <w:tr w14:paraId="38F8D4BC">
        <w:tblPrEx>
          <w:tblCellMar>
            <w:top w:w="0" w:type="dxa"/>
            <w:left w:w="108" w:type="dxa"/>
            <w:bottom w:w="0" w:type="dxa"/>
            <w:right w:w="108" w:type="dxa"/>
          </w:tblCellMar>
        </w:tblPrEx>
        <w:trPr>
          <w:trHeight w:val="463"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083DB3B">
            <w:pPr>
              <w:keepNext w:val="0"/>
              <w:keepLines w:val="0"/>
              <w:pageBreakBefore w:val="0"/>
              <w:widowControl/>
              <w:kinsoku/>
              <w:wordWrap/>
              <w:overflowPunct/>
              <w:topLinePunct w:val="0"/>
              <w:autoSpaceDE/>
              <w:autoSpaceDN/>
              <w:bidi w:val="0"/>
              <w:adjustRightInd/>
              <w:snapToGrid/>
              <w:spacing w:line="360" w:lineRule="auto"/>
              <w:ind w:left="0"/>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序号</w:t>
            </w:r>
          </w:p>
        </w:tc>
        <w:tc>
          <w:tcPr>
            <w:tcW w:w="2149" w:type="dxa"/>
            <w:tcBorders>
              <w:top w:val="single" w:color="auto" w:sz="4" w:space="0"/>
              <w:left w:val="nil"/>
              <w:bottom w:val="single" w:color="auto" w:sz="4" w:space="0"/>
              <w:right w:val="single" w:color="auto" w:sz="4" w:space="0"/>
            </w:tcBorders>
            <w:noWrap w:val="0"/>
            <w:vAlign w:val="center"/>
          </w:tcPr>
          <w:p w14:paraId="3474F5DD">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材料、设备名称</w:t>
            </w:r>
          </w:p>
        </w:tc>
        <w:tc>
          <w:tcPr>
            <w:tcW w:w="1323" w:type="dxa"/>
            <w:tcBorders>
              <w:top w:val="single" w:color="auto" w:sz="4" w:space="0"/>
              <w:left w:val="nil"/>
              <w:bottom w:val="single" w:color="auto" w:sz="4" w:space="0"/>
              <w:right w:val="single" w:color="auto" w:sz="4" w:space="0"/>
            </w:tcBorders>
            <w:noWrap w:val="0"/>
            <w:vAlign w:val="center"/>
          </w:tcPr>
          <w:p w14:paraId="412C1207">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品牌1</w:t>
            </w:r>
          </w:p>
        </w:tc>
        <w:tc>
          <w:tcPr>
            <w:tcW w:w="1323" w:type="dxa"/>
            <w:tcBorders>
              <w:top w:val="single" w:color="auto" w:sz="4" w:space="0"/>
              <w:left w:val="nil"/>
              <w:bottom w:val="single" w:color="auto" w:sz="4" w:space="0"/>
              <w:right w:val="single" w:color="auto" w:sz="4" w:space="0"/>
            </w:tcBorders>
            <w:noWrap w:val="0"/>
            <w:vAlign w:val="center"/>
          </w:tcPr>
          <w:p w14:paraId="260B51A4">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品牌2</w:t>
            </w:r>
          </w:p>
        </w:tc>
        <w:tc>
          <w:tcPr>
            <w:tcW w:w="1323" w:type="dxa"/>
            <w:tcBorders>
              <w:top w:val="single" w:color="auto" w:sz="4" w:space="0"/>
              <w:left w:val="nil"/>
              <w:bottom w:val="single" w:color="auto" w:sz="4" w:space="0"/>
              <w:right w:val="single" w:color="auto" w:sz="4" w:space="0"/>
            </w:tcBorders>
            <w:noWrap w:val="0"/>
            <w:vAlign w:val="center"/>
          </w:tcPr>
          <w:p w14:paraId="3E40B669">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品牌3</w:t>
            </w:r>
          </w:p>
        </w:tc>
        <w:tc>
          <w:tcPr>
            <w:tcW w:w="1323" w:type="dxa"/>
            <w:tcBorders>
              <w:top w:val="single" w:color="auto" w:sz="4" w:space="0"/>
              <w:left w:val="nil"/>
              <w:bottom w:val="single" w:color="auto" w:sz="4" w:space="0"/>
              <w:right w:val="single" w:color="auto" w:sz="4" w:space="0"/>
            </w:tcBorders>
            <w:noWrap w:val="0"/>
            <w:vAlign w:val="center"/>
          </w:tcPr>
          <w:p w14:paraId="2F04603F">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品牌4</w:t>
            </w:r>
          </w:p>
        </w:tc>
        <w:tc>
          <w:tcPr>
            <w:tcW w:w="1059" w:type="dxa"/>
            <w:tcBorders>
              <w:top w:val="single" w:color="auto" w:sz="4" w:space="0"/>
              <w:left w:val="nil"/>
              <w:bottom w:val="single" w:color="auto" w:sz="4" w:space="0"/>
              <w:right w:val="single" w:color="auto" w:sz="4" w:space="0"/>
            </w:tcBorders>
            <w:noWrap w:val="0"/>
            <w:vAlign w:val="center"/>
          </w:tcPr>
          <w:p w14:paraId="225AB0AB">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b/>
                <w:bCs/>
                <w:color w:val="auto"/>
                <w:kern w:val="0"/>
                <w:sz w:val="24"/>
                <w:szCs w:val="24"/>
              </w:rPr>
            </w:pPr>
            <w:r>
              <w:rPr>
                <w:rFonts w:hint="eastAsia" w:asciiTheme="minorEastAsia" w:hAnsiTheme="minorEastAsia" w:eastAsiaTheme="minorEastAsia" w:cstheme="minorEastAsia"/>
                <w:b/>
                <w:bCs/>
                <w:color w:val="auto"/>
                <w:kern w:val="0"/>
                <w:sz w:val="24"/>
                <w:szCs w:val="24"/>
              </w:rPr>
              <w:t>备注</w:t>
            </w:r>
          </w:p>
        </w:tc>
      </w:tr>
      <w:tr w14:paraId="699FD977">
        <w:tblPrEx>
          <w:tblCellMar>
            <w:top w:w="0" w:type="dxa"/>
            <w:left w:w="108" w:type="dxa"/>
            <w:bottom w:w="0" w:type="dxa"/>
            <w:right w:w="108" w:type="dxa"/>
          </w:tblCellMar>
        </w:tblPrEx>
        <w:trPr>
          <w:trHeight w:val="487" w:hRule="atLeast"/>
          <w:jc w:val="center"/>
        </w:trPr>
        <w:tc>
          <w:tcPr>
            <w:tcW w:w="675" w:type="dxa"/>
            <w:tcBorders>
              <w:top w:val="nil"/>
              <w:left w:val="single" w:color="auto" w:sz="4" w:space="0"/>
              <w:bottom w:val="single" w:color="auto" w:sz="4" w:space="0"/>
              <w:right w:val="single" w:color="auto" w:sz="4" w:space="0"/>
            </w:tcBorders>
            <w:noWrap w:val="0"/>
            <w:vAlign w:val="center"/>
          </w:tcPr>
          <w:p w14:paraId="018FF397">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w:t>
            </w:r>
          </w:p>
        </w:tc>
        <w:tc>
          <w:tcPr>
            <w:tcW w:w="2149" w:type="dxa"/>
            <w:tcBorders>
              <w:top w:val="nil"/>
              <w:left w:val="nil"/>
              <w:bottom w:val="single" w:color="auto" w:sz="4" w:space="0"/>
              <w:right w:val="single" w:color="auto" w:sz="4" w:space="0"/>
            </w:tcBorders>
            <w:noWrap w:val="0"/>
            <w:vAlign w:val="center"/>
          </w:tcPr>
          <w:p w14:paraId="01A151A9">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自结纹跑道</w:t>
            </w:r>
          </w:p>
        </w:tc>
        <w:tc>
          <w:tcPr>
            <w:tcW w:w="1323" w:type="dxa"/>
            <w:tcBorders>
              <w:top w:val="single" w:color="auto" w:sz="4" w:space="0"/>
              <w:left w:val="nil"/>
              <w:bottom w:val="single" w:color="auto" w:sz="4" w:space="0"/>
              <w:right w:val="single" w:color="auto" w:sz="4" w:space="0"/>
            </w:tcBorders>
            <w:noWrap w:val="0"/>
            <w:vAlign w:val="center"/>
          </w:tcPr>
          <w:p w14:paraId="6CE612F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长河</w:t>
            </w:r>
          </w:p>
        </w:tc>
        <w:tc>
          <w:tcPr>
            <w:tcW w:w="1323" w:type="dxa"/>
            <w:tcBorders>
              <w:top w:val="single" w:color="auto" w:sz="4" w:space="0"/>
              <w:left w:val="nil"/>
              <w:bottom w:val="single" w:color="auto" w:sz="4" w:space="0"/>
              <w:right w:val="single" w:color="auto" w:sz="4" w:space="0"/>
            </w:tcBorders>
            <w:noWrap w:val="0"/>
            <w:vAlign w:val="center"/>
          </w:tcPr>
          <w:p w14:paraId="201A5589">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长诺</w:t>
            </w:r>
          </w:p>
        </w:tc>
        <w:tc>
          <w:tcPr>
            <w:tcW w:w="1323" w:type="dxa"/>
            <w:tcBorders>
              <w:top w:val="single" w:color="auto" w:sz="4" w:space="0"/>
              <w:left w:val="nil"/>
              <w:bottom w:val="single" w:color="auto" w:sz="4" w:space="0"/>
              <w:right w:val="single" w:color="auto" w:sz="4" w:space="0"/>
            </w:tcBorders>
            <w:noWrap w:val="0"/>
            <w:vAlign w:val="center"/>
          </w:tcPr>
          <w:p w14:paraId="3CE428A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柏胜</w:t>
            </w:r>
          </w:p>
        </w:tc>
        <w:tc>
          <w:tcPr>
            <w:tcW w:w="1323" w:type="dxa"/>
            <w:tcBorders>
              <w:top w:val="single" w:color="auto" w:sz="4" w:space="0"/>
              <w:left w:val="nil"/>
              <w:bottom w:val="single" w:color="auto" w:sz="4" w:space="0"/>
              <w:right w:val="single" w:color="auto" w:sz="4" w:space="0"/>
            </w:tcBorders>
            <w:noWrap w:val="0"/>
            <w:vAlign w:val="center"/>
          </w:tcPr>
          <w:p w14:paraId="279F7B2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格林斯柏</w:t>
            </w:r>
          </w:p>
        </w:tc>
        <w:tc>
          <w:tcPr>
            <w:tcW w:w="1059" w:type="dxa"/>
            <w:tcBorders>
              <w:top w:val="nil"/>
              <w:left w:val="nil"/>
              <w:bottom w:val="single" w:color="auto" w:sz="4" w:space="0"/>
              <w:right w:val="single" w:color="auto" w:sz="4" w:space="0"/>
            </w:tcBorders>
            <w:noWrap w:val="0"/>
            <w:vAlign w:val="center"/>
          </w:tcPr>
          <w:p w14:paraId="590E3370">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绣林</w:t>
            </w:r>
          </w:p>
        </w:tc>
      </w:tr>
      <w:tr w14:paraId="7BB46F1C">
        <w:tblPrEx>
          <w:tblCellMar>
            <w:top w:w="0" w:type="dxa"/>
            <w:left w:w="108" w:type="dxa"/>
            <w:bottom w:w="0" w:type="dxa"/>
            <w:right w:w="108" w:type="dxa"/>
          </w:tblCellMar>
        </w:tblPrEx>
        <w:trPr>
          <w:trHeight w:val="487"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8D8B63F">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w:t>
            </w:r>
          </w:p>
        </w:tc>
        <w:tc>
          <w:tcPr>
            <w:tcW w:w="2149" w:type="dxa"/>
            <w:tcBorders>
              <w:top w:val="single" w:color="auto" w:sz="4" w:space="0"/>
              <w:left w:val="nil"/>
              <w:bottom w:val="single" w:color="auto" w:sz="4" w:space="0"/>
              <w:right w:val="single" w:color="auto" w:sz="4" w:space="0"/>
            </w:tcBorders>
            <w:noWrap w:val="0"/>
            <w:vAlign w:val="center"/>
          </w:tcPr>
          <w:p w14:paraId="0D07E966">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人造草</w:t>
            </w:r>
          </w:p>
        </w:tc>
        <w:tc>
          <w:tcPr>
            <w:tcW w:w="1323" w:type="dxa"/>
            <w:tcBorders>
              <w:top w:val="single" w:color="auto" w:sz="4" w:space="0"/>
              <w:left w:val="nil"/>
              <w:bottom w:val="single" w:color="auto" w:sz="4" w:space="0"/>
              <w:right w:val="single" w:color="auto" w:sz="4" w:space="0"/>
            </w:tcBorders>
            <w:noWrap w:val="0"/>
            <w:vAlign w:val="center"/>
          </w:tcPr>
          <w:p w14:paraId="0FF4417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爱奇</w:t>
            </w:r>
          </w:p>
        </w:tc>
        <w:tc>
          <w:tcPr>
            <w:tcW w:w="1323" w:type="dxa"/>
            <w:tcBorders>
              <w:top w:val="single" w:color="auto" w:sz="4" w:space="0"/>
              <w:left w:val="nil"/>
              <w:bottom w:val="single" w:color="auto" w:sz="4" w:space="0"/>
              <w:right w:val="single" w:color="auto" w:sz="4" w:space="0"/>
            </w:tcBorders>
            <w:noWrap w:val="0"/>
            <w:vAlign w:val="center"/>
          </w:tcPr>
          <w:p w14:paraId="02CA9CF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火炬</w:t>
            </w:r>
          </w:p>
        </w:tc>
        <w:tc>
          <w:tcPr>
            <w:tcW w:w="1323" w:type="dxa"/>
            <w:tcBorders>
              <w:top w:val="single" w:color="auto" w:sz="4" w:space="0"/>
              <w:left w:val="nil"/>
              <w:bottom w:val="single" w:color="auto" w:sz="4" w:space="0"/>
              <w:right w:val="single" w:color="auto" w:sz="4" w:space="0"/>
            </w:tcBorders>
            <w:noWrap w:val="0"/>
            <w:vAlign w:val="center"/>
          </w:tcPr>
          <w:p w14:paraId="329037ED">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联创</w:t>
            </w:r>
          </w:p>
        </w:tc>
        <w:tc>
          <w:tcPr>
            <w:tcW w:w="1323" w:type="dxa"/>
            <w:tcBorders>
              <w:top w:val="single" w:color="auto" w:sz="4" w:space="0"/>
              <w:left w:val="nil"/>
              <w:bottom w:val="single" w:color="auto" w:sz="4" w:space="0"/>
              <w:right w:val="single" w:color="auto" w:sz="4" w:space="0"/>
            </w:tcBorders>
            <w:noWrap w:val="0"/>
            <w:vAlign w:val="center"/>
          </w:tcPr>
          <w:p w14:paraId="39D8C17F">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泰山</w:t>
            </w:r>
          </w:p>
        </w:tc>
        <w:tc>
          <w:tcPr>
            <w:tcW w:w="1059" w:type="dxa"/>
            <w:tcBorders>
              <w:top w:val="single" w:color="auto" w:sz="4" w:space="0"/>
              <w:left w:val="nil"/>
              <w:bottom w:val="single" w:color="auto" w:sz="4" w:space="0"/>
              <w:right w:val="single" w:color="auto" w:sz="4" w:space="0"/>
            </w:tcBorders>
            <w:noWrap w:val="0"/>
            <w:vAlign w:val="center"/>
          </w:tcPr>
          <w:p w14:paraId="6F4A54DB">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lang w:val="en-US" w:eastAsia="zh-CN"/>
              </w:rPr>
              <w:t>共创</w:t>
            </w:r>
          </w:p>
        </w:tc>
      </w:tr>
      <w:tr w14:paraId="64A1BE8A">
        <w:tblPrEx>
          <w:tblCellMar>
            <w:top w:w="0" w:type="dxa"/>
            <w:left w:w="108" w:type="dxa"/>
            <w:bottom w:w="0" w:type="dxa"/>
            <w:right w:w="108" w:type="dxa"/>
          </w:tblCellMar>
        </w:tblPrEx>
        <w:trPr>
          <w:trHeight w:val="487" w:hRule="atLeast"/>
          <w:jc w:val="center"/>
        </w:trPr>
        <w:tc>
          <w:tcPr>
            <w:tcW w:w="675" w:type="dxa"/>
            <w:tcBorders>
              <w:top w:val="nil"/>
              <w:left w:val="single" w:color="auto" w:sz="4" w:space="0"/>
              <w:bottom w:val="single" w:color="auto" w:sz="4" w:space="0"/>
              <w:right w:val="single" w:color="auto" w:sz="4" w:space="0"/>
            </w:tcBorders>
            <w:noWrap w:val="0"/>
            <w:vAlign w:val="center"/>
          </w:tcPr>
          <w:p w14:paraId="453DE2BA">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w:t>
            </w:r>
          </w:p>
        </w:tc>
        <w:tc>
          <w:tcPr>
            <w:tcW w:w="2149" w:type="dxa"/>
            <w:tcBorders>
              <w:top w:val="nil"/>
              <w:left w:val="nil"/>
              <w:bottom w:val="single" w:color="auto" w:sz="4" w:space="0"/>
              <w:right w:val="single" w:color="auto" w:sz="4" w:space="0"/>
            </w:tcBorders>
            <w:noWrap w:val="0"/>
            <w:vAlign w:val="center"/>
          </w:tcPr>
          <w:p w14:paraId="71F8C42D">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足球门</w:t>
            </w:r>
          </w:p>
        </w:tc>
        <w:tc>
          <w:tcPr>
            <w:tcW w:w="1323" w:type="dxa"/>
            <w:tcBorders>
              <w:top w:val="single" w:color="auto" w:sz="4" w:space="0"/>
              <w:left w:val="nil"/>
              <w:bottom w:val="single" w:color="auto" w:sz="4" w:space="0"/>
              <w:right w:val="single" w:color="auto" w:sz="4" w:space="0"/>
            </w:tcBorders>
            <w:noWrap w:val="0"/>
            <w:vAlign w:val="center"/>
          </w:tcPr>
          <w:p w14:paraId="4ADE6754">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金陵</w:t>
            </w:r>
          </w:p>
        </w:tc>
        <w:tc>
          <w:tcPr>
            <w:tcW w:w="1323" w:type="dxa"/>
            <w:tcBorders>
              <w:top w:val="single" w:color="auto" w:sz="4" w:space="0"/>
              <w:left w:val="nil"/>
              <w:bottom w:val="single" w:color="auto" w:sz="4" w:space="0"/>
              <w:right w:val="single" w:color="auto" w:sz="4" w:space="0"/>
            </w:tcBorders>
            <w:noWrap w:val="0"/>
            <w:vAlign w:val="center"/>
          </w:tcPr>
          <w:p w14:paraId="483BEB75">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英斯派</w:t>
            </w:r>
          </w:p>
        </w:tc>
        <w:tc>
          <w:tcPr>
            <w:tcW w:w="1323" w:type="dxa"/>
            <w:tcBorders>
              <w:top w:val="single" w:color="auto" w:sz="4" w:space="0"/>
              <w:left w:val="nil"/>
              <w:bottom w:val="single" w:color="auto" w:sz="4" w:space="0"/>
              <w:right w:val="single" w:color="auto" w:sz="4" w:space="0"/>
            </w:tcBorders>
            <w:noWrap w:val="0"/>
            <w:vAlign w:val="center"/>
          </w:tcPr>
          <w:p w14:paraId="6B23609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国龙</w:t>
            </w:r>
          </w:p>
        </w:tc>
        <w:tc>
          <w:tcPr>
            <w:tcW w:w="1323" w:type="dxa"/>
            <w:tcBorders>
              <w:top w:val="single" w:color="auto" w:sz="4" w:space="0"/>
              <w:left w:val="nil"/>
              <w:bottom w:val="single" w:color="auto" w:sz="4" w:space="0"/>
              <w:right w:val="single" w:color="auto" w:sz="4" w:space="0"/>
            </w:tcBorders>
            <w:noWrap w:val="0"/>
            <w:vAlign w:val="center"/>
          </w:tcPr>
          <w:p w14:paraId="75AE246E">
            <w:pPr>
              <w:keepNext w:val="0"/>
              <w:keepLines w:val="0"/>
              <w:pageBreakBefore w:val="0"/>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世纪昊佳</w:t>
            </w:r>
          </w:p>
        </w:tc>
        <w:tc>
          <w:tcPr>
            <w:tcW w:w="1059" w:type="dxa"/>
            <w:tcBorders>
              <w:top w:val="nil"/>
              <w:left w:val="nil"/>
              <w:bottom w:val="single" w:color="auto" w:sz="4" w:space="0"/>
              <w:right w:val="single" w:color="auto" w:sz="4" w:space="0"/>
            </w:tcBorders>
            <w:noWrap w:val="0"/>
            <w:vAlign w:val="center"/>
          </w:tcPr>
          <w:p w14:paraId="501A54A3">
            <w:pPr>
              <w:keepNext w:val="0"/>
              <w:keepLines w:val="0"/>
              <w:pageBreakBefore w:val="0"/>
              <w:widowControl/>
              <w:kinsoku/>
              <w:wordWrap/>
              <w:overflowPunct/>
              <w:topLinePunct w:val="0"/>
              <w:autoSpaceDE/>
              <w:autoSpaceDN/>
              <w:bidi w:val="0"/>
              <w:adjustRightInd/>
              <w:snapToGrid/>
              <w:spacing w:line="360" w:lineRule="auto"/>
              <w:ind w:left="0"/>
              <w:jc w:val="center"/>
              <w:textAlignment w:val="auto"/>
              <w:rPr>
                <w:rFonts w:hint="eastAsia" w:asciiTheme="minorEastAsia" w:hAnsiTheme="minorEastAsia" w:eastAsiaTheme="minorEastAsia" w:cstheme="minorEastAsia"/>
                <w:color w:val="auto"/>
                <w:kern w:val="0"/>
                <w:sz w:val="24"/>
                <w:szCs w:val="24"/>
              </w:rPr>
            </w:pPr>
          </w:p>
        </w:tc>
      </w:tr>
    </w:tbl>
    <w:p w14:paraId="13DB54AE">
      <w:pPr>
        <w:pStyle w:val="7"/>
        <w:keepNext w:val="0"/>
        <w:keepLines w:val="0"/>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lang w:val="en-US"/>
        </w:rPr>
      </w:pPr>
      <w:bookmarkStart w:id="13" w:name="_Toc8900"/>
      <w:bookmarkStart w:id="14" w:name="_Toc29071"/>
      <w:bookmarkStart w:id="15" w:name="OLE_LINK7"/>
      <w:r>
        <w:rPr>
          <w:rFonts w:hint="eastAsia" w:asciiTheme="minorEastAsia" w:hAnsiTheme="minorEastAsia" w:eastAsiaTheme="minorEastAsia" w:cstheme="minorEastAsia"/>
          <w:color w:val="000000"/>
          <w:sz w:val="24"/>
          <w:szCs w:val="24"/>
          <w:lang w:val="en-US"/>
        </w:rPr>
        <w:t>注：</w:t>
      </w:r>
    </w:p>
    <w:p w14:paraId="7B57C1DB">
      <w:pPr>
        <w:pStyle w:val="7"/>
        <w:keepNext w:val="0"/>
        <w:keepLines w:val="0"/>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rPr>
        <w:t>（1）以上产品设备，不具有限制性和排他性；</w:t>
      </w:r>
    </w:p>
    <w:p w14:paraId="5117372C">
      <w:pPr>
        <w:pStyle w:val="7"/>
        <w:keepNext w:val="0"/>
        <w:keepLines w:val="0"/>
        <w:numPr>
          <w:ilvl w:val="0"/>
          <w:numId w:val="0"/>
        </w:numPr>
        <w:spacing w:line="360" w:lineRule="auto"/>
        <w:ind w:firstLine="480" w:firstLineChars="200"/>
        <w:rPr>
          <w:rFonts w:hint="eastAsia"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rPr>
        <w:t>（2）供应商可选用不低于以上品牌技术性能指标的其他品牌；采用其他品牌的应在响应文件中注明并提供相关技术性能指标等供磋商小组评审，未在响应文件中注明或未提供相关技术性能指标，或经磋商小组评审未通过的，成交后成交供应商只能从采购人以上品牌中进行选择，合同价格不予调整。</w:t>
      </w:r>
    </w:p>
    <w:p w14:paraId="45B52BED">
      <w:pPr>
        <w:pStyle w:val="3"/>
        <w:spacing w:before="0" w:after="0"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rPr>
        <w:t>三、</w:t>
      </w:r>
      <w:r>
        <w:rPr>
          <w:rFonts w:hint="eastAsia" w:asciiTheme="minorEastAsia" w:hAnsiTheme="minorEastAsia" w:eastAsiaTheme="minorEastAsia" w:cstheme="minorEastAsia"/>
          <w:sz w:val="24"/>
          <w:szCs w:val="24"/>
        </w:rPr>
        <w:t>报价要求</w:t>
      </w:r>
      <w:bookmarkEnd w:id="13"/>
      <w:bookmarkEnd w:id="14"/>
    </w:p>
    <w:p w14:paraId="29133BC6">
      <w:pPr>
        <w:keepNext/>
        <w:keepLines/>
        <w:spacing w:line="360" w:lineRule="auto"/>
        <w:outlineLvl w:val="9"/>
        <w:rPr>
          <w:rFonts w:asciiTheme="minorEastAsia" w:hAnsiTheme="minorEastAsia" w:eastAsiaTheme="minorEastAsia" w:cstheme="minorEastAsia"/>
          <w:b/>
          <w:bCs/>
          <w:color w:val="000000"/>
          <w:sz w:val="24"/>
          <w:szCs w:val="24"/>
        </w:rPr>
      </w:pPr>
      <w:bookmarkStart w:id="16" w:name="_Toc22767"/>
      <w:bookmarkStart w:id="17" w:name="_Toc11545"/>
      <w:bookmarkStart w:id="18" w:name="_Toc28825"/>
      <w:r>
        <w:rPr>
          <w:rFonts w:hint="eastAsia" w:asciiTheme="minorEastAsia" w:hAnsiTheme="minorEastAsia" w:eastAsiaTheme="minorEastAsia" w:cstheme="minorEastAsia"/>
          <w:b/>
          <w:bCs/>
          <w:color w:val="000000"/>
          <w:sz w:val="24"/>
          <w:szCs w:val="24"/>
        </w:rPr>
        <w:t>3.1计价依据</w:t>
      </w:r>
      <w:bookmarkEnd w:id="16"/>
      <w:bookmarkEnd w:id="17"/>
      <w:bookmarkEnd w:id="18"/>
    </w:p>
    <w:p w14:paraId="34BC22A2">
      <w:pPr>
        <w:spacing w:line="360" w:lineRule="auto"/>
        <w:ind w:firstLine="480" w:firstLineChars="200"/>
        <w:outlineLvl w:val="9"/>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3.1.1 计价依据的确定符合国家法律法规、现行有关标准与规范，工程所在地的省、市工程定额和工程造价的规定以及工程造价信息要求。</w:t>
      </w:r>
    </w:p>
    <w:p w14:paraId="4F9A7637">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3.1.2 </w:t>
      </w:r>
      <w:bookmarkStart w:id="19" w:name="OLE_LINK6"/>
      <w:r>
        <w:rPr>
          <w:rFonts w:hint="eastAsia" w:asciiTheme="minorEastAsia" w:hAnsiTheme="minorEastAsia" w:eastAsiaTheme="minorEastAsia" w:cstheme="minorEastAsia"/>
          <w:color w:val="auto"/>
          <w:sz w:val="24"/>
          <w:szCs w:val="24"/>
        </w:rPr>
        <w:t>安全文明施工费</w:t>
      </w:r>
      <w:bookmarkEnd w:id="19"/>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rPr>
        <w:t>安全文明施工费</w:t>
      </w:r>
      <w:r>
        <w:rPr>
          <w:rFonts w:hint="eastAsia" w:asciiTheme="minorEastAsia" w:hAnsiTheme="minorEastAsia" w:eastAsiaTheme="minorEastAsia" w:cstheme="minorEastAsia"/>
          <w:color w:val="auto"/>
          <w:sz w:val="24"/>
          <w:szCs w:val="24"/>
          <w:lang w:val="en-US" w:eastAsia="zh-CN"/>
        </w:rPr>
        <w:t>费率。</w:t>
      </w:r>
    </w:p>
    <w:p w14:paraId="52560F1E">
      <w:pPr>
        <w:spacing w:line="360" w:lineRule="auto"/>
        <w:ind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3.1.</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详见最高限价中</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p>
    <w:p w14:paraId="6586CCB4">
      <w:pPr>
        <w:keepNext/>
        <w:keepLines/>
        <w:spacing w:line="360" w:lineRule="auto"/>
        <w:outlineLvl w:val="9"/>
        <w:rPr>
          <w:rFonts w:asciiTheme="minorEastAsia" w:hAnsiTheme="minorEastAsia" w:eastAsiaTheme="minorEastAsia" w:cstheme="minorEastAsia"/>
          <w:b/>
          <w:bCs/>
          <w:color w:val="000000"/>
          <w:sz w:val="24"/>
          <w:szCs w:val="24"/>
        </w:rPr>
      </w:pPr>
      <w:bookmarkStart w:id="20" w:name="_Toc22414"/>
      <w:bookmarkStart w:id="21" w:name="_Toc22790"/>
      <w:bookmarkStart w:id="22" w:name="_Toc4564"/>
      <w:r>
        <w:rPr>
          <w:rFonts w:hint="eastAsia" w:asciiTheme="minorEastAsia" w:hAnsiTheme="minorEastAsia" w:eastAsiaTheme="minorEastAsia" w:cstheme="minorEastAsia"/>
          <w:b/>
          <w:bCs/>
          <w:color w:val="000000"/>
          <w:sz w:val="24"/>
          <w:szCs w:val="24"/>
        </w:rPr>
        <w:t>3.2响应报价参考编制要求</w:t>
      </w:r>
      <w:bookmarkEnd w:id="20"/>
      <w:bookmarkEnd w:id="21"/>
      <w:bookmarkEnd w:id="22"/>
    </w:p>
    <w:p w14:paraId="181FD42E">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3.2.1 响应报价编制参考依据：</w:t>
      </w:r>
      <w:r>
        <w:rPr>
          <w:rFonts w:hint="eastAsia" w:asciiTheme="minorEastAsia" w:hAnsiTheme="minorEastAsia" w:eastAsiaTheme="minorEastAsia" w:cstheme="minorEastAsia"/>
          <w:color w:val="000000"/>
          <w:sz w:val="24"/>
          <w:szCs w:val="24"/>
          <w:lang w:val="en-US" w:eastAsia="zh-CN"/>
        </w:rPr>
        <w:t>详见清单编制说明（如有）。</w:t>
      </w:r>
    </w:p>
    <w:p w14:paraId="2888E068">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3.2.2供应商应仔细阅读采购文件，了解全部工程内容。供应商的响应报价应是采购文件所确定的采购范围内全部工程内容的价格体现，但其响应报价不得低于供应商个别成本价。</w:t>
      </w:r>
    </w:p>
    <w:p w14:paraId="229E6451">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3.2.3供应商应按采购人提供的工程量清单填报综合单价和合价，未填报的综合单价和合价，视为此项费用已合在工程量清单的其他综合单价和合价中。</w:t>
      </w:r>
    </w:p>
    <w:p w14:paraId="5B43AF93">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000000"/>
          <w:sz w:val="24"/>
          <w:szCs w:val="24"/>
        </w:rPr>
        <w:t>3.2.4分部分项工程费根据采购文件中的工程量清单项目及项目特征描述等确定综合单价。其中综合单价是指完成一个规定清单项目所需的人工费、材料和工程设备费、施工机具使用费和综合费（企业管理费和利润）以及一定范围内供应商承担的风</w:t>
      </w:r>
      <w:r>
        <w:rPr>
          <w:rFonts w:hint="eastAsia" w:asciiTheme="minorEastAsia" w:hAnsiTheme="minorEastAsia" w:eastAsiaTheme="minorEastAsia" w:cstheme="minorEastAsia"/>
          <w:color w:val="auto"/>
          <w:sz w:val="24"/>
          <w:szCs w:val="24"/>
        </w:rPr>
        <w:t>险费用。</w:t>
      </w:r>
    </w:p>
    <w:p w14:paraId="2B63BA18">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3.2.5措施项目费依据第3.2.1项编制依据确定。</w:t>
      </w:r>
    </w:p>
    <w:p w14:paraId="45FF2A4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3.2.6不可竞争费（含安全文明施工费、环境保护税</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）根据工程量清单不可竞争项目，结合第3.2.1项编制依据确定，安全文明施工费费率</w:t>
      </w:r>
      <w:r>
        <w:rPr>
          <w:rFonts w:hint="eastAsia" w:asciiTheme="minorEastAsia" w:hAnsiTheme="minorEastAsia" w:eastAsiaTheme="minorEastAsia" w:cstheme="minorEastAsia"/>
          <w:color w:val="auto"/>
          <w:sz w:val="24"/>
          <w:szCs w:val="24"/>
          <w:lang w:val="en-US" w:eastAsia="zh-CN"/>
        </w:rPr>
        <w:t>和</w:t>
      </w:r>
      <w:r>
        <w:rPr>
          <w:rFonts w:hint="eastAsia" w:asciiTheme="minorEastAsia" w:hAnsiTheme="minorEastAsia" w:eastAsiaTheme="minorEastAsia" w:cstheme="minorEastAsia"/>
          <w:color w:val="auto"/>
          <w:sz w:val="24"/>
          <w:szCs w:val="24"/>
          <w:lang w:eastAsia="zh-CN"/>
        </w:rPr>
        <w:t>安全生产责任保险费</w:t>
      </w:r>
      <w:r>
        <w:rPr>
          <w:rFonts w:hint="eastAsia" w:asciiTheme="minorEastAsia" w:hAnsiTheme="minorEastAsia" w:eastAsiaTheme="minorEastAsia" w:cstheme="minorEastAsia"/>
          <w:color w:val="auto"/>
          <w:sz w:val="24"/>
          <w:szCs w:val="24"/>
          <w:lang w:val="en-US" w:eastAsia="zh-CN"/>
        </w:rPr>
        <w:t>费率</w:t>
      </w:r>
      <w:r>
        <w:rPr>
          <w:rFonts w:hint="eastAsia" w:asciiTheme="minorEastAsia" w:hAnsiTheme="minorEastAsia" w:eastAsiaTheme="minorEastAsia" w:cstheme="minorEastAsia"/>
          <w:color w:val="auto"/>
          <w:sz w:val="24"/>
          <w:szCs w:val="24"/>
        </w:rPr>
        <w:t>不得调整。</w:t>
      </w:r>
    </w:p>
    <w:p w14:paraId="53968338">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3.2.7其他项目费用应按照下列规定计价：</w:t>
      </w:r>
    </w:p>
    <w:p w14:paraId="2A2DE25C">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（1）暂列金额按工程量清单中列出的金额填写，不得更改；</w:t>
      </w:r>
    </w:p>
    <w:p w14:paraId="48CC1D57">
      <w:pPr>
        <w:spacing w:line="360" w:lineRule="auto"/>
        <w:ind w:firstLine="480" w:firstLineChars="200"/>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（2）专业工程暂估价按工程量清单中列出的金额填写，不得更改；</w:t>
      </w:r>
    </w:p>
    <w:p w14:paraId="1D035A40">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auto"/>
          <w:sz w:val="24"/>
          <w:szCs w:val="24"/>
        </w:rPr>
        <w:t>（3）计日工按采购人列出项目和数量，结合第3.2.1项编</w:t>
      </w:r>
      <w:r>
        <w:rPr>
          <w:rFonts w:hint="eastAsia" w:asciiTheme="minorEastAsia" w:hAnsiTheme="minorEastAsia" w:eastAsiaTheme="minorEastAsia" w:cstheme="minorEastAsia"/>
          <w:color w:val="000000"/>
          <w:sz w:val="24"/>
          <w:szCs w:val="24"/>
        </w:rPr>
        <w:t xml:space="preserve">制依据的要求确定综合单价并计算费用； </w:t>
      </w:r>
    </w:p>
    <w:p w14:paraId="69283C20">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（4）总承包服务费根据采购文件列出的内容和要求计算。</w:t>
      </w:r>
    </w:p>
    <w:p w14:paraId="69F173CD">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3.2.8税金（增值税）按税金项目清单，结合第3.2.1项编制依据的要求编制，不得调整。</w:t>
      </w:r>
    </w:p>
    <w:p w14:paraId="2F841D20">
      <w:pPr>
        <w:spacing w:line="360" w:lineRule="auto"/>
        <w:ind w:firstLine="480" w:firstLineChars="20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3.2.9 响应报价编制注意事项</w:t>
      </w:r>
    </w:p>
    <w:p w14:paraId="5E458B79">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对于受施工现场场地限制，如需要另外寻找场地解决临时住宿、材料及设备堆放，由此所产生的费用应包含在响应报价范围内，采购人不再承担该费用</w:t>
      </w:r>
      <w:r>
        <w:rPr>
          <w:rFonts w:hint="eastAsia" w:asciiTheme="minorEastAsia" w:hAnsiTheme="minorEastAsia" w:eastAsiaTheme="minorEastAsia" w:cstheme="minorEastAsia"/>
          <w:bCs/>
          <w:sz w:val="24"/>
          <w:szCs w:val="24"/>
        </w:rPr>
        <w:t>。</w:t>
      </w:r>
    </w:p>
    <w:bookmarkEnd w:id="15"/>
    <w:p w14:paraId="1E9D24FF">
      <w:pPr>
        <w:pStyle w:val="3"/>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3" w:name="_Toc26113"/>
      <w:bookmarkStart w:id="24" w:name="_Toc25124"/>
      <w:bookmarkStart w:id="25" w:name="_Toc527541657"/>
      <w:r>
        <w:rPr>
          <w:rFonts w:hint="eastAsia" w:asciiTheme="minorEastAsia" w:hAnsiTheme="minorEastAsia" w:eastAsiaTheme="minorEastAsia" w:cstheme="minorEastAsia"/>
          <w:sz w:val="24"/>
          <w:szCs w:val="24"/>
          <w:lang w:val="en-US"/>
        </w:rPr>
        <w:t>四、</w:t>
      </w:r>
      <w:r>
        <w:rPr>
          <w:rFonts w:hint="eastAsia" w:asciiTheme="minorEastAsia" w:hAnsiTheme="minorEastAsia" w:eastAsiaTheme="minorEastAsia" w:cstheme="minorEastAsia"/>
          <w:sz w:val="24"/>
          <w:szCs w:val="24"/>
        </w:rPr>
        <w:t>工程量清单</w:t>
      </w:r>
      <w:bookmarkEnd w:id="23"/>
      <w:bookmarkEnd w:id="24"/>
    </w:p>
    <w:bookmarkEnd w:id="25"/>
    <w:p w14:paraId="3A8930FF">
      <w:pPr>
        <w:pStyle w:val="14"/>
        <w:pageBreakBefore w:val="0"/>
        <w:widowControl w:val="0"/>
        <w:kinsoku/>
        <w:wordWrap/>
        <w:overflowPunct/>
        <w:topLinePunct w:val="0"/>
        <w:autoSpaceDE/>
        <w:autoSpaceDN/>
        <w:bidi w:val="0"/>
        <w:adjustRightInd/>
        <w:snapToGrid/>
        <w:ind w:firstLine="482"/>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另行发放。如工程量清单中涉及证明材料，供应商无须提供。如工程量清单中出现特定性、唯一性品牌的表述，该品牌仅作为参考，施工过程中不具有限定性。</w:t>
      </w:r>
    </w:p>
    <w:p w14:paraId="214D5FD9">
      <w:pPr>
        <w:pStyle w:val="3"/>
        <w:pageBreakBefore w:val="0"/>
        <w:widowControl w:val="0"/>
        <w:kinsoku/>
        <w:wordWrap/>
        <w:overflowPunct/>
        <w:topLinePunct w:val="0"/>
        <w:autoSpaceDE/>
        <w:autoSpaceDN/>
        <w:bidi w:val="0"/>
        <w:adjustRightInd/>
        <w:snapToGrid/>
        <w:spacing w:before="0" w:after="0" w:line="360" w:lineRule="auto"/>
        <w:rPr>
          <w:rFonts w:asciiTheme="minorEastAsia" w:hAnsiTheme="minorEastAsia" w:eastAsiaTheme="minorEastAsia" w:cstheme="minorEastAsia"/>
          <w:sz w:val="24"/>
          <w:szCs w:val="24"/>
        </w:rPr>
      </w:pPr>
      <w:bookmarkStart w:id="26" w:name="_Toc527541659"/>
      <w:bookmarkStart w:id="27" w:name="_Hlk165186373"/>
      <w:bookmarkStart w:id="28" w:name="_Toc31135"/>
      <w:bookmarkStart w:id="29" w:name="_Toc4770"/>
      <w:r>
        <w:rPr>
          <w:rFonts w:hint="eastAsia" w:asciiTheme="minorEastAsia" w:hAnsiTheme="minorEastAsia" w:eastAsiaTheme="minorEastAsia" w:cstheme="minorEastAsia"/>
          <w:sz w:val="24"/>
          <w:szCs w:val="24"/>
          <w:lang w:val="en-US"/>
        </w:rPr>
        <w:t>五、</w:t>
      </w:r>
      <w:r>
        <w:rPr>
          <w:rFonts w:hint="eastAsia" w:asciiTheme="minorEastAsia" w:hAnsiTheme="minorEastAsia" w:eastAsiaTheme="minorEastAsia" w:cstheme="minorEastAsia"/>
          <w:sz w:val="24"/>
          <w:szCs w:val="24"/>
        </w:rPr>
        <w:t>图纸</w:t>
      </w:r>
      <w:bookmarkEnd w:id="26"/>
      <w:bookmarkEnd w:id="27"/>
      <w:r>
        <w:rPr>
          <w:rFonts w:hint="eastAsia" w:asciiTheme="minorEastAsia" w:hAnsiTheme="minorEastAsia" w:eastAsiaTheme="minorEastAsia" w:cstheme="minorEastAsia"/>
          <w:sz w:val="24"/>
          <w:szCs w:val="24"/>
        </w:rPr>
        <w:t>（如有）</w:t>
      </w:r>
      <w:bookmarkEnd w:id="28"/>
      <w:bookmarkEnd w:id="29"/>
    </w:p>
    <w:p w14:paraId="05D6392C">
      <w:r>
        <w:rPr>
          <w:rFonts w:hint="eastAsia" w:asciiTheme="minorEastAsia" w:hAnsiTheme="minorEastAsia" w:eastAsiaTheme="minorEastAsia" w:cstheme="minorEastAsia"/>
          <w:b/>
          <w:bCs/>
          <w:sz w:val="24"/>
          <w:szCs w:val="24"/>
        </w:rPr>
        <w:t>另行发放。如图纸中涉及证明材料，供应商无须提供。如图纸中出现特定性、唯一性品牌的表述，该品牌仅作为参考，施工过程中不具有限定性。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5A0848"/>
    <w:rsid w:val="1C84143D"/>
    <w:rsid w:val="1EFD54D7"/>
    <w:rsid w:val="241C63FF"/>
    <w:rsid w:val="55147CDC"/>
    <w:rsid w:val="5A201A9E"/>
    <w:rsid w:val="752C3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Indent"/>
    <w:basedOn w:val="1"/>
    <w:next w:val="5"/>
    <w:unhideWhenUsed/>
    <w:qFormat/>
    <w:uiPriority w:val="0"/>
    <w:pPr>
      <w:spacing w:after="120"/>
      <w:ind w:left="420" w:leftChars="200"/>
    </w:pPr>
    <w:rPr>
      <w:rFonts w:asciiTheme="minorHAnsi" w:hAnsiTheme="minorHAnsi"/>
      <w:kern w:val="2"/>
      <w:sz w:val="21"/>
      <w:szCs w:val="22"/>
    </w:rPr>
  </w:style>
  <w:style w:type="paragraph" w:styleId="5">
    <w:name w:val="envelope return"/>
    <w:basedOn w:val="1"/>
    <w:qFormat/>
    <w:uiPriority w:val="0"/>
    <w:pPr>
      <w:snapToGrid w:val="0"/>
    </w:pPr>
    <w:rPr>
      <w:rFonts w:ascii="Arial" w:hAnsi="Arial"/>
    </w:rPr>
  </w:style>
  <w:style w:type="paragraph" w:styleId="6">
    <w:name w:val="Plain Text"/>
    <w:basedOn w:val="1"/>
    <w:qFormat/>
    <w:uiPriority w:val="0"/>
    <w:rPr>
      <w:rFonts w:hAnsi="Courier New" w:eastAsiaTheme="minorEastAsia"/>
      <w:szCs w:val="22"/>
    </w:rPr>
  </w:style>
  <w:style w:type="paragraph" w:styleId="7">
    <w:name w:val="List"/>
    <w:basedOn w:val="1"/>
    <w:qFormat/>
    <w:uiPriority w:val="0"/>
    <w:pPr>
      <w:ind w:left="200" w:hanging="200" w:hangingChars="200"/>
    </w:pPr>
    <w:rPr>
      <w:rFonts w:ascii="Calibri" w:hAnsi="Calibri" w:cs="Times New Roman"/>
      <w:kern w:val="2"/>
      <w:sz w:val="21"/>
      <w:szCs w:val="22"/>
    </w:rPr>
  </w:style>
  <w:style w:type="paragraph" w:styleId="8">
    <w:name w:val="Body Text First Indent 2"/>
    <w:basedOn w:val="4"/>
    <w:next w:val="7"/>
    <w:qFormat/>
    <w:uiPriority w:val="0"/>
    <w:pPr>
      <w:widowControl w:val="0"/>
      <w:ind w:firstLine="420"/>
      <w:jc w:val="both"/>
    </w:pPr>
    <w:rPr>
      <w:rFonts w:ascii="楷体_GB2312" w:hAnsi="Calibri" w:eastAsia="楷体_GB2312" w:cs="Times New Roman"/>
      <w:kern w:val="2"/>
      <w:sz w:val="32"/>
      <w:szCs w:val="22"/>
      <w:lang w:val="en-US" w:eastAsia="zh-CN" w:bidi="ar-SA"/>
    </w:rPr>
  </w:style>
  <w:style w:type="table" w:customStyle="1" w:styleId="11">
    <w:name w:val="网格型2"/>
    <w:basedOn w:val="9"/>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xl31"/>
    <w:basedOn w:val="1"/>
    <w:qFormat/>
    <w:uiPriority w:val="0"/>
    <w:pPr>
      <w:widowControl/>
      <w:spacing w:before="100" w:beforeAutospacing="1" w:after="100" w:afterAutospacing="1"/>
      <w:jc w:val="center"/>
    </w:pPr>
    <w:rPr>
      <w:b/>
      <w:bCs/>
      <w:sz w:val="28"/>
      <w:szCs w:val="28"/>
    </w:rPr>
  </w:style>
  <w:style w:type="character" w:customStyle="1" w:styleId="13">
    <w:name w:val="标题 2 Char Char"/>
    <w:qFormat/>
    <w:uiPriority w:val="0"/>
    <w:rPr>
      <w:rFonts w:ascii="Arial" w:hAnsi="Arial" w:eastAsia="黑体" w:cs="Times New Roman"/>
      <w:b/>
      <w:bCs/>
      <w:kern w:val="2"/>
      <w:sz w:val="32"/>
      <w:szCs w:val="32"/>
      <w:lang w:val="en-US" w:eastAsia="zh-CN" w:bidi="ar-SA"/>
    </w:rPr>
  </w:style>
  <w:style w:type="paragraph" w:customStyle="1" w:styleId="14">
    <w:name w:val="正文2"/>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2026-08-06T02:37:23Z</dcterms:created>
  <dc:creator>Lenovo</dc:creator>
  <cp:lastModifiedBy>gsy</cp:lastModifiedBy>
  <dcterms:modified xsi:type="dcterms:W3CDTF">2026-08-06T02:39:15Z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eyJoZGlkIjoiZjc4MDdiNDI1NzdiMmQ3M2FiNzNkZWYzMDcxMGZkNzYiLCJ1c2VySWQiOiI2NjQ2OTQwOTEifQ==</vt:lpwstr>
  </property>
  <property fmtid="{D5CDD505-2E9C-101B-9397-08002B2CF9AE}" pid="4" name="ICV">
    <vt:lpwstr>8E1B45C3924F4B7181A6CA4B93AE7529_12</vt:lpwstr>
  </property>
</Properties>
</file>