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405F0">
      <w:pPr>
        <w:numPr>
          <w:numId w:val="0"/>
        </w:numPr>
        <w:spacing w:line="360" w:lineRule="auto"/>
        <w:jc w:val="center"/>
        <w:outlineLvl w:val="0"/>
        <w:rPr>
          <w:rFonts w:hint="eastAsia" w:ascii="宋体" w:hAnsi="宋体" w:eastAsia="宋体" w:cs="宋体"/>
          <w:b/>
          <w:color w:val="auto"/>
          <w:sz w:val="28"/>
          <w:szCs w:val="20"/>
        </w:rPr>
      </w:pPr>
      <w:bookmarkStart w:id="5" w:name="_GoBack"/>
      <w:bookmarkEnd w:id="5"/>
      <w:bookmarkStart w:id="0" w:name="_Toc2268"/>
      <w:r>
        <w:rPr>
          <w:rFonts w:hint="eastAsia" w:ascii="宋体" w:hAnsi="宋体" w:eastAsia="宋体" w:cs="宋体"/>
          <w:b/>
          <w:color w:val="auto"/>
          <w:sz w:val="28"/>
          <w:szCs w:val="20"/>
        </w:rPr>
        <w:t>采购需求</w:t>
      </w:r>
      <w:bookmarkEnd w:id="0"/>
    </w:p>
    <w:p w14:paraId="677930F2">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前注：</w:t>
      </w:r>
    </w:p>
    <w:p w14:paraId="641B5F2F">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20143C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2.政府采购政策（包括但不限于下列具体政策要求）：</w:t>
      </w:r>
    </w:p>
    <w:p w14:paraId="751B2B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FF74E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C66136">
      <w:pPr>
        <w:spacing w:line="360" w:lineRule="auto"/>
        <w:ind w:firstLine="480" w:firstLineChars="200"/>
        <w:rPr>
          <w:rFonts w:hint="eastAsia" w:ascii="宋体" w:hAnsi="宋体" w:eastAsia="宋体" w:cs="宋体"/>
          <w:bCs/>
          <w:color w:val="auto"/>
          <w:sz w:val="24"/>
          <w:szCs w:val="18"/>
        </w:rPr>
      </w:pPr>
      <w:r>
        <w:rPr>
          <w:rFonts w:hint="eastAsia" w:ascii="宋体" w:hAnsi="宋体" w:eastAsia="宋体" w:cs="宋体"/>
          <w:color w:val="auto"/>
          <w:sz w:val="24"/>
          <w:szCs w:val="24"/>
        </w:rPr>
        <w:t>3.如采购人允许采用分包方式履行合同的，应当明确可以分包履行的相关内容。</w:t>
      </w:r>
    </w:p>
    <w:p w14:paraId="1A1A5058">
      <w:pPr>
        <w:spacing w:line="360" w:lineRule="auto"/>
        <w:ind w:firstLine="437"/>
        <w:outlineLvl w:val="1"/>
        <w:rPr>
          <w:rFonts w:hint="eastAsia" w:ascii="宋体" w:hAnsi="宋体" w:eastAsia="宋体" w:cs="宋体"/>
          <w:b/>
          <w:color w:val="auto"/>
          <w:sz w:val="24"/>
          <w:szCs w:val="18"/>
        </w:rPr>
      </w:pPr>
      <w:bookmarkStart w:id="1" w:name="_Toc21798"/>
      <w:bookmarkStart w:id="2" w:name="_Toc4276"/>
      <w:bookmarkStart w:id="3" w:name="_Toc4148"/>
      <w:bookmarkStart w:id="4" w:name="_Hlk23621890"/>
      <w:r>
        <w:rPr>
          <w:rFonts w:hint="eastAsia" w:ascii="宋体" w:hAnsi="宋体" w:eastAsia="宋体" w:cs="宋体"/>
          <w:b/>
          <w:color w:val="auto"/>
          <w:sz w:val="24"/>
          <w:szCs w:val="18"/>
        </w:rPr>
        <w:t>一、采购需求前附表</w:t>
      </w:r>
      <w:bookmarkEnd w:id="1"/>
      <w:bookmarkEnd w:id="2"/>
      <w:bookmarkEnd w:id="3"/>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88"/>
        <w:gridCol w:w="5830"/>
      </w:tblGrid>
      <w:tr w14:paraId="4FEA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32C7C556">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990" w:type="pct"/>
            <w:vAlign w:val="center"/>
          </w:tcPr>
          <w:p w14:paraId="47587D8C">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条款名称</w:t>
            </w:r>
          </w:p>
        </w:tc>
        <w:tc>
          <w:tcPr>
            <w:tcW w:w="3420" w:type="pct"/>
            <w:vAlign w:val="center"/>
          </w:tcPr>
          <w:p w14:paraId="12B0AAB7">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内容、说明与要求</w:t>
            </w:r>
          </w:p>
        </w:tc>
      </w:tr>
      <w:tr w14:paraId="0920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7558D076">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90" w:type="pct"/>
            <w:vAlign w:val="center"/>
          </w:tcPr>
          <w:p w14:paraId="45E49F36">
            <w:pPr>
              <w:keepNext w:val="0"/>
              <w:keepLines w:val="0"/>
              <w:pageBreakBefore w:val="0"/>
              <w:widowControl w:val="0"/>
              <w:kinsoku/>
              <w:wordWrap/>
              <w:overflowPunct/>
              <w:topLinePunct w:val="0"/>
              <w:autoSpaceDE/>
              <w:autoSpaceDN/>
              <w:bidi w:val="0"/>
              <w:spacing w:before="0" w:beforeAutospacing="0" w:after="0" w:afterAutospacing="0" w:line="312" w:lineRule="auto"/>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color w:val="auto"/>
                <w:kern w:val="0"/>
                <w:sz w:val="24"/>
                <w:szCs w:val="24"/>
                <w:highlight w:val="none"/>
                <w:u w:val="none"/>
                <w:lang w:val="en-US" w:eastAsia="zh-CN" w:bidi="ar-SA"/>
              </w:rPr>
              <w:t>付款方式</w:t>
            </w:r>
          </w:p>
        </w:tc>
        <w:tc>
          <w:tcPr>
            <w:tcW w:w="3420" w:type="pct"/>
            <w:vAlign w:val="center"/>
          </w:tcPr>
          <w:p w14:paraId="6F02EE12">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Arial"/>
                <w:b w:val="0"/>
                <w:bCs/>
                <w:color w:val="auto"/>
                <w:kern w:val="2"/>
                <w:sz w:val="24"/>
                <w:szCs w:val="24"/>
                <w:highlight w:val="none"/>
                <w:u w:val="none"/>
                <w:lang w:val="en-US" w:eastAsia="zh-CN" w:bidi="ar-SA"/>
              </w:rPr>
            </w:pPr>
            <w:r>
              <w:rPr>
                <w:rFonts w:hint="eastAsia" w:ascii="宋体" w:hAnsi="宋体" w:eastAsia="宋体" w:cs="Arial"/>
                <w:b w:val="0"/>
                <w:bCs/>
                <w:color w:val="auto"/>
                <w:kern w:val="2"/>
                <w:sz w:val="24"/>
                <w:szCs w:val="24"/>
                <w:highlight w:val="none"/>
                <w:u w:val="none"/>
                <w:lang w:val="en-US" w:eastAsia="zh-CN" w:bidi="ar-SA"/>
              </w:rPr>
              <w:t>合同签订后中标人提供正规发票及所有提货凭证，并经采购人验收合格后据实支付费用。</w:t>
            </w:r>
          </w:p>
          <w:p w14:paraId="27BB8EF2">
            <w:pPr>
              <w:widowControl w:val="0"/>
              <w:spacing w:line="312" w:lineRule="auto"/>
              <w:jc w:val="left"/>
              <w:rPr>
                <w:rFonts w:hint="eastAsia" w:ascii="宋体" w:hAnsi="宋体" w:eastAsia="宋体" w:cs="宋体"/>
                <w:strike/>
                <w:dstrike w:val="0"/>
                <w:color w:val="auto"/>
                <w:kern w:val="0"/>
                <w:sz w:val="24"/>
                <w:szCs w:val="24"/>
                <w:lang w:val="en-US" w:eastAsia="zh-CN" w:bidi="ar-SA"/>
              </w:rPr>
            </w:pPr>
            <w:r>
              <w:rPr>
                <w:rFonts w:hint="eastAsia" w:ascii="宋体" w:hAnsi="宋体" w:eastAsia="宋体" w:cs="Arial"/>
                <w:b/>
                <w:bCs w:val="0"/>
                <w:color w:val="auto"/>
                <w:kern w:val="2"/>
                <w:sz w:val="24"/>
                <w:szCs w:val="24"/>
                <w:highlight w:val="none"/>
                <w:u w:val="none"/>
                <w:lang w:val="en-US" w:eastAsia="zh-CN" w:bidi="ar-SA"/>
              </w:rPr>
              <w:t>注：结算金额=2200元/人×实际发放提货凭证的数量。</w:t>
            </w:r>
          </w:p>
        </w:tc>
      </w:tr>
      <w:tr w14:paraId="433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22D18A3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90" w:type="pct"/>
            <w:vAlign w:val="center"/>
          </w:tcPr>
          <w:p w14:paraId="2901375E">
            <w:pPr>
              <w:keepNext w:val="0"/>
              <w:keepLines w:val="0"/>
              <w:pageBreakBefore w:val="0"/>
              <w:widowControl w:val="0"/>
              <w:kinsoku/>
              <w:wordWrap/>
              <w:overflowPunct/>
              <w:topLinePunct w:val="0"/>
              <w:autoSpaceDE/>
              <w:autoSpaceDN/>
              <w:bidi w:val="0"/>
              <w:spacing w:before="0" w:beforeAutospacing="0" w:after="0" w:afterAutospacing="0" w:line="312" w:lineRule="auto"/>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color w:val="auto"/>
                <w:kern w:val="0"/>
                <w:sz w:val="24"/>
                <w:szCs w:val="24"/>
                <w:highlight w:val="none"/>
                <w:u w:val="none"/>
                <w:lang w:val="en-US" w:eastAsia="zh-CN" w:bidi="ar-SA"/>
              </w:rPr>
              <w:t>服务地点</w:t>
            </w:r>
          </w:p>
        </w:tc>
        <w:tc>
          <w:tcPr>
            <w:tcW w:w="3420" w:type="pct"/>
            <w:vAlign w:val="center"/>
          </w:tcPr>
          <w:p w14:paraId="68BBE674">
            <w:pPr>
              <w:keepNext w:val="0"/>
              <w:keepLines w:val="0"/>
              <w:pageBreakBefore w:val="0"/>
              <w:widowControl w:val="0"/>
              <w:kinsoku/>
              <w:wordWrap/>
              <w:overflowPunct/>
              <w:topLinePunct w:val="0"/>
              <w:autoSpaceDE/>
              <w:autoSpaceDN/>
              <w:bidi w:val="0"/>
              <w:spacing w:before="0" w:beforeAutospacing="0" w:after="0" w:afterAutospacing="0" w:line="312" w:lineRule="auto"/>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color w:val="auto"/>
                <w:kern w:val="0"/>
                <w:sz w:val="24"/>
                <w:szCs w:val="24"/>
                <w:highlight w:val="none"/>
                <w:u w:val="none"/>
                <w:lang w:val="en-US" w:eastAsia="zh-CN" w:bidi="ar-SA"/>
              </w:rPr>
              <w:t>安徽大学，采购人指定地点。</w:t>
            </w:r>
          </w:p>
        </w:tc>
      </w:tr>
      <w:tr w14:paraId="0933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4662D15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90" w:type="pct"/>
            <w:vAlign w:val="center"/>
          </w:tcPr>
          <w:p w14:paraId="22FFF36A">
            <w:pPr>
              <w:keepNext w:val="0"/>
              <w:keepLines w:val="0"/>
              <w:pageBreakBefore w:val="0"/>
              <w:widowControl w:val="0"/>
              <w:kinsoku/>
              <w:wordWrap/>
              <w:overflowPunct/>
              <w:topLinePunct w:val="0"/>
              <w:autoSpaceDE/>
              <w:autoSpaceDN/>
              <w:bidi w:val="0"/>
              <w:spacing w:before="0" w:beforeAutospacing="0" w:after="0" w:afterAutospacing="0" w:line="312" w:lineRule="auto"/>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color w:val="auto"/>
                <w:kern w:val="0"/>
                <w:sz w:val="24"/>
                <w:szCs w:val="24"/>
                <w:highlight w:val="none"/>
                <w:u w:val="none"/>
                <w:lang w:val="en-US" w:eastAsia="zh-CN" w:bidi="ar-SA"/>
              </w:rPr>
              <w:t>服务期限</w:t>
            </w:r>
          </w:p>
        </w:tc>
        <w:tc>
          <w:tcPr>
            <w:tcW w:w="3420" w:type="pct"/>
            <w:vAlign w:val="center"/>
          </w:tcPr>
          <w:p w14:paraId="751771A1">
            <w:pPr>
              <w:keepNext w:val="0"/>
              <w:keepLines w:val="0"/>
              <w:pageBreakBefore w:val="0"/>
              <w:widowControl w:val="0"/>
              <w:kinsoku/>
              <w:wordWrap/>
              <w:overflowPunct/>
              <w:topLinePunct w:val="0"/>
              <w:autoSpaceDE/>
              <w:autoSpaceDN/>
              <w:bidi w:val="0"/>
              <w:spacing w:before="0" w:beforeAutospacing="0" w:after="0" w:afterAutospacing="0" w:line="312"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合同生效之日起1年（中标人需于2026年9月30日前将提货凭证集中送至采购人指定地点发放）。本次采购为2026年度，在固定单价(即2200元/人)不变的前提下，经合同双方协商同意可续签合同，合同签订实行“1+1”模式，即合同一年一签，最多续签1次（续签金额不变）。</w:t>
            </w:r>
          </w:p>
        </w:tc>
      </w:tr>
      <w:tr w14:paraId="1641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9" w:type="pct"/>
            <w:vAlign w:val="center"/>
          </w:tcPr>
          <w:p w14:paraId="38D6EB07">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990" w:type="pct"/>
            <w:vAlign w:val="center"/>
          </w:tcPr>
          <w:p w14:paraId="4B63B58A">
            <w:pPr>
              <w:keepNext w:val="0"/>
              <w:keepLines w:val="0"/>
              <w:pageBreakBefore w:val="0"/>
              <w:widowControl w:val="0"/>
              <w:kinsoku/>
              <w:wordWrap/>
              <w:overflowPunct/>
              <w:topLinePunct w:val="0"/>
              <w:autoSpaceDE/>
              <w:autoSpaceDN/>
              <w:bidi w:val="0"/>
              <w:spacing w:before="0" w:beforeAutospacing="0" w:after="0" w:afterAutospacing="0" w:line="312" w:lineRule="auto"/>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color w:val="auto"/>
                <w:kern w:val="0"/>
                <w:sz w:val="24"/>
                <w:szCs w:val="24"/>
                <w:highlight w:val="none"/>
                <w:lang w:val="en-US" w:eastAsia="zh-CN" w:bidi="ar-SA"/>
              </w:rPr>
              <w:t>本项目采购标的名称及所属行业</w:t>
            </w:r>
          </w:p>
        </w:tc>
        <w:tc>
          <w:tcPr>
            <w:tcW w:w="3420" w:type="pct"/>
            <w:vAlign w:val="center"/>
          </w:tcPr>
          <w:p w14:paraId="45EDF066">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eastAsia="zh-CN"/>
              </w:rPr>
              <w:t>安徽大学2026年离退休教职工节日慰问品采购项目</w:t>
            </w:r>
          </w:p>
          <w:p w14:paraId="28DD6C41">
            <w:pPr>
              <w:keepNext w:val="0"/>
              <w:keepLines w:val="0"/>
              <w:pageBreakBefore w:val="0"/>
              <w:widowControl w:val="0"/>
              <w:kinsoku/>
              <w:wordWrap/>
              <w:overflowPunct/>
              <w:topLinePunct w:val="0"/>
              <w:autoSpaceDE/>
              <w:autoSpaceDN/>
              <w:bidi w:val="0"/>
              <w:spacing w:line="312"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批发业</w:t>
            </w:r>
          </w:p>
        </w:tc>
      </w:tr>
      <w:bookmarkEnd w:id="4"/>
    </w:tbl>
    <w:p w14:paraId="71E8ED01">
      <w:pPr>
        <w:rPr>
          <w:rFonts w:hint="eastAsia" w:ascii="宋体" w:hAnsi="宋体" w:eastAsia="宋体" w:cs="宋体"/>
          <w:b/>
          <w:bCs/>
          <w:color w:val="auto"/>
          <w:sz w:val="24"/>
          <w:szCs w:val="24"/>
        </w:rPr>
      </w:pPr>
    </w:p>
    <w:p w14:paraId="07F6CB2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服务需求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695"/>
        <w:gridCol w:w="4935"/>
      </w:tblGrid>
      <w:tr w14:paraId="6DE5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02DD5749">
            <w:pPr>
              <w:widowControl/>
              <w:snapToGrid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w:t>
            </w:r>
            <w:r>
              <w:rPr>
                <w:rFonts w:hint="eastAsia" w:ascii="宋体" w:hAnsi="宋体" w:eastAsia="宋体" w:cs="宋体"/>
                <w:b/>
                <w:bCs/>
                <w:color w:val="auto"/>
                <w:sz w:val="24"/>
                <w:szCs w:val="24"/>
                <w:lang w:val="en-US" w:eastAsia="zh-CN"/>
              </w:rPr>
              <w:t>名称</w:t>
            </w:r>
          </w:p>
        </w:tc>
        <w:tc>
          <w:tcPr>
            <w:tcW w:w="1695" w:type="dxa"/>
            <w:shd w:val="clear" w:color="auto" w:fill="auto"/>
            <w:vAlign w:val="center"/>
          </w:tcPr>
          <w:p w14:paraId="7CB2B83F">
            <w:pPr>
              <w:widowControl/>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数量（单位）</w:t>
            </w:r>
          </w:p>
        </w:tc>
        <w:tc>
          <w:tcPr>
            <w:tcW w:w="4935" w:type="dxa"/>
            <w:shd w:val="clear" w:color="auto" w:fill="auto"/>
            <w:vAlign w:val="center"/>
          </w:tcPr>
          <w:p w14:paraId="16422292">
            <w:pPr>
              <w:widowControl/>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服务要求</w:t>
            </w:r>
          </w:p>
        </w:tc>
      </w:tr>
      <w:tr w14:paraId="35B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shd w:val="clear" w:color="auto" w:fill="auto"/>
            <w:vAlign w:val="center"/>
          </w:tcPr>
          <w:p w14:paraId="5AF9BD11">
            <w:pPr>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val="0"/>
                <w:bCs/>
                <w:color w:val="auto"/>
                <w:kern w:val="0"/>
                <w:sz w:val="24"/>
                <w:szCs w:val="24"/>
                <w:highlight w:val="none"/>
                <w:u w:val="none"/>
                <w:lang w:val="en-US" w:eastAsia="zh-CN" w:bidi="ar-SA"/>
              </w:rPr>
              <w:t>离退休教职工节日慰问提货凭证</w:t>
            </w:r>
          </w:p>
        </w:tc>
        <w:tc>
          <w:tcPr>
            <w:tcW w:w="1695" w:type="dxa"/>
            <w:shd w:val="clear" w:color="auto" w:fill="auto"/>
            <w:vAlign w:val="center"/>
          </w:tcPr>
          <w:p w14:paraId="68DE4548">
            <w:pPr>
              <w:widowControl w:val="0"/>
              <w:jc w:val="left"/>
              <w:rPr>
                <w:rFonts w:ascii="Arial" w:hAnsi="Arial" w:eastAsia="黑体" w:cs="Arial"/>
                <w:color w:val="auto"/>
                <w:kern w:val="2"/>
                <w:sz w:val="21"/>
                <w:lang w:val="en-US" w:eastAsia="zh-CN" w:bidi="ar-SA"/>
              </w:rPr>
            </w:pPr>
            <w:r>
              <w:rPr>
                <w:rFonts w:hint="eastAsia" w:ascii="宋体" w:hAnsi="宋体" w:eastAsia="宋体" w:cs="Arial"/>
                <w:b w:val="0"/>
                <w:bCs/>
                <w:color w:val="auto"/>
                <w:kern w:val="2"/>
                <w:sz w:val="24"/>
                <w:highlight w:val="none"/>
                <w:u w:val="none"/>
                <w:lang w:val="en-US" w:eastAsia="zh-CN" w:bidi="ar-SA"/>
              </w:rPr>
              <w:t>1700份（慰问对象约1700人，暂定数量以实际发生为准）</w:t>
            </w:r>
          </w:p>
          <w:p w14:paraId="33C391F5">
            <w:pPr>
              <w:snapToGrid w:val="0"/>
              <w:spacing w:line="360" w:lineRule="auto"/>
              <w:jc w:val="center"/>
              <w:rPr>
                <w:rFonts w:hint="eastAsia" w:ascii="宋体" w:hAnsi="宋体" w:eastAsia="宋体" w:cs="宋体"/>
                <w:color w:val="auto"/>
                <w:sz w:val="24"/>
                <w:szCs w:val="24"/>
              </w:rPr>
            </w:pPr>
          </w:p>
        </w:tc>
        <w:tc>
          <w:tcPr>
            <w:tcW w:w="4935" w:type="dxa"/>
            <w:shd w:val="clear" w:color="auto" w:fill="auto"/>
            <w:vAlign w:val="center"/>
          </w:tcPr>
          <w:p w14:paraId="6DDFB584">
            <w:pPr>
              <w:snapToGrid w:val="0"/>
              <w:spacing w:line="360" w:lineRule="auto"/>
              <w:jc w:val="left"/>
              <w:rPr>
                <w:rFonts w:hint="eastAsia" w:ascii="宋体" w:hAnsi="宋体" w:eastAsia="宋体" w:cs="宋体"/>
                <w:color w:val="auto"/>
                <w:kern w:val="44"/>
                <w:position w:val="6"/>
                <w:sz w:val="24"/>
                <w:szCs w:val="24"/>
              </w:rPr>
            </w:pPr>
            <w:r>
              <w:rPr>
                <w:rFonts w:hint="eastAsia" w:ascii="宋体" w:hAnsi="宋体" w:eastAsia="宋体" w:cs="宋体"/>
                <w:color w:val="auto"/>
                <w:kern w:val="44"/>
                <w:position w:val="6"/>
                <w:sz w:val="24"/>
                <w:szCs w:val="24"/>
                <w:lang w:val="en-US" w:eastAsia="zh-CN"/>
              </w:rPr>
              <w:t>1.</w:t>
            </w:r>
            <w:r>
              <w:rPr>
                <w:rFonts w:hint="eastAsia" w:ascii="宋体" w:hAnsi="宋体" w:eastAsia="宋体" w:cs="宋体"/>
                <w:color w:val="auto"/>
                <w:kern w:val="44"/>
                <w:position w:val="6"/>
                <w:sz w:val="24"/>
                <w:szCs w:val="24"/>
              </w:rPr>
              <w:t>每份提货凭证面值不少于2200元（每份提货凭证应注明金额、有效期、提货范围等）；</w:t>
            </w:r>
          </w:p>
          <w:p w14:paraId="564F86DD">
            <w:pPr>
              <w:snapToGrid w:val="0"/>
              <w:spacing w:line="360" w:lineRule="auto"/>
              <w:jc w:val="left"/>
              <w:rPr>
                <w:rFonts w:hint="eastAsia" w:ascii="宋体" w:hAnsi="宋体" w:eastAsia="宋体" w:cs="宋体"/>
                <w:color w:val="auto"/>
                <w:kern w:val="44"/>
                <w:position w:val="6"/>
                <w:sz w:val="24"/>
                <w:szCs w:val="24"/>
              </w:rPr>
            </w:pPr>
            <w:r>
              <w:rPr>
                <w:rFonts w:hint="eastAsia" w:ascii="宋体" w:hAnsi="宋体" w:eastAsia="宋体" w:cs="宋体"/>
                <w:color w:val="auto"/>
                <w:kern w:val="44"/>
                <w:position w:val="6"/>
                <w:sz w:val="24"/>
                <w:szCs w:val="24"/>
                <w:lang w:val="en-US" w:eastAsia="zh-CN"/>
              </w:rPr>
              <w:t>2.</w:t>
            </w:r>
            <w:r>
              <w:rPr>
                <w:rFonts w:hint="eastAsia" w:ascii="宋体" w:hAnsi="宋体" w:eastAsia="宋体" w:cs="宋体"/>
                <w:color w:val="auto"/>
                <w:kern w:val="44"/>
                <w:position w:val="6"/>
                <w:sz w:val="24"/>
                <w:szCs w:val="24"/>
              </w:rPr>
              <w:t>教职工采取凭提货凭证自提的方式提货，中标人提供的提货凭证应尽可能满足职工便捷生活。提货范围可用于购买粮油类加工制品、蛋糕、面包、面等职工生活必需品。所提货物必须是正常销售的商品，不得单独订制，教职工可以凭提货凭证兑换同等价值的生活必需品。</w:t>
            </w:r>
          </w:p>
          <w:p w14:paraId="308A1C3F">
            <w:pPr>
              <w:snapToGrid w:val="0"/>
              <w:spacing w:line="360" w:lineRule="auto"/>
              <w:jc w:val="left"/>
              <w:rPr>
                <w:rFonts w:hint="eastAsia" w:ascii="宋体" w:hAnsi="宋体" w:eastAsia="宋体" w:cs="宋体"/>
                <w:color w:val="auto"/>
                <w:kern w:val="44"/>
                <w:position w:val="6"/>
                <w:sz w:val="24"/>
                <w:szCs w:val="24"/>
              </w:rPr>
            </w:pPr>
            <w:r>
              <w:rPr>
                <w:rFonts w:hint="eastAsia" w:ascii="宋体" w:hAnsi="宋体" w:eastAsia="宋体" w:cs="宋体"/>
                <w:color w:val="auto"/>
                <w:kern w:val="44"/>
                <w:position w:val="6"/>
                <w:sz w:val="24"/>
                <w:szCs w:val="24"/>
                <w:lang w:val="en-US" w:eastAsia="zh-CN"/>
              </w:rPr>
              <w:t>3.</w:t>
            </w:r>
            <w:r>
              <w:rPr>
                <w:rFonts w:hint="eastAsia" w:ascii="宋体" w:hAnsi="宋体" w:eastAsia="宋体" w:cs="宋体"/>
                <w:color w:val="auto"/>
                <w:kern w:val="44"/>
                <w:position w:val="6"/>
                <w:sz w:val="24"/>
                <w:szCs w:val="24"/>
              </w:rPr>
              <w:t>每份提货凭证有效期：至少1年。</w:t>
            </w:r>
          </w:p>
        </w:tc>
      </w:tr>
    </w:tbl>
    <w:p w14:paraId="47E21100">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三、质量标准</w:t>
      </w:r>
    </w:p>
    <w:p w14:paraId="3B38217A">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投标人所提供的所有货物符合国家最新颁布的有关技术规范和技术标准要求。同时质保期满足国家相应规定及要求。</w:t>
      </w:r>
    </w:p>
    <w:p w14:paraId="6551DF5F">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四、其他要求</w:t>
      </w:r>
    </w:p>
    <w:p w14:paraId="36056E99">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提货方式：中标人根据实际数量，提供相应数量的提货凭证，教职工凭提货凭证自提；提货凭证应支持多次消费，具体形式由采购人与中标人协商确定。</w:t>
      </w:r>
    </w:p>
    <w:p w14:paraId="4BE83BD9">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提货点：本次货物不集中供货，采购人在中标人</w:t>
      </w:r>
      <w:r>
        <w:rPr>
          <w:rFonts w:hint="eastAsia" w:ascii="宋体" w:hAnsi="宋体" w:eastAsia="宋体" w:cs="宋体"/>
          <w:bCs/>
          <w:color w:val="auto"/>
          <w:kern w:val="0"/>
          <w:sz w:val="24"/>
          <w:szCs w:val="24"/>
          <w:lang w:val="en-US" w:eastAsia="zh-CN"/>
        </w:rPr>
        <w:t>响应的</w:t>
      </w:r>
      <w:r>
        <w:rPr>
          <w:rFonts w:hint="eastAsia" w:ascii="宋体" w:hAnsi="宋体" w:eastAsia="宋体" w:cs="宋体"/>
          <w:bCs/>
          <w:color w:val="auto"/>
          <w:kern w:val="0"/>
          <w:sz w:val="24"/>
          <w:szCs w:val="24"/>
        </w:rPr>
        <w:t>门店网点均可提货。</w:t>
      </w:r>
    </w:p>
    <w:p w14:paraId="473E1D70">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提货凭证使用便利，使用时可同时享受店面优惠，提货价格按门店实际售价或实际促销优惠价结算。</w:t>
      </w:r>
    </w:p>
    <w:p w14:paraId="343E0A28">
      <w:pPr>
        <w:spacing w:line="360" w:lineRule="auto"/>
        <w:ind w:firstLine="482" w:firstLineChars="200"/>
        <w:rPr>
          <w:rFonts w:hint="default"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4.服务期限内，中标人每个季度需到采购人指定地点，现场为教职工办理提货凭证激活等相关服务一次，并以书面形式向采购人提供提货凭证的核销情况。（投标文件中需提供书面承诺函、格式自拟加盖公章，否则投标无效）</w:t>
      </w:r>
    </w:p>
    <w:p w14:paraId="463AC92A">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五、报价要求</w:t>
      </w:r>
    </w:p>
    <w:p w14:paraId="181F4890">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本项目报</w:t>
      </w:r>
      <w:r>
        <w:rPr>
          <w:rFonts w:hint="eastAsia" w:ascii="宋体" w:hAnsi="宋体" w:eastAsia="宋体" w:cs="宋体"/>
          <w:bCs/>
          <w:color w:val="auto"/>
          <w:kern w:val="0"/>
          <w:sz w:val="24"/>
          <w:szCs w:val="24"/>
          <w:lang w:val="en-US" w:eastAsia="zh-CN"/>
        </w:rPr>
        <w:t>统一费率（最高限价100%）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费率</w:t>
      </w:r>
      <w:r>
        <w:rPr>
          <w:rFonts w:hint="eastAsia" w:ascii="宋体" w:hAnsi="宋体" w:eastAsia="宋体" w:cs="宋体"/>
          <w:bCs/>
          <w:color w:val="auto"/>
          <w:kern w:val="0"/>
          <w:sz w:val="24"/>
          <w:szCs w:val="24"/>
        </w:rPr>
        <w:t>=100%×提货凭证支付金额/提货凭证面值金额；提货凭证支付金额指采购人支付给中标人的每份节日慰问品提货凭证的金额人民币2200元。</w:t>
      </w:r>
    </w:p>
    <w:p w14:paraId="4ABFFA65">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提货凭证面值金额指教职工持有的节日慰问品提货凭证上标注的按门店标价可提取货物的金额（每份应不小于2200元）。</w:t>
      </w:r>
    </w:p>
    <w:p w14:paraId="60126678">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如：每份提货凭证支付金额为2200元，若中标人</w:t>
      </w:r>
      <w:r>
        <w:rPr>
          <w:rFonts w:hint="eastAsia" w:ascii="宋体" w:hAnsi="宋体" w:eastAsia="宋体" w:cs="宋体"/>
          <w:bCs/>
          <w:color w:val="auto"/>
          <w:kern w:val="0"/>
          <w:sz w:val="24"/>
          <w:szCs w:val="24"/>
          <w:lang w:val="en-US" w:eastAsia="zh-CN"/>
        </w:rPr>
        <w:t>中标</w:t>
      </w:r>
      <w:r>
        <w:rPr>
          <w:rFonts w:hint="eastAsia" w:ascii="宋体" w:hAnsi="宋体" w:eastAsia="宋体" w:cs="宋体"/>
          <w:bCs/>
          <w:color w:val="auto"/>
          <w:kern w:val="0"/>
          <w:sz w:val="24"/>
          <w:szCs w:val="24"/>
        </w:rPr>
        <w:t>的</w:t>
      </w:r>
      <w:r>
        <w:rPr>
          <w:rFonts w:hint="eastAsia" w:ascii="宋体" w:hAnsi="宋体" w:eastAsia="宋体" w:cs="宋体"/>
          <w:bCs/>
          <w:color w:val="auto"/>
          <w:kern w:val="0"/>
          <w:sz w:val="24"/>
          <w:szCs w:val="24"/>
          <w:lang w:val="en-US" w:eastAsia="zh-CN"/>
        </w:rPr>
        <w:t>费率</w:t>
      </w:r>
      <w:r>
        <w:rPr>
          <w:rFonts w:hint="eastAsia" w:ascii="宋体" w:hAnsi="宋体" w:eastAsia="宋体" w:cs="宋体"/>
          <w:bCs/>
          <w:color w:val="auto"/>
          <w:kern w:val="0"/>
          <w:sz w:val="24"/>
          <w:szCs w:val="24"/>
        </w:rPr>
        <w:t>为95%，则：提货凭证面值金额=2200元÷95%=2315.79元</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保留2位小数</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w:t>
      </w:r>
    </w:p>
    <w:p w14:paraId="5C0D67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300C5"/>
    <w:rsid w:val="46A300C5"/>
    <w:rsid w:val="69FA2AB9"/>
    <w:rsid w:val="76A6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2026-07-01T07:38:00Z</dcterms:created>
  <dc:creator>冯楠</dc:creator>
  <cp:lastModifiedBy>冯楠</cp:lastModifiedBy>
  <dcterms:modified xsi:type="dcterms:W3CDTF">2026-07-01T07:39:26Z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5B399BE955DB43DC883A0C0E3E671EC6_11</vt:lpwstr>
  </property>
  <property fmtid="{D5CDD505-2E9C-101B-9397-08002B2CF9AE}" pid="4" name="KSOTemplateDocerSaveRecord">
    <vt:lpwstr>eyJoZGlkIjoiMjAwMTRmNzk2MDg1ZDRmNzI2ZmUwNzYxOGM5MmNiNGUiLCJ1c2VySWQiOiIxNzU0NDMzODI4In0=</vt:lpwstr>
  </property>
</Properties>
</file>