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9C952">
      <w:pPr>
        <w:pStyle w:val="2"/>
        <w:widowControl/>
        <w:snapToGrid w:val="0"/>
        <w:spacing w:before="0" w:after="0" w:line="360" w:lineRule="auto"/>
        <w:jc w:val="center"/>
        <w:rPr>
          <w:rFonts w:hint="eastAsia" w:ascii="宋体" w:hAnsi="宋体"/>
          <w:color w:val="000000"/>
        </w:rPr>
      </w:pPr>
      <w:bookmarkStart w:id="0" w:name="_Toc23330"/>
      <w:r>
        <w:rPr>
          <w:rFonts w:hint="eastAsia" w:ascii="宋体" w:hAnsi="宋体"/>
          <w:color w:val="000000"/>
        </w:rPr>
        <w:t>第三章  采购需求及技术规格要求</w:t>
      </w:r>
      <w:bookmarkEnd w:id="0"/>
    </w:p>
    <w:p w14:paraId="279653C5">
      <w:pPr>
        <w:pStyle w:val="3"/>
        <w:spacing w:before="0" w:after="0" w:line="360" w:lineRule="auto"/>
        <w:rPr>
          <w:rStyle w:val="11"/>
          <w:rFonts w:ascii="宋体" w:hAnsi="宋体" w:eastAsia="仿宋"/>
          <w:b/>
          <w:bCs/>
          <w:sz w:val="24"/>
          <w:szCs w:val="24"/>
        </w:rPr>
      </w:pPr>
      <w:bookmarkStart w:id="1" w:name="_Toc455587273"/>
      <w:bookmarkStart w:id="2" w:name="_Toc455587089"/>
      <w:bookmarkStart w:id="3" w:name="_Toc466024556"/>
      <w:r>
        <w:rPr>
          <w:rStyle w:val="11"/>
          <w:rFonts w:hint="eastAsia" w:ascii="仿宋" w:hAnsi="仿宋" w:eastAsia="仿宋" w:cs="仿宋"/>
          <w:b/>
          <w:bCs/>
          <w:sz w:val="24"/>
          <w:szCs w:val="24"/>
        </w:rPr>
        <w:t xml:space="preserve">1. </w:t>
      </w:r>
      <w:bookmarkEnd w:id="1"/>
      <w:bookmarkEnd w:id="2"/>
      <w:bookmarkEnd w:id="3"/>
      <w:r>
        <w:rPr>
          <w:rStyle w:val="11"/>
          <w:rFonts w:hint="eastAsia" w:ascii="仿宋" w:hAnsi="仿宋" w:eastAsia="仿宋" w:cs="仿宋"/>
          <w:b/>
          <w:bCs/>
          <w:sz w:val="24"/>
          <w:szCs w:val="24"/>
        </w:rPr>
        <w:t>总</w:t>
      </w:r>
      <w:r>
        <w:rPr>
          <w:rStyle w:val="11"/>
          <w:rFonts w:hint="eastAsia" w:ascii="宋体" w:hAnsi="宋体" w:eastAsia="仿宋"/>
          <w:b/>
          <w:bCs/>
          <w:sz w:val="24"/>
          <w:szCs w:val="24"/>
        </w:rPr>
        <w:t>体说明</w:t>
      </w:r>
    </w:p>
    <w:p w14:paraId="7AD41D95">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1.1 本技术规格所提出的要求是对本次招标货物的基本技术要求，并未涉及所有技术细节，也未充分引述有关标准、规范的全部条款。投标人应保证其提供的货物除了满足本技术规格的要求外，还应符合中国国家、行业、地方或设备制造商所在国的有关标准、规范（尤其是必须符合中国国家标准的有关强制性规定)。</w:t>
      </w:r>
    </w:p>
    <w:p w14:paraId="2CC92057">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1.2 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仿宋" w:hAnsi="仿宋" w:eastAsia="仿宋" w:cs="仿宋"/>
          <w:color w:val="000000"/>
          <w:sz w:val="24"/>
        </w:rPr>
        <w:cr/>
      </w:r>
      <w:r>
        <w:rPr>
          <w:rFonts w:hint="eastAsia" w:ascii="仿宋" w:hAnsi="仿宋" w:eastAsia="仿宋" w:cs="仿宋"/>
          <w:color w:val="000000"/>
          <w:sz w:val="24"/>
        </w:rPr>
        <w:t xml:space="preserve">   1.3 投标供应商应当在投标文件中列出完成本项目所需的所有各项服务等明细表及全部费用。中标供应商必须确保整体通过采购人及有关主管部门验收；投标供应商应自行踏勘项目现场，如投标供应商因未及时踏勘现场而导致的报价缺项漏项废标或中标后无法完工，投标供应商自行承担一切后果；</w:t>
      </w:r>
    </w:p>
    <w:p w14:paraId="5DB2BAE3">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1.4 本章中提及的工艺、材料、设备的标准及品牌或型号（如有）仅起说明作用，并没有强制性。投标人在投标中可以用替代工艺、材料、设备的标准及品牌或型号，但这种替代须实质上满足、等同或优于本章技术要求，同时须提供相关证明材料，否则可能被评标委员会认定为负偏离。</w:t>
      </w:r>
    </w:p>
    <w:p w14:paraId="00EACBDA">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1.6 除非有特别说明，本章中所列的具体参数或参数范围，均理解为采购人可接受的最低要求。</w:t>
      </w:r>
    </w:p>
    <w:p w14:paraId="5223CE11">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1.7采购需求如包含属于《节能产品政府采购品目清单》中政府强制采购的节能产品， 则投标人所投产品须具有市场监管总局公布的《参与实施政府采购节能产品认证机构目录》中的认证机构出具的、处于有效期内的节能（节水）产品认证证书。</w:t>
      </w:r>
    </w:p>
    <w:p w14:paraId="18D0417F">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1.8 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8557FED">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1.9标注“▲”的产品为主要标的（包括核心产品），核心产品的名称、品牌、规格型号、数量、单价等将予以公布。</w:t>
      </w:r>
    </w:p>
    <w:p w14:paraId="0227D33E">
      <w:pPr>
        <w:widowControl/>
        <w:tabs>
          <w:tab w:val="left" w:pos="1406"/>
        </w:tabs>
        <w:snapToGrid w:val="0"/>
        <w:spacing w:line="360" w:lineRule="auto"/>
        <w:rPr>
          <w:rFonts w:hint="eastAsia" w:ascii="仿宋" w:hAnsi="仿宋" w:eastAsia="仿宋" w:cs="仿宋"/>
          <w:color w:val="000000"/>
          <w:sz w:val="24"/>
        </w:rPr>
      </w:pPr>
    </w:p>
    <w:p w14:paraId="12E4437F">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2. 采购内容及范围</w:t>
      </w:r>
    </w:p>
    <w:p w14:paraId="4C2975F0">
      <w:pPr>
        <w:keepNext/>
        <w:keepLines/>
        <w:spacing w:line="360" w:lineRule="auto"/>
        <w:ind w:firstLine="480" w:firstLineChars="200"/>
        <w:outlineLvl w:val="1"/>
        <w:rPr>
          <w:rFonts w:hint="eastAsia" w:ascii="仿宋" w:hAnsi="仿宋" w:eastAsia="仿宋" w:cs="仿宋"/>
          <w:color w:val="000000"/>
          <w:sz w:val="24"/>
        </w:rPr>
      </w:pPr>
      <w:r>
        <w:rPr>
          <w:rFonts w:hint="eastAsia" w:ascii="仿宋" w:hAnsi="仿宋" w:eastAsia="仿宋" w:cs="仿宋"/>
          <w:color w:val="000000"/>
          <w:sz w:val="24"/>
        </w:rPr>
        <w:t>2.1 采购内容</w:t>
      </w:r>
    </w:p>
    <w:tbl>
      <w:tblPr>
        <w:tblStyle w:val="9"/>
        <w:tblW w:w="9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4579"/>
        <w:gridCol w:w="981"/>
        <w:gridCol w:w="1060"/>
        <w:gridCol w:w="1173"/>
        <w:gridCol w:w="1218"/>
      </w:tblGrid>
      <w:tr w14:paraId="2758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41" w:type="dxa"/>
            <w:noWrap w:val="0"/>
            <w:vAlign w:val="center"/>
          </w:tcPr>
          <w:p w14:paraId="21A1F958">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包号</w:t>
            </w:r>
          </w:p>
        </w:tc>
        <w:tc>
          <w:tcPr>
            <w:tcW w:w="4579" w:type="dxa"/>
            <w:noWrap w:val="0"/>
            <w:vAlign w:val="center"/>
          </w:tcPr>
          <w:p w14:paraId="4B6915B3">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标的名称</w:t>
            </w:r>
          </w:p>
        </w:tc>
        <w:tc>
          <w:tcPr>
            <w:tcW w:w="981" w:type="dxa"/>
            <w:noWrap w:val="0"/>
            <w:vAlign w:val="center"/>
          </w:tcPr>
          <w:p w14:paraId="70FC08A3">
            <w:pPr>
              <w:widowControl/>
              <w:jc w:val="center"/>
              <w:rPr>
                <w:rFonts w:hint="eastAsia" w:ascii="仿宋" w:hAnsi="仿宋" w:eastAsia="仿宋" w:cs="仿宋"/>
                <w:color w:val="000000"/>
                <w:sz w:val="24"/>
              </w:rPr>
            </w:pPr>
            <w:r>
              <w:rPr>
                <w:rFonts w:ascii="仿宋" w:hAnsi="仿宋" w:eastAsia="仿宋" w:cs="仿宋"/>
                <w:color w:val="000000"/>
                <w:kern w:val="0"/>
                <w:sz w:val="24"/>
                <w:lang w:bidi="ar"/>
              </w:rPr>
              <w:t>单位</w:t>
            </w:r>
          </w:p>
        </w:tc>
        <w:tc>
          <w:tcPr>
            <w:tcW w:w="1060" w:type="dxa"/>
            <w:noWrap w:val="0"/>
            <w:vAlign w:val="center"/>
          </w:tcPr>
          <w:p w14:paraId="1AD99EA7">
            <w:pPr>
              <w:widowControl/>
              <w:spacing w:line="360" w:lineRule="auto"/>
              <w:jc w:val="center"/>
              <w:outlineLvl w:val="1"/>
              <w:rPr>
                <w:rFonts w:hint="eastAsia" w:ascii="仿宋" w:hAnsi="仿宋" w:eastAsia="仿宋" w:cs="仿宋"/>
                <w:color w:val="000000"/>
                <w:sz w:val="24"/>
              </w:rPr>
            </w:pPr>
            <w:r>
              <w:rPr>
                <w:rFonts w:hint="eastAsia" w:ascii="仿宋" w:hAnsi="仿宋" w:eastAsia="仿宋" w:cs="仿宋"/>
                <w:color w:val="000000"/>
                <w:kern w:val="0"/>
                <w:sz w:val="24"/>
                <w:lang w:bidi="ar"/>
              </w:rPr>
              <w:t>数量</w:t>
            </w:r>
          </w:p>
        </w:tc>
        <w:tc>
          <w:tcPr>
            <w:tcW w:w="1173" w:type="dxa"/>
            <w:noWrap w:val="0"/>
            <w:vAlign w:val="center"/>
          </w:tcPr>
          <w:p w14:paraId="6F690F7F">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所属行业</w:t>
            </w:r>
          </w:p>
        </w:tc>
        <w:tc>
          <w:tcPr>
            <w:tcW w:w="1218" w:type="dxa"/>
            <w:noWrap w:val="0"/>
            <w:vAlign w:val="center"/>
          </w:tcPr>
          <w:p w14:paraId="1515BDCF">
            <w:pPr>
              <w:widowControl/>
              <w:spacing w:line="360" w:lineRule="auto"/>
              <w:jc w:val="center"/>
              <w:outlineLvl w:val="1"/>
              <w:rPr>
                <w:rFonts w:ascii="仿宋" w:hAnsi="仿宋" w:eastAsia="仿宋" w:cs="仿宋"/>
                <w:color w:val="000000"/>
                <w:kern w:val="0"/>
                <w:sz w:val="24"/>
                <w:lang w:bidi="ar"/>
              </w:rPr>
            </w:pPr>
            <w:r>
              <w:rPr>
                <w:rFonts w:ascii="仿宋" w:hAnsi="仿宋" w:eastAsia="仿宋" w:cs="仿宋"/>
                <w:color w:val="000000"/>
                <w:kern w:val="0"/>
                <w:sz w:val="24"/>
                <w:lang w:bidi="ar"/>
              </w:rPr>
              <w:t>是否接受进口</w:t>
            </w:r>
          </w:p>
        </w:tc>
      </w:tr>
      <w:tr w14:paraId="4360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41" w:type="dxa"/>
            <w:noWrap w:val="0"/>
            <w:vAlign w:val="center"/>
          </w:tcPr>
          <w:p w14:paraId="78D32969">
            <w:pPr>
              <w:keepNext/>
              <w:keepLines/>
              <w:spacing w:line="360" w:lineRule="auto"/>
              <w:jc w:val="center"/>
              <w:outlineLvl w:val="1"/>
              <w:rPr>
                <w:rFonts w:ascii="仿宋" w:hAnsi="仿宋" w:eastAsia="仿宋" w:cs="仿宋"/>
                <w:color w:val="000000"/>
                <w:sz w:val="24"/>
              </w:rPr>
            </w:pPr>
            <w:r>
              <w:rPr>
                <w:rFonts w:hint="eastAsia" w:ascii="仿宋" w:hAnsi="仿宋" w:eastAsia="仿宋" w:cs="仿宋"/>
                <w:color w:val="000000"/>
                <w:sz w:val="24"/>
              </w:rPr>
              <w:t>1</w:t>
            </w:r>
          </w:p>
        </w:tc>
        <w:tc>
          <w:tcPr>
            <w:tcW w:w="4579" w:type="dxa"/>
            <w:noWrap w:val="0"/>
            <w:vAlign w:val="center"/>
          </w:tcPr>
          <w:p w14:paraId="4723D3FF">
            <w:pPr>
              <w:keepNext/>
              <w:keepLines/>
              <w:spacing w:line="360" w:lineRule="auto"/>
              <w:jc w:val="center"/>
              <w:outlineLvl w:val="1"/>
              <w:rPr>
                <w:rFonts w:hint="eastAsia" w:ascii="仿宋" w:hAnsi="仿宋" w:eastAsia="仿宋" w:cs="仿宋"/>
                <w:color w:val="000000"/>
                <w:sz w:val="24"/>
              </w:rPr>
            </w:pPr>
            <w:r>
              <w:rPr>
                <w:rFonts w:hint="eastAsia" w:ascii="仿宋" w:hAnsi="仿宋" w:eastAsia="仿宋" w:cs="仿宋"/>
                <w:color w:val="000000"/>
                <w:sz w:val="24"/>
              </w:rPr>
              <w:t>▲DSA数字减影血管造影机</w:t>
            </w:r>
          </w:p>
        </w:tc>
        <w:tc>
          <w:tcPr>
            <w:tcW w:w="981" w:type="dxa"/>
            <w:noWrap w:val="0"/>
            <w:vAlign w:val="center"/>
          </w:tcPr>
          <w:p w14:paraId="71CCF342">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台</w:t>
            </w:r>
          </w:p>
        </w:tc>
        <w:tc>
          <w:tcPr>
            <w:tcW w:w="1060" w:type="dxa"/>
            <w:noWrap w:val="0"/>
            <w:vAlign w:val="center"/>
          </w:tcPr>
          <w:p w14:paraId="53D351BE">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w:t>
            </w:r>
          </w:p>
        </w:tc>
        <w:tc>
          <w:tcPr>
            <w:tcW w:w="1173" w:type="dxa"/>
            <w:noWrap w:val="0"/>
            <w:vAlign w:val="center"/>
          </w:tcPr>
          <w:p w14:paraId="6155C96A">
            <w:pPr>
              <w:keepNext/>
              <w:keepLines/>
              <w:spacing w:line="360" w:lineRule="auto"/>
              <w:jc w:val="center"/>
              <w:outlineLvl w:val="1"/>
              <w:rPr>
                <w:rFonts w:ascii="仿宋" w:hAnsi="仿宋" w:eastAsia="仿宋" w:cs="仿宋"/>
                <w:color w:val="000000"/>
                <w:sz w:val="24"/>
              </w:rPr>
            </w:pPr>
            <w:r>
              <w:rPr>
                <w:rFonts w:hint="eastAsia" w:ascii="仿宋" w:hAnsi="仿宋" w:eastAsia="仿宋" w:cs="仿宋"/>
                <w:color w:val="000000"/>
                <w:sz w:val="24"/>
              </w:rPr>
              <w:t>工业</w:t>
            </w:r>
          </w:p>
        </w:tc>
        <w:tc>
          <w:tcPr>
            <w:tcW w:w="1218" w:type="dxa"/>
            <w:noWrap w:val="0"/>
            <w:vAlign w:val="center"/>
          </w:tcPr>
          <w:p w14:paraId="3B11A7B4">
            <w:pPr>
              <w:keepNext/>
              <w:keepLines/>
              <w:spacing w:line="360" w:lineRule="auto"/>
              <w:jc w:val="center"/>
              <w:outlineLvl w:val="1"/>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bl>
    <w:p w14:paraId="0EDC7E3D">
      <w:pPr>
        <w:keepNext/>
        <w:keepLines/>
        <w:spacing w:line="360" w:lineRule="auto"/>
        <w:ind w:firstLine="480" w:firstLineChars="200"/>
        <w:outlineLvl w:val="1"/>
        <w:rPr>
          <w:rFonts w:hint="eastAsia" w:ascii="仿宋" w:hAnsi="仿宋" w:eastAsia="仿宋" w:cs="仿宋"/>
          <w:color w:val="000000"/>
          <w:sz w:val="24"/>
        </w:rPr>
      </w:pPr>
      <w:r>
        <w:rPr>
          <w:rFonts w:hint="eastAsia" w:ascii="仿宋" w:hAnsi="仿宋" w:eastAsia="仿宋" w:cs="仿宋"/>
          <w:color w:val="000000"/>
          <w:sz w:val="24"/>
        </w:rPr>
        <w:t>2.2 采购范围</w:t>
      </w:r>
    </w:p>
    <w:p w14:paraId="010DEBBD">
      <w:pPr>
        <w:keepNext/>
        <w:keepLines/>
        <w:spacing w:line="360" w:lineRule="auto"/>
        <w:ind w:firstLine="480" w:firstLineChars="200"/>
        <w:outlineLvl w:val="1"/>
        <w:rPr>
          <w:rFonts w:hint="eastAsia" w:ascii="仿宋" w:hAnsi="仿宋" w:eastAsia="仿宋"/>
          <w:sz w:val="24"/>
        </w:rPr>
      </w:pPr>
      <w:r>
        <w:rPr>
          <w:rFonts w:hint="eastAsia" w:ascii="仿宋" w:hAnsi="仿宋" w:eastAsia="仿宋"/>
          <w:sz w:val="24"/>
        </w:rPr>
        <w:t>包括所有货物的供货、包装运输（包括卸车及就位至采购人指定的安装地点）、安装、调试、技术服务、培训、售后服务等所有内容。</w:t>
      </w:r>
    </w:p>
    <w:p w14:paraId="3D3EEB5A">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3.商务条款</w:t>
      </w:r>
    </w:p>
    <w:p w14:paraId="109D28BF">
      <w:pPr>
        <w:spacing w:line="360" w:lineRule="auto"/>
        <w:rPr>
          <w:rFonts w:hint="eastAsia" w:ascii="仿宋" w:hAnsi="仿宋" w:eastAsia="仿宋" w:cs="仿宋"/>
          <w:b/>
          <w:bCs/>
          <w:sz w:val="24"/>
          <w:szCs w:val="32"/>
        </w:rPr>
      </w:pPr>
      <w:r>
        <w:rPr>
          <w:rFonts w:hint="eastAsia" w:ascii="仿宋" w:hAnsi="仿宋" w:eastAsia="仿宋" w:cs="仿宋"/>
          <w:b/>
          <w:bCs/>
          <w:sz w:val="24"/>
          <w:szCs w:val="32"/>
        </w:rPr>
        <w:t>除非有特别说明，本条为实质性要求。</w:t>
      </w:r>
    </w:p>
    <w:tbl>
      <w:tblPr>
        <w:tblStyle w:val="9"/>
        <w:tblW w:w="0" w:type="auto"/>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1252"/>
        <w:gridCol w:w="7910"/>
      </w:tblGrid>
      <w:tr w14:paraId="392A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95" w:type="dxa"/>
            <w:noWrap w:val="0"/>
            <w:vAlign w:val="center"/>
          </w:tcPr>
          <w:p w14:paraId="2B5C4272">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序号</w:t>
            </w:r>
          </w:p>
        </w:tc>
        <w:tc>
          <w:tcPr>
            <w:tcW w:w="9162" w:type="dxa"/>
            <w:gridSpan w:val="2"/>
            <w:noWrap w:val="0"/>
            <w:vAlign w:val="center"/>
          </w:tcPr>
          <w:p w14:paraId="0944E182">
            <w:pPr>
              <w:wordWrap w:val="0"/>
              <w:spacing w:line="360" w:lineRule="auto"/>
              <w:ind w:firstLine="2891" w:firstLineChars="1200"/>
              <w:jc w:val="left"/>
              <w:rPr>
                <w:rFonts w:hint="eastAsia" w:ascii="仿宋" w:hAnsi="仿宋" w:eastAsia="仿宋" w:cs="仿宋"/>
                <w:b/>
                <w:color w:val="000000"/>
                <w:sz w:val="24"/>
              </w:rPr>
            </w:pPr>
            <w:r>
              <w:rPr>
                <w:rFonts w:hint="eastAsia" w:ascii="仿宋" w:hAnsi="仿宋" w:eastAsia="仿宋" w:cs="仿宋"/>
                <w:b/>
                <w:color w:val="000000"/>
                <w:sz w:val="24"/>
              </w:rPr>
              <w:t>商务条款内容</w:t>
            </w:r>
          </w:p>
        </w:tc>
      </w:tr>
      <w:tr w14:paraId="5E75C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95" w:type="dxa"/>
            <w:noWrap w:val="0"/>
            <w:vAlign w:val="center"/>
          </w:tcPr>
          <w:p w14:paraId="2F9C5573">
            <w:pPr>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1</w:t>
            </w:r>
          </w:p>
        </w:tc>
        <w:tc>
          <w:tcPr>
            <w:tcW w:w="1252" w:type="dxa"/>
            <w:noWrap w:val="0"/>
            <w:vAlign w:val="center"/>
          </w:tcPr>
          <w:p w14:paraId="17F4C931">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交付（实施）的时间（期限）</w:t>
            </w:r>
          </w:p>
        </w:tc>
        <w:tc>
          <w:tcPr>
            <w:tcW w:w="7910" w:type="dxa"/>
            <w:noWrap w:val="0"/>
            <w:vAlign w:val="center"/>
          </w:tcPr>
          <w:p w14:paraId="50D6C4B9">
            <w:pPr>
              <w:pStyle w:val="12"/>
              <w:spacing w:line="360" w:lineRule="auto"/>
              <w:ind w:firstLine="0" w:firstLineChars="0"/>
              <w:rPr>
                <w:rFonts w:hint="eastAsia" w:ascii="仿宋" w:hAnsi="仿宋" w:eastAsia="仿宋" w:cs="仿宋"/>
                <w:bCs w:val="0"/>
                <w:color w:val="000000"/>
                <w:sz w:val="24"/>
              </w:rPr>
            </w:pPr>
            <w:r>
              <w:rPr>
                <w:rFonts w:hint="eastAsia" w:ascii="仿宋" w:hAnsi="仿宋" w:eastAsia="仿宋" w:cs="仿宋"/>
                <w:bCs w:val="0"/>
                <w:color w:val="000000"/>
                <w:sz w:val="24"/>
              </w:rPr>
              <w:t>合同签订生效后，接采购人通知后</w:t>
            </w:r>
            <w:r>
              <w:rPr>
                <w:rFonts w:hint="eastAsia" w:ascii="仿宋" w:hAnsi="仿宋" w:eastAsia="仿宋" w:cs="仿宋"/>
                <w:bCs w:val="0"/>
                <w:color w:val="000000"/>
                <w:sz w:val="24"/>
                <w:lang w:val="en-US" w:eastAsia="zh-CN"/>
              </w:rPr>
              <w:t>3</w:t>
            </w:r>
            <w:r>
              <w:rPr>
                <w:rFonts w:hint="eastAsia" w:ascii="仿宋" w:hAnsi="仿宋" w:eastAsia="仿宋" w:cs="仿宋"/>
                <w:bCs w:val="0"/>
                <w:color w:val="000000"/>
                <w:sz w:val="24"/>
              </w:rPr>
              <w:t>0个日历天内完成供货安装调试。</w:t>
            </w:r>
          </w:p>
          <w:p w14:paraId="31A89992">
            <w:pPr>
              <w:pStyle w:val="12"/>
              <w:spacing w:line="360" w:lineRule="auto"/>
              <w:ind w:firstLine="0" w:firstLineChars="0"/>
              <w:rPr>
                <w:rFonts w:hint="eastAsia" w:ascii="仿宋" w:hAnsi="仿宋" w:eastAsia="仿宋" w:cs="仿宋"/>
                <w:bCs/>
                <w:color w:val="000000"/>
                <w:sz w:val="24"/>
              </w:rPr>
            </w:pPr>
            <w:r>
              <w:rPr>
                <w:rFonts w:hint="eastAsia" w:ascii="仿宋" w:hAnsi="仿宋" w:eastAsia="仿宋" w:cs="仿宋"/>
                <w:bCs w:val="0"/>
                <w:color w:val="000000"/>
                <w:sz w:val="24"/>
              </w:rPr>
              <w:t>是否接受负偏离：</w:t>
            </w:r>
            <w:r>
              <w:rPr>
                <w:rFonts w:hint="eastAsia" w:ascii="仿宋" w:hAnsi="仿宋" w:eastAsia="仿宋" w:cs="仿宋"/>
                <w:bCs w:val="0"/>
                <w:color w:val="000000"/>
                <w:sz w:val="24"/>
              </w:rPr>
              <w:sym w:font="Wingdings" w:char="F0FE"/>
            </w:r>
            <w:r>
              <w:rPr>
                <w:rFonts w:hint="eastAsia" w:ascii="仿宋" w:hAnsi="仿宋" w:eastAsia="仿宋" w:cs="仿宋"/>
                <w:bCs w:val="0"/>
                <w:color w:val="000000"/>
                <w:sz w:val="24"/>
              </w:rPr>
              <w:t>不接受</w:t>
            </w:r>
          </w:p>
        </w:tc>
      </w:tr>
      <w:tr w14:paraId="3F82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95" w:type="dxa"/>
            <w:noWrap w:val="0"/>
            <w:vAlign w:val="center"/>
          </w:tcPr>
          <w:p w14:paraId="6283125A">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2</w:t>
            </w:r>
          </w:p>
        </w:tc>
        <w:tc>
          <w:tcPr>
            <w:tcW w:w="1252" w:type="dxa"/>
            <w:noWrap w:val="0"/>
            <w:vAlign w:val="center"/>
          </w:tcPr>
          <w:p w14:paraId="5BE75607">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交付（实施）的地点（范围）</w:t>
            </w:r>
          </w:p>
        </w:tc>
        <w:tc>
          <w:tcPr>
            <w:tcW w:w="7910" w:type="dxa"/>
            <w:noWrap w:val="0"/>
            <w:vAlign w:val="center"/>
          </w:tcPr>
          <w:p w14:paraId="17EC02F9">
            <w:pPr>
              <w:wordWrap w:val="0"/>
              <w:spacing w:line="360" w:lineRule="auto"/>
              <w:jc w:val="both"/>
              <w:rPr>
                <w:rFonts w:hint="default" w:ascii="仿宋" w:hAnsi="仿宋" w:eastAsia="仿宋" w:cs="仿宋"/>
                <w:bCs/>
                <w:color w:val="000000"/>
                <w:sz w:val="24"/>
                <w:lang w:val="en-US" w:eastAsia="zh-CN"/>
              </w:rPr>
            </w:pPr>
            <w:r>
              <w:rPr>
                <w:rFonts w:hint="eastAsia" w:ascii="仿宋" w:hAnsi="仿宋" w:eastAsia="仿宋" w:cs="仿宋"/>
                <w:color w:val="000000"/>
                <w:sz w:val="24"/>
              </w:rPr>
              <w:t>上海市第六人民医院安徽医院群楼一楼 DSA导管室</w:t>
            </w:r>
          </w:p>
        </w:tc>
      </w:tr>
      <w:tr w14:paraId="746D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95" w:type="dxa"/>
            <w:noWrap w:val="0"/>
            <w:vAlign w:val="center"/>
          </w:tcPr>
          <w:p w14:paraId="5C8A4B0F">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3</w:t>
            </w:r>
          </w:p>
        </w:tc>
        <w:tc>
          <w:tcPr>
            <w:tcW w:w="1252" w:type="dxa"/>
            <w:noWrap w:val="0"/>
            <w:vAlign w:val="center"/>
          </w:tcPr>
          <w:p w14:paraId="01FB2F29">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付款方式</w:t>
            </w:r>
          </w:p>
        </w:tc>
        <w:tc>
          <w:tcPr>
            <w:tcW w:w="7910" w:type="dxa"/>
            <w:noWrap w:val="0"/>
            <w:vAlign w:val="center"/>
          </w:tcPr>
          <w:p w14:paraId="5BD91335">
            <w:pPr>
              <w:widowControl/>
              <w:adjustRightInd w:val="0"/>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xml:space="preserve">本项目货到安装验收合格，提供产品的使用、操作及维修人员的培训， 并能独立操作且使用部门签字确认后，采购人支付全部货款。 </w:t>
            </w:r>
          </w:p>
          <w:p w14:paraId="7D60F5CC">
            <w:pPr>
              <w:wordWrap w:val="0"/>
              <w:spacing w:line="360" w:lineRule="auto"/>
              <w:rPr>
                <w:rFonts w:hint="eastAsia" w:ascii="仿宋" w:hAnsi="仿宋" w:eastAsia="仿宋" w:cs="仿宋"/>
                <w:b/>
                <w:color w:val="000000"/>
                <w:sz w:val="24"/>
              </w:rPr>
            </w:pPr>
            <w:r>
              <w:rPr>
                <w:rFonts w:hint="eastAsia" w:ascii="仿宋" w:hAnsi="仿宋" w:eastAsia="仿宋" w:cs="仿宋"/>
                <w:color w:val="000000"/>
                <w:sz w:val="24"/>
              </w:rPr>
              <w:t>是否接受负偏离：</w:t>
            </w:r>
            <w:r>
              <w:rPr>
                <w:rFonts w:hint="eastAsia" w:ascii="仿宋" w:hAnsi="仿宋" w:eastAsia="仿宋" w:cs="仿宋"/>
                <w:color w:val="000000"/>
                <w:sz w:val="24"/>
              </w:rPr>
              <w:sym w:font="Wingdings 2" w:char="0052"/>
            </w:r>
            <w:r>
              <w:rPr>
                <w:rFonts w:hint="eastAsia" w:ascii="仿宋" w:hAnsi="仿宋" w:eastAsia="仿宋" w:cs="仿宋"/>
                <w:color w:val="000000"/>
                <w:sz w:val="24"/>
              </w:rPr>
              <w:t xml:space="preserve">不接受  </w:t>
            </w:r>
          </w:p>
        </w:tc>
      </w:tr>
      <w:tr w14:paraId="64B3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95" w:type="dxa"/>
            <w:noWrap w:val="0"/>
            <w:vAlign w:val="center"/>
          </w:tcPr>
          <w:p w14:paraId="75F70953">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4</w:t>
            </w:r>
          </w:p>
        </w:tc>
        <w:tc>
          <w:tcPr>
            <w:tcW w:w="1252" w:type="dxa"/>
            <w:noWrap w:val="0"/>
            <w:vAlign w:val="center"/>
          </w:tcPr>
          <w:p w14:paraId="0B138705">
            <w:pPr>
              <w:wordWrap w:val="0"/>
              <w:spacing w:line="360" w:lineRule="auto"/>
              <w:jc w:val="center"/>
              <w:rPr>
                <w:rFonts w:hint="eastAsia" w:ascii="仿宋" w:hAnsi="仿宋" w:eastAsia="仿宋" w:cs="仿宋"/>
                <w:b/>
                <w:bCs/>
                <w:color w:val="000000"/>
                <w:sz w:val="24"/>
              </w:rPr>
            </w:pPr>
            <w:r>
              <w:rPr>
                <w:rFonts w:hint="eastAsia" w:ascii="宋体" w:hAnsi="宋体" w:eastAsia="仿宋" w:cs="Calibri"/>
                <w:b/>
                <w:bCs/>
                <w:sz w:val="24"/>
              </w:rPr>
              <w:t>质量保证期</w:t>
            </w:r>
          </w:p>
        </w:tc>
        <w:tc>
          <w:tcPr>
            <w:tcW w:w="7910" w:type="dxa"/>
            <w:noWrap w:val="0"/>
            <w:vAlign w:val="top"/>
          </w:tcPr>
          <w:p w14:paraId="64A2DAA7">
            <w:pPr>
              <w:widowControl/>
              <w:adjustRightInd w:val="0"/>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自验收合格之日起整体（主机+配套产品）原厂质保不少于</w:t>
            </w:r>
            <w:r>
              <w:rPr>
                <w:rFonts w:hint="eastAsia" w:ascii="仿宋" w:hAnsi="仿宋" w:eastAsia="仿宋" w:cs="仿宋"/>
                <w:color w:val="000000"/>
                <w:sz w:val="24"/>
                <w:lang w:val="en-US" w:eastAsia="zh-CN"/>
              </w:rPr>
              <w:t>72</w:t>
            </w:r>
            <w:r>
              <w:rPr>
                <w:rFonts w:hint="eastAsia" w:ascii="仿宋" w:hAnsi="仿宋" w:eastAsia="仿宋" w:cs="仿宋"/>
                <w:color w:val="000000"/>
                <w:sz w:val="24"/>
              </w:rPr>
              <w:t>个月。</w:t>
            </w:r>
          </w:p>
          <w:p w14:paraId="04181D4E">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6ECCA0B6">
            <w:pPr>
              <w:pStyle w:val="12"/>
              <w:ind w:firstLine="480"/>
              <w:rPr>
                <w:rFonts w:hint="eastAsia" w:ascii="楷体" w:hAnsi="楷体" w:eastAsia="仿宋" w:cs="Calibri"/>
                <w:sz w:val="24"/>
              </w:rPr>
            </w:pPr>
            <w:r>
              <w:rPr>
                <w:rFonts w:hint="eastAsia" w:ascii="楷体" w:hAnsi="楷体" w:eastAsia="仿宋" w:cs="Calibri"/>
                <w:sz w:val="24"/>
              </w:rPr>
              <w:t xml:space="preserve">            □接受：</w:t>
            </w:r>
          </w:p>
          <w:p w14:paraId="05C4E335">
            <w:pPr>
              <w:wordWrap w:val="0"/>
              <w:spacing w:line="360" w:lineRule="auto"/>
              <w:jc w:val="left"/>
              <w:rPr>
                <w:rFonts w:hint="eastAsia" w:ascii="仿宋" w:hAnsi="仿宋" w:eastAsia="仿宋" w:cs="仿宋"/>
                <w:b/>
                <w:color w:val="000000"/>
                <w:sz w:val="24"/>
              </w:rPr>
            </w:pPr>
            <w:r>
              <w:rPr>
                <w:rFonts w:hint="eastAsia" w:ascii="楷体" w:hAnsi="楷体" w:eastAsia="仿宋" w:cs="Calibri"/>
                <w:sz w:val="24"/>
              </w:rPr>
              <w:t>允许偏离的幅</w:t>
            </w:r>
            <w:r>
              <w:rPr>
                <w:rFonts w:hint="eastAsia" w:ascii="楷体" w:hAnsi="楷体" w:eastAsia="仿宋" w:cs="Calibri"/>
                <w:color w:val="000000"/>
                <w:sz w:val="24"/>
              </w:rPr>
              <w:t>度：</w:t>
            </w:r>
            <w:r>
              <w:rPr>
                <w:rFonts w:hint="eastAsia" w:ascii="宋体" w:hAnsi="宋体" w:eastAsia="仿宋" w:cs="Calibri"/>
                <w:color w:val="000000"/>
                <w:sz w:val="24"/>
              </w:rPr>
              <w:t>/</w:t>
            </w:r>
          </w:p>
        </w:tc>
      </w:tr>
      <w:tr w14:paraId="7572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95" w:type="dxa"/>
            <w:noWrap w:val="0"/>
            <w:vAlign w:val="center"/>
          </w:tcPr>
          <w:p w14:paraId="3F633B8C">
            <w:pPr>
              <w:wordWrap w:val="0"/>
              <w:spacing w:line="360" w:lineRule="auto"/>
              <w:jc w:val="center"/>
              <w:rPr>
                <w:rFonts w:hint="eastAsia" w:ascii="仿宋" w:hAnsi="仿宋" w:eastAsia="仿宋" w:cs="仿宋"/>
                <w:b/>
                <w:color w:val="000000"/>
                <w:sz w:val="24"/>
                <w:lang w:eastAsia="zh-CN"/>
              </w:rPr>
            </w:pPr>
            <w:r>
              <w:rPr>
                <w:rFonts w:hint="eastAsia" w:ascii="仿宋" w:hAnsi="仿宋" w:eastAsia="仿宋" w:cs="仿宋"/>
                <w:b/>
                <w:color w:val="000000"/>
                <w:sz w:val="24"/>
                <w:lang w:val="en-US" w:eastAsia="zh-CN"/>
              </w:rPr>
              <w:t>5</w:t>
            </w:r>
          </w:p>
        </w:tc>
        <w:tc>
          <w:tcPr>
            <w:tcW w:w="1252" w:type="dxa"/>
            <w:noWrap w:val="0"/>
            <w:vAlign w:val="center"/>
          </w:tcPr>
          <w:p w14:paraId="515986CB">
            <w:pPr>
              <w:wordWrap w:val="0"/>
              <w:spacing w:line="360" w:lineRule="auto"/>
              <w:jc w:val="center"/>
              <w:rPr>
                <w:rFonts w:ascii="仿宋" w:hAnsi="仿宋" w:eastAsia="仿宋" w:cs="仿宋"/>
                <w:b/>
                <w:color w:val="000000"/>
                <w:sz w:val="24"/>
              </w:rPr>
            </w:pPr>
            <w:r>
              <w:rPr>
                <w:rFonts w:hint="eastAsia" w:ascii="仿宋" w:hAnsi="仿宋" w:eastAsia="仿宋" w:cs="仿宋"/>
                <w:b/>
                <w:color w:val="000000"/>
                <w:sz w:val="24"/>
              </w:rPr>
              <w:t>信息化要求</w:t>
            </w:r>
          </w:p>
        </w:tc>
        <w:tc>
          <w:tcPr>
            <w:tcW w:w="7910" w:type="dxa"/>
            <w:noWrap w:val="0"/>
            <w:vAlign w:val="center"/>
          </w:tcPr>
          <w:p w14:paraId="0880F05F">
            <w:pPr>
              <w:pStyle w:val="8"/>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投标人所投设备须与医院信息系统连接，由此产生的费用包含在投标总报价中，采购人不另行支付。</w:t>
            </w:r>
          </w:p>
          <w:p w14:paraId="78989208">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60EA8DAB">
            <w:pPr>
              <w:pStyle w:val="12"/>
              <w:ind w:firstLine="480"/>
              <w:rPr>
                <w:rFonts w:hint="eastAsia" w:ascii="楷体" w:hAnsi="楷体" w:eastAsia="仿宋" w:cs="Calibri"/>
                <w:sz w:val="24"/>
              </w:rPr>
            </w:pPr>
            <w:r>
              <w:rPr>
                <w:rFonts w:hint="eastAsia" w:ascii="楷体" w:hAnsi="楷体" w:eastAsia="仿宋" w:cs="Calibri"/>
                <w:sz w:val="24"/>
              </w:rPr>
              <w:t xml:space="preserve">            □接受：</w:t>
            </w:r>
          </w:p>
          <w:p w14:paraId="78E08DC3">
            <w:pPr>
              <w:pStyle w:val="8"/>
              <w:spacing w:before="0" w:beforeAutospacing="0" w:after="0" w:afterAutospacing="0" w:line="360" w:lineRule="auto"/>
              <w:rPr>
                <w:rFonts w:hint="eastAsia" w:ascii="仿宋" w:hAnsi="仿宋" w:eastAsia="仿宋" w:cs="仿宋"/>
                <w:color w:val="auto"/>
              </w:rPr>
            </w:pPr>
            <w:r>
              <w:rPr>
                <w:rFonts w:hint="eastAsia" w:ascii="楷体" w:hAnsi="楷体" w:eastAsia="仿宋" w:cs="Calibri"/>
              </w:rPr>
              <w:t>允许偏离的幅度：</w:t>
            </w:r>
            <w:r>
              <w:rPr>
                <w:rFonts w:hint="eastAsia" w:eastAsia="仿宋" w:cs="Calibri"/>
              </w:rPr>
              <w:t>/</w:t>
            </w:r>
          </w:p>
        </w:tc>
      </w:tr>
      <w:tr w14:paraId="45F9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595" w:type="dxa"/>
            <w:noWrap w:val="0"/>
            <w:vAlign w:val="center"/>
          </w:tcPr>
          <w:p w14:paraId="1718BA0D">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lang w:val="en-US" w:eastAsia="zh-CN"/>
              </w:rPr>
              <w:t>6</w:t>
            </w:r>
          </w:p>
        </w:tc>
        <w:tc>
          <w:tcPr>
            <w:tcW w:w="1252" w:type="dxa"/>
            <w:noWrap w:val="0"/>
            <w:vAlign w:val="center"/>
          </w:tcPr>
          <w:p w14:paraId="3C813EC6">
            <w:pPr>
              <w:wordWrap w:val="0"/>
              <w:spacing w:line="360" w:lineRule="auto"/>
              <w:jc w:val="center"/>
              <w:rPr>
                <w:rFonts w:ascii="仿宋" w:hAnsi="仿宋" w:eastAsia="仿宋" w:cs="仿宋"/>
                <w:b/>
                <w:bCs/>
                <w:kern w:val="0"/>
                <w:sz w:val="24"/>
              </w:rPr>
            </w:pPr>
            <w:r>
              <w:rPr>
                <w:rFonts w:hint="eastAsia" w:ascii="仿宋" w:hAnsi="仿宋" w:eastAsia="仿宋" w:cs="仿宋"/>
                <w:b/>
                <w:bCs/>
                <w:kern w:val="0"/>
                <w:sz w:val="24"/>
              </w:rPr>
              <w:t>售后要求</w:t>
            </w:r>
          </w:p>
        </w:tc>
        <w:tc>
          <w:tcPr>
            <w:tcW w:w="7910" w:type="dxa"/>
            <w:noWrap w:val="0"/>
            <w:vAlign w:val="top"/>
          </w:tcPr>
          <w:p w14:paraId="221B40B0">
            <w:pPr>
              <w:pStyle w:val="13"/>
              <w:spacing w:line="360" w:lineRule="auto"/>
              <w:jc w:val="left"/>
              <w:rPr>
                <w:rFonts w:hint="eastAsia" w:ascii="仿宋" w:hAnsi="仿宋" w:eastAsia="仿宋" w:cs="仿宋"/>
                <w:sz w:val="24"/>
                <w:szCs w:val="24"/>
              </w:rPr>
            </w:pPr>
            <w:r>
              <w:rPr>
                <w:rFonts w:hint="eastAsia" w:ascii="仿宋" w:hAnsi="仿宋" w:eastAsia="仿宋" w:cs="仿宋"/>
                <w:sz w:val="24"/>
                <w:szCs w:val="24"/>
              </w:rPr>
              <w:t>中标人须负责在项目安装地点进行所投设备的安装调试工作，并现场测试。在安装和调试期间，如发现设备或材料有缺陷或损坏，中标人应尽快更换，相关费用均包含在本次投标报价中。中标人在维护期内应提供现场、电话、传真或电子邮件方式为采购人提供技术支持，要求中标人应在有稳定的技术支撑与服务能力，并且在设备发生故障时2小时内响应。中标人在项目验收合格后，负责对所投设备组织操作使用培训≥20天，培训地点、人员由采购人指定。</w:t>
            </w:r>
          </w:p>
          <w:p w14:paraId="3B6199CF">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489298B2">
            <w:pPr>
              <w:pStyle w:val="12"/>
              <w:ind w:firstLine="480"/>
              <w:rPr>
                <w:rFonts w:hint="eastAsia" w:ascii="楷体" w:hAnsi="楷体" w:eastAsia="仿宋" w:cs="Calibri"/>
                <w:sz w:val="24"/>
              </w:rPr>
            </w:pPr>
            <w:r>
              <w:rPr>
                <w:rFonts w:hint="eastAsia" w:ascii="楷体" w:hAnsi="楷体" w:eastAsia="仿宋" w:cs="Calibri"/>
                <w:sz w:val="24"/>
              </w:rPr>
              <w:t xml:space="preserve">            □接受：</w:t>
            </w:r>
          </w:p>
          <w:p w14:paraId="0271CE57">
            <w:pPr>
              <w:pStyle w:val="13"/>
              <w:spacing w:line="360" w:lineRule="auto"/>
              <w:jc w:val="left"/>
              <w:rPr>
                <w:rFonts w:hint="eastAsia" w:ascii="仿宋" w:hAnsi="仿宋" w:eastAsia="仿宋" w:cs="仿宋"/>
                <w:sz w:val="24"/>
                <w:szCs w:val="24"/>
              </w:rPr>
            </w:pPr>
            <w:r>
              <w:rPr>
                <w:rFonts w:hint="eastAsia" w:ascii="楷体" w:hAnsi="楷体" w:eastAsia="仿宋" w:cs="Calibri"/>
                <w:sz w:val="24"/>
              </w:rPr>
              <w:t>允许偏离的幅</w:t>
            </w:r>
            <w:r>
              <w:rPr>
                <w:rFonts w:hint="eastAsia" w:ascii="楷体" w:hAnsi="楷体" w:eastAsia="仿宋" w:cs="Calibri"/>
                <w:color w:val="000000"/>
                <w:sz w:val="24"/>
              </w:rPr>
              <w:t>度：</w:t>
            </w:r>
            <w:r>
              <w:rPr>
                <w:rFonts w:hint="eastAsia" w:ascii="宋体" w:hAnsi="宋体" w:eastAsia="仿宋" w:cs="Calibri"/>
                <w:color w:val="000000"/>
                <w:sz w:val="24"/>
              </w:rPr>
              <w:t>/</w:t>
            </w:r>
          </w:p>
        </w:tc>
      </w:tr>
      <w:tr w14:paraId="6514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5" w:type="dxa"/>
            <w:noWrap w:val="0"/>
            <w:vAlign w:val="center"/>
          </w:tcPr>
          <w:p w14:paraId="2077C7EB">
            <w:pPr>
              <w:wordWrap w:val="0"/>
              <w:spacing w:line="360" w:lineRule="auto"/>
              <w:jc w:val="center"/>
              <w:rPr>
                <w:rFonts w:hint="eastAsia" w:ascii="仿宋" w:hAnsi="仿宋" w:eastAsia="仿宋" w:cs="仿宋"/>
                <w:b/>
                <w:color w:val="000000"/>
                <w:sz w:val="24"/>
                <w:lang w:eastAsia="zh-CN"/>
              </w:rPr>
            </w:pPr>
            <w:r>
              <w:rPr>
                <w:rFonts w:hint="eastAsia" w:ascii="仿宋" w:hAnsi="仿宋" w:eastAsia="仿宋" w:cs="仿宋"/>
                <w:b/>
                <w:color w:val="000000"/>
                <w:sz w:val="24"/>
                <w:lang w:val="en-US" w:eastAsia="zh-CN"/>
              </w:rPr>
              <w:t>7</w:t>
            </w:r>
          </w:p>
        </w:tc>
        <w:tc>
          <w:tcPr>
            <w:tcW w:w="1252" w:type="dxa"/>
            <w:noWrap w:val="0"/>
            <w:vAlign w:val="center"/>
          </w:tcPr>
          <w:p w14:paraId="662667E9">
            <w:pPr>
              <w:wordWrap w:val="0"/>
              <w:spacing w:line="360" w:lineRule="auto"/>
              <w:jc w:val="center"/>
              <w:rPr>
                <w:rFonts w:hint="eastAsia" w:ascii="仿宋" w:hAnsi="仿宋" w:eastAsia="仿宋" w:cs="仿宋"/>
                <w:b/>
                <w:bCs/>
                <w:kern w:val="0"/>
                <w:sz w:val="24"/>
              </w:rPr>
            </w:pPr>
            <w:r>
              <w:rPr>
                <w:rFonts w:hint="eastAsia" w:ascii="仿宋" w:hAnsi="仿宋" w:eastAsia="仿宋" w:cs="仿宋"/>
                <w:b/>
                <w:color w:val="000000"/>
                <w:sz w:val="24"/>
              </w:rPr>
              <w:t>如是依法纳入医疗器械管理的须具有：</w:t>
            </w:r>
          </w:p>
        </w:tc>
        <w:tc>
          <w:tcPr>
            <w:tcW w:w="7910" w:type="dxa"/>
            <w:noWrap w:val="0"/>
            <w:vAlign w:val="center"/>
          </w:tcPr>
          <w:p w14:paraId="76A4FAB6">
            <w:pPr>
              <w:wordWrap w:val="0"/>
              <w:spacing w:line="360" w:lineRule="auto"/>
              <w:jc w:val="left"/>
              <w:rPr>
                <w:rFonts w:hint="eastAsia" w:ascii="仿宋" w:hAnsi="仿宋" w:eastAsia="仿宋" w:cs="仿宋"/>
                <w:b/>
                <w:color w:val="000000"/>
                <w:sz w:val="24"/>
              </w:rPr>
            </w:pPr>
            <w:r>
              <w:rPr>
                <w:rFonts w:hint="eastAsia" w:ascii="仿宋" w:hAnsi="仿宋" w:eastAsia="仿宋" w:cs="仿宋"/>
                <w:b/>
                <w:color w:val="000000"/>
                <w:sz w:val="24"/>
                <w:lang w:val="en-US" w:eastAsia="zh-CN"/>
              </w:rPr>
              <w:t>7.1</w:t>
            </w:r>
            <w:r>
              <w:rPr>
                <w:rFonts w:hint="eastAsia" w:ascii="仿宋" w:hAnsi="仿宋" w:eastAsia="仿宋" w:cs="仿宋"/>
                <w:b/>
                <w:color w:val="000000"/>
                <w:sz w:val="24"/>
              </w:rPr>
              <w:t>投标人为制造商的，须具有相应的医疗器械生产备案获取的备案编号（属于一类时）。</w:t>
            </w:r>
          </w:p>
          <w:p w14:paraId="3941B299">
            <w:pPr>
              <w:pStyle w:val="13"/>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lang w:val="en-US" w:eastAsia="zh-CN"/>
              </w:rPr>
              <w:t>7.2</w:t>
            </w:r>
            <w:r>
              <w:rPr>
                <w:rFonts w:hint="eastAsia" w:ascii="仿宋" w:hAnsi="仿宋" w:eastAsia="仿宋" w:cs="仿宋"/>
                <w:b/>
                <w:bCs/>
                <w:sz w:val="24"/>
                <w:szCs w:val="24"/>
              </w:rPr>
              <w:t>投标人须具有与投标产品相应的有效经营备案编号（属于二类时）；（如本次投标产品的注册人、备案人在其住所或者生产地址销售的，无需再办理医疗器械经营许可或备案。）。</w:t>
            </w:r>
          </w:p>
          <w:p w14:paraId="2EA46D1B">
            <w:pPr>
              <w:pStyle w:val="8"/>
              <w:spacing w:before="0" w:beforeAutospacing="0" w:after="0" w:afterAutospacing="0" w:line="360" w:lineRule="auto"/>
              <w:rPr>
                <w:rFonts w:hint="eastAsia" w:ascii="仿宋" w:hAnsi="仿宋" w:eastAsia="仿宋" w:cs="仿宋"/>
                <w:b/>
                <w:bCs/>
                <w:color w:val="auto"/>
              </w:rPr>
            </w:pPr>
            <w:r>
              <w:rPr>
                <w:rFonts w:hint="eastAsia" w:ascii="仿宋" w:hAnsi="仿宋" w:eastAsia="仿宋" w:cs="仿宋"/>
                <w:b/>
                <w:bCs/>
                <w:color w:val="auto"/>
                <w:lang w:val="en-US" w:eastAsia="zh-CN"/>
              </w:rPr>
              <w:t>7.3</w:t>
            </w:r>
            <w:r>
              <w:rPr>
                <w:rFonts w:hint="eastAsia" w:ascii="仿宋" w:hAnsi="仿宋" w:eastAsia="仿宋" w:cs="仿宋"/>
                <w:b/>
                <w:bCs/>
                <w:color w:val="auto"/>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r w14:paraId="1C69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5" w:type="dxa"/>
            <w:noWrap w:val="0"/>
            <w:vAlign w:val="center"/>
          </w:tcPr>
          <w:p w14:paraId="7A6ADF0E">
            <w:pPr>
              <w:wordWrap w:val="0"/>
              <w:spacing w:line="360" w:lineRule="auto"/>
              <w:jc w:val="center"/>
              <w:rPr>
                <w:rFonts w:hint="default" w:ascii="仿宋" w:hAnsi="仿宋" w:eastAsia="仿宋" w:cs="仿宋"/>
                <w:b/>
                <w:color w:val="000000"/>
                <w:sz w:val="24"/>
                <w:lang w:val="en-US" w:eastAsia="zh-CN"/>
              </w:rPr>
            </w:pPr>
            <w:r>
              <w:rPr>
                <w:rFonts w:hint="eastAsia" w:ascii="仿宋" w:hAnsi="仿宋" w:eastAsia="仿宋" w:cs="仿宋"/>
                <w:b/>
                <w:color w:val="000000"/>
                <w:sz w:val="24"/>
                <w:lang w:val="en-US" w:eastAsia="zh-CN"/>
              </w:rPr>
              <w:t>8</w:t>
            </w:r>
          </w:p>
        </w:tc>
        <w:tc>
          <w:tcPr>
            <w:tcW w:w="1252" w:type="dxa"/>
            <w:noWrap w:val="0"/>
            <w:vAlign w:val="center"/>
          </w:tcPr>
          <w:p w14:paraId="00C33357">
            <w:pPr>
              <w:wordWrap w:val="0"/>
              <w:spacing w:line="360" w:lineRule="auto"/>
              <w:jc w:val="center"/>
              <w:rPr>
                <w:rFonts w:hint="default" w:ascii="仿宋" w:hAnsi="仿宋" w:eastAsia="仿宋" w:cs="仿宋"/>
                <w:b/>
                <w:color w:val="000000"/>
                <w:sz w:val="24"/>
                <w:lang w:val="en-US" w:eastAsia="zh-CN"/>
              </w:rPr>
            </w:pPr>
            <w:r>
              <w:rPr>
                <w:rFonts w:hint="eastAsia" w:ascii="仿宋" w:hAnsi="仿宋" w:eastAsia="仿宋" w:cs="仿宋"/>
                <w:b/>
                <w:color w:val="000000"/>
                <w:sz w:val="24"/>
                <w:lang w:val="en-US" w:eastAsia="zh-CN"/>
              </w:rPr>
              <w:t>配置要求</w:t>
            </w:r>
          </w:p>
        </w:tc>
        <w:tc>
          <w:tcPr>
            <w:tcW w:w="7910" w:type="dxa"/>
            <w:noWrap w:val="0"/>
            <w:vAlign w:val="center"/>
          </w:tcPr>
          <w:p w14:paraId="3E1B35FA">
            <w:pPr>
              <w:keepNext w:val="0"/>
              <w:keepLines w:val="0"/>
              <w:widowControl w:val="0"/>
              <w:suppressLineNumbers w:val="0"/>
              <w:spacing w:before="0" w:beforeAutospacing="0" w:after="0" w:afterAutospacing="0" w:line="360" w:lineRule="auto"/>
              <w:ind w:right="0"/>
              <w:jc w:val="both"/>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bidi="ar"/>
              </w:rPr>
              <w:t>1．床旁辐射防护（悬吊铅帘铅屏）1套；</w:t>
            </w:r>
          </w:p>
          <w:p w14:paraId="606DC4D0">
            <w:pPr>
              <w:keepNext w:val="0"/>
              <w:keepLines w:val="0"/>
              <w:widowControl w:val="0"/>
              <w:suppressLineNumbers w:val="0"/>
              <w:spacing w:before="0" w:beforeAutospacing="0" w:after="0" w:afterAutospacing="0" w:line="360" w:lineRule="auto"/>
              <w:ind w:right="0"/>
              <w:jc w:val="both"/>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bidi="ar"/>
              </w:rPr>
              <w:t>2．随设备配置心脏介入、神经介入、外周介入等常用及高级临床功能软件。</w:t>
            </w:r>
          </w:p>
          <w:p w14:paraId="08A2E150">
            <w:pPr>
              <w:keepNext w:val="0"/>
              <w:keepLines w:val="0"/>
              <w:widowControl w:val="0"/>
              <w:suppressLineNumbers w:val="0"/>
              <w:spacing w:before="0" w:beforeAutospacing="0" w:after="0" w:afterAutospacing="0" w:line="360" w:lineRule="auto"/>
              <w:ind w:right="0"/>
              <w:jc w:val="both"/>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bidi="ar"/>
              </w:rPr>
              <w:t>3．悬吊型全身多功能机。</w:t>
            </w:r>
          </w:p>
          <w:p w14:paraId="1C6760F8">
            <w:pPr>
              <w:keepNext w:val="0"/>
              <w:keepLines w:val="0"/>
              <w:widowControl w:val="0"/>
              <w:suppressLineNumbers w:val="0"/>
              <w:spacing w:before="0" w:beforeAutospacing="0" w:after="0" w:afterAutospacing="0" w:line="360" w:lineRule="auto"/>
              <w:ind w:right="0"/>
              <w:jc w:val="both"/>
              <w:rPr>
                <w:rFonts w:hint="eastAsia" w:ascii="仿宋" w:hAnsi="仿宋" w:eastAsia="仿宋" w:cs="仿宋"/>
                <w:b/>
                <w:bCs/>
                <w:color w:val="auto"/>
                <w:lang w:val="en-US" w:eastAsia="zh-CN"/>
              </w:rPr>
            </w:pPr>
            <w:r>
              <w:rPr>
                <w:rFonts w:hint="eastAsia" w:ascii="仿宋" w:hAnsi="仿宋" w:eastAsia="仿宋" w:cs="仿宋"/>
                <w:b/>
                <w:bCs/>
                <w:kern w:val="2"/>
                <w:sz w:val="24"/>
                <w:szCs w:val="24"/>
                <w:lang w:val="en-US" w:eastAsia="zh-CN" w:bidi="ar"/>
              </w:rPr>
              <w:t>4．中标厂家须搭配一台50英寸以上壁挂式医用大屏和电刀（具备电切和电凝功能）一套。</w:t>
            </w:r>
          </w:p>
        </w:tc>
      </w:tr>
      <w:tr w14:paraId="4DC0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5" w:type="dxa"/>
            <w:noWrap w:val="0"/>
            <w:vAlign w:val="center"/>
          </w:tcPr>
          <w:p w14:paraId="388DBDA5">
            <w:pPr>
              <w:wordWrap w:val="0"/>
              <w:spacing w:line="360" w:lineRule="auto"/>
              <w:jc w:val="center"/>
              <w:rPr>
                <w:rFonts w:hint="default" w:ascii="仿宋" w:hAnsi="仿宋" w:eastAsia="仿宋" w:cs="仿宋"/>
                <w:b/>
                <w:color w:val="000000"/>
                <w:sz w:val="24"/>
                <w:lang w:val="en-US" w:eastAsia="zh-CN"/>
              </w:rPr>
            </w:pPr>
            <w:r>
              <w:rPr>
                <w:rFonts w:hint="eastAsia" w:ascii="仿宋" w:hAnsi="仿宋" w:eastAsia="仿宋" w:cs="仿宋"/>
                <w:b/>
                <w:color w:val="000000"/>
                <w:sz w:val="24"/>
                <w:lang w:val="en-US" w:eastAsia="zh-CN"/>
              </w:rPr>
              <w:t>9</w:t>
            </w:r>
          </w:p>
        </w:tc>
        <w:tc>
          <w:tcPr>
            <w:tcW w:w="1252" w:type="dxa"/>
            <w:noWrap w:val="0"/>
            <w:vAlign w:val="center"/>
          </w:tcPr>
          <w:p w14:paraId="30F6F129">
            <w:pPr>
              <w:wordWrap w:val="0"/>
              <w:spacing w:line="360" w:lineRule="auto"/>
              <w:jc w:val="center"/>
              <w:rPr>
                <w:rFonts w:hint="default" w:ascii="仿宋" w:hAnsi="仿宋" w:eastAsia="仿宋" w:cs="仿宋"/>
                <w:b/>
                <w:color w:val="000000"/>
                <w:sz w:val="24"/>
                <w:lang w:val="en-US" w:eastAsia="zh-CN"/>
              </w:rPr>
            </w:pPr>
            <w:r>
              <w:rPr>
                <w:rFonts w:hint="eastAsia" w:ascii="仿宋" w:hAnsi="仿宋" w:eastAsia="仿宋" w:cs="仿宋"/>
                <w:b/>
                <w:color w:val="000000"/>
                <w:sz w:val="24"/>
                <w:lang w:val="en-US" w:eastAsia="zh-CN"/>
              </w:rPr>
              <w:t>其他要求</w:t>
            </w:r>
          </w:p>
        </w:tc>
        <w:tc>
          <w:tcPr>
            <w:tcW w:w="7910" w:type="dxa"/>
            <w:noWrap w:val="0"/>
            <w:vAlign w:val="center"/>
          </w:tcPr>
          <w:p w14:paraId="3921038F">
            <w:pPr>
              <w:keepNext w:val="0"/>
              <w:keepLines w:val="0"/>
              <w:widowControl w:val="0"/>
              <w:suppressLineNumbers w:val="0"/>
              <w:spacing w:before="0" w:beforeAutospacing="0" w:after="0" w:afterAutospacing="0" w:line="360" w:lineRule="auto"/>
              <w:ind w:right="0"/>
              <w:jc w:val="both"/>
              <w:rPr>
                <w:rFonts w:hint="default" w:ascii="仿宋" w:hAnsi="仿宋" w:eastAsia="仿宋" w:cs="仿宋"/>
                <w:b/>
                <w:bCs/>
                <w:kern w:val="2"/>
                <w:sz w:val="24"/>
                <w:szCs w:val="24"/>
                <w:lang w:val="en-US" w:eastAsia="zh-CN" w:bidi="ar"/>
              </w:rPr>
            </w:pPr>
            <w:r>
              <w:rPr>
                <w:rFonts w:hint="eastAsia" w:ascii="仿宋" w:hAnsi="仿宋" w:eastAsia="仿宋" w:cs="仿宋"/>
                <w:b/>
                <w:bCs/>
                <w:kern w:val="2"/>
                <w:sz w:val="24"/>
                <w:szCs w:val="24"/>
                <w:lang w:val="en-US" w:eastAsia="zh-CN" w:bidi="ar"/>
              </w:rPr>
              <w:t>1、所投产品制造商须具有有效的辐射安全许可证，投标文件中提供证书扫描件，否则作为无效标处理。</w:t>
            </w:r>
          </w:p>
          <w:p w14:paraId="2B7574EF">
            <w:pPr>
              <w:keepNext w:val="0"/>
              <w:keepLines w:val="0"/>
              <w:widowControl w:val="0"/>
              <w:suppressLineNumbers w:val="0"/>
              <w:spacing w:before="0" w:beforeAutospacing="0" w:after="0" w:afterAutospacing="0" w:line="360" w:lineRule="auto"/>
              <w:ind w:right="0"/>
              <w:jc w:val="both"/>
              <w:rPr>
                <w:rFonts w:hint="eastAsia" w:ascii="仿宋" w:hAnsi="仿宋" w:eastAsia="仿宋" w:cs="仿宋"/>
                <w:b/>
                <w:bCs/>
                <w:kern w:val="2"/>
                <w:sz w:val="24"/>
                <w:szCs w:val="24"/>
                <w:lang w:val="en-US" w:eastAsia="zh-CN" w:bidi="ar"/>
              </w:rPr>
            </w:pPr>
            <w:r>
              <w:rPr>
                <w:rFonts w:hint="eastAsia" w:ascii="仿宋" w:hAnsi="仿宋" w:eastAsia="仿宋" w:cs="仿宋"/>
                <w:b/>
                <w:bCs/>
                <w:kern w:val="2"/>
                <w:sz w:val="24"/>
                <w:szCs w:val="24"/>
                <w:lang w:val="en-US" w:eastAsia="zh-CN" w:bidi="ar"/>
              </w:rPr>
              <w:t>2、投标单位需提供承诺函，承诺签订合同后供货前提供中标产品《产品技术标准(白皮书)》原件并加盖生产厂家公章，否则采购人有权解除合同、</w:t>
            </w:r>
            <w:r>
              <w:rPr>
                <w:rFonts w:hint="eastAsia" w:ascii="仿宋" w:hAnsi="仿宋" w:eastAsia="仿宋" w:cs="仿宋"/>
                <w:b/>
                <w:bCs/>
                <w:color w:val="000000"/>
                <w:kern w:val="0"/>
                <w:sz w:val="24"/>
                <w:lang w:bidi="ar"/>
              </w:rPr>
              <w:t>上报监管部门</w:t>
            </w:r>
            <w:bookmarkStart w:id="4" w:name="_GoBack"/>
            <w:bookmarkEnd w:id="4"/>
            <w:r>
              <w:rPr>
                <w:rFonts w:hint="eastAsia" w:ascii="仿宋" w:hAnsi="仿宋" w:eastAsia="仿宋" w:cs="仿宋"/>
                <w:b/>
                <w:bCs/>
                <w:kern w:val="2"/>
                <w:sz w:val="24"/>
                <w:szCs w:val="24"/>
                <w:lang w:val="en-US" w:eastAsia="zh-CN" w:bidi="ar"/>
              </w:rPr>
              <w:t>。</w:t>
            </w:r>
          </w:p>
        </w:tc>
      </w:tr>
    </w:tbl>
    <w:p w14:paraId="66542DE6">
      <w:pPr>
        <w:spacing w:line="360" w:lineRule="auto"/>
        <w:rPr>
          <w:rFonts w:hint="eastAsia" w:ascii="仿宋" w:hAnsi="仿宋" w:eastAsia="仿宋" w:cs="仿宋"/>
          <w:b/>
          <w:bCs/>
          <w:sz w:val="24"/>
          <w:szCs w:val="32"/>
        </w:rPr>
      </w:pPr>
      <w:r>
        <w:rPr>
          <w:rFonts w:hint="eastAsia" w:ascii="仿宋" w:hAnsi="仿宋" w:eastAsia="仿宋" w:cs="仿宋"/>
          <w:b/>
          <w:color w:val="000000"/>
          <w:sz w:val="24"/>
        </w:rPr>
        <w:t>注：上述</w:t>
      </w:r>
      <w:r>
        <w:rPr>
          <w:rFonts w:hint="eastAsia" w:ascii="仿宋" w:hAnsi="仿宋" w:eastAsia="仿宋" w:cs="仿宋"/>
          <w:b/>
          <w:sz w:val="24"/>
        </w:rPr>
        <w:t>商务条款必须全部满足，否则做无效投标处理。</w:t>
      </w:r>
    </w:p>
    <w:p w14:paraId="2BBA10D6">
      <w:pPr>
        <w:pStyle w:val="2"/>
        <w:widowControl/>
        <w:spacing w:line="360" w:lineRule="auto"/>
        <w:rPr>
          <w:rFonts w:hint="eastAsia" w:ascii="仿宋" w:hAnsi="仿宋" w:eastAsia="仿宋" w:cs="仿宋"/>
          <w:sz w:val="24"/>
          <w:szCs w:val="24"/>
        </w:rPr>
        <w:sectPr>
          <w:footnotePr>
            <w:numFmt w:val="decimalEnclosedCircleChinese"/>
            <w:numRestart w:val="eachPage"/>
          </w:footnotePr>
          <w:pgSz w:w="11906" w:h="16838"/>
          <w:pgMar w:top="1134" w:right="1134" w:bottom="1134" w:left="1134" w:header="851" w:footer="851" w:gutter="0"/>
          <w:cols w:space="720" w:num="1"/>
          <w:docGrid w:linePitch="312" w:charSpace="0"/>
        </w:sectPr>
      </w:pPr>
    </w:p>
    <w:p w14:paraId="5ABBE38C">
      <w:pPr>
        <w:pStyle w:val="4"/>
        <w:ind w:firstLine="0" w:firstLineChars="0"/>
        <w:rPr>
          <w:rFonts w:hint="eastAsia" w:ascii="仿宋_GB2312" w:hAnsi="仿宋_GB2312" w:eastAsia="仿宋_GB2312" w:cs="仿宋_GB2312"/>
          <w:b/>
          <w:color w:val="000000"/>
          <w:sz w:val="24"/>
        </w:rPr>
      </w:pPr>
      <w:r>
        <w:rPr>
          <w:rFonts w:hint="eastAsia" w:ascii="仿宋" w:hAnsi="仿宋" w:eastAsia="仿宋" w:cs="仿宋"/>
          <w:b/>
          <w:bCs/>
          <w:kern w:val="44"/>
          <w:sz w:val="24"/>
        </w:rPr>
        <w:t>（一）技术</w:t>
      </w:r>
      <w:r>
        <w:rPr>
          <w:rFonts w:hint="eastAsia" w:ascii="仿宋" w:hAnsi="仿宋" w:eastAsia="仿宋" w:cs="仿宋"/>
          <w:b/>
          <w:bCs/>
          <w:kern w:val="44"/>
          <w:sz w:val="24"/>
          <w:lang w:val="zh-CN"/>
        </w:rPr>
        <w:t>需求</w:t>
      </w:r>
      <w:r>
        <w:rPr>
          <w:rFonts w:hint="eastAsia" w:ascii="仿宋_GB2312" w:hAnsi="仿宋_GB2312" w:eastAsia="仿宋_GB2312" w:cs="仿宋_GB2312"/>
          <w:b/>
          <w:color w:val="000000"/>
          <w:sz w:val="24"/>
        </w:rPr>
        <w:t>重要性表述</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3"/>
        <w:gridCol w:w="1672"/>
        <w:gridCol w:w="5077"/>
      </w:tblGrid>
      <w:tr w14:paraId="5FDD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027" w:type="dxa"/>
            <w:noWrap w:val="0"/>
            <w:vAlign w:val="center"/>
          </w:tcPr>
          <w:p w14:paraId="1083273F">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标识重要性</w:t>
            </w:r>
          </w:p>
        </w:tc>
        <w:tc>
          <w:tcPr>
            <w:tcW w:w="1906" w:type="dxa"/>
            <w:noWrap w:val="0"/>
            <w:vAlign w:val="center"/>
          </w:tcPr>
          <w:p w14:paraId="05A9553A">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标识符号</w:t>
            </w:r>
          </w:p>
        </w:tc>
        <w:tc>
          <w:tcPr>
            <w:tcW w:w="5921" w:type="dxa"/>
            <w:noWrap w:val="0"/>
            <w:vAlign w:val="center"/>
          </w:tcPr>
          <w:p w14:paraId="3483C01E">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代表意思</w:t>
            </w:r>
          </w:p>
        </w:tc>
      </w:tr>
      <w:tr w14:paraId="767B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27" w:type="dxa"/>
            <w:noWrap w:val="0"/>
            <w:vAlign w:val="center"/>
          </w:tcPr>
          <w:p w14:paraId="52B3A5FC">
            <w:pPr>
              <w:widowControl/>
              <w:spacing w:line="360" w:lineRule="auto"/>
              <w:jc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bidi="ar"/>
              </w:rPr>
              <w:t>关键指标项</w:t>
            </w:r>
          </w:p>
        </w:tc>
        <w:tc>
          <w:tcPr>
            <w:tcW w:w="1906" w:type="dxa"/>
            <w:noWrap w:val="0"/>
            <w:vAlign w:val="center"/>
          </w:tcPr>
          <w:p w14:paraId="0DEF99F9">
            <w:pPr>
              <w:widowControl/>
              <w:spacing w:line="360" w:lineRule="auto"/>
              <w:jc w:val="center"/>
              <w:rPr>
                <w:rFonts w:hint="eastAsia" w:ascii="宋体" w:hAnsi="宋体" w:cs="宋体"/>
              </w:rPr>
            </w:pPr>
            <w:r>
              <w:rPr>
                <w:rFonts w:hint="eastAsia" w:ascii="仿宋" w:hAnsi="仿宋" w:eastAsia="仿宋" w:cs="仿宋"/>
                <w:b/>
                <w:bCs/>
                <w:kern w:val="2"/>
                <w:sz w:val="24"/>
                <w:szCs w:val="24"/>
                <w:lang w:val="en-US" w:eastAsia="zh-CN" w:bidi="ar"/>
              </w:rPr>
              <w:t>★</w:t>
            </w:r>
          </w:p>
        </w:tc>
        <w:tc>
          <w:tcPr>
            <w:tcW w:w="5921" w:type="dxa"/>
            <w:noWrap w:val="0"/>
            <w:vAlign w:val="center"/>
          </w:tcPr>
          <w:p w14:paraId="598A82D8">
            <w:pPr>
              <w:widowControl/>
              <w:spacing w:line="360" w:lineRule="auto"/>
              <w:jc w:val="center"/>
              <w:rPr>
                <w:rFonts w:hint="default" w:ascii="仿宋" w:hAnsi="仿宋" w:eastAsia="仿宋" w:cs="仿宋"/>
                <w:color w:val="000000"/>
                <w:kern w:val="0"/>
                <w:sz w:val="24"/>
                <w:lang w:val="en-US" w:bidi="ar"/>
              </w:rPr>
            </w:pPr>
            <w:r>
              <w:rPr>
                <w:rFonts w:hint="eastAsia" w:ascii="仿宋" w:hAnsi="仿宋" w:eastAsia="仿宋" w:cs="仿宋"/>
                <w:b/>
                <w:bCs/>
                <w:kern w:val="2"/>
                <w:sz w:val="24"/>
                <w:szCs w:val="24"/>
                <w:lang w:val="en-US" w:eastAsia="zh-CN" w:bidi="ar"/>
              </w:rPr>
              <w:t>负偏离或未响应，作无效标处理</w:t>
            </w:r>
          </w:p>
        </w:tc>
      </w:tr>
      <w:tr w14:paraId="329F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27" w:type="dxa"/>
            <w:noWrap w:val="0"/>
            <w:vAlign w:val="center"/>
          </w:tcPr>
          <w:p w14:paraId="583DA14C">
            <w:pPr>
              <w:widowControl/>
              <w:spacing w:line="360" w:lineRule="auto"/>
              <w:jc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重要指标项</w:t>
            </w:r>
          </w:p>
        </w:tc>
        <w:tc>
          <w:tcPr>
            <w:tcW w:w="1906" w:type="dxa"/>
            <w:noWrap w:val="0"/>
            <w:vAlign w:val="center"/>
          </w:tcPr>
          <w:p w14:paraId="591F53B8">
            <w:pPr>
              <w:widowControl/>
              <w:spacing w:line="360" w:lineRule="auto"/>
              <w:jc w:val="center"/>
              <w:rPr>
                <w:rFonts w:hint="eastAsia" w:ascii="仿宋" w:hAnsi="仿宋" w:eastAsia="仿宋" w:cs="仿宋"/>
                <w:b/>
                <w:bCs/>
                <w:color w:val="000000"/>
                <w:sz w:val="24"/>
              </w:rPr>
            </w:pPr>
            <w:r>
              <w:rPr>
                <w:rFonts w:hint="eastAsia" w:ascii="仿宋" w:hAnsi="仿宋" w:eastAsia="仿宋" w:cs="仿宋"/>
                <w:kern w:val="2"/>
                <w:sz w:val="24"/>
                <w:szCs w:val="24"/>
                <w:lang w:val="en-US" w:eastAsia="zh-CN" w:bidi="ar"/>
              </w:rPr>
              <w:t>█</w:t>
            </w:r>
          </w:p>
        </w:tc>
        <w:tc>
          <w:tcPr>
            <w:tcW w:w="5921" w:type="dxa"/>
            <w:noWrap w:val="0"/>
            <w:vAlign w:val="center"/>
          </w:tcPr>
          <w:p w14:paraId="00DD2793">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0480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27" w:type="dxa"/>
            <w:noWrap w:val="0"/>
            <w:vAlign w:val="center"/>
          </w:tcPr>
          <w:p w14:paraId="7C7387CB">
            <w:pPr>
              <w:widowControl/>
              <w:spacing w:line="360" w:lineRule="auto"/>
              <w:jc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主要指标项</w:t>
            </w:r>
          </w:p>
        </w:tc>
        <w:tc>
          <w:tcPr>
            <w:tcW w:w="1906" w:type="dxa"/>
            <w:noWrap w:val="0"/>
            <w:vAlign w:val="center"/>
          </w:tcPr>
          <w:p w14:paraId="506A1EDB">
            <w:pPr>
              <w:widowControl/>
              <w:spacing w:line="360" w:lineRule="auto"/>
              <w:jc w:val="center"/>
              <w:rPr>
                <w:rFonts w:hint="eastAsia" w:ascii="仿宋" w:hAnsi="仿宋" w:eastAsia="仿宋" w:cs="仿宋"/>
                <w:kern w:val="2"/>
                <w:sz w:val="24"/>
                <w:szCs w:val="24"/>
                <w:lang w:val="en-US" w:eastAsia="zh-CN" w:bidi="ar"/>
              </w:rPr>
            </w:pPr>
            <w:r>
              <w:rPr>
                <w:rFonts w:hint="eastAsia" w:ascii="仿宋" w:hAnsi="仿宋" w:eastAsia="仿宋" w:cs="仿宋"/>
                <w:b/>
                <w:bCs/>
                <w:kern w:val="2"/>
                <w:sz w:val="24"/>
                <w:szCs w:val="24"/>
                <w:lang w:val="en-US" w:eastAsia="zh-CN" w:bidi="ar"/>
              </w:rPr>
              <w:t>●</w:t>
            </w:r>
          </w:p>
        </w:tc>
        <w:tc>
          <w:tcPr>
            <w:tcW w:w="5921" w:type="dxa"/>
            <w:noWrap w:val="0"/>
            <w:vAlign w:val="center"/>
          </w:tcPr>
          <w:p w14:paraId="23A0DEDB">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7EC8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027" w:type="dxa"/>
            <w:noWrap w:val="0"/>
            <w:vAlign w:val="center"/>
          </w:tcPr>
          <w:p w14:paraId="3F1E76BF">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一般指标项</w:t>
            </w:r>
          </w:p>
        </w:tc>
        <w:tc>
          <w:tcPr>
            <w:tcW w:w="1906" w:type="dxa"/>
            <w:noWrap w:val="0"/>
            <w:vAlign w:val="center"/>
          </w:tcPr>
          <w:p w14:paraId="0316D5FD">
            <w:pPr>
              <w:spacing w:line="360" w:lineRule="auto"/>
              <w:jc w:val="center"/>
              <w:rPr>
                <w:rFonts w:hint="eastAsia" w:ascii="仿宋" w:hAnsi="仿宋" w:eastAsia="仿宋" w:cs="仿宋"/>
                <w:sz w:val="24"/>
              </w:rPr>
            </w:pPr>
            <w:r>
              <w:rPr>
                <w:rFonts w:hint="eastAsia" w:ascii="仿宋" w:hAnsi="仿宋" w:eastAsia="仿宋" w:cs="仿宋"/>
                <w:sz w:val="24"/>
              </w:rPr>
              <w:t>无标识项</w:t>
            </w:r>
          </w:p>
        </w:tc>
        <w:tc>
          <w:tcPr>
            <w:tcW w:w="5921" w:type="dxa"/>
            <w:noWrap w:val="0"/>
            <w:vAlign w:val="center"/>
          </w:tcPr>
          <w:p w14:paraId="093510B9">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7CAFA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54" w:type="dxa"/>
            <w:gridSpan w:val="3"/>
            <w:noWrap w:val="0"/>
            <w:vAlign w:val="center"/>
          </w:tcPr>
          <w:p w14:paraId="42E2B02D">
            <w:pPr>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注：</w:t>
            </w:r>
            <w:r>
              <w:rPr>
                <w:rFonts w:hint="eastAsia" w:ascii="仿宋" w:hAnsi="仿宋" w:eastAsia="仿宋" w:cs="仿宋"/>
                <w:b/>
                <w:bCs/>
                <w:color w:val="000000"/>
                <w:kern w:val="0"/>
                <w:sz w:val="24"/>
                <w:lang w:val="en-US" w:eastAsia="zh-CN" w:bidi="ar"/>
              </w:rPr>
              <w:t>1、</w:t>
            </w:r>
            <w:r>
              <w:rPr>
                <w:rFonts w:hint="eastAsia" w:ascii="仿宋" w:hAnsi="仿宋" w:eastAsia="仿宋" w:cs="仿宋"/>
                <w:b/>
                <w:bCs/>
                <w:color w:val="000000"/>
                <w:kern w:val="0"/>
                <w:sz w:val="24"/>
                <w:lang w:bidi="ar"/>
              </w:rPr>
              <w:t>投标人须如实响应，如在后期合同履约过程中，发现有虚假响应情况，招标人有权解除合同、不予退还履约保证金、不予支付合同款项，且上报监管部门并追究中标人给采购人带来的一切损失。</w:t>
            </w:r>
          </w:p>
          <w:p w14:paraId="4B9E462B">
            <w:pPr>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val="en-US" w:eastAsia="zh-CN" w:bidi="ar"/>
              </w:rPr>
              <w:t>2、</w:t>
            </w:r>
            <w:r>
              <w:rPr>
                <w:rFonts w:hint="eastAsia" w:ascii="仿宋" w:hAnsi="仿宋" w:eastAsia="仿宋" w:cs="仿宋"/>
                <w:b/>
                <w:bCs/>
                <w:color w:val="000000"/>
                <w:kern w:val="0"/>
                <w:sz w:val="24"/>
                <w:lang w:bidi="ar"/>
              </w:rPr>
              <w:t>标“</w:t>
            </w:r>
            <w:r>
              <w:rPr>
                <w:rFonts w:hint="eastAsia" w:ascii="仿宋" w:hAnsi="仿宋" w:eastAsia="仿宋" w:cs="仿宋"/>
                <w:b/>
                <w:bCs/>
                <w:color w:val="000000"/>
                <w:kern w:val="0"/>
                <w:sz w:val="24"/>
                <w:lang w:val="en-US" w:eastAsia="zh-CN" w:bidi="ar"/>
              </w:rPr>
              <w:t>★</w:t>
            </w:r>
            <w:r>
              <w:rPr>
                <w:rFonts w:hint="eastAsia" w:ascii="仿宋" w:hAnsi="仿宋" w:eastAsia="仿宋" w:cs="仿宋"/>
                <w:b/>
                <w:bCs/>
                <w:color w:val="000000"/>
                <w:kern w:val="0"/>
                <w:sz w:val="24"/>
                <w:lang w:bidi="ar"/>
              </w:rPr>
              <w:t>”的</w:t>
            </w:r>
            <w:r>
              <w:rPr>
                <w:rFonts w:hint="eastAsia" w:ascii="仿宋" w:hAnsi="仿宋" w:eastAsia="仿宋" w:cs="仿宋"/>
                <w:b/>
                <w:bCs/>
                <w:color w:val="000000"/>
                <w:kern w:val="0"/>
                <w:sz w:val="24"/>
                <w:lang w:val="en-US" w:eastAsia="zh-CN" w:bidi="ar"/>
              </w:rPr>
              <w:t>参数</w:t>
            </w:r>
            <w:r>
              <w:rPr>
                <w:rFonts w:hint="eastAsia" w:ascii="仿宋" w:hAnsi="仿宋" w:eastAsia="仿宋" w:cs="仿宋"/>
                <w:b/>
                <w:bCs/>
                <w:color w:val="000000"/>
                <w:kern w:val="0"/>
                <w:sz w:val="24"/>
                <w:lang w:bidi="ar"/>
              </w:rPr>
              <w:t>，招标文件要求提供证明材料的按照要求提供，未明确要求提供证明材料，须在投标文件中自行提供相关证明材料（包括不限于产品彩页或操作界面截图或产品技术白皮书或产品检测报告等），且提供的证明材料须在投标文件中标明对应的参数页码；未提供或提供的不符要求的可视为负偏离</w:t>
            </w:r>
            <w:r>
              <w:rPr>
                <w:rFonts w:hint="eastAsia" w:ascii="仿宋" w:hAnsi="仿宋" w:eastAsia="仿宋" w:cs="仿宋"/>
                <w:b/>
                <w:bCs/>
                <w:kern w:val="2"/>
                <w:sz w:val="24"/>
                <w:szCs w:val="24"/>
                <w:lang w:val="en-US" w:eastAsia="zh-CN" w:bidi="ar"/>
              </w:rPr>
              <w:t>或未响应</w:t>
            </w: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val="en-US" w:eastAsia="zh-CN" w:bidi="ar"/>
              </w:rPr>
              <w:t>作无效标处理</w:t>
            </w:r>
            <w:r>
              <w:rPr>
                <w:rFonts w:hint="eastAsia" w:ascii="仿宋" w:hAnsi="仿宋" w:eastAsia="仿宋" w:cs="仿宋"/>
                <w:b/>
                <w:bCs/>
                <w:color w:val="000000"/>
                <w:kern w:val="0"/>
                <w:sz w:val="24"/>
                <w:lang w:bidi="ar"/>
              </w:rPr>
              <w:t>。</w:t>
            </w:r>
          </w:p>
        </w:tc>
      </w:tr>
    </w:tbl>
    <w:p w14:paraId="430C0FB2">
      <w:pPr>
        <w:widowControl/>
        <w:spacing w:line="360" w:lineRule="auto"/>
        <w:jc w:val="left"/>
        <w:rPr>
          <w:rFonts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（二）技术要求</w:t>
      </w:r>
    </w:p>
    <w:p w14:paraId="58B22D5C">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一、机架系统：</w:t>
      </w:r>
    </w:p>
    <w:p w14:paraId="7EFB710E">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1.具备机架感应防碰撞功能；</w:t>
      </w:r>
    </w:p>
    <w:p w14:paraId="5F574C30">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2.C形臂弧深≥90cm；</w:t>
      </w:r>
    </w:p>
    <w:p w14:paraId="460CAD44">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3.SID范围≥30cm；</w:t>
      </w:r>
    </w:p>
    <w:p w14:paraId="2D921103">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二、高压发生器：</w:t>
      </w:r>
    </w:p>
    <w:p w14:paraId="16B5DA26">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4.最小管电压≤50kV；</w:t>
      </w:r>
    </w:p>
    <w:p w14:paraId="268CE5FD">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5.高压发生器最大输出电功率：≥100kW；</w:t>
      </w:r>
    </w:p>
    <w:p w14:paraId="0722360A">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三、导管床：</w:t>
      </w:r>
    </w:p>
    <w:p w14:paraId="5A43961A">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6.床位最低高度≤78cm；</w:t>
      </w:r>
    </w:p>
    <w:p w14:paraId="0FB7A0B7">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7.床面水平旋转角度≥240°；</w:t>
      </w:r>
    </w:p>
    <w:p w14:paraId="12AA30CA">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8.床长度（含延长板）≥305cm；</w:t>
      </w:r>
    </w:p>
    <w:p w14:paraId="65BE711B">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9.床的最大物理承重≥300kg；</w:t>
      </w:r>
    </w:p>
    <w:p w14:paraId="11580794">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四、球管：</w:t>
      </w:r>
    </w:p>
    <w:p w14:paraId="3A15D7A7">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bidi="ar"/>
        </w:rPr>
        <w:t>█10.阳极热容量≥4.0MHU；</w:t>
      </w:r>
    </w:p>
    <w:p w14:paraId="1C074681">
      <w:pPr>
        <w:keepNext w:val="0"/>
        <w:keepLines w:val="0"/>
        <w:widowControl w:val="0"/>
        <w:suppressLineNumbers w:val="0"/>
        <w:tabs>
          <w:tab w:val="left" w:pos="312"/>
        </w:tabs>
        <w:spacing w:before="0" w:beforeAutospacing="0" w:after="0" w:afterAutospacing="0" w:line="360" w:lineRule="auto"/>
        <w:ind w:left="48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11.球管焦点数≥2；</w:t>
      </w:r>
    </w:p>
    <w:p w14:paraId="364F4C17">
      <w:pPr>
        <w:keepNext w:val="0"/>
        <w:keepLines w:val="0"/>
        <w:widowControl w:val="0"/>
        <w:suppressLineNumbers w:val="0"/>
        <w:tabs>
          <w:tab w:val="left" w:pos="312"/>
        </w:tabs>
        <w:spacing w:before="0" w:beforeAutospacing="0" w:after="0" w:afterAutospacing="0" w:line="360" w:lineRule="auto"/>
        <w:ind w:left="48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五、探测器：</w:t>
      </w:r>
    </w:p>
    <w:p w14:paraId="4A72EB9F">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bidi="ar"/>
        </w:rPr>
        <w:t>█12.具有数字平板探测器成像尺寸≥38*29cm；</w:t>
      </w:r>
    </w:p>
    <w:p w14:paraId="41E1258E">
      <w:pPr>
        <w:keepNext w:val="0"/>
        <w:keepLines w:val="0"/>
        <w:widowControl w:val="0"/>
        <w:suppressLineNumbers w:val="0"/>
        <w:tabs>
          <w:tab w:val="left" w:pos="312"/>
        </w:tabs>
        <w:spacing w:before="0" w:beforeAutospacing="0" w:after="0" w:afterAutospacing="0" w:line="360" w:lineRule="auto"/>
        <w:ind w:left="48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13.视野可调节数量≥4个；</w:t>
      </w:r>
    </w:p>
    <w:p w14:paraId="1049D555">
      <w:pPr>
        <w:keepNext w:val="0"/>
        <w:keepLines w:val="0"/>
        <w:widowControl w:val="0"/>
        <w:suppressLineNumbers w:val="0"/>
        <w:tabs>
          <w:tab w:val="left" w:pos="312"/>
        </w:tabs>
        <w:spacing w:before="0" w:beforeAutospacing="0" w:after="0" w:afterAutospacing="0" w:line="360" w:lineRule="auto"/>
        <w:ind w:left="48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14.图像空间分辨率≥2.5LP/mm；</w:t>
      </w:r>
    </w:p>
    <w:p w14:paraId="49973927">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15.最大灰阶≥14bit；</w:t>
      </w:r>
    </w:p>
    <w:p w14:paraId="0AAFA19F">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16.平板像素尺寸≤200μm；</w:t>
      </w:r>
    </w:p>
    <w:p w14:paraId="263242B1">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六、显示系统：</w:t>
      </w:r>
    </w:p>
    <w:p w14:paraId="025433FB">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17.具有透视图像实时储存功能≥900张；</w:t>
      </w:r>
    </w:p>
    <w:p w14:paraId="2779AD25">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bidi="ar"/>
        </w:rPr>
        <w:t>●18.检查室显示屏≥55英寸，8M专业医学影像显示屏；或≥4*19英寸，专业医学影像显示屏；</w:t>
      </w:r>
    </w:p>
    <w:p w14:paraId="25EB8295">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19.具备图像处理采集系统，存储容量≥6.5万张（1k图像，14bit）；</w:t>
      </w:r>
    </w:p>
    <w:p w14:paraId="5AAAC0C9">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bidi="ar"/>
        </w:rPr>
        <w:t>七、提供临床功能软件：</w:t>
      </w:r>
    </w:p>
    <w:p w14:paraId="0CA3EC27">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bidi="ar"/>
        </w:rPr>
        <w:t>★20.血管机配置CBCT功能；</w:t>
      </w:r>
    </w:p>
    <w:p w14:paraId="108CC95C">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bidi="ar"/>
        </w:rPr>
        <w:t>★21.配置多模态影像融合功能，可与CT，MR影像融合，进行融合导航；</w:t>
      </w:r>
    </w:p>
    <w:p w14:paraId="2B37B066">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bidi="ar"/>
        </w:rPr>
        <w:t>★22.配置原厂三维后处理重建功能软件及硬件；</w:t>
      </w:r>
    </w:p>
    <w:p w14:paraId="1A5BBA3F">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bidi="ar"/>
        </w:rPr>
        <w:t>★23.配置支架清晰显影功能；</w:t>
      </w:r>
    </w:p>
    <w:p w14:paraId="5F6FFAE5">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bidi="ar"/>
        </w:rPr>
        <w:t>★24.配置下肢步进功能；</w:t>
      </w:r>
    </w:p>
    <w:p w14:paraId="6B6D8183">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bidi="ar"/>
        </w:rPr>
        <w:t>★25.提供原厂高清低剂量算法平台，厂家提供各自最新的原厂独立高清低剂量算法；</w:t>
      </w:r>
    </w:p>
    <w:p w14:paraId="2326C283">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w:t>
      </w:r>
    </w:p>
    <w:p w14:paraId="7A3B7300">
      <w:pPr>
        <w:widowControl/>
        <w:spacing w:line="360" w:lineRule="auto"/>
        <w:jc w:val="left"/>
        <w:rPr>
          <w:rFonts w:hint="eastAsia" w:ascii="仿宋" w:hAnsi="仿宋" w:eastAsia="仿宋" w:cs="仿宋"/>
          <w:color w:val="000000"/>
          <w:kern w:val="0"/>
          <w:sz w:val="24"/>
          <w:lang w:bidi="ar"/>
        </w:rPr>
      </w:pPr>
    </w:p>
    <w:p w14:paraId="40BD0320">
      <w:pPr>
        <w:pStyle w:val="4"/>
        <w:numPr>
          <w:ilvl w:val="0"/>
          <w:numId w:val="1"/>
        </w:numPr>
        <w:spacing w:line="360" w:lineRule="auto"/>
        <w:ind w:firstLine="0" w:firstLineChars="0"/>
        <w:rPr>
          <w:rFonts w:hint="eastAsia" w:ascii="仿宋" w:hAnsi="仿宋" w:eastAsia="仿宋" w:cs="仿宋"/>
          <w:b/>
          <w:color w:val="000000"/>
          <w:sz w:val="24"/>
        </w:rPr>
      </w:pPr>
      <w:r>
        <w:rPr>
          <w:rFonts w:hint="eastAsia" w:ascii="仿宋" w:hAnsi="仿宋" w:eastAsia="仿宋" w:cs="仿宋"/>
          <w:b/>
          <w:color w:val="000000"/>
          <w:sz w:val="24"/>
        </w:rPr>
        <w:t>其他配套要求：</w:t>
      </w:r>
    </w:p>
    <w:p w14:paraId="5878A220">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（一）应急服务要求</w:t>
      </w:r>
    </w:p>
    <w:p w14:paraId="3DFF811E">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1.备品备件：中标人提供能够满足质量保证期内的设备维修要求的备品备件，备品备件应是新品。中标人应保证10年以上零部件供应期，并对设备故障等突发状况及时响应。</w:t>
      </w:r>
    </w:p>
    <w:p w14:paraId="4501176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2.专用工具：中标人提供设备安装、调试、验收、维修、保养所必要的专用工具、仪器、仪表等工具。</w:t>
      </w:r>
    </w:p>
    <w:p w14:paraId="79C7E13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 接到报修后应及时响应，若未及时修复设备故障，应提供备用设备供院方使用。</w:t>
      </w:r>
    </w:p>
    <w:p w14:paraId="207E113E">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（二）安装调试、验收试验及质量保证</w:t>
      </w:r>
    </w:p>
    <w:p w14:paraId="0D4BD0A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1.中标人在设备安装地点负责安装、调试。</w:t>
      </w:r>
    </w:p>
    <w:p w14:paraId="339A115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2.具体设备验收标准和程序按采购人要求执行，下列验收程序可参照执行：</w:t>
      </w:r>
    </w:p>
    <w:p w14:paraId="620609F5">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51916846">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1740F17B">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2.3中标人应根据采购人使用单位的技术要求提供相应的产品。由中标人所提供的设备部件间的连线和插接件均应视为设备内部器件，包含在相应的设备之中；</w:t>
      </w:r>
    </w:p>
    <w:p w14:paraId="009BAC42">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2.4运行测试及最终验收。在系统安装、调试结束后，采购人对其进行全面的测试，对测试中暴露出来的问题，中标人应及时进行整改，系统最终测试完毕经验收合格后，采购人应向中标人签发最终验收证明；</w:t>
      </w:r>
    </w:p>
    <w:p w14:paraId="3327D068">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1E6C87FC">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2.6如设备在验收时有一个或多个指标未能达到要求而属于中标人责任时，则中标人自费采取有效措施，在规定时间内使之达到保证指标。如在规定的时间内仍达不到合格标准时，则中标人应向采购人赔偿。</w:t>
      </w:r>
    </w:p>
    <w:p w14:paraId="04A579A9">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（三）包装运输</w:t>
      </w:r>
    </w:p>
    <w:p w14:paraId="6E1B8C25">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1.中标人负责设备包装、办理运输和保险，将设备安全运抵交货地点。</w:t>
      </w:r>
    </w:p>
    <w:p w14:paraId="2F30EDF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2.设备制造完成并通过试验后应及时包装，否则应得到切实的保护，确保其不受污损。</w:t>
      </w:r>
    </w:p>
    <w:p w14:paraId="00F3266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3.在包装箱外应标明采购人的订货号、发货号。</w:t>
      </w:r>
    </w:p>
    <w:p w14:paraId="75A72774">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4.各种包装应能确保各零部件在运输过程中不致遭到损坏、丢失、变形、受潮和腐蚀。</w:t>
      </w:r>
    </w:p>
    <w:p w14:paraId="2F61909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5.包装箱上应有明显的包装储运图示标志。</w:t>
      </w:r>
    </w:p>
    <w:p w14:paraId="34E68DBE">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6.整体产品或分别运输的部件都要适应运输和装载的要求。</w:t>
      </w:r>
    </w:p>
    <w:p w14:paraId="69F573D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7.随产品提供的技术资料应完整无缺。</w:t>
      </w:r>
    </w:p>
    <w:p w14:paraId="71C239B7">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（四）培训要求</w:t>
      </w:r>
    </w:p>
    <w:p w14:paraId="3EB4177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技术人员厂方培训：维修维护不少于1人，设备培训时间不低于3天，有详细的技术培训方案和完整规范的培训资料，培训结束获得厂方授权或资质许可，交通、食宿、资料、工具材料等所有与培训相关的费用包含在投标报价中。设备使用培训：不少于2-4人，直至完全掌握设备应用技术，并获厂方资质许可；交通、食宿、资料、工具材料等所有与培训相关的费用包含在投标报价中。</w:t>
      </w:r>
    </w:p>
    <w:p w14:paraId="29078C5E">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（五）质保及售后服务</w:t>
      </w:r>
    </w:p>
    <w:p w14:paraId="0F29137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1.自双方签订《验收报告》起进入质保期。</w:t>
      </w:r>
    </w:p>
    <w:p w14:paraId="54925944">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在质保期间内，非采购人过失和故意并且在正常使用的情况下发现商品有缺陷，中标人将免费修理或替换该设备；在质保期间内，非采购人过失和故意并且在正常使用的情况下设备发生故障，中标人应及时提供服务</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val="en-US" w:eastAsia="zh-CN" w:bidi="ar"/>
        </w:rPr>
        <w:t>费用包含在投标总报价中</w:t>
      </w:r>
      <w:r>
        <w:rPr>
          <w:rFonts w:hint="eastAsia" w:ascii="仿宋" w:hAnsi="仿宋" w:eastAsia="仿宋" w:cs="仿宋"/>
          <w:color w:val="000000"/>
          <w:kern w:val="0"/>
          <w:sz w:val="24"/>
          <w:lang w:bidi="ar"/>
        </w:rPr>
        <w:t>。</w:t>
      </w:r>
    </w:p>
    <w:p w14:paraId="17480945">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（六）其他</w:t>
      </w:r>
    </w:p>
    <w:p w14:paraId="3DE9B155">
      <w:r>
        <w:rPr>
          <w:rFonts w:hint="eastAsia" w:ascii="仿宋" w:hAnsi="仿宋" w:eastAsia="仿宋" w:cs="仿宋"/>
          <w:color w:val="000000"/>
          <w:kern w:val="0"/>
          <w:sz w:val="24"/>
          <w:lang w:bidi="ar"/>
        </w:rPr>
        <w:t>1.投标人所投产品应为性能稳定、安全的成熟设备，故障率低、维修便利，并在投标文件中针对所投产品技术先进性、设备性能、配置情况、设计等方面进行阐述说明，提供相应证明材料。</w:t>
      </w:r>
      <w:r>
        <w:rPr>
          <w:rFonts w:hint="eastAsia" w:ascii="宋体" w:hAnsi="宋体"/>
          <w:color w:val="000000"/>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Kingsoft U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1AB2AC"/>
    <w:multiLevelType w:val="singleLevel"/>
    <w:tmpl w:val="FE1AB2AC"/>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61102C"/>
    <w:rsid w:val="358D1483"/>
    <w:rsid w:val="422F5AA7"/>
    <w:rsid w:val="45EF52CA"/>
    <w:rsid w:val="5B01542B"/>
    <w:rsid w:val="5D635F29"/>
    <w:rsid w:val="6BDF712E"/>
    <w:rsid w:val="6C296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beforeLines="0" w:after="260" w:afterLines="0" w:line="416" w:lineRule="auto"/>
      <w:outlineLvl w:val="1"/>
    </w:pPr>
    <w:rPr>
      <w:rFonts w:ascii="Cambria" w:hAnsi="Cambria"/>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next w:val="5"/>
    <w:uiPriority w:val="0"/>
    <w:pPr>
      <w:ind w:firstLine="420" w:firstLineChars="200"/>
    </w:pPr>
  </w:style>
  <w:style w:type="paragraph" w:styleId="5">
    <w:name w:val="Body Text First Indent 2"/>
    <w:basedOn w:val="6"/>
    <w:qFormat/>
    <w:uiPriority w:val="99"/>
    <w:pPr>
      <w:spacing w:after="0"/>
      <w:ind w:left="0" w:leftChars="0" w:firstLine="420"/>
    </w:pPr>
    <w:rPr>
      <w:rFonts w:ascii="楷体_GB2312" w:eastAsia="楷体_GB2312"/>
      <w:sz w:val="32"/>
    </w:rPr>
  </w:style>
  <w:style w:type="paragraph" w:styleId="6">
    <w:name w:val="Body Text Indent"/>
    <w:basedOn w:val="1"/>
    <w:next w:val="7"/>
    <w:qFormat/>
    <w:uiPriority w:val="99"/>
    <w:pPr>
      <w:spacing w:after="120" w:afterLines="0"/>
      <w:ind w:left="420" w:leftChars="200"/>
    </w:pPr>
  </w:style>
  <w:style w:type="paragraph" w:styleId="7">
    <w:name w:val="envelope return"/>
    <w:basedOn w:val="1"/>
    <w:qFormat/>
    <w:uiPriority w:val="99"/>
    <w:pPr>
      <w:snapToGrid w:val="0"/>
    </w:pPr>
    <w:rPr>
      <w:rFonts w:ascii="Arial" w:hAnsi="Arial"/>
    </w:rPr>
  </w:style>
  <w:style w:type="paragraph" w:styleId="8">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character" w:customStyle="1" w:styleId="11">
    <w:name w:val="标题 2 Char Char"/>
    <w:qFormat/>
    <w:uiPriority w:val="0"/>
    <w:rPr>
      <w:rFonts w:ascii="Arial" w:hAnsi="Arial" w:eastAsia="黑体" w:cs="Times New Roman"/>
      <w:b/>
      <w:bCs/>
      <w:kern w:val="2"/>
      <w:sz w:val="32"/>
      <w:szCs w:val="32"/>
      <w:lang w:val="en-US" w:eastAsia="zh-CN" w:bidi="ar-SA"/>
    </w:rPr>
  </w:style>
  <w:style w:type="paragraph" w:customStyle="1" w:styleId="12">
    <w:name w:val="列出段落1"/>
    <w:basedOn w:val="1"/>
    <w:qFormat/>
    <w:uiPriority w:val="0"/>
    <w:pPr>
      <w:ind w:firstLine="420" w:firstLineChars="200"/>
    </w:pPr>
  </w:style>
  <w:style w:type="paragraph" w:customStyle="1" w:styleId="13">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4496</Words>
  <Characters>4690</Characters>
  <Lines>0</Lines>
  <Paragraphs>0</Paragraphs>
  <TotalTime>1</TotalTime>
  <ScaleCrop>false</ScaleCrop>
  <LinksUpToDate>false</LinksUpToDate>
  <CharactersWithSpaces>4750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2026-08-18T09:23:00Z</dcterms:created>
  <dc:creator>admin</dc:creator>
  <cp:lastModifiedBy>豆奶是个小胖子</cp:lastModifiedBy>
  <dcterms:modified xsi:type="dcterms:W3CDTF">2026-08-18T10:27:14Z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eyJoZGlkIjoiNmExMjc1NzQ3NWFiZTgzMjNiYTYxNmEzOTMwZTVjYjAiLCJ1c2VySWQiOiIzMDI3OTc1ODcifQ==</vt:lpwstr>
  </property>
  <property fmtid="{D5CDD505-2E9C-101B-9397-08002B2CF9AE}" pid="4" name="ICV">
    <vt:lpwstr>E702A33A72974A61BDF0C6EC9CBB35BE_12</vt:lpwstr>
  </property>
</Properties>
</file>