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DB7DBA">
      <w:pPr>
        <w:numPr>
          <w:ilvl w:val="0"/>
          <w:numId w:val="1"/>
        </w:numPr>
        <w:spacing w:line="360" w:lineRule="auto"/>
        <w:jc w:val="center"/>
        <w:outlineLvl w:val="0"/>
        <w:rPr>
          <w:rFonts w:hint="eastAsia" w:ascii="宋体" w:hAnsi="宋体" w:eastAsia="宋体"/>
          <w:b/>
          <w:color w:val="auto"/>
          <w:sz w:val="28"/>
        </w:rPr>
      </w:pPr>
      <w:r>
        <w:rPr>
          <w:rFonts w:hint="eastAsia" w:ascii="宋体" w:hAnsi="宋体" w:eastAsia="宋体"/>
          <w:b/>
          <w:color w:val="auto"/>
          <w:sz w:val="28"/>
        </w:rPr>
        <w:t>采购需求</w:t>
      </w:r>
    </w:p>
    <w:p w14:paraId="1DFE6201">
      <w:pPr>
        <w:adjustRightInd w:val="0"/>
        <w:snapToGrid w:val="0"/>
        <w:spacing w:line="360" w:lineRule="auto"/>
        <w:rPr>
          <w:rFonts w:hint="eastAsia" w:ascii="宋体" w:hAnsi="宋体" w:eastAsia="宋体"/>
          <w:b/>
          <w:color w:val="auto"/>
          <w:szCs w:val="21"/>
        </w:rPr>
      </w:pPr>
      <w:r>
        <w:rPr>
          <w:rFonts w:hint="eastAsia" w:ascii="宋体" w:hAnsi="宋体" w:eastAsia="宋体"/>
          <w:b/>
          <w:color w:val="auto"/>
          <w:szCs w:val="21"/>
        </w:rPr>
        <w:t>前注：</w:t>
      </w:r>
    </w:p>
    <w:p w14:paraId="57620B1D">
      <w:pPr>
        <w:adjustRightInd w:val="0"/>
        <w:snapToGrid w:val="0"/>
        <w:spacing w:line="360" w:lineRule="auto"/>
        <w:ind w:firstLine="435"/>
        <w:rPr>
          <w:rFonts w:hint="eastAsia" w:ascii="宋体" w:hAnsi="宋体" w:eastAsia="宋体" w:cs="宋体"/>
          <w:color w:val="auto"/>
          <w:szCs w:val="21"/>
        </w:rPr>
      </w:pPr>
      <w:r>
        <w:rPr>
          <w:rFonts w:hint="eastAsia" w:ascii="宋体" w:hAnsi="宋体" w:eastAsia="宋体" w:cs="宋体"/>
          <w:color w:val="auto"/>
          <w:szCs w:val="21"/>
        </w:rPr>
        <w:t>1.本采购需求中提出的服务方案仅为参考，如无明确限制，投标人可以进行优化，提供满足采购人实际需要的更优（或者性能实质上不低于的）服务方案，且此方案须经评标委员会评审认可。</w:t>
      </w:r>
    </w:p>
    <w:p w14:paraId="351C8BEE">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2.</w:t>
      </w:r>
      <w:r>
        <w:rPr>
          <w:rFonts w:ascii="宋体" w:hAnsi="宋体" w:eastAsia="宋体" w:cs="宋体"/>
          <w:color w:val="auto"/>
          <w:szCs w:val="21"/>
        </w:rPr>
        <w:t>政府采购政策（包括但不限于下列具体政策要求</w:t>
      </w:r>
      <w:r>
        <w:rPr>
          <w:rFonts w:hint="eastAsia" w:ascii="宋体" w:hAnsi="宋体" w:eastAsia="宋体" w:cs="宋体"/>
          <w:color w:val="auto"/>
          <w:szCs w:val="21"/>
        </w:rPr>
        <w:t>）：</w:t>
      </w:r>
    </w:p>
    <w:p w14:paraId="3AAE5C8B">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1）如属于《节能产品政府采购品目清单》中政府强制采购的节能产品，则投标人所投产品须具有市场监管总局公布的《参与实施政府采购节能产品认证机构目录》中的认证机构出具的、处于有效期内的节能产品认证证书。</w:t>
      </w:r>
    </w:p>
    <w:p w14:paraId="46A4929A">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2）如涉及商品包装和快递包装，投标人应当执行《关于印发〈商品包装政府采购需求标准（试行）〉、〈快递包装政府采购需求标准（试行）〉的通知》（财办库〔2020〕123号）、《安徽省财政厅关于贯彻落实政府绿色采购有关政策的通知》（皖财购〔2023〕853号）的要求，提供符合需求标准的绿色包装、绿色运输，同时，采购人将对包装材料和运输环节作为履约验收条款进行验收。</w:t>
      </w:r>
    </w:p>
    <w:p w14:paraId="7DEA8F23">
      <w:pPr>
        <w:adjustRightInd w:val="0"/>
        <w:snapToGrid w:val="0"/>
        <w:spacing w:line="360" w:lineRule="auto"/>
        <w:ind w:firstLine="420" w:firstLineChars="200"/>
        <w:rPr>
          <w:rFonts w:hint="eastAsia" w:ascii="宋体" w:hAnsi="宋体" w:eastAsia="宋体"/>
          <w:bCs/>
          <w:color w:val="auto"/>
          <w:szCs w:val="21"/>
        </w:rPr>
      </w:pPr>
      <w:r>
        <w:rPr>
          <w:rFonts w:hint="eastAsia" w:ascii="宋体" w:hAnsi="宋体" w:eastAsia="宋体" w:cs="宋体"/>
          <w:color w:val="auto"/>
          <w:szCs w:val="21"/>
        </w:rPr>
        <w:t>3.如采购人允许采用分包方式履行合同的，应当明确可以分包履行的相关内容（本项目不允许分包）。</w:t>
      </w:r>
    </w:p>
    <w:p w14:paraId="7B26E405">
      <w:pPr>
        <w:adjustRightInd w:val="0"/>
        <w:snapToGrid w:val="0"/>
        <w:spacing w:line="360" w:lineRule="auto"/>
        <w:ind w:firstLine="437"/>
        <w:outlineLvl w:val="1"/>
        <w:rPr>
          <w:rFonts w:hint="eastAsia" w:ascii="宋体" w:hAnsi="宋体" w:eastAsia="宋体"/>
          <w:b/>
          <w:color w:val="auto"/>
          <w:szCs w:val="21"/>
        </w:rPr>
      </w:pPr>
      <w:bookmarkStart w:id="0" w:name="_Toc21798"/>
      <w:bookmarkStart w:id="1" w:name="_Toc173275127"/>
      <w:bookmarkStart w:id="2" w:name="_Toc4148"/>
      <w:bookmarkStart w:id="3" w:name="_Hlk23621890"/>
      <w:r>
        <w:rPr>
          <w:rFonts w:hint="eastAsia" w:ascii="宋体" w:hAnsi="宋体" w:eastAsia="宋体"/>
          <w:b/>
          <w:color w:val="auto"/>
          <w:szCs w:val="21"/>
        </w:rPr>
        <w:t>一、采购需求前附表</w:t>
      </w:r>
      <w:bookmarkEnd w:id="0"/>
      <w:bookmarkEnd w:id="1"/>
      <w:bookmarkEnd w:id="2"/>
    </w:p>
    <w:tbl>
      <w:tblPr>
        <w:tblStyle w:val="6"/>
        <w:tblW w:w="551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2"/>
        <w:gridCol w:w="1800"/>
        <w:gridCol w:w="6843"/>
      </w:tblGrid>
      <w:tr w14:paraId="47814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00" w:type="pct"/>
            <w:noWrap w:val="0"/>
            <w:vAlign w:val="center"/>
          </w:tcPr>
          <w:p w14:paraId="47174642">
            <w:pPr>
              <w:pStyle w:val="8"/>
              <w:rPr>
                <w:rFonts w:hint="eastAsia" w:cs="@仿宋_GB2312"/>
                <w:color w:val="auto"/>
                <w:kern w:val="2"/>
                <w:lang w:val="en-US" w:eastAsia="zh-CN"/>
              </w:rPr>
            </w:pPr>
            <w:r>
              <w:rPr>
                <w:rFonts w:hint="eastAsia" w:cs="@仿宋_GB2312"/>
                <w:b/>
                <w:bCs w:val="0"/>
                <w:color w:val="auto"/>
                <w:kern w:val="2"/>
                <w:lang w:val="en-US" w:eastAsia="zh-CN"/>
              </w:rPr>
              <w:t>序号</w:t>
            </w:r>
          </w:p>
        </w:tc>
        <w:tc>
          <w:tcPr>
            <w:tcW w:w="958" w:type="pct"/>
            <w:noWrap w:val="0"/>
            <w:vAlign w:val="center"/>
          </w:tcPr>
          <w:p w14:paraId="5984F2AC">
            <w:pPr>
              <w:pStyle w:val="9"/>
              <w:adjustRightInd w:val="0"/>
              <w:snapToGrid w:val="0"/>
              <w:spacing w:line="300" w:lineRule="auto"/>
              <w:jc w:val="center"/>
              <w:rPr>
                <w:rFonts w:hint="eastAsia"/>
                <w:b/>
                <w:color w:val="auto"/>
                <w:sz w:val="21"/>
                <w:szCs w:val="21"/>
              </w:rPr>
            </w:pPr>
            <w:r>
              <w:rPr>
                <w:rFonts w:hint="eastAsia"/>
                <w:b/>
                <w:color w:val="auto"/>
                <w:sz w:val="21"/>
                <w:szCs w:val="21"/>
              </w:rPr>
              <w:t>条款名称</w:t>
            </w:r>
          </w:p>
        </w:tc>
        <w:tc>
          <w:tcPr>
            <w:tcW w:w="3641" w:type="pct"/>
            <w:noWrap w:val="0"/>
            <w:vAlign w:val="center"/>
          </w:tcPr>
          <w:p w14:paraId="12645422">
            <w:pPr>
              <w:pStyle w:val="9"/>
              <w:adjustRightInd w:val="0"/>
              <w:snapToGrid w:val="0"/>
              <w:spacing w:line="300" w:lineRule="auto"/>
              <w:jc w:val="center"/>
              <w:rPr>
                <w:rFonts w:hint="eastAsia"/>
                <w:b/>
                <w:color w:val="auto"/>
                <w:sz w:val="21"/>
                <w:szCs w:val="21"/>
              </w:rPr>
            </w:pPr>
            <w:r>
              <w:rPr>
                <w:rFonts w:hint="eastAsia"/>
                <w:b/>
                <w:color w:val="auto"/>
                <w:sz w:val="21"/>
                <w:szCs w:val="21"/>
              </w:rPr>
              <w:t>内容、说明与要求</w:t>
            </w:r>
          </w:p>
        </w:tc>
      </w:tr>
      <w:tr w14:paraId="0A016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00" w:type="pct"/>
            <w:noWrap w:val="0"/>
            <w:vAlign w:val="center"/>
          </w:tcPr>
          <w:p w14:paraId="11100634">
            <w:pPr>
              <w:pStyle w:val="8"/>
              <w:rPr>
                <w:rFonts w:hint="eastAsia" w:cs="@仿宋_GB2312"/>
                <w:color w:val="auto"/>
                <w:kern w:val="2"/>
                <w:lang w:val="en-US" w:eastAsia="zh-CN"/>
              </w:rPr>
            </w:pPr>
            <w:r>
              <w:rPr>
                <w:rFonts w:hint="eastAsia" w:cs="@仿宋_GB2312"/>
                <w:color w:val="auto"/>
                <w:kern w:val="2"/>
                <w:lang w:val="en-US" w:eastAsia="zh-CN"/>
              </w:rPr>
              <w:t>1</w:t>
            </w:r>
          </w:p>
        </w:tc>
        <w:tc>
          <w:tcPr>
            <w:tcW w:w="958" w:type="pct"/>
            <w:noWrap w:val="0"/>
            <w:vAlign w:val="center"/>
          </w:tcPr>
          <w:p w14:paraId="1DC4DF7B">
            <w:pPr>
              <w:pStyle w:val="9"/>
              <w:adjustRightInd w:val="0"/>
              <w:snapToGrid w:val="0"/>
              <w:spacing w:line="300" w:lineRule="auto"/>
              <w:rPr>
                <w:rFonts w:hint="eastAsia"/>
                <w:color w:val="auto"/>
                <w:sz w:val="21"/>
                <w:szCs w:val="21"/>
              </w:rPr>
            </w:pPr>
            <w:r>
              <w:rPr>
                <w:rFonts w:hint="eastAsia"/>
                <w:color w:val="auto"/>
                <w:sz w:val="21"/>
                <w:szCs w:val="21"/>
              </w:rPr>
              <w:t>付款方式</w:t>
            </w:r>
          </w:p>
        </w:tc>
        <w:tc>
          <w:tcPr>
            <w:tcW w:w="3641" w:type="pct"/>
            <w:noWrap w:val="0"/>
            <w:vAlign w:val="center"/>
          </w:tcPr>
          <w:p w14:paraId="066CA4A6">
            <w:pPr>
              <w:pStyle w:val="9"/>
              <w:adjustRightInd w:val="0"/>
              <w:snapToGrid w:val="0"/>
              <w:spacing w:line="300" w:lineRule="auto"/>
              <w:rPr>
                <w:color w:val="auto"/>
                <w:sz w:val="21"/>
                <w:szCs w:val="21"/>
              </w:rPr>
            </w:pPr>
            <w:r>
              <w:rPr>
                <w:rFonts w:hint="eastAsia"/>
                <w:color w:val="auto"/>
                <w:sz w:val="21"/>
                <w:szCs w:val="21"/>
              </w:rPr>
              <w:t>合同生效后，付至合同价款的70%，合同期满后经采购</w:t>
            </w:r>
            <w:r>
              <w:rPr>
                <w:rFonts w:hint="eastAsia"/>
                <w:color w:val="auto"/>
                <w:sz w:val="21"/>
                <w:szCs w:val="21"/>
                <w:lang w:val="en-US" w:eastAsia="zh-CN"/>
              </w:rPr>
              <w:t>人</w:t>
            </w:r>
            <w:r>
              <w:rPr>
                <w:rFonts w:hint="eastAsia"/>
                <w:color w:val="auto"/>
                <w:sz w:val="21"/>
                <w:szCs w:val="21"/>
              </w:rPr>
              <w:t>验收合格</w:t>
            </w:r>
            <w:r>
              <w:rPr>
                <w:rFonts w:hint="eastAsia"/>
                <w:color w:val="auto"/>
                <w:sz w:val="21"/>
                <w:szCs w:val="21"/>
                <w:lang w:val="en-US" w:eastAsia="zh-CN"/>
              </w:rPr>
              <w:t>后</w:t>
            </w:r>
            <w:r>
              <w:rPr>
                <w:rFonts w:hint="eastAsia"/>
                <w:color w:val="auto"/>
                <w:sz w:val="21"/>
                <w:szCs w:val="21"/>
              </w:rPr>
              <w:t>支付合同剩余价款。</w:t>
            </w:r>
          </w:p>
        </w:tc>
      </w:tr>
      <w:tr w14:paraId="29BBF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00" w:type="pct"/>
            <w:noWrap w:val="0"/>
            <w:vAlign w:val="center"/>
          </w:tcPr>
          <w:p w14:paraId="3C9DFF93">
            <w:pPr>
              <w:pStyle w:val="8"/>
              <w:rPr>
                <w:rFonts w:hint="eastAsia" w:cs="@仿宋_GB2312"/>
                <w:color w:val="auto"/>
                <w:kern w:val="2"/>
                <w:lang w:val="en-US" w:eastAsia="zh-CN"/>
              </w:rPr>
            </w:pPr>
            <w:r>
              <w:rPr>
                <w:rFonts w:hint="eastAsia" w:cs="@仿宋_GB2312"/>
                <w:color w:val="auto"/>
                <w:kern w:val="2"/>
                <w:lang w:val="en-US" w:eastAsia="zh-CN"/>
              </w:rPr>
              <w:t>2</w:t>
            </w:r>
          </w:p>
        </w:tc>
        <w:tc>
          <w:tcPr>
            <w:tcW w:w="958" w:type="pct"/>
            <w:noWrap w:val="0"/>
            <w:vAlign w:val="center"/>
          </w:tcPr>
          <w:p w14:paraId="1A7FBD8A">
            <w:pPr>
              <w:pStyle w:val="9"/>
              <w:adjustRightInd w:val="0"/>
              <w:snapToGrid w:val="0"/>
              <w:spacing w:line="300" w:lineRule="auto"/>
              <w:rPr>
                <w:rFonts w:hint="eastAsia"/>
                <w:color w:val="auto"/>
                <w:sz w:val="21"/>
                <w:szCs w:val="21"/>
              </w:rPr>
            </w:pPr>
            <w:r>
              <w:rPr>
                <w:rFonts w:hint="eastAsia"/>
                <w:color w:val="auto"/>
                <w:sz w:val="21"/>
                <w:szCs w:val="21"/>
              </w:rPr>
              <w:t>服务地点</w:t>
            </w:r>
          </w:p>
        </w:tc>
        <w:tc>
          <w:tcPr>
            <w:tcW w:w="3641" w:type="pct"/>
            <w:noWrap w:val="0"/>
            <w:vAlign w:val="center"/>
          </w:tcPr>
          <w:p w14:paraId="5838ABFF">
            <w:pPr>
              <w:pStyle w:val="9"/>
              <w:adjustRightInd w:val="0"/>
              <w:snapToGrid w:val="0"/>
              <w:spacing w:line="300" w:lineRule="auto"/>
              <w:rPr>
                <w:rFonts w:hint="eastAsia"/>
                <w:color w:val="auto"/>
                <w:sz w:val="21"/>
                <w:szCs w:val="21"/>
              </w:rPr>
            </w:pPr>
            <w:r>
              <w:rPr>
                <w:rFonts w:hint="eastAsia"/>
                <w:color w:val="auto"/>
                <w:sz w:val="21"/>
                <w:szCs w:val="21"/>
                <w:lang w:eastAsia="zh-CN"/>
              </w:rPr>
              <w:t>安徽省重竞技运动管理中心</w:t>
            </w:r>
            <w:r>
              <w:rPr>
                <w:rFonts w:hint="eastAsia"/>
                <w:color w:val="auto"/>
                <w:sz w:val="21"/>
                <w:szCs w:val="21"/>
              </w:rPr>
              <w:t>，具体按采购人指定。</w:t>
            </w:r>
          </w:p>
        </w:tc>
      </w:tr>
      <w:tr w14:paraId="09125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00" w:type="pct"/>
            <w:noWrap w:val="0"/>
            <w:vAlign w:val="center"/>
          </w:tcPr>
          <w:p w14:paraId="798E83D9">
            <w:pPr>
              <w:pStyle w:val="8"/>
              <w:rPr>
                <w:rFonts w:hint="eastAsia" w:cs="@仿宋_GB2312"/>
                <w:color w:val="auto"/>
                <w:kern w:val="2"/>
                <w:lang w:val="en-US" w:eastAsia="zh-CN"/>
              </w:rPr>
            </w:pPr>
            <w:r>
              <w:rPr>
                <w:rFonts w:hint="eastAsia" w:cs="@仿宋_GB2312"/>
                <w:color w:val="auto"/>
                <w:kern w:val="2"/>
                <w:lang w:val="en-US" w:eastAsia="zh-CN"/>
              </w:rPr>
              <w:t>3</w:t>
            </w:r>
          </w:p>
        </w:tc>
        <w:tc>
          <w:tcPr>
            <w:tcW w:w="958" w:type="pct"/>
            <w:noWrap w:val="0"/>
            <w:vAlign w:val="center"/>
          </w:tcPr>
          <w:p w14:paraId="6BB4DB26">
            <w:pPr>
              <w:pStyle w:val="9"/>
              <w:adjustRightInd w:val="0"/>
              <w:snapToGrid w:val="0"/>
              <w:spacing w:line="300" w:lineRule="auto"/>
              <w:rPr>
                <w:rFonts w:hint="eastAsia"/>
                <w:color w:val="auto"/>
                <w:sz w:val="21"/>
                <w:szCs w:val="21"/>
              </w:rPr>
            </w:pPr>
            <w:r>
              <w:rPr>
                <w:rFonts w:hint="eastAsia"/>
                <w:color w:val="auto"/>
                <w:sz w:val="21"/>
                <w:szCs w:val="21"/>
              </w:rPr>
              <w:t>服务期限</w:t>
            </w:r>
          </w:p>
        </w:tc>
        <w:tc>
          <w:tcPr>
            <w:tcW w:w="3641" w:type="pct"/>
            <w:noWrap w:val="0"/>
            <w:vAlign w:val="center"/>
          </w:tcPr>
          <w:p w14:paraId="72C6058D">
            <w:pPr>
              <w:pStyle w:val="9"/>
              <w:adjustRightInd w:val="0"/>
              <w:snapToGrid w:val="0"/>
              <w:spacing w:line="300" w:lineRule="auto"/>
              <w:rPr>
                <w:rFonts w:hint="eastAsia"/>
                <w:color w:val="auto"/>
                <w:sz w:val="21"/>
                <w:szCs w:val="21"/>
              </w:rPr>
            </w:pPr>
            <w:r>
              <w:rPr>
                <w:rFonts w:hint="eastAsia"/>
                <w:color w:val="auto"/>
                <w:sz w:val="21"/>
                <w:szCs w:val="21"/>
              </w:rPr>
              <w:t>合同生效之日起，一年。合同一年一签，服务期满，经采购人年度考核合格后，双方均无异议、年度资金能保障的前提下，可续签一年。最多续签两次。</w:t>
            </w:r>
          </w:p>
        </w:tc>
      </w:tr>
      <w:tr w14:paraId="69EFC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00" w:type="pct"/>
            <w:noWrap w:val="0"/>
            <w:vAlign w:val="center"/>
          </w:tcPr>
          <w:p w14:paraId="63481CE7">
            <w:pPr>
              <w:pStyle w:val="8"/>
              <w:rPr>
                <w:rFonts w:hint="eastAsia" w:cs="@仿宋_GB2312"/>
                <w:color w:val="auto"/>
                <w:kern w:val="2"/>
                <w:lang w:val="en-US" w:eastAsia="zh-CN"/>
              </w:rPr>
            </w:pPr>
            <w:r>
              <w:rPr>
                <w:rFonts w:hint="eastAsia" w:cs="@仿宋_GB2312"/>
                <w:color w:val="auto"/>
                <w:kern w:val="2"/>
                <w:lang w:val="en-US" w:eastAsia="zh-CN"/>
              </w:rPr>
              <w:t>4</w:t>
            </w:r>
          </w:p>
        </w:tc>
        <w:tc>
          <w:tcPr>
            <w:tcW w:w="958" w:type="pct"/>
            <w:noWrap w:val="0"/>
            <w:vAlign w:val="center"/>
          </w:tcPr>
          <w:p w14:paraId="65B05606">
            <w:pPr>
              <w:pStyle w:val="9"/>
              <w:adjustRightInd w:val="0"/>
              <w:snapToGrid w:val="0"/>
              <w:spacing w:line="300" w:lineRule="auto"/>
              <w:rPr>
                <w:rFonts w:hint="eastAsia"/>
                <w:b/>
                <w:color w:val="auto"/>
                <w:sz w:val="21"/>
                <w:szCs w:val="21"/>
              </w:rPr>
            </w:pPr>
            <w:r>
              <w:rPr>
                <w:rFonts w:hint="eastAsia"/>
                <w:color w:val="auto"/>
                <w:sz w:val="21"/>
                <w:szCs w:val="21"/>
              </w:rPr>
              <w:t>本项目采购标的名称及所属行业</w:t>
            </w:r>
          </w:p>
        </w:tc>
        <w:tc>
          <w:tcPr>
            <w:tcW w:w="3641" w:type="pct"/>
            <w:noWrap w:val="0"/>
            <w:vAlign w:val="center"/>
          </w:tcPr>
          <w:p w14:paraId="2199A677">
            <w:pPr>
              <w:adjustRightInd w:val="0"/>
              <w:snapToGrid w:val="0"/>
              <w:spacing w:line="300" w:lineRule="auto"/>
              <w:jc w:val="left"/>
              <w:rPr>
                <w:rFonts w:hint="eastAsia" w:ascii="宋体" w:hAnsi="宋体" w:eastAsia="宋体"/>
                <w:color w:val="auto"/>
                <w:szCs w:val="21"/>
                <w:lang w:eastAsia="zh-CN"/>
              </w:rPr>
            </w:pPr>
            <w:r>
              <w:rPr>
                <w:rFonts w:hint="eastAsia" w:ascii="宋体" w:hAnsi="宋体" w:eastAsia="宋体"/>
                <w:color w:val="auto"/>
                <w:szCs w:val="21"/>
              </w:rPr>
              <w:t>标的名称：</w:t>
            </w:r>
            <w:r>
              <w:rPr>
                <w:rFonts w:hint="eastAsia" w:ascii="宋体" w:hAnsi="宋体" w:eastAsia="宋体"/>
                <w:color w:val="auto"/>
                <w:szCs w:val="21"/>
                <w:lang w:eastAsia="zh-CN"/>
              </w:rPr>
              <w:t>2025年安徽省重竞技运动管理中心科研、医务劳务服务项目</w:t>
            </w:r>
          </w:p>
          <w:p w14:paraId="75A3C5FC">
            <w:pPr>
              <w:adjustRightInd w:val="0"/>
              <w:snapToGrid w:val="0"/>
              <w:spacing w:line="300" w:lineRule="auto"/>
              <w:jc w:val="left"/>
              <w:rPr>
                <w:rFonts w:hint="eastAsia" w:ascii="宋体" w:hAnsi="宋体" w:eastAsia="宋体"/>
                <w:color w:val="auto"/>
                <w:szCs w:val="21"/>
              </w:rPr>
            </w:pPr>
            <w:r>
              <w:rPr>
                <w:rFonts w:hint="eastAsia" w:ascii="宋体" w:hAnsi="宋体" w:eastAsia="宋体"/>
                <w:color w:val="auto"/>
                <w:szCs w:val="21"/>
              </w:rPr>
              <w:t>所属行业：其他未列明行业</w:t>
            </w:r>
          </w:p>
        </w:tc>
      </w:tr>
    </w:tbl>
    <w:p w14:paraId="72E683C5">
      <w:pPr>
        <w:adjustRightInd w:val="0"/>
        <w:snapToGrid w:val="0"/>
        <w:spacing w:line="360" w:lineRule="auto"/>
        <w:ind w:firstLine="437"/>
        <w:outlineLvl w:val="1"/>
        <w:rPr>
          <w:rFonts w:hint="eastAsia" w:ascii="宋体" w:hAnsi="宋体" w:eastAsia="宋体"/>
          <w:b/>
          <w:color w:val="auto"/>
          <w:szCs w:val="21"/>
        </w:rPr>
      </w:pPr>
      <w:bookmarkStart w:id="4" w:name="_Toc8753"/>
      <w:bookmarkStart w:id="5" w:name="_Toc173275128"/>
      <w:bookmarkStart w:id="6" w:name="_Toc16543"/>
      <w:bookmarkStart w:id="7" w:name="_Hlk16461016"/>
      <w:r>
        <w:rPr>
          <w:rFonts w:hint="eastAsia" w:ascii="宋体" w:hAnsi="宋体" w:eastAsia="宋体"/>
          <w:b/>
          <w:color w:val="auto"/>
          <w:szCs w:val="21"/>
        </w:rPr>
        <w:t>二、</w:t>
      </w:r>
      <w:bookmarkEnd w:id="4"/>
      <w:bookmarkEnd w:id="5"/>
      <w:bookmarkEnd w:id="6"/>
      <w:r>
        <w:rPr>
          <w:rFonts w:hint="eastAsia" w:ascii="宋体" w:hAnsi="宋体" w:eastAsia="宋体"/>
          <w:b/>
          <w:color w:val="auto"/>
          <w:szCs w:val="21"/>
        </w:rPr>
        <w:t>项目概况</w:t>
      </w:r>
    </w:p>
    <w:bookmarkEnd w:id="3"/>
    <w:bookmarkEnd w:id="7"/>
    <w:p w14:paraId="27F539BF">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本项目旨在提高我中心运动员体能训练、损伤康复、物理治疗等科技保障水平，为我中心备战全运会、奥运会、亚运会等国内外重大赛事等提供专业服务保障和技术支持，同时还致力于为我中心教练员、运动员及其他相关专业人员提供体能训练、损伤预防、物理治疗、身体功能训练教育培训，提升各运动队专业技术水平和保障能力。</w:t>
      </w:r>
    </w:p>
    <w:p w14:paraId="6CB5D93A">
      <w:pPr>
        <w:adjustRightInd w:val="0"/>
        <w:snapToGrid w:val="0"/>
        <w:spacing w:line="360" w:lineRule="auto"/>
        <w:ind w:left="437"/>
        <w:outlineLvl w:val="1"/>
        <w:rPr>
          <w:rFonts w:hint="eastAsia" w:ascii="宋体" w:hAnsi="宋体" w:eastAsia="宋体"/>
          <w:b/>
          <w:color w:val="auto"/>
          <w:szCs w:val="21"/>
        </w:rPr>
      </w:pPr>
      <w:r>
        <w:rPr>
          <w:rFonts w:hint="eastAsia" w:ascii="宋体" w:hAnsi="宋体" w:eastAsia="宋体"/>
          <w:b/>
          <w:color w:val="auto"/>
          <w:szCs w:val="21"/>
        </w:rPr>
        <w:t>三、服务需求</w:t>
      </w:r>
    </w:p>
    <w:p w14:paraId="1FE4C9B1">
      <w:pPr>
        <w:adjustRightInd w:val="0"/>
        <w:snapToGrid w:val="0"/>
        <w:spacing w:line="360" w:lineRule="auto"/>
        <w:ind w:left="437"/>
        <w:outlineLvl w:val="1"/>
        <w:rPr>
          <w:rFonts w:hint="eastAsia" w:ascii="宋体" w:hAnsi="宋体" w:eastAsia="宋体"/>
          <w:b/>
          <w:color w:val="auto"/>
          <w:szCs w:val="21"/>
          <w:lang w:eastAsia="zh-CN"/>
        </w:rPr>
      </w:pPr>
      <w:r>
        <w:rPr>
          <w:rFonts w:hint="eastAsia" w:ascii="宋体" w:hAnsi="宋体" w:eastAsia="宋体"/>
          <w:b/>
          <w:color w:val="auto"/>
          <w:szCs w:val="21"/>
          <w:lang w:eastAsia="zh-CN"/>
        </w:rPr>
        <w:t xml:space="preserve">（一）人员数量及基本要求 </w:t>
      </w:r>
    </w:p>
    <w:p w14:paraId="2F25161A">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1、体能教练3人，具体要求如下：</w:t>
      </w:r>
    </w:p>
    <w:p w14:paraId="5DDAA807">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（1）具备专项体能研究及服务能力；</w:t>
      </w:r>
    </w:p>
    <w:p w14:paraId="5CE53AA9">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（2）具有较强的服务意识、良好的语言和文字沟通能力；</w:t>
      </w:r>
    </w:p>
    <w:p w14:paraId="46570D2D">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（3）具有专科及以上学历，体能训练、体育教育、运动训练、运动人体科学等相关专业；</w:t>
      </w:r>
    </w:p>
    <w:p w14:paraId="7FBE831F">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（4）具有在职业队或专业运动队体能训练带训服务经验（举重、摔跤、柔道、拳击、散打等运动项目服务经验者优先）；</w:t>
      </w:r>
    </w:p>
    <w:p w14:paraId="7867E6BB">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（5）持有相关行业认证证书者优先（如NSCA-CSCS、ASCA Level 1及以上、中国体育科学学会体能训练师认证等）</w:t>
      </w:r>
    </w:p>
    <w:p w14:paraId="76358D5A">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2、运动康复师9人，具体要求如下：</w:t>
      </w:r>
    </w:p>
    <w:p w14:paraId="03B6CC5B">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（1）具有较强的服务意识、良好的语言和文字沟通能力；</w:t>
      </w:r>
    </w:p>
    <w:p w14:paraId="2055D843">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（2）具有专科及以上学历，运动康复、康复治疗、体育保健与康复、运动人体科学、针灸推拿等相关专业；</w:t>
      </w:r>
    </w:p>
    <w:p w14:paraId="295E9028">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（3）具有在职业队或专业运动队运动康复服务经验（举重、摔跤、柔道、拳击、散打等运动项目服务经验者优先）；</w:t>
      </w:r>
    </w:p>
    <w:p w14:paraId="5D45083D">
      <w:pPr>
        <w:adjustRightInd w:val="0"/>
        <w:snapToGrid w:val="0"/>
        <w:spacing w:line="360" w:lineRule="auto"/>
        <w:ind w:left="437"/>
        <w:outlineLvl w:val="1"/>
        <w:rPr>
          <w:rFonts w:hint="eastAsia" w:ascii="宋体" w:hAnsi="宋体" w:eastAsia="宋体"/>
          <w:b/>
          <w:color w:val="auto"/>
          <w:szCs w:val="21"/>
          <w:lang w:eastAsia="zh-CN"/>
        </w:rPr>
      </w:pPr>
      <w:r>
        <w:rPr>
          <w:rFonts w:hint="eastAsia" w:ascii="宋体" w:hAnsi="宋体" w:eastAsia="宋体"/>
          <w:b/>
          <w:color w:val="auto"/>
          <w:szCs w:val="21"/>
          <w:lang w:eastAsia="zh-CN"/>
        </w:rPr>
        <w:t>（二）体能康复专业教育培训服务</w:t>
      </w:r>
    </w:p>
    <w:p w14:paraId="66312831">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1、服务期间，根据采购人实际需求，策划组织实施针对教练员、运动员及其他专业人员体能康复专业教育培训，培训内容包括但不限于：</w:t>
      </w:r>
    </w:p>
    <w:p w14:paraId="1B5A745A">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（1）体能训练理论与实践、运动康复理论与实践；</w:t>
      </w:r>
    </w:p>
    <w:p w14:paraId="7F7E701C">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（2）为采购人教练员、运动员及其他专业人员提供体能康复教育课程培训，总课时数不少于40小时；</w:t>
      </w:r>
    </w:p>
    <w:p w14:paraId="701B40E7">
      <w:pPr>
        <w:adjustRightInd w:val="0"/>
        <w:snapToGrid w:val="0"/>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2、讲师要求：相关专业硕士及以上学历。</w:t>
      </w:r>
    </w:p>
    <w:p w14:paraId="62082846">
      <w:pPr>
        <w:adjustRightInd w:val="0"/>
        <w:snapToGrid w:val="0"/>
        <w:spacing w:line="360" w:lineRule="auto"/>
        <w:ind w:left="437"/>
        <w:outlineLvl w:val="1"/>
        <w:rPr>
          <w:rFonts w:hint="eastAsia" w:ascii="宋体" w:hAnsi="宋体" w:eastAsia="宋体"/>
          <w:b/>
          <w:color w:val="auto"/>
          <w:szCs w:val="21"/>
          <w:lang w:eastAsia="zh-CN"/>
        </w:rPr>
      </w:pPr>
      <w:r>
        <w:rPr>
          <w:rFonts w:hint="eastAsia" w:ascii="宋体" w:hAnsi="宋体" w:eastAsia="宋体"/>
          <w:b/>
          <w:color w:val="auto"/>
          <w:szCs w:val="21"/>
          <w:lang w:eastAsia="zh-CN"/>
        </w:rPr>
        <w:t>（</w:t>
      </w:r>
      <w:r>
        <w:rPr>
          <w:rFonts w:hint="eastAsia" w:ascii="宋体" w:hAnsi="宋体" w:eastAsia="宋体"/>
          <w:b/>
          <w:color w:val="auto"/>
          <w:szCs w:val="21"/>
          <w:lang w:val="en-US" w:eastAsia="zh-CN"/>
        </w:rPr>
        <w:t>三</w:t>
      </w:r>
      <w:r>
        <w:rPr>
          <w:rFonts w:hint="eastAsia" w:ascii="宋体" w:hAnsi="宋体" w:eastAsia="宋体"/>
          <w:b/>
          <w:color w:val="auto"/>
          <w:szCs w:val="21"/>
          <w:lang w:eastAsia="zh-CN"/>
        </w:rPr>
        <w:t>）设备需求</w:t>
      </w:r>
    </w:p>
    <w:p w14:paraId="3A40B561">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为进一步提升服务水平，保障服务质量，服务过程中还应提供体能康复相关设备，具体要求如下：</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6"/>
        <w:gridCol w:w="1009"/>
        <w:gridCol w:w="687"/>
        <w:gridCol w:w="4942"/>
        <w:gridCol w:w="1164"/>
      </w:tblGrid>
      <w:tr w14:paraId="76B54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708AB710">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序号</w:t>
            </w:r>
          </w:p>
        </w:tc>
        <w:tc>
          <w:tcPr>
            <w:tcW w:w="1009" w:type="dxa"/>
            <w:noWrap w:val="0"/>
            <w:vAlign w:val="center"/>
          </w:tcPr>
          <w:p w14:paraId="0C4CFADE">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名称</w:t>
            </w:r>
          </w:p>
        </w:tc>
        <w:tc>
          <w:tcPr>
            <w:tcW w:w="687" w:type="dxa"/>
            <w:noWrap w:val="0"/>
            <w:vAlign w:val="center"/>
          </w:tcPr>
          <w:p w14:paraId="295443EC">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数量</w:t>
            </w:r>
          </w:p>
        </w:tc>
        <w:tc>
          <w:tcPr>
            <w:tcW w:w="4942" w:type="dxa"/>
            <w:noWrap w:val="0"/>
            <w:vAlign w:val="center"/>
          </w:tcPr>
          <w:p w14:paraId="38FC51F3">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技术要求</w:t>
            </w:r>
          </w:p>
        </w:tc>
        <w:tc>
          <w:tcPr>
            <w:tcW w:w="1164" w:type="dxa"/>
            <w:noWrap w:val="0"/>
            <w:vAlign w:val="center"/>
          </w:tcPr>
          <w:p w14:paraId="53D71DBA">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备注</w:t>
            </w:r>
          </w:p>
        </w:tc>
      </w:tr>
      <w:tr w14:paraId="4E899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133B6F4E">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1009" w:type="dxa"/>
            <w:noWrap w:val="0"/>
            <w:vAlign w:val="center"/>
          </w:tcPr>
          <w:p w14:paraId="18B7E1B5">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便携式离心训练器</w:t>
            </w:r>
          </w:p>
        </w:tc>
        <w:tc>
          <w:tcPr>
            <w:tcW w:w="687" w:type="dxa"/>
            <w:noWrap w:val="0"/>
            <w:vAlign w:val="center"/>
          </w:tcPr>
          <w:p w14:paraId="7D58A107">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1台</w:t>
            </w:r>
          </w:p>
        </w:tc>
        <w:tc>
          <w:tcPr>
            <w:tcW w:w="4942" w:type="dxa"/>
            <w:noWrap w:val="0"/>
            <w:vAlign w:val="center"/>
          </w:tcPr>
          <w:p w14:paraId="631CCFFD">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lang w:val="en-US" w:eastAsia="zh-CN"/>
              </w:rPr>
              <w:t>一、</w:t>
            </w:r>
            <w:r>
              <w:rPr>
                <w:rFonts w:hint="eastAsia" w:ascii="宋体" w:hAnsi="宋体" w:eastAsia="宋体" w:cs="宋体"/>
                <w:b/>
                <w:bCs/>
                <w:color w:val="auto"/>
                <w:sz w:val="21"/>
                <w:szCs w:val="21"/>
              </w:rPr>
              <w:t>功能参数：</w:t>
            </w:r>
          </w:p>
          <w:p w14:paraId="78427630">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利用惯性的训练特点使其能够对全身肌筋膜进行训练，包括韧带、肌腱等，提高各个关节的灵活性与稳定性；有利于促进筋膜的相互滑动，能够有效提高伸肌链的运动表现，增强肌筋膜的灵活性、回弹性；</w:t>
            </w:r>
          </w:p>
          <w:p w14:paraId="325600C2">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比传统训练方式更为有效的提高40%-50%的力量，同时消耗更少的心肺能量以减少运动损伤，以保证长时高效训练；</w:t>
            </w:r>
          </w:p>
          <w:p w14:paraId="1C54EFD6">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3</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通过训练人员与设备的“及时”配合，从本体感觉、平衡、神经肌肉效率和姿势控制来增强运动协调能力，增强神经肌肉的募集能力；</w:t>
            </w:r>
          </w:p>
          <w:p w14:paraId="1A1CBC35">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4</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轻便、小巧、节约空间、功能多样，3.5kg超轻重量结合30cm小巧尺寸，使V.MINI成为一件可随时移动的训练利器；</w:t>
            </w:r>
          </w:p>
          <w:p w14:paraId="5D5C88D1">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5</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不受场地限制，可固定在室内、室外、操场、雪地以及任何可提供支撑的杆、架子或平面上；</w:t>
            </w:r>
          </w:p>
          <w:p w14:paraId="417E0CBE">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6</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可进行专业的热身、激活、速度、爆发力训练等；</w:t>
            </w:r>
          </w:p>
          <w:p w14:paraId="55D50D4D">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7</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具有V-line系列的几乎所有功能；</w:t>
            </w:r>
          </w:p>
          <w:p w14:paraId="07A70E25">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eastAsia="宋体" w:cs="宋体"/>
                <w:color w:val="auto"/>
                <w:sz w:val="21"/>
                <w:szCs w:val="21"/>
              </w:rPr>
            </w:pPr>
            <w:r>
              <w:rPr>
                <w:rFonts w:hint="eastAsia" w:ascii="宋体" w:hAnsi="宋体" w:eastAsia="宋体" w:cs="宋体"/>
                <w:b/>
                <w:bCs/>
                <w:color w:val="auto"/>
                <w:sz w:val="21"/>
                <w:szCs w:val="21"/>
                <w:lang w:val="en-US" w:eastAsia="zh-CN"/>
              </w:rPr>
              <w:t>二、</w:t>
            </w:r>
            <w:r>
              <w:rPr>
                <w:rFonts w:hint="eastAsia" w:ascii="宋体" w:hAnsi="宋体" w:eastAsia="宋体" w:cs="宋体"/>
                <w:b/>
                <w:bCs/>
                <w:color w:val="auto"/>
                <w:sz w:val="21"/>
                <w:szCs w:val="21"/>
              </w:rPr>
              <w:t>技术参数</w:t>
            </w:r>
            <w:r>
              <w:rPr>
                <w:rFonts w:hint="eastAsia" w:ascii="宋体" w:hAnsi="宋体" w:eastAsia="宋体" w:cs="宋体"/>
                <w:color w:val="auto"/>
                <w:sz w:val="21"/>
                <w:szCs w:val="21"/>
              </w:rPr>
              <w:t>：</w:t>
            </w:r>
          </w:p>
          <w:p w14:paraId="797780D7">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尺寸：</w:t>
            </w:r>
            <w:r>
              <w:rPr>
                <w:rFonts w:hint="eastAsia" w:ascii="宋体" w:hAnsi="宋体" w:eastAsia="宋体" w:cs="宋体"/>
                <w:color w:val="auto"/>
                <w:sz w:val="21"/>
                <w:szCs w:val="21"/>
                <w:lang w:val="en-US" w:eastAsia="zh-CN"/>
              </w:rPr>
              <w:t>约</w:t>
            </w:r>
            <w:r>
              <w:rPr>
                <w:rFonts w:hint="eastAsia" w:ascii="宋体" w:hAnsi="宋体" w:eastAsia="宋体" w:cs="宋体"/>
                <w:color w:val="auto"/>
                <w:sz w:val="21"/>
                <w:szCs w:val="21"/>
              </w:rPr>
              <w:t>370mm</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240mm</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125mm；重量</w:t>
            </w:r>
            <w:r>
              <w:rPr>
                <w:rFonts w:hint="eastAsia" w:ascii="宋体" w:hAnsi="宋体" w:eastAsia="宋体" w:cs="宋体"/>
                <w:color w:val="auto"/>
                <w:sz w:val="21"/>
                <w:szCs w:val="21"/>
                <w:lang w:val="en-US" w:eastAsia="zh-CN"/>
              </w:rPr>
              <w:t>约</w:t>
            </w:r>
            <w:r>
              <w:rPr>
                <w:rFonts w:hint="eastAsia" w:ascii="宋体" w:hAnsi="宋体" w:eastAsia="宋体" w:cs="宋体"/>
                <w:color w:val="auto"/>
                <w:sz w:val="21"/>
                <w:szCs w:val="21"/>
              </w:rPr>
              <w:t>3.5kg；</w:t>
            </w:r>
          </w:p>
          <w:p w14:paraId="4372F7DC">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lang w:val="en-US" w:eastAsia="zh-CN"/>
              </w:rPr>
              <w:t>三、</w:t>
            </w:r>
            <w:r>
              <w:rPr>
                <w:rFonts w:hint="eastAsia" w:ascii="宋体" w:hAnsi="宋体" w:eastAsia="宋体" w:cs="宋体"/>
                <w:b/>
                <w:bCs/>
                <w:color w:val="auto"/>
                <w:sz w:val="21"/>
                <w:szCs w:val="21"/>
              </w:rPr>
              <w:t>配置清单：</w:t>
            </w:r>
          </w:p>
          <w:p w14:paraId="44403C87">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1组惯性转轮装置</w:t>
            </w:r>
          </w:p>
          <w:p w14:paraId="4DDBBB81">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 xml:space="preserve">1组V.Mini固定件 </w:t>
            </w:r>
          </w:p>
          <w:p w14:paraId="2C4F88B0">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 xml:space="preserve">1组滑轮装置 </w:t>
            </w:r>
          </w:p>
          <w:p w14:paraId="462BC500">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 xml:space="preserve">1个拉力带 </w:t>
            </w:r>
          </w:p>
          <w:p w14:paraId="143E25B8">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1套通用固定件</w:t>
            </w:r>
          </w:p>
        </w:tc>
        <w:tc>
          <w:tcPr>
            <w:tcW w:w="1164" w:type="dxa"/>
            <w:noWrap w:val="0"/>
            <w:vAlign w:val="center"/>
          </w:tcPr>
          <w:p w14:paraId="3B6CD63C">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核心力量训练</w:t>
            </w:r>
          </w:p>
        </w:tc>
      </w:tr>
      <w:tr w14:paraId="6650B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7AD2779B">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w:t>
            </w:r>
          </w:p>
        </w:tc>
        <w:tc>
          <w:tcPr>
            <w:tcW w:w="1009" w:type="dxa"/>
            <w:noWrap w:val="0"/>
            <w:vAlign w:val="center"/>
          </w:tcPr>
          <w:p w14:paraId="63AE89D2">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血流限制训练带</w:t>
            </w:r>
          </w:p>
        </w:tc>
        <w:tc>
          <w:tcPr>
            <w:tcW w:w="687" w:type="dxa"/>
            <w:noWrap w:val="0"/>
            <w:vAlign w:val="center"/>
          </w:tcPr>
          <w:p w14:paraId="51C4E125">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2套</w:t>
            </w:r>
          </w:p>
        </w:tc>
        <w:tc>
          <w:tcPr>
            <w:tcW w:w="4942" w:type="dxa"/>
            <w:noWrap w:val="0"/>
            <w:vAlign w:val="center"/>
          </w:tcPr>
          <w:p w14:paraId="72BFE8F8">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lang w:val="en-US" w:eastAsia="zh-CN"/>
              </w:rPr>
              <w:t>一、</w:t>
            </w:r>
            <w:r>
              <w:rPr>
                <w:rFonts w:hint="eastAsia" w:ascii="宋体" w:hAnsi="宋体" w:eastAsia="宋体" w:cs="宋体"/>
                <w:b/>
                <w:bCs/>
                <w:color w:val="auto"/>
                <w:sz w:val="21"/>
                <w:szCs w:val="21"/>
              </w:rPr>
              <w:t>功能参数</w:t>
            </w:r>
          </w:p>
          <w:p w14:paraId="2976DC24">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1.自动化与智能化设计：AirBands采用无线自动化技术，内置可充电电池、传感器、气动泵、压力气囊和蓝牙模块，可与智能手机或其他智能设备配对，通过专属APP进行控制。</w:t>
            </w:r>
          </w:p>
          <w:p w14:paraId="24C9038F">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智能校准与压力控制：设备利用内置算法自动检测用户的肢体压力，计算动脉闭塞压力（AOP），并允许用户根据训练需求选择AOP的百分比（推荐上肢50%，下肢80%）。自动或手动设置压力模式，确保训练的安全性和有效性。</w:t>
            </w:r>
          </w:p>
          <w:p w14:paraId="7E4C7832">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3.便捷的使用流程：通过APP，用户可以轻松开始校准过程，选择压力模式，一键充气，实时监控训练状态，包括峰值力量、关节活动范围（ROM）、发力率等指标，并在训练后立即查看结果摘要。</w:t>
            </w:r>
          </w:p>
          <w:p w14:paraId="4175008B">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4.兼容性：兼容iOS以及Android。</w:t>
            </w:r>
          </w:p>
          <w:p w14:paraId="5D5C48CB">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5.舒适耐用的配件：充气绑带采用防汗材料制成，内含医用级气囊，确保佩戴舒适，同时耐用且易于清洁。</w:t>
            </w:r>
          </w:p>
          <w:p w14:paraId="3C1600C1">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6.模块化与快速释放机制：AirBands设计有快速释放功能，方便更换不同部位的充气绑带，且通过NFC技术自动识别已连接的附件，简化操作流程。</w:t>
            </w:r>
          </w:p>
          <w:p w14:paraId="433FC6A4">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7.安全性与维护：设备提供清晰的佩戴指示，确保绑带正确固定，避免过度压迫，同时也提供清洁保养指南，延长使用寿命。AirBands遵循澳大利亚体育委员会发布的血流限制训练指南，确保训练安全。</w:t>
            </w:r>
          </w:p>
          <w:p w14:paraId="15155A15">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8.易于携带：AirBands的设计考虑到了便携性，模块和绑带可轻松放入随附的硬壳或软壳旅行盒中，方便随时随地进行训练。</w:t>
            </w:r>
          </w:p>
          <w:p w14:paraId="7C94F401">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lang w:val="en-US" w:eastAsia="zh-CN"/>
              </w:rPr>
              <w:t>二、</w:t>
            </w:r>
            <w:r>
              <w:rPr>
                <w:rFonts w:hint="eastAsia" w:ascii="宋体" w:hAnsi="宋体" w:eastAsia="宋体" w:cs="宋体"/>
                <w:b/>
                <w:bCs/>
                <w:color w:val="auto"/>
                <w:sz w:val="21"/>
                <w:szCs w:val="21"/>
              </w:rPr>
              <w:t>技术参数：</w:t>
            </w:r>
          </w:p>
          <w:p w14:paraId="4B9BF066">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材质：PVC塑料模组，编织物和布腕带</w:t>
            </w:r>
          </w:p>
          <w:p w14:paraId="532EFC41">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规格：</w:t>
            </w:r>
          </w:p>
          <w:p w14:paraId="07510EF7">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臂带：25cm-45cm，宽度：</w:t>
            </w:r>
            <w:r>
              <w:rPr>
                <w:rFonts w:hint="eastAsia" w:ascii="宋体" w:hAnsi="宋体" w:eastAsia="宋体" w:cs="宋体"/>
                <w:color w:val="auto"/>
                <w:sz w:val="21"/>
                <w:szCs w:val="21"/>
                <w:lang w:val="en-US" w:eastAsia="zh-CN"/>
              </w:rPr>
              <w:t>约</w:t>
            </w:r>
            <w:r>
              <w:rPr>
                <w:rFonts w:hint="eastAsia" w:ascii="宋体" w:hAnsi="宋体" w:eastAsia="宋体" w:cs="宋体"/>
                <w:color w:val="auto"/>
                <w:sz w:val="21"/>
                <w:szCs w:val="21"/>
              </w:rPr>
              <w:t>6.9cm，重量：115g</w:t>
            </w:r>
          </w:p>
          <w:p w14:paraId="6DB451B9">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3</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电子信息：</w:t>
            </w:r>
          </w:p>
          <w:p w14:paraId="3D11A735">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电池：内置锂电池</w:t>
            </w:r>
          </w:p>
          <w:p w14:paraId="0BC15C8A">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电量：直流电3.7V，300mA</w:t>
            </w:r>
          </w:p>
          <w:p w14:paraId="479AC2B1">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连接插口：type C</w:t>
            </w:r>
          </w:p>
          <w:p w14:paraId="0CCC0272">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蓝牙：蓝牙4.0</w:t>
            </w:r>
          </w:p>
          <w:p w14:paraId="2451FB94">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静态压：±3mmHg</w:t>
            </w:r>
          </w:p>
          <w:p w14:paraId="35F540F7">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加压范围：30-300 mHg</w:t>
            </w:r>
            <w:r>
              <w:rPr>
                <w:rFonts w:hint="eastAsia" w:ascii="宋体" w:hAnsi="宋体" w:eastAsia="宋体" w:cs="宋体"/>
                <w:color w:val="auto"/>
                <w:sz w:val="21"/>
                <w:szCs w:val="21"/>
                <w:lang w:eastAsia="zh-CN"/>
              </w:rPr>
              <w:t>。</w:t>
            </w:r>
          </w:p>
        </w:tc>
        <w:tc>
          <w:tcPr>
            <w:tcW w:w="1164" w:type="dxa"/>
            <w:noWrap w:val="0"/>
            <w:vAlign w:val="center"/>
          </w:tcPr>
          <w:p w14:paraId="2D4AD1D3">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功能训练</w:t>
            </w:r>
          </w:p>
        </w:tc>
      </w:tr>
      <w:tr w14:paraId="34656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noWrap w:val="0"/>
            <w:vAlign w:val="center"/>
          </w:tcPr>
          <w:p w14:paraId="36A01A3E">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3</w:t>
            </w:r>
          </w:p>
        </w:tc>
        <w:tc>
          <w:tcPr>
            <w:tcW w:w="1009" w:type="dxa"/>
            <w:noWrap w:val="0"/>
            <w:vAlign w:val="center"/>
          </w:tcPr>
          <w:p w14:paraId="4FF372CC">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1"/>
                <w:szCs w:val="21"/>
              </w:rPr>
            </w:pPr>
            <w:r>
              <w:rPr>
                <w:rFonts w:hint="eastAsia" w:ascii="宋体" w:hAnsi="宋体" w:eastAsia="宋体" w:cs="宋体"/>
                <w:snapToGrid w:val="0"/>
                <w:color w:val="auto"/>
                <w:kern w:val="0"/>
                <w:sz w:val="21"/>
                <w:szCs w:val="21"/>
                <w:lang w:bidi="ar"/>
              </w:rPr>
              <w:t>多关节等长力量与活动度测试仪</w:t>
            </w:r>
          </w:p>
        </w:tc>
        <w:tc>
          <w:tcPr>
            <w:tcW w:w="687" w:type="dxa"/>
            <w:noWrap w:val="0"/>
            <w:vAlign w:val="center"/>
          </w:tcPr>
          <w:p w14:paraId="636B51FC">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1台</w:t>
            </w:r>
          </w:p>
        </w:tc>
        <w:tc>
          <w:tcPr>
            <w:tcW w:w="4942" w:type="dxa"/>
            <w:noWrap w:val="0"/>
            <w:vAlign w:val="center"/>
          </w:tcPr>
          <w:p w14:paraId="2E8EAEDB">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1.手持式模块化设计</w:t>
            </w:r>
          </w:p>
          <w:p w14:paraId="307A8122">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2.可以测试300+肌力和关节活动度；</w:t>
            </w:r>
          </w:p>
          <w:p w14:paraId="5D21F938">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3.智能化配件+集成式显示屏，可实现对于各种专业运动的肌骨测量；</w:t>
            </w:r>
          </w:p>
          <w:p w14:paraId="53C47A7E">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4.数据可以在设备显示屏和客户应用端实时读取；</w:t>
            </w:r>
          </w:p>
          <w:p w14:paraId="7F9999B6">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5.可测试类型：推、拉、固定点、握力、关节活动度测试；</w:t>
            </w:r>
          </w:p>
          <w:p w14:paraId="7C6CADDF">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6.可对于上肢、下肢、躯干的几乎所有关节进行测量；</w:t>
            </w:r>
          </w:p>
          <w:p w14:paraId="06D33C2E">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7.软件云服务支持对所有数据进行管理及实时查看，支持随时打印生成报告；</w:t>
            </w:r>
          </w:p>
          <w:p w14:paraId="44E97652">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8.支持团队数据管理，数据可在显示屏和软件客户端同步呈现；</w:t>
            </w:r>
          </w:p>
          <w:p w14:paraId="0C82FE20">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9.测试指标至少包含：峰值力量、ROM、发力率、达到峰值力量的时间和不对称等指标。</w:t>
            </w:r>
          </w:p>
          <w:p w14:paraId="11C71EDC">
            <w:pPr>
              <w:keepNext w:val="0"/>
              <w:keepLines w:val="0"/>
              <w:pageBreakBefore w:val="0"/>
              <w:widowControl w:val="0"/>
              <w:kinsoku/>
              <w:wordWrap/>
              <w:overflowPunct/>
              <w:topLinePunct w:val="0"/>
              <w:autoSpaceDE/>
              <w:autoSpaceDN/>
              <w:bidi w:val="0"/>
              <w:adjustRightInd/>
              <w:snapToGrid/>
              <w:spacing w:line="300" w:lineRule="auto"/>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10.配置清单：主机1个；弧形触垫，板型触垫，手掌触垫各1个，拉力扣2个；握力手柄、踝带、ROM带、可调节带、手柄和工具扣、硬壳收纳箱各1个</w:t>
            </w:r>
            <w:r>
              <w:rPr>
                <w:rFonts w:hint="eastAsia" w:ascii="宋体" w:hAnsi="宋体" w:eastAsia="宋体" w:cs="宋体"/>
                <w:color w:val="auto"/>
                <w:sz w:val="21"/>
                <w:szCs w:val="21"/>
                <w:lang w:eastAsia="zh-CN"/>
              </w:rPr>
              <w:t>。</w:t>
            </w:r>
          </w:p>
        </w:tc>
        <w:tc>
          <w:tcPr>
            <w:tcW w:w="1164" w:type="dxa"/>
            <w:noWrap w:val="0"/>
            <w:vAlign w:val="center"/>
          </w:tcPr>
          <w:p w14:paraId="60373083">
            <w:pPr>
              <w:keepNext w:val="0"/>
              <w:keepLines w:val="0"/>
              <w:pageBreakBefore w:val="0"/>
              <w:widowControl w:val="0"/>
              <w:kinsoku/>
              <w:wordWrap/>
              <w:overflowPunct/>
              <w:topLinePunct w:val="0"/>
              <w:autoSpaceDE/>
              <w:autoSpaceDN/>
              <w:bidi w:val="0"/>
              <w:adjustRightInd/>
              <w:snapToGrid/>
              <w:spacing w:line="300" w:lineRule="auto"/>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康复评估、重返赛场</w:t>
            </w:r>
          </w:p>
        </w:tc>
      </w:tr>
    </w:tbl>
    <w:p w14:paraId="22AE60B4">
      <w:pPr>
        <w:spacing w:line="360" w:lineRule="auto"/>
        <w:ind w:firstLine="420" w:firstLineChars="200"/>
        <w:rPr>
          <w:rFonts w:hint="eastAsia" w:ascii="宋体" w:hAnsi="宋体" w:eastAsia="宋体" w:cs="宋体"/>
          <w:color w:val="auto"/>
          <w:szCs w:val="21"/>
        </w:rPr>
      </w:pPr>
    </w:p>
    <w:p w14:paraId="13E8CD03">
      <w:pPr>
        <w:spacing w:line="360" w:lineRule="auto"/>
        <w:ind w:firstLine="422" w:firstLineChars="200"/>
        <w:rPr>
          <w:rFonts w:hint="eastAsia" w:ascii="宋体" w:hAnsi="宋体" w:eastAsia="宋体" w:cs="宋体"/>
          <w:color w:val="auto"/>
          <w:szCs w:val="21"/>
        </w:rPr>
      </w:pPr>
      <w:r>
        <w:rPr>
          <w:rFonts w:hint="eastAsia" w:ascii="宋体" w:hAnsi="宋体" w:eastAsia="宋体" w:cs="宋体"/>
          <w:b/>
          <w:bCs/>
          <w:color w:val="auto"/>
          <w:szCs w:val="21"/>
        </w:rPr>
        <w:t>（四）工作要求</w:t>
      </w:r>
    </w:p>
    <w:p w14:paraId="16EFB77B">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工作时间总和需满足12个月/人，相关安排如下：</w:t>
      </w:r>
    </w:p>
    <w:p w14:paraId="6A9BA5CF">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 xml:space="preserve">（1）服务人员食宿由采购人负责； </w:t>
      </w:r>
    </w:p>
    <w:p w14:paraId="599B82F3">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 xml:space="preserve">（2）应根据采购人的优先级工作时间许可，提供所述的所有服务； </w:t>
      </w:r>
    </w:p>
    <w:p w14:paraId="51C78A57">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 xml:space="preserve">（3）服务标准需达到相应考核要求； </w:t>
      </w:r>
    </w:p>
    <w:p w14:paraId="010B355E">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 xml:space="preserve">（4）服务人员工作地点根据运动队需求，驻馆服务或跟队服务； </w:t>
      </w:r>
    </w:p>
    <w:p w14:paraId="3508D9A7">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 xml:space="preserve">（5）对运动员的训练体能档案数据、损伤康复数据、治疗数据负有保密责任； </w:t>
      </w:r>
    </w:p>
    <w:p w14:paraId="67017F67">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（6）服务人员每周工作6天，具体工作安排以采购人的安排为准；</w:t>
      </w:r>
    </w:p>
    <w:p w14:paraId="4FCCF391">
      <w:pPr>
        <w:spacing w:line="360" w:lineRule="auto"/>
        <w:ind w:firstLine="420" w:firstLineChars="200"/>
        <w:rPr>
          <w:rFonts w:hint="eastAsia" w:ascii="宋体" w:hAnsi="宋体" w:eastAsia="宋体" w:cs="宋体"/>
          <w:color w:val="auto"/>
          <w:szCs w:val="21"/>
        </w:rPr>
      </w:pPr>
      <w:r>
        <w:rPr>
          <w:rFonts w:hint="eastAsia" w:ascii="宋体" w:hAnsi="宋体" w:eastAsia="宋体" w:cs="宋体"/>
          <w:color w:val="auto"/>
          <w:szCs w:val="21"/>
        </w:rPr>
        <w:t>（7）知识产权：合同双方将为本项目使用中标人及安徽省重竞技运动管理中心的知识产权，并同意按照与世界贸易组织准则一致的方式相互尊重对方的知识产权。在合作期间，双方无偿使用对方的知识产权，在合作期间产生的新的知识产权成果归安徽省重竞技运动管理中心所有。</w:t>
      </w:r>
    </w:p>
    <w:p w14:paraId="2292BDEC">
      <w:pPr>
        <w:spacing w:line="360" w:lineRule="auto"/>
        <w:ind w:firstLine="422" w:firstLineChars="200"/>
        <w:rPr>
          <w:rFonts w:hint="eastAsia" w:ascii="宋体" w:hAnsi="宋体" w:eastAsia="宋体" w:cs="宋体"/>
          <w:b/>
          <w:bCs/>
          <w:color w:val="auto"/>
          <w:szCs w:val="21"/>
        </w:rPr>
      </w:pPr>
    </w:p>
    <w:p w14:paraId="6E41C870">
      <w:pPr>
        <w:spacing w:line="360" w:lineRule="auto"/>
        <w:ind w:firstLine="422" w:firstLineChars="200"/>
        <w:rPr>
          <w:rFonts w:hint="eastAsia" w:ascii="宋体" w:hAnsi="宋体" w:eastAsia="宋体" w:cs="宋体"/>
          <w:b/>
          <w:bCs/>
          <w:color w:val="auto"/>
          <w:szCs w:val="21"/>
        </w:rPr>
      </w:pPr>
      <w:r>
        <w:rPr>
          <w:rFonts w:hint="eastAsia" w:ascii="宋体" w:hAnsi="宋体" w:eastAsia="宋体" w:cs="宋体"/>
          <w:b/>
          <w:bCs/>
          <w:color w:val="auto"/>
          <w:szCs w:val="21"/>
        </w:rPr>
        <w:t xml:space="preserve">（五）其他要求 </w:t>
      </w:r>
    </w:p>
    <w:p w14:paraId="0AF11B2F">
      <w:pPr>
        <w:spacing w:line="360" w:lineRule="auto"/>
        <w:ind w:firstLine="630" w:firstLineChars="300"/>
        <w:rPr>
          <w:rFonts w:hint="eastAsia" w:ascii="宋体" w:hAnsi="宋体" w:eastAsia="宋体" w:cs="Times New Roman"/>
          <w:color w:val="auto"/>
          <w:szCs w:val="21"/>
        </w:rPr>
      </w:pPr>
      <w:r>
        <w:rPr>
          <w:rFonts w:hint="eastAsia" w:ascii="宋体" w:hAnsi="宋体" w:eastAsia="宋体" w:cs="Times New Roman"/>
          <w:color w:val="auto"/>
          <w:szCs w:val="21"/>
        </w:rPr>
        <w:t xml:space="preserve">1、中标人中标后不得擅自将服务内容转包，一经发现，采购人有权终止协议，而由此造成的一切经济损失，由中标人负责赔偿。 </w:t>
      </w:r>
    </w:p>
    <w:p w14:paraId="6FB7860E">
      <w:pPr>
        <w:spacing w:line="360" w:lineRule="auto"/>
        <w:ind w:firstLine="630" w:firstLineChars="300"/>
        <w:rPr>
          <w:rFonts w:hint="eastAsia" w:ascii="宋体" w:hAnsi="宋体" w:eastAsia="宋体" w:cs="Times New Roman"/>
          <w:color w:val="auto"/>
          <w:szCs w:val="21"/>
        </w:rPr>
      </w:pPr>
      <w:r>
        <w:rPr>
          <w:rFonts w:hint="eastAsia" w:ascii="宋体" w:hAnsi="宋体" w:eastAsia="宋体" w:cs="Times New Roman"/>
          <w:color w:val="auto"/>
          <w:szCs w:val="21"/>
        </w:rPr>
        <w:t xml:space="preserve">2、中标人应严格按照已确认的服务方案和工作流程提供服务，无条件地接受采购人对其工作质量的监督检查。 </w:t>
      </w:r>
    </w:p>
    <w:p w14:paraId="26A69C60">
      <w:pPr>
        <w:adjustRightInd w:val="0"/>
        <w:snapToGrid w:val="0"/>
        <w:ind w:firstLine="480" w:firstLineChars="200"/>
        <w:rPr>
          <w:rFonts w:hint="eastAsia" w:ascii="宋体" w:hAnsi="宋体" w:eastAsia="宋体" w:cs="Times New Roman"/>
          <w:color w:val="auto"/>
          <w:sz w:val="24"/>
          <w:szCs w:val="20"/>
        </w:rPr>
      </w:pPr>
    </w:p>
    <w:p w14:paraId="7258E80B">
      <w:pPr>
        <w:spacing w:line="360" w:lineRule="auto"/>
        <w:rPr>
          <w:rFonts w:hint="eastAsia" w:ascii="宋体" w:hAnsi="宋体" w:eastAsia="宋体" w:cs="Times New Roman"/>
          <w:b/>
          <w:color w:val="auto"/>
          <w:sz w:val="24"/>
          <w:szCs w:val="20"/>
        </w:rPr>
      </w:pPr>
      <w:r>
        <w:rPr>
          <w:rFonts w:hint="eastAsia" w:ascii="宋体" w:hAnsi="宋体" w:eastAsia="宋体" w:cs="Times New Roman"/>
          <w:b/>
          <w:color w:val="auto"/>
          <w:sz w:val="24"/>
          <w:szCs w:val="20"/>
        </w:rPr>
        <w:t>四、报价要求</w:t>
      </w:r>
    </w:p>
    <w:p w14:paraId="46D7E066">
      <w:pPr>
        <w:widowControl w:val="0"/>
        <w:spacing w:after="0" w:line="360" w:lineRule="auto"/>
        <w:ind w:left="0" w:leftChars="0" w:firstLine="422" w:firstLineChars="200"/>
        <w:jc w:val="both"/>
        <w:rPr>
          <w:rFonts w:ascii="Times New Roman" w:hAnsi="Times New Roman" w:eastAsia="宋体" w:cs="Times New Roman"/>
          <w:b/>
          <w:bCs/>
          <w:color w:val="auto"/>
          <w:kern w:val="2"/>
          <w:sz w:val="21"/>
          <w:szCs w:val="24"/>
          <w:lang w:val="en-US" w:eastAsia="zh-CN" w:bidi="ar-SA"/>
        </w:rPr>
      </w:pPr>
      <w:r>
        <w:rPr>
          <w:rFonts w:ascii="Times New Roman" w:hAnsi="Times New Roman" w:eastAsia="宋体" w:cs="Times New Roman"/>
          <w:b/>
          <w:bCs/>
          <w:color w:val="auto"/>
          <w:kern w:val="2"/>
          <w:sz w:val="21"/>
          <w:szCs w:val="24"/>
          <w:lang w:val="en-US" w:eastAsia="zh-CN" w:bidi="ar-SA"/>
        </w:rPr>
        <w:t>1、本项目报</w:t>
      </w:r>
      <w:r>
        <w:rPr>
          <w:rFonts w:hint="eastAsia" w:ascii="Times New Roman" w:hAnsi="Times New Roman" w:eastAsia="宋体" w:cs="Times New Roman"/>
          <w:b/>
          <w:bCs/>
          <w:color w:val="auto"/>
          <w:kern w:val="2"/>
          <w:sz w:val="21"/>
          <w:szCs w:val="24"/>
          <w:lang w:val="en-US" w:eastAsia="zh-CN" w:bidi="ar-SA"/>
        </w:rPr>
        <w:t>总</w:t>
      </w:r>
      <w:r>
        <w:rPr>
          <w:rFonts w:ascii="Times New Roman" w:hAnsi="Times New Roman" w:eastAsia="宋体" w:cs="Times New Roman"/>
          <w:b/>
          <w:bCs/>
          <w:color w:val="auto"/>
          <w:kern w:val="2"/>
          <w:sz w:val="21"/>
          <w:szCs w:val="24"/>
          <w:lang w:val="en-US" w:eastAsia="zh-CN" w:bidi="ar-SA"/>
        </w:rPr>
        <w:t>价</w:t>
      </w:r>
      <w:r>
        <w:rPr>
          <w:rFonts w:hint="eastAsia" w:ascii="Times New Roman" w:hAnsi="Times New Roman" w:eastAsia="宋体" w:cs="Times New Roman"/>
          <w:b/>
          <w:bCs/>
          <w:color w:val="auto"/>
          <w:kern w:val="2"/>
          <w:sz w:val="21"/>
          <w:szCs w:val="24"/>
          <w:lang w:val="en-US" w:eastAsia="zh-CN" w:bidi="ar-SA"/>
        </w:rPr>
        <w:t>，最高限价为200万元，超出最高限价作无效标处理。</w:t>
      </w:r>
    </w:p>
    <w:p w14:paraId="7FB10717">
      <w:r>
        <w:rPr>
          <w:rFonts w:ascii="Times New Roman" w:hAnsi="Times New Roman" w:eastAsia="宋体" w:cs="Times New Roman"/>
          <w:color w:val="auto"/>
          <w:kern w:val="2"/>
          <w:sz w:val="21"/>
          <w:szCs w:val="24"/>
          <w:lang w:val="en-US" w:eastAsia="zh-CN" w:bidi="ar-SA"/>
        </w:rPr>
        <w:t>2、投标人的投标报价包括提供服务的一切成本和费用、管理费、利润和税金，以及采购合同中明示或暗示的所有责任、义务和风险，采购人后期不再另行追加项目预算。</w:t>
      </w:r>
      <w:bookmarkStart w:id="8" w:name="_GoBack"/>
      <w:bookmarkEnd w:id="8"/>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A064A37"/>
    <w:multiLevelType w:val="singleLevel"/>
    <w:tmpl w:val="2A064A37"/>
    <w:lvl w:ilvl="0" w:tentative="0">
      <w:start w:val="3"/>
      <w:numFmt w:val="chineseCounting"/>
      <w:suff w:val="space"/>
      <w:lvlText w:val="第%1章"/>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8DC3AEA"/>
    <w:rsid w:val="48DC3A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_GB2312" w:hAnsi="@仿宋_GB2312" w:eastAsia="@仿宋_GB2312" w:cs="@仿宋_GB2312"/>
      <w:kern w:val="2"/>
      <w:sz w:val="21"/>
      <w:lang w:val="en-US" w:eastAsia="zh-CN" w:bidi="ar-SA"/>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Body Text First Indent 2"/>
    <w:basedOn w:val="3"/>
    <w:qFormat/>
    <w:uiPriority w:val="99"/>
    <w:pPr>
      <w:spacing w:after="120"/>
      <w:ind w:left="420" w:leftChars="200" w:firstLine="420" w:firstLineChars="200"/>
    </w:pPr>
    <w:rPr>
      <w:sz w:val="21"/>
    </w:rPr>
  </w:style>
  <w:style w:type="paragraph" w:styleId="3">
    <w:name w:val="Body Text Indent"/>
    <w:basedOn w:val="1"/>
    <w:next w:val="4"/>
    <w:unhideWhenUsed/>
    <w:qFormat/>
    <w:uiPriority w:val="0"/>
    <w:pPr>
      <w:ind w:firstLine="645"/>
    </w:pPr>
    <w:rPr>
      <w:sz w:val="32"/>
    </w:rPr>
  </w:style>
  <w:style w:type="paragraph" w:styleId="4">
    <w:name w:val="envelope return"/>
    <w:basedOn w:val="1"/>
    <w:qFormat/>
    <w:uiPriority w:val="0"/>
    <w:pPr>
      <w:widowControl w:val="0"/>
      <w:snapToGrid w:val="0"/>
      <w:jc w:val="both"/>
    </w:pPr>
    <w:rPr>
      <w:rFonts w:ascii="Arial" w:hAnsi="Arial"/>
      <w:kern w:val="2"/>
      <w:sz w:val="21"/>
      <w:szCs w:val="24"/>
      <w:lang w:val="en-US" w:eastAsia="zh-CN" w:bidi="ar-SA"/>
    </w:rPr>
  </w:style>
  <w:style w:type="paragraph" w:styleId="5">
    <w:name w:val="header"/>
    <w:basedOn w:val="1"/>
    <w:unhideWhenUsed/>
    <w:qFormat/>
    <w:uiPriority w:val="99"/>
    <w:pPr>
      <w:pBdr>
        <w:bottom w:val="single" w:color="auto" w:sz="6" w:space="1"/>
      </w:pBdr>
      <w:tabs>
        <w:tab w:val="center" w:pos="4153"/>
        <w:tab w:val="right" w:pos="8306"/>
      </w:tabs>
      <w:snapToGrid w:val="0"/>
      <w:jc w:val="center"/>
    </w:pPr>
    <w:rPr>
      <w:rFonts w:cs="Times New Roman"/>
      <w:kern w:val="0"/>
      <w:sz w:val="18"/>
      <w:szCs w:val="18"/>
    </w:rPr>
  </w:style>
  <w:style w:type="paragraph" w:customStyle="1" w:styleId="8">
    <w:name w:val="D&amp;L"/>
    <w:basedOn w:val="5"/>
    <w:qFormat/>
    <w:uiPriority w:val="0"/>
    <w:pPr>
      <w:pBdr>
        <w:bottom w:val="none" w:color="auto" w:sz="0" w:space="0"/>
      </w:pBdr>
      <w:adjustRightInd w:val="0"/>
      <w:spacing w:line="300" w:lineRule="auto"/>
    </w:pPr>
    <w:rPr>
      <w:rFonts w:ascii="宋体" w:hAnsi="宋体" w:eastAsia="宋体"/>
      <w:bCs/>
      <w:sz w:val="21"/>
      <w:szCs w:val="21"/>
    </w:rPr>
  </w:style>
  <w:style w:type="paragraph" w:customStyle="1" w:styleId="9">
    <w:name w:val="xl31"/>
    <w:basedOn w:val="1"/>
    <w:qFormat/>
    <w:uiPriority w:val="0"/>
    <w:pPr>
      <w:spacing w:line="360" w:lineRule="auto"/>
    </w:pPr>
    <w:rPr>
      <w:rFonts w:ascii="宋体" w:hAnsi="宋体" w:eastAsia="宋体"/>
      <w:bCs/>
      <w:kern w:val="0"/>
      <w:sz w:val="24"/>
      <w:szCs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2025-03-21T09:18:00Z</dcterms:created>
  <dc:creator>初审-李真</dc:creator>
  <cp:lastModifiedBy>初审-李真</cp:lastModifiedBy>
  <dcterms:modified xsi:type="dcterms:W3CDTF">2025-03-21T09:18:34Z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E17B5FB0AB424A4A8E93BCE49407C33C_11</vt:lpwstr>
  </property>
  <property fmtid="{D5CDD505-2E9C-101B-9397-08002B2CF9AE}" pid="4" name="KSOTemplateDocerSaveRecord">
    <vt:lpwstr>eyJoZGlkIjoiNjA3NGE3NTExNDc2ZGM0YWE4MThmNDY0MGZhYTI3NzgiLCJ1c2VySWQiOiIzMjQ4MTEwODkifQ==</vt:lpwstr>
  </property>
</Properties>
</file>