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AD995">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采购需求</w:t>
      </w:r>
    </w:p>
    <w:p w14:paraId="64E44FAC">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前注：</w:t>
      </w:r>
    </w:p>
    <w:p w14:paraId="2792B4DB">
      <w:pPr>
        <w:spacing w:line="360" w:lineRule="auto"/>
        <w:ind w:firstLine="240" w:firstLineChars="100"/>
        <w:rPr>
          <w:rFonts w:ascii="宋体" w:hAnsi="宋体" w:eastAsia="宋体" w:cs="宋体"/>
          <w:color w:val="auto"/>
          <w:sz w:val="24"/>
          <w:szCs w:val="24"/>
          <w:highlight w:val="none"/>
        </w:rPr>
      </w:pPr>
      <w:bookmarkStart w:id="0" w:name="_Hlk23621890"/>
      <w:r>
        <w:rPr>
          <w:rFonts w:ascii="宋体" w:hAnsi="宋体" w:eastAsia="宋体" w:cs="宋体"/>
          <w:color w:val="auto"/>
          <w:sz w:val="24"/>
          <w:szCs w:val="24"/>
          <w:highlight w:val="none"/>
        </w:rPr>
        <w:t>本采购需求中提出的服务方案仅为参考，如无明确限制，投标</w:t>
      </w:r>
      <w:r>
        <w:rPr>
          <w:rFonts w:hint="eastAsia" w:ascii="宋体" w:hAnsi="宋体" w:eastAsia="宋体" w:cs="宋体"/>
          <w:color w:val="auto"/>
          <w:sz w:val="24"/>
          <w:szCs w:val="24"/>
          <w:highlight w:val="none"/>
        </w:rPr>
        <w:t>人</w:t>
      </w:r>
      <w:r>
        <w:rPr>
          <w:rFonts w:ascii="宋体" w:hAnsi="宋体" w:eastAsia="宋体" w:cs="宋体"/>
          <w:color w:val="auto"/>
          <w:sz w:val="24"/>
          <w:szCs w:val="24"/>
          <w:highlight w:val="none"/>
        </w:rPr>
        <w:t>可以进行优化，提供满足采购人实际需要的更优（或者性能实质上不低于的）服务方案</w:t>
      </w:r>
      <w:r>
        <w:rPr>
          <w:rFonts w:hint="eastAsia" w:ascii="宋体" w:hAnsi="宋体" w:eastAsia="宋体" w:cs="宋体"/>
          <w:color w:val="auto"/>
          <w:sz w:val="24"/>
          <w:szCs w:val="24"/>
          <w:highlight w:val="none"/>
        </w:rPr>
        <w:t>。</w:t>
      </w:r>
    </w:p>
    <w:p w14:paraId="30875AF6">
      <w:pPr>
        <w:spacing w:line="360" w:lineRule="auto"/>
        <w:ind w:firstLine="437"/>
        <w:outlineLvl w:val="1"/>
        <w:rPr>
          <w:rFonts w:ascii="宋体" w:hAnsi="宋体" w:eastAsia="宋体"/>
          <w:b/>
          <w:color w:val="auto"/>
          <w:sz w:val="24"/>
          <w:szCs w:val="18"/>
          <w:highlight w:val="none"/>
        </w:rPr>
      </w:pPr>
      <w:bookmarkStart w:id="1" w:name="_Toc1092"/>
      <w:bookmarkStart w:id="2" w:name="_Toc30158"/>
      <w:r>
        <w:rPr>
          <w:rFonts w:hint="eastAsia" w:ascii="宋体" w:hAnsi="宋体" w:eastAsia="宋体"/>
          <w:b/>
          <w:color w:val="auto"/>
          <w:sz w:val="24"/>
          <w:szCs w:val="18"/>
          <w:highlight w:val="none"/>
        </w:rPr>
        <w:t>一、采购需求前附表</w:t>
      </w:r>
      <w:bookmarkEnd w:id="1"/>
      <w:bookmarkEnd w:id="2"/>
    </w:p>
    <w:tbl>
      <w:tblPr>
        <w:tblStyle w:val="3"/>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928"/>
        <w:gridCol w:w="5633"/>
      </w:tblGrid>
      <w:tr w14:paraId="4EE8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00" w:type="dxa"/>
            <w:vAlign w:val="center"/>
          </w:tcPr>
          <w:p w14:paraId="01837AFE">
            <w:pPr>
              <w:widowControl w:val="0"/>
              <w:pBdr>
                <w:bottom w:val="none" w:color="auto" w:sz="0" w:space="0"/>
              </w:pBdr>
              <w:adjustRightInd/>
              <w:snapToGrid/>
              <w:spacing w:line="240" w:lineRule="auto"/>
              <w:jc w:val="center"/>
              <w:textAlignment w:val="auto"/>
              <w:rPr>
                <w:rFonts w:ascii="宋体" w:hAnsi="宋体" w:eastAsia="宋体" w:cs="@仿宋_GB2312"/>
                <w:b/>
                <w:color w:val="auto"/>
                <w:kern w:val="2"/>
                <w:sz w:val="24"/>
                <w:szCs w:val="20"/>
                <w:highlight w:val="none"/>
                <w:lang w:val="en-US" w:eastAsia="zh-CN" w:bidi="ar-SA"/>
              </w:rPr>
            </w:pPr>
            <w:r>
              <w:rPr>
                <w:rFonts w:hint="eastAsia" w:ascii="宋体" w:hAnsi="宋体" w:eastAsia="宋体" w:cs="@仿宋_GB2312"/>
                <w:b/>
                <w:color w:val="auto"/>
                <w:kern w:val="2"/>
                <w:sz w:val="24"/>
                <w:szCs w:val="20"/>
                <w:highlight w:val="none"/>
                <w:lang w:val="en-US" w:eastAsia="zh-CN" w:bidi="ar-SA"/>
              </w:rPr>
              <w:t>序号</w:t>
            </w:r>
          </w:p>
        </w:tc>
        <w:tc>
          <w:tcPr>
            <w:tcW w:w="1928" w:type="dxa"/>
            <w:vAlign w:val="center"/>
          </w:tcPr>
          <w:p w14:paraId="4E27C1F0">
            <w:pPr>
              <w:widowControl w:val="0"/>
              <w:spacing w:before="0" w:beforeAutospacing="0" w:after="0" w:afterAutospacing="0" w:line="360" w:lineRule="auto"/>
              <w:jc w:val="center"/>
              <w:rPr>
                <w:rFonts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条款名称</w:t>
            </w:r>
          </w:p>
        </w:tc>
        <w:tc>
          <w:tcPr>
            <w:tcW w:w="5633" w:type="dxa"/>
            <w:vAlign w:val="center"/>
          </w:tcPr>
          <w:p w14:paraId="34CBBD04">
            <w:pPr>
              <w:widowControl w:val="0"/>
              <w:spacing w:before="0" w:beforeAutospacing="0" w:after="0" w:afterAutospacing="0" w:line="360" w:lineRule="auto"/>
              <w:jc w:val="center"/>
              <w:rPr>
                <w:rFonts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内容、说明与要求</w:t>
            </w:r>
          </w:p>
        </w:tc>
      </w:tr>
      <w:tr w14:paraId="4153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00" w:type="dxa"/>
            <w:vAlign w:val="center"/>
          </w:tcPr>
          <w:p w14:paraId="678C815D">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1</w:t>
            </w:r>
          </w:p>
        </w:tc>
        <w:tc>
          <w:tcPr>
            <w:tcW w:w="1928" w:type="dxa"/>
            <w:vAlign w:val="center"/>
          </w:tcPr>
          <w:p w14:paraId="50B73217">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5633" w:type="dxa"/>
            <w:vAlign w:val="center"/>
          </w:tcPr>
          <w:p w14:paraId="64D78919">
            <w:pPr>
              <w:widowControl w:val="0"/>
              <w:spacing w:before="0" w:beforeAutospacing="0" w:after="0" w:afterAutospacing="0" w:line="360" w:lineRule="auto"/>
              <w:jc w:val="both"/>
              <w:rPr>
                <w:rFonts w:hint="eastAsia" w:ascii="宋体" w:hAnsi="宋体" w:eastAsia="宋体" w:cs="@仿宋_GB2312"/>
                <w:b w:val="0"/>
                <w:bCs w:val="0"/>
                <w:color w:val="auto"/>
                <w:kern w:val="0"/>
                <w:sz w:val="24"/>
                <w:szCs w:val="24"/>
                <w:highlight w:val="none"/>
                <w:lang w:val="en-US" w:eastAsia="zh-CN" w:bidi="ar-SA"/>
              </w:rPr>
            </w:pPr>
            <w:r>
              <w:rPr>
                <w:rFonts w:hint="eastAsia" w:ascii="宋体" w:hAnsi="宋体" w:eastAsia="宋体" w:cs="@仿宋_GB2312"/>
                <w:b w:val="0"/>
                <w:bCs w:val="0"/>
                <w:color w:val="auto"/>
                <w:kern w:val="0"/>
                <w:sz w:val="24"/>
                <w:szCs w:val="24"/>
                <w:highlight w:val="none"/>
                <w:lang w:val="en-US" w:eastAsia="zh-CN" w:bidi="ar-SA"/>
              </w:rPr>
              <w:t>1、本项目预付款为合同金额的70%，中标人须提供等额的预付款担保，预付款在本项目合同签订、相关担保措施生效以及具备实施条件后支付；</w:t>
            </w:r>
          </w:p>
          <w:p w14:paraId="6586D61A">
            <w:pPr>
              <w:widowControl w:val="0"/>
              <w:spacing w:before="0" w:beforeAutospacing="0" w:after="0" w:afterAutospacing="0" w:line="360" w:lineRule="auto"/>
              <w:jc w:val="both"/>
              <w:rPr>
                <w:rFonts w:hint="eastAsia" w:ascii="宋体" w:hAnsi="宋体" w:eastAsia="宋体" w:cs="@仿宋_GB2312"/>
                <w:b w:val="0"/>
                <w:bCs w:val="0"/>
                <w:color w:val="auto"/>
                <w:kern w:val="0"/>
                <w:sz w:val="24"/>
                <w:szCs w:val="24"/>
                <w:highlight w:val="none"/>
                <w:lang w:val="en-US" w:eastAsia="zh-CN" w:bidi="ar-SA"/>
              </w:rPr>
            </w:pPr>
            <w:r>
              <w:rPr>
                <w:rFonts w:hint="eastAsia" w:ascii="宋体" w:hAnsi="宋体" w:eastAsia="宋体" w:cs="@仿宋_GB2312"/>
                <w:b w:val="0"/>
                <w:bCs w:val="0"/>
                <w:color w:val="auto"/>
                <w:kern w:val="0"/>
                <w:sz w:val="24"/>
                <w:szCs w:val="24"/>
                <w:highlight w:val="none"/>
                <w:lang w:val="en-US" w:eastAsia="zh-CN" w:bidi="ar-SA"/>
              </w:rPr>
              <w:t>2、合同履约完成并验收合格后支付剩余合同价款。</w:t>
            </w:r>
          </w:p>
          <w:p w14:paraId="70CFCADD">
            <w:pPr>
              <w:widowControl w:val="0"/>
              <w:spacing w:before="0" w:beforeAutospacing="0" w:after="0" w:afterAutospacing="0" w:line="360" w:lineRule="auto"/>
              <w:jc w:val="both"/>
              <w:rPr>
                <w:rFonts w:hint="eastAsia" w:ascii="宋体" w:hAnsi="宋体" w:eastAsia="宋体" w:cs="@仿宋_GB2312"/>
                <w:b w:val="0"/>
                <w:bCs w:val="0"/>
                <w:color w:val="auto"/>
                <w:kern w:val="0"/>
                <w:sz w:val="24"/>
                <w:szCs w:val="24"/>
                <w:highlight w:val="none"/>
                <w:lang w:val="en-US" w:eastAsia="zh-CN" w:bidi="ar-SA"/>
              </w:rPr>
            </w:pPr>
            <w:r>
              <w:rPr>
                <w:rFonts w:hint="eastAsia" w:ascii="宋体" w:hAnsi="宋体" w:eastAsia="宋体" w:cs="@仿宋_GB2312"/>
                <w:b w:val="0"/>
                <w:bCs w:val="0"/>
                <w:color w:val="auto"/>
                <w:kern w:val="0"/>
                <w:sz w:val="24"/>
                <w:szCs w:val="24"/>
                <w:highlight w:val="none"/>
                <w:lang w:val="en-US" w:eastAsia="zh-CN" w:bidi="ar-SA"/>
              </w:rPr>
              <w:t>备注：</w:t>
            </w:r>
          </w:p>
          <w:p w14:paraId="0F48C9DD">
            <w:pPr>
              <w:widowControl w:val="0"/>
              <w:spacing w:before="0" w:beforeAutospacing="0" w:after="0" w:afterAutospacing="0" w:line="360" w:lineRule="auto"/>
              <w:jc w:val="both"/>
              <w:rPr>
                <w:rFonts w:hint="eastAsia" w:ascii="宋体" w:hAnsi="宋体" w:eastAsia="宋体" w:cs="@仿宋_GB2312"/>
                <w:b w:val="0"/>
                <w:bCs w:val="0"/>
                <w:color w:val="auto"/>
                <w:kern w:val="0"/>
                <w:sz w:val="24"/>
                <w:szCs w:val="24"/>
                <w:highlight w:val="none"/>
                <w:lang w:val="en-US" w:eastAsia="zh-CN" w:bidi="ar-SA"/>
              </w:rPr>
            </w:pPr>
            <w:r>
              <w:rPr>
                <w:rFonts w:hint="eastAsia" w:ascii="宋体" w:hAnsi="宋体" w:eastAsia="宋体" w:cs="@仿宋_GB2312"/>
                <w:b w:val="0"/>
                <w:bCs w:val="0"/>
                <w:color w:val="auto"/>
                <w:kern w:val="0"/>
                <w:sz w:val="24"/>
                <w:szCs w:val="24"/>
                <w:highlight w:val="none"/>
                <w:lang w:val="en-US" w:eastAsia="zh-CN" w:bidi="ar-SA"/>
              </w:rPr>
              <w:t>（1）本项目要求中标人在合同签订后15个日历日内提供预付款担保。</w:t>
            </w:r>
          </w:p>
          <w:p w14:paraId="6E546D80">
            <w:pPr>
              <w:widowControl w:val="0"/>
              <w:spacing w:before="0" w:beforeAutospacing="0" w:after="0" w:afterAutospacing="0" w:line="360" w:lineRule="auto"/>
              <w:jc w:val="both"/>
              <w:rPr>
                <w:rFonts w:hint="eastAsia" w:ascii="宋体" w:hAnsi="宋体" w:eastAsia="宋体" w:cs="@仿宋_GB2312"/>
                <w:b w:val="0"/>
                <w:bCs w:val="0"/>
                <w:color w:val="auto"/>
                <w:kern w:val="0"/>
                <w:sz w:val="24"/>
                <w:szCs w:val="24"/>
                <w:highlight w:val="none"/>
                <w:lang w:val="en-US" w:eastAsia="zh-CN" w:bidi="ar-SA"/>
              </w:rPr>
            </w:pPr>
            <w:r>
              <w:rPr>
                <w:rFonts w:hint="eastAsia" w:ascii="宋体" w:hAnsi="宋体" w:eastAsia="宋体" w:cs="@仿宋_GB2312"/>
                <w:b w:val="0"/>
                <w:bCs w:val="0"/>
                <w:color w:val="auto"/>
                <w:kern w:val="0"/>
                <w:sz w:val="24"/>
                <w:szCs w:val="24"/>
                <w:highlight w:val="none"/>
                <w:lang w:val="en-US" w:eastAsia="zh-CN" w:bidi="ar-SA"/>
              </w:rPr>
              <w:t>（2）预付款担保形式：银行保函、担保机构担保。</w:t>
            </w:r>
          </w:p>
          <w:p w14:paraId="6F217AE4">
            <w:pPr>
              <w:widowControl w:val="0"/>
              <w:spacing w:before="0" w:beforeAutospacing="0" w:after="0" w:afterAutospacing="0" w:line="360" w:lineRule="auto"/>
              <w:jc w:val="both"/>
              <w:rPr>
                <w:rFonts w:hint="eastAsia" w:ascii="宋体" w:hAnsi="宋体" w:eastAsia="宋体" w:cs="@仿宋_GB2312"/>
                <w:b w:val="0"/>
                <w:bCs w:val="0"/>
                <w:color w:val="auto"/>
                <w:kern w:val="0"/>
                <w:sz w:val="24"/>
                <w:szCs w:val="24"/>
                <w:highlight w:val="none"/>
                <w:lang w:val="en-US" w:eastAsia="zh-CN" w:bidi="ar-SA"/>
              </w:rPr>
            </w:pPr>
            <w:r>
              <w:rPr>
                <w:rFonts w:hint="eastAsia" w:ascii="宋体" w:hAnsi="宋体" w:eastAsia="宋体" w:cs="@仿宋_GB2312"/>
                <w:b w:val="0"/>
                <w:bCs w:val="0"/>
                <w:color w:val="auto"/>
                <w:kern w:val="0"/>
                <w:sz w:val="24"/>
                <w:szCs w:val="24"/>
                <w:highlight w:val="none"/>
                <w:lang w:val="en-US" w:eastAsia="zh-CN" w:bidi="ar-SA"/>
              </w:rPr>
              <w:t>（3）预付款担保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p w14:paraId="0CD622A3">
            <w:pPr>
              <w:widowControl w:val="0"/>
              <w:spacing w:before="0" w:beforeAutospacing="0" w:after="0" w:afterAutospacing="0" w:line="360" w:lineRule="auto"/>
              <w:jc w:val="both"/>
              <w:rPr>
                <w:rFonts w:hint="eastAsia" w:ascii="宋体" w:hAnsi="宋体" w:eastAsia="@仿宋_GB2312" w:cs="@仿宋_GB2312"/>
                <w:b w:val="0"/>
                <w:bCs w:val="0"/>
                <w:color w:val="auto"/>
                <w:kern w:val="0"/>
                <w:sz w:val="24"/>
                <w:szCs w:val="24"/>
                <w:highlight w:val="none"/>
                <w:lang w:val="en-US" w:eastAsia="zh-CN" w:bidi="ar-SA"/>
              </w:rPr>
            </w:pPr>
            <w:r>
              <w:rPr>
                <w:rFonts w:hint="eastAsia" w:ascii="宋体" w:hAnsi="宋体" w:eastAsia="宋体" w:cs="@仿宋_GB2312"/>
                <w:b w:val="0"/>
                <w:bCs w:val="0"/>
                <w:color w:val="auto"/>
                <w:kern w:val="0"/>
                <w:sz w:val="24"/>
                <w:szCs w:val="24"/>
                <w:highlight w:val="none"/>
                <w:lang w:val="en-US" w:eastAsia="zh-CN" w:bidi="ar-SA"/>
              </w:rPr>
              <w:t>（4）在签订合同时，中标人书面明确表示无需预付款或者主动要求降低预付款比例的，采购人可降低预付款支付比例或不支付预付款。</w:t>
            </w:r>
          </w:p>
        </w:tc>
      </w:tr>
      <w:tr w14:paraId="348C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00" w:type="dxa"/>
            <w:vAlign w:val="center"/>
          </w:tcPr>
          <w:p w14:paraId="53C19CC6">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2</w:t>
            </w:r>
          </w:p>
        </w:tc>
        <w:tc>
          <w:tcPr>
            <w:tcW w:w="1928" w:type="dxa"/>
            <w:vAlign w:val="center"/>
          </w:tcPr>
          <w:p w14:paraId="547C9F7F">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服务地点</w:t>
            </w:r>
          </w:p>
        </w:tc>
        <w:tc>
          <w:tcPr>
            <w:tcW w:w="5633" w:type="dxa"/>
            <w:vAlign w:val="center"/>
          </w:tcPr>
          <w:p w14:paraId="3A8E84F9">
            <w:pPr>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安徽省内外。</w:t>
            </w:r>
          </w:p>
        </w:tc>
      </w:tr>
      <w:tr w14:paraId="5108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00" w:type="dxa"/>
            <w:vAlign w:val="center"/>
          </w:tcPr>
          <w:p w14:paraId="23950340">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3</w:t>
            </w:r>
          </w:p>
        </w:tc>
        <w:tc>
          <w:tcPr>
            <w:tcW w:w="1928" w:type="dxa"/>
            <w:vAlign w:val="center"/>
          </w:tcPr>
          <w:p w14:paraId="225294B5">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服务期限</w:t>
            </w:r>
          </w:p>
        </w:tc>
        <w:tc>
          <w:tcPr>
            <w:tcW w:w="5633" w:type="dxa"/>
            <w:vAlign w:val="center"/>
          </w:tcPr>
          <w:p w14:paraId="4E60B565">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服务期限为合同生效之日起一年。合同生效后，2026年9月30日前完成线下培训任务。</w:t>
            </w:r>
          </w:p>
        </w:tc>
      </w:tr>
      <w:tr w14:paraId="3456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00" w:type="dxa"/>
            <w:vAlign w:val="center"/>
          </w:tcPr>
          <w:p w14:paraId="029FC738">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4</w:t>
            </w:r>
          </w:p>
        </w:tc>
        <w:tc>
          <w:tcPr>
            <w:tcW w:w="1928" w:type="dxa"/>
            <w:vAlign w:val="center"/>
          </w:tcPr>
          <w:p w14:paraId="39C92175">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本项目采购标的名称及所属行业</w:t>
            </w:r>
          </w:p>
        </w:tc>
        <w:tc>
          <w:tcPr>
            <w:tcW w:w="5633" w:type="dxa"/>
            <w:vAlign w:val="center"/>
          </w:tcPr>
          <w:p w14:paraId="2095B8AB">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标的名称：安徽省2026年职业院校教师素质提高计划省统一招标项目（包组一）第11包（二次）</w:t>
            </w:r>
          </w:p>
          <w:p w14:paraId="7159EBAC">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所属行业：其他未列明行业</w:t>
            </w:r>
          </w:p>
        </w:tc>
      </w:tr>
      <w:bookmarkEnd w:id="0"/>
    </w:tbl>
    <w:p w14:paraId="17CEB645">
      <w:pPr>
        <w:spacing w:line="360" w:lineRule="auto"/>
        <w:ind w:firstLine="437"/>
        <w:outlineLvl w:val="1"/>
        <w:rPr>
          <w:rFonts w:hint="default" w:ascii="宋体" w:hAnsi="宋体" w:eastAsia="宋体"/>
          <w:b/>
          <w:bCs/>
          <w:color w:val="auto"/>
          <w:sz w:val="24"/>
          <w:szCs w:val="18"/>
          <w:highlight w:val="none"/>
          <w:lang w:val="en-US"/>
        </w:rPr>
      </w:pPr>
      <w:bookmarkStart w:id="3" w:name="_Toc27814"/>
      <w:bookmarkStart w:id="4" w:name="_Toc8264"/>
      <w:r>
        <w:rPr>
          <w:rFonts w:hint="eastAsia" w:ascii="宋体" w:hAnsi="宋体" w:eastAsia="宋体"/>
          <w:b/>
          <w:bCs/>
          <w:color w:val="auto"/>
          <w:sz w:val="24"/>
          <w:highlight w:val="none"/>
          <w:lang w:val="en-US" w:eastAsia="zh-CN"/>
        </w:rPr>
        <w:t>二、</w:t>
      </w:r>
      <w:bookmarkEnd w:id="3"/>
      <w:r>
        <w:rPr>
          <w:rFonts w:hint="eastAsia" w:ascii="宋体" w:hAnsi="宋体" w:eastAsia="宋体"/>
          <w:b/>
          <w:bCs/>
          <w:color w:val="auto"/>
          <w:sz w:val="24"/>
          <w:highlight w:val="none"/>
          <w:lang w:val="en-US" w:eastAsia="zh-CN"/>
        </w:rPr>
        <w:t>项目概况</w:t>
      </w:r>
      <w:bookmarkEnd w:id="4"/>
    </w:p>
    <w:p w14:paraId="2C2CCD17">
      <w:pPr>
        <w:spacing w:line="360" w:lineRule="auto"/>
        <w:ind w:firstLine="437"/>
        <w:outlineLvl w:val="1"/>
        <w:rPr>
          <w:rFonts w:hint="default" w:ascii="宋体" w:hAnsi="宋体" w:eastAsia="宋体"/>
          <w:b/>
          <w:bCs/>
          <w:color w:val="auto"/>
          <w:sz w:val="24"/>
          <w:highlight w:val="none"/>
          <w:lang w:val="en-US" w:eastAsia="zh-CN"/>
        </w:rPr>
      </w:pPr>
      <w:bookmarkStart w:id="5" w:name="_Toc31778"/>
      <w:bookmarkStart w:id="6" w:name="_Toc7058"/>
      <w:r>
        <w:rPr>
          <w:rFonts w:hint="eastAsia" w:ascii="宋体" w:hAnsi="宋体" w:eastAsia="宋体"/>
          <w:b w:val="0"/>
          <w:bCs w:val="0"/>
          <w:color w:val="auto"/>
          <w:sz w:val="24"/>
          <w:highlight w:val="none"/>
          <w:lang w:val="en-US" w:eastAsia="zh-CN"/>
        </w:rPr>
        <w:t>为贯彻落实《中共中央 国务院关于全面深化新时代教师队伍建设改革的意见》《国务院关于印发国家职业教育改革实施方案的通知》《中共中央办公厅 国务院办公厅关于推动现代职业教育高质量发展的意见》精神，进一步加强职业院校教师队伍建设。根据《财政部 教育部关于印发现代职业教育质量提升计划资金管理办法的通知》等有关要求，拟向省内外具备相关资质、符合相应条件的单位公开招标，承担我省2026年职业院校教师素质提高计划相关培训。</w:t>
      </w:r>
      <w:bookmarkEnd w:id="5"/>
    </w:p>
    <w:p w14:paraId="7F8437D4">
      <w:pPr>
        <w:spacing w:line="360" w:lineRule="auto"/>
        <w:ind w:firstLine="437"/>
        <w:outlineLvl w:val="1"/>
        <w:rPr>
          <w:rFonts w:hint="default" w:ascii="宋体" w:hAnsi="宋体" w:eastAsia="宋体"/>
          <w:b/>
          <w:bCs/>
          <w:color w:val="auto"/>
          <w:sz w:val="24"/>
          <w:highlight w:val="none"/>
          <w:lang w:val="en-US" w:eastAsia="zh-CN"/>
        </w:rPr>
      </w:pPr>
      <w:bookmarkStart w:id="7" w:name="_Toc28240"/>
      <w:r>
        <w:rPr>
          <w:rFonts w:hint="eastAsia" w:ascii="宋体" w:hAnsi="宋体" w:eastAsia="宋体"/>
          <w:b/>
          <w:bCs/>
          <w:color w:val="auto"/>
          <w:sz w:val="24"/>
          <w:highlight w:val="none"/>
          <w:lang w:val="en-US" w:eastAsia="zh-CN"/>
        </w:rPr>
        <w:t>三、</w:t>
      </w:r>
      <w:bookmarkEnd w:id="6"/>
      <w:r>
        <w:rPr>
          <w:rFonts w:hint="eastAsia" w:ascii="宋体" w:hAnsi="宋体" w:eastAsia="宋体"/>
          <w:b/>
          <w:bCs/>
          <w:color w:val="auto"/>
          <w:sz w:val="24"/>
          <w:highlight w:val="none"/>
          <w:lang w:val="en-US" w:eastAsia="zh-CN"/>
        </w:rPr>
        <w:t>项目分包及预算</w:t>
      </w:r>
      <w:bookmarkEnd w:id="7"/>
    </w:p>
    <w:p w14:paraId="2CBB1A7E">
      <w:pPr>
        <w:spacing w:line="360" w:lineRule="auto"/>
        <w:ind w:firstLine="480" w:firstLineChars="200"/>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各包项目人均经费标准为</w:t>
      </w:r>
      <w:r>
        <w:rPr>
          <w:rFonts w:hint="eastAsia" w:ascii="宋体" w:hAnsi="宋体" w:eastAsia="宋体"/>
          <w:color w:val="auto"/>
          <w:sz w:val="24"/>
          <w:highlight w:val="none"/>
          <w:lang w:val="en-US" w:eastAsia="zh-CN"/>
        </w:rPr>
        <w:t>固定金额</w:t>
      </w:r>
      <w:r>
        <w:rPr>
          <w:rFonts w:hint="eastAsia" w:ascii="宋体" w:hAnsi="宋体" w:eastAsia="宋体"/>
          <w:color w:val="auto"/>
          <w:sz w:val="24"/>
          <w:highlight w:val="none"/>
          <w:lang w:eastAsia="zh-CN"/>
        </w:rPr>
        <w:t>550元/人/天。</w:t>
      </w:r>
    </w:p>
    <w:tbl>
      <w:tblPr>
        <w:tblStyle w:val="3"/>
        <w:tblW w:w="518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988"/>
        <w:gridCol w:w="3818"/>
        <w:gridCol w:w="1055"/>
        <w:gridCol w:w="917"/>
        <w:gridCol w:w="1108"/>
        <w:gridCol w:w="948"/>
      </w:tblGrid>
      <w:tr w14:paraId="7384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80" w:hRule="atLeast"/>
          <w:jc w:val="center"/>
        </w:trPr>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DEEC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包号</w:t>
            </w:r>
          </w:p>
        </w:tc>
        <w:tc>
          <w:tcPr>
            <w:tcW w:w="21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8245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包名称</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C6BC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预算金额(万元)</w:t>
            </w:r>
          </w:p>
        </w:tc>
        <w:tc>
          <w:tcPr>
            <w:tcW w:w="5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2C5E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培训时长（天）</w:t>
            </w:r>
          </w:p>
        </w:tc>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6E37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经费标准（万元/人/天）</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FB7C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计划人数</w:t>
            </w:r>
          </w:p>
        </w:tc>
      </w:tr>
      <w:tr w14:paraId="3573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480" w:hRule="atLeast"/>
          <w:jc w:val="center"/>
        </w:trPr>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95B7E">
            <w:pPr>
              <w:keepNext w:val="0"/>
              <w:keepLines w:val="0"/>
              <w:widowControl/>
              <w:suppressLineNumbers w:val="0"/>
              <w:jc w:val="center"/>
              <w:textAlignment w:val="center"/>
              <w:rPr>
                <w:rFonts w:hint="eastAsia" w:ascii="宋体" w:hAnsi="宋体" w:eastAsia="宋体" w:cs="宋体"/>
                <w:i w:val="0"/>
                <w:iCs w:val="0"/>
                <w:color w:val="333333"/>
                <w:sz w:val="22"/>
                <w:szCs w:val="22"/>
                <w:highlight w:val="none"/>
                <w:u w:val="none"/>
              </w:rPr>
            </w:pPr>
            <w:r>
              <w:rPr>
                <w:rFonts w:hint="eastAsia" w:ascii="宋体" w:hAnsi="宋体" w:eastAsia="宋体" w:cs="宋体"/>
                <w:i w:val="0"/>
                <w:iCs w:val="0"/>
                <w:color w:val="333333"/>
                <w:kern w:val="0"/>
                <w:sz w:val="22"/>
                <w:szCs w:val="22"/>
                <w:highlight w:val="none"/>
                <w:u w:val="none"/>
                <w:lang w:val="en-US" w:eastAsia="zh-CN" w:bidi="ar"/>
              </w:rPr>
              <w:t>第11包</w:t>
            </w:r>
          </w:p>
        </w:tc>
        <w:tc>
          <w:tcPr>
            <w:tcW w:w="21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15E3B">
            <w:pPr>
              <w:keepNext w:val="0"/>
              <w:keepLines w:val="0"/>
              <w:widowControl/>
              <w:suppressLineNumbers w:val="0"/>
              <w:jc w:val="left"/>
              <w:textAlignment w:val="center"/>
              <w:rPr>
                <w:rFonts w:hint="eastAsia" w:ascii="宋体" w:hAnsi="宋体" w:eastAsia="宋体" w:cs="宋体"/>
                <w:i w:val="0"/>
                <w:iCs w:val="0"/>
                <w:color w:val="333333"/>
                <w:sz w:val="22"/>
                <w:szCs w:val="22"/>
                <w:highlight w:val="none"/>
                <w:u w:val="none"/>
              </w:rPr>
            </w:pPr>
            <w:r>
              <w:rPr>
                <w:rFonts w:hint="eastAsia" w:ascii="宋体" w:hAnsi="宋体" w:eastAsia="宋体" w:cs="宋体"/>
                <w:i w:val="0"/>
                <w:iCs w:val="0"/>
                <w:color w:val="333333"/>
                <w:kern w:val="0"/>
                <w:sz w:val="22"/>
                <w:szCs w:val="22"/>
                <w:highlight w:val="none"/>
                <w:u w:val="none"/>
                <w:lang w:val="en-US" w:eastAsia="zh-CN" w:bidi="ar"/>
              </w:rPr>
              <w:t>重点产业链“双师型”教师技术技能提升（智慧交通产业教师企业实践）培训服务</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76A3E">
            <w:pPr>
              <w:keepNext w:val="0"/>
              <w:keepLines w:val="0"/>
              <w:widowControl/>
              <w:suppressLineNumbers w:val="0"/>
              <w:jc w:val="center"/>
              <w:textAlignment w:val="center"/>
              <w:rPr>
                <w:rFonts w:hint="eastAsia" w:ascii="宋体" w:hAnsi="宋体" w:eastAsia="宋体" w:cs="宋体"/>
                <w:i w:val="0"/>
                <w:iCs w:val="0"/>
                <w:color w:val="333333"/>
                <w:sz w:val="22"/>
                <w:szCs w:val="22"/>
                <w:highlight w:val="none"/>
                <w:u w:val="none"/>
              </w:rPr>
            </w:pPr>
            <w:r>
              <w:rPr>
                <w:rFonts w:hint="eastAsia" w:ascii="宋体" w:hAnsi="宋体" w:eastAsia="宋体" w:cs="宋体"/>
                <w:i w:val="0"/>
                <w:iCs w:val="0"/>
                <w:color w:val="333333"/>
                <w:kern w:val="0"/>
                <w:sz w:val="22"/>
                <w:szCs w:val="22"/>
                <w:highlight w:val="none"/>
                <w:u w:val="none"/>
                <w:lang w:val="en-US" w:eastAsia="zh-CN" w:bidi="ar"/>
              </w:rPr>
              <w:t>80.85</w:t>
            </w:r>
          </w:p>
        </w:tc>
        <w:tc>
          <w:tcPr>
            <w:tcW w:w="5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F5406">
            <w:pPr>
              <w:keepNext w:val="0"/>
              <w:keepLines w:val="0"/>
              <w:widowControl/>
              <w:suppressLineNumbers w:val="0"/>
              <w:jc w:val="center"/>
              <w:textAlignment w:val="center"/>
              <w:rPr>
                <w:rFonts w:hint="eastAsia" w:ascii="宋体" w:hAnsi="宋体" w:eastAsia="宋体" w:cs="宋体"/>
                <w:i w:val="0"/>
                <w:iCs w:val="0"/>
                <w:color w:val="333333"/>
                <w:sz w:val="22"/>
                <w:szCs w:val="22"/>
                <w:highlight w:val="none"/>
                <w:u w:val="none"/>
              </w:rPr>
            </w:pPr>
            <w:r>
              <w:rPr>
                <w:rFonts w:hint="eastAsia" w:ascii="宋体" w:hAnsi="宋体" w:eastAsia="宋体" w:cs="宋体"/>
                <w:i w:val="0"/>
                <w:iCs w:val="0"/>
                <w:color w:val="333333"/>
                <w:kern w:val="0"/>
                <w:sz w:val="22"/>
                <w:szCs w:val="22"/>
                <w:highlight w:val="none"/>
                <w:u w:val="none"/>
                <w:lang w:val="en-US" w:eastAsia="zh-CN" w:bidi="ar"/>
              </w:rPr>
              <w:t>21</w:t>
            </w:r>
          </w:p>
        </w:tc>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B759B">
            <w:pPr>
              <w:keepNext w:val="0"/>
              <w:keepLines w:val="0"/>
              <w:widowControl/>
              <w:suppressLineNumbers w:val="0"/>
              <w:jc w:val="center"/>
              <w:textAlignment w:val="center"/>
              <w:rPr>
                <w:rFonts w:hint="eastAsia" w:ascii="宋体" w:hAnsi="宋体" w:eastAsia="宋体" w:cs="宋体"/>
                <w:i w:val="0"/>
                <w:iCs w:val="0"/>
                <w:color w:val="333333"/>
                <w:sz w:val="22"/>
                <w:szCs w:val="22"/>
                <w:highlight w:val="none"/>
                <w:u w:val="none"/>
              </w:rPr>
            </w:pPr>
            <w:r>
              <w:rPr>
                <w:rFonts w:hint="eastAsia" w:ascii="宋体" w:hAnsi="宋体" w:eastAsia="宋体" w:cs="宋体"/>
                <w:i w:val="0"/>
                <w:iCs w:val="0"/>
                <w:color w:val="333333"/>
                <w:kern w:val="0"/>
                <w:sz w:val="22"/>
                <w:szCs w:val="22"/>
                <w:highlight w:val="none"/>
                <w:u w:val="none"/>
                <w:lang w:val="en-US" w:eastAsia="zh-CN" w:bidi="ar"/>
              </w:rPr>
              <w:t>0.055</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C1728">
            <w:pPr>
              <w:keepNext w:val="0"/>
              <w:keepLines w:val="0"/>
              <w:widowControl/>
              <w:suppressLineNumbers w:val="0"/>
              <w:jc w:val="center"/>
              <w:textAlignment w:val="center"/>
              <w:rPr>
                <w:rFonts w:hint="eastAsia" w:ascii="宋体" w:hAnsi="宋体" w:eastAsia="宋体" w:cs="宋体"/>
                <w:i w:val="0"/>
                <w:iCs w:val="0"/>
                <w:color w:val="333333"/>
                <w:sz w:val="22"/>
                <w:szCs w:val="22"/>
                <w:highlight w:val="none"/>
                <w:u w:val="none"/>
              </w:rPr>
            </w:pPr>
            <w:r>
              <w:rPr>
                <w:rFonts w:hint="eastAsia" w:ascii="宋体" w:hAnsi="宋体" w:eastAsia="宋体" w:cs="宋体"/>
                <w:i w:val="0"/>
                <w:iCs w:val="0"/>
                <w:color w:val="333333"/>
                <w:kern w:val="0"/>
                <w:sz w:val="22"/>
                <w:szCs w:val="22"/>
                <w:highlight w:val="none"/>
                <w:u w:val="none"/>
                <w:lang w:val="en-US" w:eastAsia="zh-CN" w:bidi="ar"/>
              </w:rPr>
              <w:t>70</w:t>
            </w:r>
          </w:p>
        </w:tc>
      </w:tr>
    </w:tbl>
    <w:p w14:paraId="675F14FE">
      <w:pPr>
        <w:spacing w:line="360" w:lineRule="auto"/>
        <w:ind w:firstLine="437"/>
        <w:outlineLvl w:val="1"/>
        <w:rPr>
          <w:rFonts w:hint="eastAsia" w:ascii="宋体" w:hAnsi="宋体" w:eastAsia="宋体"/>
          <w:b/>
          <w:bCs/>
          <w:color w:val="auto"/>
          <w:sz w:val="24"/>
          <w:highlight w:val="none"/>
          <w:lang w:val="en-US" w:eastAsia="zh-CN"/>
        </w:rPr>
      </w:pPr>
    </w:p>
    <w:p w14:paraId="4ADDF1D8">
      <w:pPr>
        <w:spacing w:line="360" w:lineRule="auto"/>
        <w:ind w:firstLine="437"/>
        <w:outlineLvl w:val="1"/>
        <w:rPr>
          <w:rFonts w:hint="default" w:ascii="宋体" w:hAnsi="宋体" w:eastAsia="宋体"/>
          <w:b/>
          <w:bCs/>
          <w:color w:val="auto"/>
          <w:sz w:val="24"/>
          <w:highlight w:val="none"/>
          <w:lang w:val="en-US" w:eastAsia="zh-CN"/>
        </w:rPr>
      </w:pPr>
      <w:bookmarkStart w:id="8" w:name="_Toc1602"/>
      <w:r>
        <w:rPr>
          <w:rFonts w:hint="eastAsia" w:ascii="宋体" w:hAnsi="宋体" w:eastAsia="宋体"/>
          <w:b/>
          <w:bCs/>
          <w:color w:val="auto"/>
          <w:sz w:val="24"/>
          <w:highlight w:val="none"/>
          <w:lang w:val="en-US" w:eastAsia="zh-CN"/>
        </w:rPr>
        <w:t>四、服务需求</w:t>
      </w:r>
      <w:bookmarkEnd w:id="8"/>
    </w:p>
    <w:p w14:paraId="079CE081">
      <w:pPr>
        <w:keepNext w:val="0"/>
        <w:keepLines w:val="0"/>
        <w:pageBreakBefore w:val="0"/>
        <w:widowControl w:val="0"/>
        <w:kinsoku/>
        <w:wordWrap/>
        <w:overflowPunct w:val="0"/>
        <w:topLinePunct w:val="0"/>
        <w:autoSpaceDE/>
        <w:autoSpaceDN/>
        <w:bidi w:val="0"/>
        <w:adjustRightInd w:val="0"/>
        <w:snapToGrid w:val="0"/>
        <w:spacing w:line="56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w:t>
      </w:r>
      <w:r>
        <w:rPr>
          <w:rFonts w:hint="eastAsia" w:ascii="宋体" w:hAnsi="宋体" w:eastAsia="宋体" w:cs="宋体"/>
          <w:b/>
          <w:sz w:val="24"/>
          <w:szCs w:val="24"/>
          <w:highlight w:val="none"/>
          <w:lang w:val="en-US" w:eastAsia="zh-CN"/>
        </w:rPr>
        <w:t>11</w:t>
      </w:r>
      <w:r>
        <w:rPr>
          <w:rFonts w:hint="eastAsia" w:ascii="宋体" w:hAnsi="宋体" w:eastAsia="宋体" w:cs="宋体"/>
          <w:b/>
          <w:sz w:val="24"/>
          <w:szCs w:val="24"/>
          <w:highlight w:val="none"/>
        </w:rPr>
        <w:t xml:space="preserve">包: </w:t>
      </w:r>
      <w:r>
        <w:rPr>
          <w:rFonts w:hint="eastAsia" w:ascii="宋体" w:hAnsi="宋体" w:eastAsia="宋体" w:cs="宋体"/>
          <w:b/>
          <w:sz w:val="24"/>
          <w:szCs w:val="24"/>
          <w:highlight w:val="none"/>
          <w:lang w:val="en-US" w:eastAsia="zh-CN"/>
        </w:rPr>
        <w:t>重点产业链“双师型”教师技术技能提升（智慧交通产业教师企业实践）</w:t>
      </w:r>
      <w:r>
        <w:rPr>
          <w:rFonts w:hint="eastAsia" w:ascii="宋体" w:hAnsi="宋体" w:eastAsia="宋体" w:cs="宋体"/>
          <w:b/>
          <w:sz w:val="24"/>
          <w:szCs w:val="24"/>
          <w:highlight w:val="none"/>
        </w:rPr>
        <w:t>培训服务</w:t>
      </w:r>
    </w:p>
    <w:tbl>
      <w:tblPr>
        <w:tblStyle w:val="3"/>
        <w:tblW w:w="9800" w:type="dxa"/>
        <w:jc w:val="center"/>
        <w:tblLayout w:type="autofit"/>
        <w:tblCellMar>
          <w:top w:w="0" w:type="dxa"/>
          <w:left w:w="108" w:type="dxa"/>
          <w:bottom w:w="0" w:type="dxa"/>
          <w:right w:w="108" w:type="dxa"/>
        </w:tblCellMar>
      </w:tblPr>
      <w:tblGrid>
        <w:gridCol w:w="1167"/>
        <w:gridCol w:w="1789"/>
        <w:gridCol w:w="2448"/>
        <w:gridCol w:w="939"/>
        <w:gridCol w:w="1170"/>
        <w:gridCol w:w="714"/>
        <w:gridCol w:w="878"/>
        <w:gridCol w:w="695"/>
      </w:tblGrid>
      <w:tr w14:paraId="1106BF71">
        <w:tblPrEx>
          <w:tblCellMar>
            <w:top w:w="0" w:type="dxa"/>
            <w:left w:w="108" w:type="dxa"/>
            <w:bottom w:w="0" w:type="dxa"/>
            <w:right w:w="108" w:type="dxa"/>
          </w:tblCellMar>
        </w:tblPrEx>
        <w:trPr>
          <w:trHeight w:val="915" w:hRule="atLeast"/>
          <w:jc w:val="center"/>
        </w:trPr>
        <w:tc>
          <w:tcPr>
            <w:tcW w:w="1174" w:type="dxa"/>
            <w:tcBorders>
              <w:top w:val="single" w:color="auto" w:sz="4" w:space="0"/>
              <w:left w:val="single" w:color="auto" w:sz="4" w:space="0"/>
              <w:bottom w:val="single" w:color="auto" w:sz="4" w:space="0"/>
              <w:right w:val="single" w:color="auto" w:sz="4" w:space="0"/>
            </w:tcBorders>
            <w:noWrap w:val="0"/>
            <w:vAlign w:val="center"/>
          </w:tcPr>
          <w:p w14:paraId="5389B7DD">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包别</w:t>
            </w:r>
          </w:p>
        </w:tc>
        <w:tc>
          <w:tcPr>
            <w:tcW w:w="1805" w:type="dxa"/>
            <w:tcBorders>
              <w:top w:val="single" w:color="auto" w:sz="4" w:space="0"/>
              <w:left w:val="nil"/>
              <w:bottom w:val="single" w:color="auto" w:sz="4" w:space="0"/>
              <w:right w:val="single" w:color="auto" w:sz="4" w:space="0"/>
            </w:tcBorders>
            <w:noWrap w:val="0"/>
            <w:vAlign w:val="center"/>
          </w:tcPr>
          <w:p w14:paraId="4D78A72C">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项目类别</w:t>
            </w:r>
          </w:p>
        </w:tc>
        <w:tc>
          <w:tcPr>
            <w:tcW w:w="2473" w:type="dxa"/>
            <w:tcBorders>
              <w:top w:val="single" w:color="auto" w:sz="4" w:space="0"/>
              <w:left w:val="nil"/>
              <w:bottom w:val="single" w:color="auto" w:sz="4" w:space="0"/>
              <w:right w:val="single" w:color="auto" w:sz="4" w:space="0"/>
            </w:tcBorders>
            <w:noWrap w:val="0"/>
            <w:vAlign w:val="center"/>
          </w:tcPr>
          <w:p w14:paraId="167B44A4">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项目名称</w:t>
            </w:r>
          </w:p>
        </w:tc>
        <w:tc>
          <w:tcPr>
            <w:tcW w:w="879" w:type="dxa"/>
            <w:tcBorders>
              <w:top w:val="single" w:color="auto" w:sz="4" w:space="0"/>
              <w:left w:val="nil"/>
              <w:bottom w:val="single" w:color="auto" w:sz="4" w:space="0"/>
              <w:right w:val="single" w:color="auto" w:sz="4" w:space="0"/>
            </w:tcBorders>
            <w:noWrap w:val="0"/>
            <w:vAlign w:val="center"/>
          </w:tcPr>
          <w:p w14:paraId="2B73DE58">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培训时长（天）</w:t>
            </w:r>
          </w:p>
        </w:tc>
        <w:tc>
          <w:tcPr>
            <w:tcW w:w="1175" w:type="dxa"/>
            <w:tcBorders>
              <w:top w:val="single" w:color="auto" w:sz="4" w:space="0"/>
              <w:left w:val="nil"/>
              <w:bottom w:val="single" w:color="auto" w:sz="4" w:space="0"/>
              <w:right w:val="single" w:color="auto" w:sz="4" w:space="0"/>
            </w:tcBorders>
            <w:noWrap w:val="0"/>
            <w:vAlign w:val="center"/>
          </w:tcPr>
          <w:p w14:paraId="25D6126B">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经费标准（万元/人/天）</w:t>
            </w:r>
          </w:p>
        </w:tc>
        <w:tc>
          <w:tcPr>
            <w:tcW w:w="718" w:type="dxa"/>
            <w:tcBorders>
              <w:top w:val="single" w:color="auto" w:sz="4" w:space="0"/>
              <w:left w:val="nil"/>
              <w:bottom w:val="single" w:color="auto" w:sz="4" w:space="0"/>
              <w:right w:val="single" w:color="auto" w:sz="4" w:space="0"/>
            </w:tcBorders>
            <w:noWrap w:val="0"/>
            <w:vAlign w:val="center"/>
          </w:tcPr>
          <w:p w14:paraId="3B0188EA">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计划</w:t>
            </w:r>
            <w:r>
              <w:rPr>
                <w:rFonts w:hint="eastAsia" w:ascii="宋体" w:hAnsi="宋体" w:eastAsia="宋体" w:cs="宋体"/>
                <w:b/>
                <w:bCs/>
                <w:kern w:val="0"/>
                <w:sz w:val="24"/>
                <w:szCs w:val="24"/>
                <w:highlight w:val="none"/>
              </w:rPr>
              <w:br w:type="textWrapping"/>
            </w:r>
            <w:r>
              <w:rPr>
                <w:rFonts w:hint="eastAsia" w:ascii="宋体" w:hAnsi="宋体" w:eastAsia="宋体" w:cs="宋体"/>
                <w:b/>
                <w:bCs/>
                <w:kern w:val="0"/>
                <w:sz w:val="24"/>
                <w:szCs w:val="24"/>
                <w:highlight w:val="none"/>
              </w:rPr>
              <w:t>人数</w:t>
            </w:r>
          </w:p>
        </w:tc>
        <w:tc>
          <w:tcPr>
            <w:tcW w:w="879" w:type="dxa"/>
            <w:tcBorders>
              <w:top w:val="single" w:color="auto" w:sz="4" w:space="0"/>
              <w:left w:val="nil"/>
              <w:bottom w:val="single" w:color="auto" w:sz="4" w:space="0"/>
              <w:right w:val="single" w:color="auto" w:sz="4" w:space="0"/>
            </w:tcBorders>
            <w:noWrap w:val="0"/>
            <w:vAlign w:val="center"/>
          </w:tcPr>
          <w:p w14:paraId="6984115C">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经费预算（万元）</w:t>
            </w:r>
          </w:p>
        </w:tc>
        <w:tc>
          <w:tcPr>
            <w:tcW w:w="697" w:type="dxa"/>
            <w:tcBorders>
              <w:top w:val="single" w:color="auto" w:sz="4" w:space="0"/>
              <w:left w:val="nil"/>
              <w:bottom w:val="single" w:color="auto" w:sz="4" w:space="0"/>
              <w:right w:val="single" w:color="auto" w:sz="4" w:space="0"/>
            </w:tcBorders>
            <w:noWrap w:val="0"/>
            <w:vAlign w:val="center"/>
          </w:tcPr>
          <w:p w14:paraId="1F525862">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备注</w:t>
            </w:r>
          </w:p>
        </w:tc>
      </w:tr>
      <w:tr w14:paraId="63659FFB">
        <w:tblPrEx>
          <w:tblCellMar>
            <w:top w:w="0" w:type="dxa"/>
            <w:left w:w="108" w:type="dxa"/>
            <w:bottom w:w="0" w:type="dxa"/>
            <w:right w:w="108" w:type="dxa"/>
          </w:tblCellMar>
        </w:tblPrEx>
        <w:trPr>
          <w:trHeight w:val="915" w:hRule="atLeast"/>
          <w:jc w:val="center"/>
        </w:trPr>
        <w:tc>
          <w:tcPr>
            <w:tcW w:w="1174" w:type="dxa"/>
            <w:vMerge w:val="restart"/>
            <w:tcBorders>
              <w:top w:val="single" w:color="auto" w:sz="4" w:space="0"/>
              <w:left w:val="single" w:color="auto" w:sz="4" w:space="0"/>
              <w:right w:val="single" w:color="auto" w:sz="4" w:space="0"/>
            </w:tcBorders>
            <w:noWrap w:val="0"/>
            <w:vAlign w:val="center"/>
          </w:tcPr>
          <w:p w14:paraId="7F5E98C6">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w:t>
            </w:r>
            <w:r>
              <w:rPr>
                <w:rFonts w:hint="eastAsia" w:ascii="宋体" w:hAnsi="宋体" w:eastAsia="宋体" w:cs="宋体"/>
                <w:kern w:val="0"/>
                <w:sz w:val="24"/>
                <w:szCs w:val="24"/>
                <w:highlight w:val="none"/>
                <w:lang w:val="en-US" w:eastAsia="zh-CN"/>
              </w:rPr>
              <w:t>十一</w:t>
            </w:r>
            <w:r>
              <w:rPr>
                <w:rFonts w:hint="eastAsia" w:ascii="宋体" w:hAnsi="宋体" w:eastAsia="宋体" w:cs="宋体"/>
                <w:kern w:val="0"/>
                <w:sz w:val="24"/>
                <w:szCs w:val="24"/>
                <w:highlight w:val="none"/>
              </w:rPr>
              <w:t>包：</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xml:space="preserve"> 重点产业链“双师型”教师技术技能提升（</w:t>
            </w:r>
            <w:r>
              <w:rPr>
                <w:rFonts w:hint="eastAsia" w:ascii="宋体" w:hAnsi="宋体" w:eastAsia="宋体" w:cs="宋体"/>
                <w:kern w:val="0"/>
                <w:sz w:val="24"/>
                <w:szCs w:val="24"/>
                <w:highlight w:val="none"/>
                <w:lang w:val="en-US" w:eastAsia="zh-CN"/>
              </w:rPr>
              <w:t>智慧交通产业教师企业实践</w:t>
            </w:r>
            <w:r>
              <w:rPr>
                <w:rFonts w:hint="eastAsia" w:ascii="宋体" w:hAnsi="宋体" w:eastAsia="宋体" w:cs="宋体"/>
                <w:kern w:val="0"/>
                <w:sz w:val="24"/>
                <w:szCs w:val="24"/>
                <w:highlight w:val="none"/>
              </w:rPr>
              <w:t>）</w:t>
            </w:r>
          </w:p>
        </w:tc>
        <w:tc>
          <w:tcPr>
            <w:tcW w:w="1805" w:type="dxa"/>
            <w:tcBorders>
              <w:top w:val="single" w:color="auto" w:sz="4" w:space="0"/>
              <w:left w:val="nil"/>
              <w:bottom w:val="single" w:color="auto" w:sz="4" w:space="0"/>
              <w:right w:val="single" w:color="auto" w:sz="4" w:space="0"/>
            </w:tcBorders>
            <w:noWrap w:val="0"/>
            <w:vAlign w:val="center"/>
          </w:tcPr>
          <w:p w14:paraId="5BC98743">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教师企业实践</w:t>
            </w:r>
          </w:p>
        </w:tc>
        <w:tc>
          <w:tcPr>
            <w:tcW w:w="2473" w:type="dxa"/>
            <w:tcBorders>
              <w:top w:val="single" w:color="auto" w:sz="4" w:space="0"/>
              <w:left w:val="nil"/>
              <w:bottom w:val="single" w:color="auto" w:sz="4" w:space="0"/>
              <w:right w:val="single" w:color="auto" w:sz="4" w:space="0"/>
            </w:tcBorders>
            <w:noWrap w:val="0"/>
            <w:vAlign w:val="center"/>
          </w:tcPr>
          <w:p w14:paraId="2C59BF4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智慧交通产业教师企业实践（高职）</w:t>
            </w:r>
          </w:p>
        </w:tc>
        <w:tc>
          <w:tcPr>
            <w:tcW w:w="879" w:type="dxa"/>
            <w:tcBorders>
              <w:top w:val="single" w:color="auto" w:sz="4" w:space="0"/>
              <w:left w:val="nil"/>
              <w:bottom w:val="single" w:color="auto" w:sz="4" w:space="0"/>
              <w:right w:val="single" w:color="auto" w:sz="4" w:space="0"/>
            </w:tcBorders>
            <w:noWrap w:val="0"/>
            <w:vAlign w:val="center"/>
          </w:tcPr>
          <w:p w14:paraId="2CD6F0CC">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21</w:t>
            </w:r>
          </w:p>
        </w:tc>
        <w:tc>
          <w:tcPr>
            <w:tcW w:w="1175" w:type="dxa"/>
            <w:tcBorders>
              <w:top w:val="single" w:color="auto" w:sz="4" w:space="0"/>
              <w:left w:val="nil"/>
              <w:bottom w:val="single" w:color="auto" w:sz="4" w:space="0"/>
              <w:right w:val="single" w:color="auto" w:sz="4" w:space="0"/>
            </w:tcBorders>
            <w:noWrap w:val="0"/>
            <w:vAlign w:val="center"/>
          </w:tcPr>
          <w:p w14:paraId="45BA66C9">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0.055</w:t>
            </w:r>
          </w:p>
        </w:tc>
        <w:tc>
          <w:tcPr>
            <w:tcW w:w="718" w:type="dxa"/>
            <w:tcBorders>
              <w:top w:val="single" w:color="auto" w:sz="4" w:space="0"/>
              <w:left w:val="nil"/>
              <w:bottom w:val="single" w:color="auto" w:sz="4" w:space="0"/>
              <w:right w:val="single" w:color="auto" w:sz="4" w:space="0"/>
            </w:tcBorders>
            <w:noWrap w:val="0"/>
            <w:vAlign w:val="center"/>
          </w:tcPr>
          <w:p w14:paraId="6ACEBFCA">
            <w:pPr>
              <w:widowControl/>
              <w:jc w:val="center"/>
              <w:rPr>
                <w:rFonts w:hint="eastAsia" w:ascii="宋体" w:hAnsi="宋体" w:eastAsia="宋体" w:cs="宋体"/>
                <w:kern w:val="0"/>
                <w:sz w:val="24"/>
                <w:szCs w:val="24"/>
                <w:highlight w:val="none"/>
                <w:lang w:val="en-US"/>
              </w:rPr>
            </w:pPr>
            <w:r>
              <w:rPr>
                <w:rFonts w:hint="eastAsia" w:ascii="宋体" w:hAnsi="宋体" w:eastAsia="宋体" w:cs="宋体"/>
                <w:kern w:val="0"/>
                <w:sz w:val="24"/>
                <w:szCs w:val="24"/>
                <w:highlight w:val="none"/>
                <w:lang w:val="en-US" w:eastAsia="zh-CN"/>
              </w:rPr>
              <w:t>30</w:t>
            </w:r>
          </w:p>
        </w:tc>
        <w:tc>
          <w:tcPr>
            <w:tcW w:w="879" w:type="dxa"/>
            <w:tcBorders>
              <w:top w:val="single" w:color="auto" w:sz="4" w:space="0"/>
              <w:left w:val="nil"/>
              <w:bottom w:val="single" w:color="auto" w:sz="4" w:space="0"/>
              <w:right w:val="single" w:color="auto" w:sz="4" w:space="0"/>
            </w:tcBorders>
            <w:noWrap w:val="0"/>
            <w:vAlign w:val="center"/>
          </w:tcPr>
          <w:p w14:paraId="5DDE1042">
            <w:pPr>
              <w:widowControl/>
              <w:jc w:val="center"/>
              <w:rPr>
                <w:rFonts w:hint="eastAsia" w:ascii="宋体" w:hAnsi="宋体" w:eastAsia="宋体" w:cs="宋体"/>
                <w:kern w:val="0"/>
                <w:sz w:val="24"/>
                <w:szCs w:val="24"/>
                <w:highlight w:val="none"/>
                <w:lang w:val="en-US"/>
              </w:rPr>
            </w:pPr>
            <w:r>
              <w:rPr>
                <w:rFonts w:hint="eastAsia" w:ascii="宋体" w:hAnsi="宋体" w:eastAsia="宋体" w:cs="宋体"/>
                <w:kern w:val="0"/>
                <w:sz w:val="24"/>
                <w:szCs w:val="24"/>
                <w:highlight w:val="none"/>
                <w:lang w:val="en-US" w:eastAsia="zh-CN"/>
              </w:rPr>
              <w:t>34.65</w:t>
            </w:r>
          </w:p>
        </w:tc>
        <w:tc>
          <w:tcPr>
            <w:tcW w:w="697" w:type="dxa"/>
            <w:tcBorders>
              <w:top w:val="single" w:color="auto" w:sz="4" w:space="0"/>
              <w:left w:val="nil"/>
              <w:bottom w:val="single" w:color="auto" w:sz="4" w:space="0"/>
              <w:right w:val="single" w:color="auto" w:sz="4" w:space="0"/>
            </w:tcBorders>
            <w:noWrap w:val="0"/>
            <w:vAlign w:val="center"/>
          </w:tcPr>
          <w:p w14:paraId="538864C5">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高职项目</w:t>
            </w:r>
          </w:p>
        </w:tc>
      </w:tr>
      <w:tr w14:paraId="7001C76A">
        <w:tblPrEx>
          <w:tblCellMar>
            <w:top w:w="0" w:type="dxa"/>
            <w:left w:w="108" w:type="dxa"/>
            <w:bottom w:w="0" w:type="dxa"/>
            <w:right w:w="108" w:type="dxa"/>
          </w:tblCellMar>
        </w:tblPrEx>
        <w:trPr>
          <w:trHeight w:val="915" w:hRule="atLeast"/>
          <w:jc w:val="center"/>
        </w:trPr>
        <w:tc>
          <w:tcPr>
            <w:tcW w:w="1174" w:type="dxa"/>
            <w:vMerge w:val="continue"/>
            <w:tcBorders>
              <w:left w:val="single" w:color="auto" w:sz="4" w:space="0"/>
              <w:right w:val="single" w:color="auto" w:sz="4" w:space="0"/>
            </w:tcBorders>
            <w:noWrap w:val="0"/>
            <w:vAlign w:val="center"/>
          </w:tcPr>
          <w:p w14:paraId="3074AF9A">
            <w:pPr>
              <w:widowControl/>
              <w:jc w:val="center"/>
              <w:rPr>
                <w:rFonts w:hint="eastAsia" w:ascii="宋体" w:hAnsi="宋体" w:eastAsia="宋体" w:cs="宋体"/>
                <w:b/>
                <w:bCs/>
                <w:kern w:val="0"/>
                <w:sz w:val="24"/>
                <w:szCs w:val="24"/>
                <w:highlight w:val="none"/>
              </w:rPr>
            </w:pPr>
          </w:p>
        </w:tc>
        <w:tc>
          <w:tcPr>
            <w:tcW w:w="1805" w:type="dxa"/>
            <w:tcBorders>
              <w:top w:val="single" w:color="auto" w:sz="4" w:space="0"/>
              <w:left w:val="nil"/>
              <w:bottom w:val="single" w:color="auto" w:sz="4" w:space="0"/>
              <w:right w:val="single" w:color="auto" w:sz="4" w:space="0"/>
            </w:tcBorders>
            <w:noWrap w:val="0"/>
            <w:vAlign w:val="center"/>
          </w:tcPr>
          <w:p w14:paraId="4182A778">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教师企业实践</w:t>
            </w:r>
          </w:p>
        </w:tc>
        <w:tc>
          <w:tcPr>
            <w:tcW w:w="2473" w:type="dxa"/>
            <w:tcBorders>
              <w:top w:val="single" w:color="auto" w:sz="4" w:space="0"/>
              <w:left w:val="nil"/>
              <w:bottom w:val="single" w:color="auto" w:sz="4" w:space="0"/>
              <w:right w:val="single" w:color="auto" w:sz="4" w:space="0"/>
            </w:tcBorders>
            <w:noWrap w:val="0"/>
            <w:vAlign w:val="center"/>
          </w:tcPr>
          <w:p w14:paraId="2FB2FC45">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智慧交通产业教师企业实践（中职）</w:t>
            </w:r>
          </w:p>
        </w:tc>
        <w:tc>
          <w:tcPr>
            <w:tcW w:w="879" w:type="dxa"/>
            <w:tcBorders>
              <w:top w:val="single" w:color="auto" w:sz="4" w:space="0"/>
              <w:left w:val="nil"/>
              <w:bottom w:val="single" w:color="auto" w:sz="4" w:space="0"/>
              <w:right w:val="single" w:color="auto" w:sz="4" w:space="0"/>
            </w:tcBorders>
            <w:noWrap w:val="0"/>
            <w:vAlign w:val="center"/>
          </w:tcPr>
          <w:p w14:paraId="1E6CB5DC">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21</w:t>
            </w:r>
          </w:p>
        </w:tc>
        <w:tc>
          <w:tcPr>
            <w:tcW w:w="1175" w:type="dxa"/>
            <w:tcBorders>
              <w:top w:val="single" w:color="auto" w:sz="4" w:space="0"/>
              <w:left w:val="nil"/>
              <w:bottom w:val="single" w:color="auto" w:sz="4" w:space="0"/>
              <w:right w:val="single" w:color="auto" w:sz="4" w:space="0"/>
            </w:tcBorders>
            <w:noWrap w:val="0"/>
            <w:vAlign w:val="center"/>
          </w:tcPr>
          <w:p w14:paraId="024599C6">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0.055</w:t>
            </w:r>
          </w:p>
        </w:tc>
        <w:tc>
          <w:tcPr>
            <w:tcW w:w="718" w:type="dxa"/>
            <w:tcBorders>
              <w:top w:val="single" w:color="auto" w:sz="4" w:space="0"/>
              <w:left w:val="nil"/>
              <w:bottom w:val="single" w:color="auto" w:sz="4" w:space="0"/>
              <w:right w:val="single" w:color="auto" w:sz="4" w:space="0"/>
            </w:tcBorders>
            <w:noWrap w:val="0"/>
            <w:vAlign w:val="center"/>
          </w:tcPr>
          <w:p w14:paraId="4B5C79DD">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40</w:t>
            </w:r>
          </w:p>
        </w:tc>
        <w:tc>
          <w:tcPr>
            <w:tcW w:w="879" w:type="dxa"/>
            <w:tcBorders>
              <w:top w:val="single" w:color="auto" w:sz="4" w:space="0"/>
              <w:left w:val="nil"/>
              <w:bottom w:val="single" w:color="auto" w:sz="4" w:space="0"/>
              <w:right w:val="single" w:color="auto" w:sz="4" w:space="0"/>
            </w:tcBorders>
            <w:noWrap w:val="0"/>
            <w:vAlign w:val="center"/>
          </w:tcPr>
          <w:p w14:paraId="48E71EC0">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46.2</w:t>
            </w:r>
          </w:p>
        </w:tc>
        <w:tc>
          <w:tcPr>
            <w:tcW w:w="697" w:type="dxa"/>
            <w:tcBorders>
              <w:top w:val="single" w:color="auto" w:sz="4" w:space="0"/>
              <w:left w:val="nil"/>
              <w:bottom w:val="single" w:color="auto" w:sz="4" w:space="0"/>
              <w:right w:val="single" w:color="auto" w:sz="4" w:space="0"/>
            </w:tcBorders>
            <w:noWrap w:val="0"/>
            <w:vAlign w:val="center"/>
          </w:tcPr>
          <w:p w14:paraId="5D8DEBD7">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中职项目</w:t>
            </w:r>
          </w:p>
        </w:tc>
      </w:tr>
      <w:tr w14:paraId="311A707C">
        <w:tblPrEx>
          <w:tblCellMar>
            <w:top w:w="0" w:type="dxa"/>
            <w:left w:w="108" w:type="dxa"/>
            <w:bottom w:w="0" w:type="dxa"/>
            <w:right w:w="108" w:type="dxa"/>
          </w:tblCellMar>
        </w:tblPrEx>
        <w:trPr>
          <w:trHeight w:val="915" w:hRule="atLeast"/>
          <w:jc w:val="center"/>
        </w:trPr>
        <w:tc>
          <w:tcPr>
            <w:tcW w:w="1174" w:type="dxa"/>
            <w:vMerge w:val="continue"/>
            <w:tcBorders>
              <w:left w:val="single" w:color="auto" w:sz="4" w:space="0"/>
              <w:bottom w:val="single" w:color="auto" w:sz="4" w:space="0"/>
              <w:right w:val="single" w:color="auto" w:sz="4" w:space="0"/>
            </w:tcBorders>
            <w:noWrap w:val="0"/>
            <w:vAlign w:val="center"/>
          </w:tcPr>
          <w:p w14:paraId="736E04C2">
            <w:pPr>
              <w:widowControl/>
              <w:jc w:val="center"/>
              <w:rPr>
                <w:rFonts w:hint="eastAsia" w:ascii="宋体" w:hAnsi="宋体" w:eastAsia="宋体" w:cs="宋体"/>
                <w:b/>
                <w:bCs/>
                <w:kern w:val="0"/>
                <w:sz w:val="24"/>
                <w:szCs w:val="24"/>
                <w:highlight w:val="none"/>
              </w:rPr>
            </w:pPr>
          </w:p>
        </w:tc>
        <w:tc>
          <w:tcPr>
            <w:tcW w:w="1805" w:type="dxa"/>
            <w:tcBorders>
              <w:top w:val="single" w:color="auto" w:sz="4" w:space="0"/>
              <w:left w:val="nil"/>
              <w:bottom w:val="single" w:color="auto" w:sz="4" w:space="0"/>
              <w:right w:val="single" w:color="auto" w:sz="4" w:space="0"/>
            </w:tcBorders>
            <w:noWrap w:val="0"/>
            <w:vAlign w:val="center"/>
          </w:tcPr>
          <w:p w14:paraId="1654AD36">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小计：</w:t>
            </w:r>
          </w:p>
        </w:tc>
        <w:tc>
          <w:tcPr>
            <w:tcW w:w="2473" w:type="dxa"/>
            <w:tcBorders>
              <w:top w:val="single" w:color="auto" w:sz="4" w:space="0"/>
              <w:left w:val="nil"/>
              <w:bottom w:val="single" w:color="auto" w:sz="4" w:space="0"/>
              <w:right w:val="single" w:color="auto" w:sz="4" w:space="0"/>
            </w:tcBorders>
            <w:noWrap w:val="0"/>
            <w:vAlign w:val="center"/>
          </w:tcPr>
          <w:p w14:paraId="425FC987">
            <w:pPr>
              <w:widowControl/>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w:t>
            </w:r>
          </w:p>
        </w:tc>
        <w:tc>
          <w:tcPr>
            <w:tcW w:w="879" w:type="dxa"/>
            <w:tcBorders>
              <w:top w:val="single" w:color="auto" w:sz="4" w:space="0"/>
              <w:left w:val="nil"/>
              <w:bottom w:val="single" w:color="auto" w:sz="4" w:space="0"/>
              <w:right w:val="single" w:color="auto" w:sz="4" w:space="0"/>
            </w:tcBorders>
            <w:noWrap w:val="0"/>
            <w:vAlign w:val="center"/>
          </w:tcPr>
          <w:p w14:paraId="146F1E4D">
            <w:pPr>
              <w:widowControl/>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w:t>
            </w:r>
          </w:p>
        </w:tc>
        <w:tc>
          <w:tcPr>
            <w:tcW w:w="1175" w:type="dxa"/>
            <w:tcBorders>
              <w:top w:val="single" w:color="auto" w:sz="4" w:space="0"/>
              <w:left w:val="nil"/>
              <w:bottom w:val="single" w:color="auto" w:sz="4" w:space="0"/>
              <w:right w:val="single" w:color="auto" w:sz="4" w:space="0"/>
            </w:tcBorders>
            <w:noWrap w:val="0"/>
            <w:vAlign w:val="center"/>
          </w:tcPr>
          <w:p w14:paraId="34447BAD">
            <w:pPr>
              <w:widowControl/>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w:t>
            </w:r>
          </w:p>
        </w:tc>
        <w:tc>
          <w:tcPr>
            <w:tcW w:w="718" w:type="dxa"/>
            <w:tcBorders>
              <w:top w:val="single" w:color="auto" w:sz="4" w:space="0"/>
              <w:left w:val="nil"/>
              <w:bottom w:val="single" w:color="auto" w:sz="4" w:space="0"/>
              <w:right w:val="single" w:color="auto" w:sz="4" w:space="0"/>
            </w:tcBorders>
            <w:noWrap w:val="0"/>
            <w:vAlign w:val="center"/>
          </w:tcPr>
          <w:p w14:paraId="0491A04C">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70</w:t>
            </w:r>
          </w:p>
        </w:tc>
        <w:tc>
          <w:tcPr>
            <w:tcW w:w="879" w:type="dxa"/>
            <w:tcBorders>
              <w:top w:val="single" w:color="auto" w:sz="4" w:space="0"/>
              <w:left w:val="nil"/>
              <w:bottom w:val="single" w:color="auto" w:sz="4" w:space="0"/>
              <w:right w:val="single" w:color="auto" w:sz="4" w:space="0"/>
            </w:tcBorders>
            <w:noWrap w:val="0"/>
            <w:vAlign w:val="center"/>
          </w:tcPr>
          <w:p w14:paraId="091A3609">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80.85</w:t>
            </w:r>
          </w:p>
        </w:tc>
        <w:tc>
          <w:tcPr>
            <w:tcW w:w="697" w:type="dxa"/>
            <w:tcBorders>
              <w:top w:val="single" w:color="auto" w:sz="4" w:space="0"/>
              <w:left w:val="nil"/>
              <w:bottom w:val="single" w:color="auto" w:sz="4" w:space="0"/>
              <w:right w:val="single" w:color="auto" w:sz="4" w:space="0"/>
            </w:tcBorders>
            <w:noWrap w:val="0"/>
            <w:vAlign w:val="center"/>
          </w:tcPr>
          <w:p w14:paraId="7F436F80">
            <w:pPr>
              <w:widowControl/>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w:t>
            </w:r>
          </w:p>
        </w:tc>
      </w:tr>
    </w:tbl>
    <w:p w14:paraId="0FDF843A">
      <w:pPr>
        <w:keepNext w:val="0"/>
        <w:keepLines w:val="0"/>
        <w:pageBreakBefore w:val="0"/>
        <w:widowControl w:val="0"/>
        <w:kinsoku/>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1.服务地点：省内外。</w:t>
      </w:r>
    </w:p>
    <w:p w14:paraId="742DE335">
      <w:pPr>
        <w:keepNext w:val="0"/>
        <w:keepLines w:val="0"/>
        <w:pageBreakBefore w:val="0"/>
        <w:widowControl w:val="0"/>
        <w:kinsoku/>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2.服务期：一年。</w:t>
      </w:r>
    </w:p>
    <w:p w14:paraId="73167FAF">
      <w:pPr>
        <w:keepNext w:val="0"/>
        <w:keepLines w:val="0"/>
        <w:pageBreakBefore w:val="0"/>
        <w:widowControl w:val="0"/>
        <w:kinsoku/>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3.服务对象：全省中职、高职交通工程、智慧交通、轨道交通等相关专业教师。</w:t>
      </w:r>
    </w:p>
    <w:p w14:paraId="35487E4C">
      <w:pPr>
        <w:keepNext w:val="0"/>
        <w:keepLines w:val="0"/>
        <w:pageBreakBefore w:val="0"/>
        <w:widowControl w:val="0"/>
        <w:kinsoku/>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4.计划培训人数：共计70人，其中高职项目30人，中职项目40人。</w:t>
      </w:r>
    </w:p>
    <w:p w14:paraId="1941F14A">
      <w:pPr>
        <w:keepNext w:val="0"/>
        <w:keepLines w:val="0"/>
        <w:pageBreakBefore w:val="0"/>
        <w:widowControl w:val="0"/>
        <w:kinsoku/>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5.服务内容：依托智慧交通行业企业，学习智能交通管控、轨道交通运维、智慧出行服务、交通智能设备应用等技术，对接智慧交通产业岗位标准优化教学。</w:t>
      </w:r>
    </w:p>
    <w:p w14:paraId="267895A1">
      <w:pPr>
        <w:keepNext w:val="0"/>
        <w:keepLines w:val="0"/>
        <w:pageBreakBefore w:val="0"/>
        <w:widowControl w:val="0"/>
        <w:kinsoku/>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6.服务目标：提升教师智慧交通领域实操能力与产业认知，更新专业教学体系，适配智慧交通产业人才培养需求。</w:t>
      </w:r>
    </w:p>
    <w:p w14:paraId="71F641DD">
      <w:pPr>
        <w:keepNext w:val="0"/>
        <w:keepLines w:val="0"/>
        <w:pageBreakBefore w:val="0"/>
        <w:widowControl w:val="0"/>
        <w:kinsoku/>
        <w:wordWrap/>
        <w:overflowPunct w:val="0"/>
        <w:topLinePunct w:val="0"/>
        <w:autoSpaceDE/>
        <w:autoSpaceDN/>
        <w:bidi w:val="0"/>
        <w:adjustRightInd/>
        <w:snapToGrid/>
        <w:spacing w:line="4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7.服务方式：采用企业实景实践、岗位技能实训、行业技术解析、教学转化研讨相结合的沉浸式企业实践培训模式。</w:t>
      </w:r>
    </w:p>
    <w:p w14:paraId="6582154A">
      <w:pPr>
        <w:spacing w:line="360" w:lineRule="auto"/>
        <w:ind w:firstLine="437"/>
        <w:outlineLvl w:val="1"/>
        <w:rPr>
          <w:rFonts w:hint="default" w:ascii="宋体" w:hAnsi="宋体" w:eastAsia="宋体"/>
          <w:b/>
          <w:bCs/>
          <w:color w:val="auto"/>
          <w:sz w:val="24"/>
          <w:highlight w:val="none"/>
          <w:lang w:val="en-US" w:eastAsia="zh-CN"/>
        </w:rPr>
      </w:pPr>
      <w:bookmarkStart w:id="9" w:name="_Toc13291"/>
      <w:r>
        <w:rPr>
          <w:rFonts w:hint="eastAsia" w:ascii="宋体" w:hAnsi="宋体" w:eastAsia="宋体"/>
          <w:b/>
          <w:bCs/>
          <w:color w:val="auto"/>
          <w:sz w:val="24"/>
          <w:highlight w:val="none"/>
          <w:lang w:val="en-US" w:eastAsia="zh-CN"/>
        </w:rPr>
        <w:t>五、跟踪评价要求</w:t>
      </w:r>
    </w:p>
    <w:p w14:paraId="3731B656">
      <w:pPr>
        <w:spacing w:line="360" w:lineRule="auto"/>
        <w:ind w:firstLine="437"/>
        <w:outlineLvl w:val="1"/>
        <w:rPr>
          <w:rFonts w:hint="default" w:ascii="宋体" w:hAnsi="宋体" w:eastAsia="宋体"/>
          <w:b w:val="0"/>
          <w:bCs w:val="0"/>
          <w:color w:val="auto"/>
          <w:sz w:val="24"/>
          <w:highlight w:val="none"/>
          <w:lang w:val="en-US" w:eastAsia="zh-CN"/>
        </w:rPr>
      </w:pPr>
      <w:r>
        <w:rPr>
          <w:rFonts w:hint="eastAsia" w:ascii="宋体" w:hAnsi="宋体" w:eastAsia="宋体"/>
          <w:b w:val="0"/>
          <w:bCs w:val="0"/>
          <w:color w:val="auto"/>
          <w:sz w:val="24"/>
          <w:highlight w:val="none"/>
          <w:lang w:val="en-US" w:eastAsia="zh-CN"/>
        </w:rPr>
        <w:t>中标人应在训后对培训人员的培训效果提供跟踪评价，并形成相关成果材料。</w:t>
      </w:r>
    </w:p>
    <w:p w14:paraId="36C2C762">
      <w:pPr>
        <w:spacing w:line="360" w:lineRule="auto"/>
        <w:ind w:firstLine="437"/>
        <w:outlineLvl w:val="1"/>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六、报价要求</w:t>
      </w:r>
      <w:bookmarkEnd w:id="9"/>
    </w:p>
    <w:p w14:paraId="2936C8F5">
      <w:pPr>
        <w:spacing w:line="360" w:lineRule="auto"/>
        <w:ind w:firstLine="480" w:firstLineChars="200"/>
        <w:rPr>
          <w:rFonts w:hint="default" w:ascii="宋体" w:hAnsi="宋体" w:eastAsia="宋体" w:cs="宋体"/>
          <w:bCs/>
          <w:sz w:val="24"/>
          <w:szCs w:val="24"/>
          <w:highlight w:val="none"/>
          <w:lang w:val="en-US" w:eastAsia="zh-CN"/>
        </w:rPr>
      </w:pPr>
      <w:r>
        <w:rPr>
          <w:rFonts w:hint="default" w:ascii="宋体" w:hAnsi="宋体" w:eastAsia="宋体" w:cs="宋体"/>
          <w:bCs/>
          <w:sz w:val="24"/>
          <w:szCs w:val="24"/>
          <w:highlight w:val="none"/>
          <w:lang w:val="en-US" w:eastAsia="zh-CN"/>
        </w:rPr>
        <w:t>本项目报价采用定价形式</w:t>
      </w:r>
      <w:r>
        <w:rPr>
          <w:rFonts w:hint="eastAsia" w:ascii="宋体" w:hAnsi="宋体" w:eastAsia="宋体" w:cs="宋体"/>
          <w:bCs/>
          <w:sz w:val="24"/>
          <w:szCs w:val="24"/>
          <w:highlight w:val="none"/>
          <w:lang w:val="en-US" w:eastAsia="zh-CN"/>
        </w:rPr>
        <w:t>。各包预算金额（最高限价）即为各包投标人报价。</w:t>
      </w:r>
    </w:p>
    <w:p w14:paraId="464FB69E">
      <w:pPr>
        <w:spacing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报价</w:t>
      </w:r>
      <w:r>
        <w:rPr>
          <w:rFonts w:hint="default" w:ascii="宋体" w:hAnsi="宋体" w:eastAsia="宋体" w:cs="宋体"/>
          <w:bCs/>
          <w:sz w:val="24"/>
          <w:szCs w:val="24"/>
          <w:highlight w:val="none"/>
          <w:lang w:val="en-US" w:eastAsia="zh-CN"/>
        </w:rPr>
        <w:t>包含为完成本项目各包单人每天所须的师资费、培训费、食宿费、交通费等一切费用（不含参训教师自派训单位至培训点的往返交通费）。</w:t>
      </w:r>
    </w:p>
    <w:p w14:paraId="10F46E40">
      <w:pPr>
        <w:spacing w:line="360" w:lineRule="auto"/>
        <w:ind w:firstLine="437"/>
        <w:outlineLvl w:val="1"/>
        <w:rPr>
          <w:rFonts w:hint="eastAsia" w:ascii="宋体" w:hAnsi="宋体" w:eastAsia="宋体"/>
          <w:b/>
          <w:bCs/>
          <w:color w:val="auto"/>
          <w:sz w:val="24"/>
          <w:highlight w:val="none"/>
          <w:lang w:val="en-US" w:eastAsia="zh-CN"/>
        </w:rPr>
      </w:pPr>
      <w:bookmarkStart w:id="10" w:name="_Toc18342"/>
      <w:r>
        <w:rPr>
          <w:rFonts w:hint="eastAsia" w:ascii="宋体" w:hAnsi="宋体" w:eastAsia="宋体"/>
          <w:b/>
          <w:bCs/>
          <w:color w:val="auto"/>
          <w:sz w:val="24"/>
          <w:highlight w:val="none"/>
          <w:lang w:val="en-US" w:eastAsia="zh-CN"/>
        </w:rPr>
        <w:t>七、结算要求</w:t>
      </w:r>
      <w:bookmarkEnd w:id="10"/>
    </w:p>
    <w:p w14:paraId="5738E773">
      <w:pPr>
        <w:spacing w:line="360" w:lineRule="auto"/>
        <w:ind w:firstLine="437"/>
        <w:outlineLvl w:val="1"/>
        <w:rPr>
          <w:rFonts w:hint="default" w:ascii="宋体" w:hAnsi="宋体" w:eastAsia="宋体"/>
          <w:b w:val="0"/>
          <w:bCs w:val="0"/>
          <w:color w:val="auto"/>
          <w:sz w:val="24"/>
          <w:highlight w:val="none"/>
          <w:lang w:val="en-US" w:eastAsia="zh-CN"/>
        </w:rPr>
      </w:pPr>
      <w:bookmarkStart w:id="11" w:name="_Toc32449"/>
      <w:r>
        <w:rPr>
          <w:rFonts w:hint="eastAsia" w:ascii="宋体" w:hAnsi="宋体" w:eastAsia="宋体"/>
          <w:b w:val="0"/>
          <w:bCs w:val="0"/>
          <w:color w:val="auto"/>
          <w:sz w:val="24"/>
          <w:highlight w:val="none"/>
          <w:lang w:val="en-US" w:eastAsia="zh-CN"/>
        </w:rPr>
        <w:t>本项目最终根据各包到训率考核（到训率=到训人数/计划人数）进行结算，如到训率达到90%，则全额支付合同金额；如到训率未达到90%，则据实结算（结算金额=固定金额550元/人/天×实际到训人数×培训时长）。</w:t>
      </w:r>
      <w:bookmarkEnd w:id="11"/>
    </w:p>
    <w:p w14:paraId="4339BDDA">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D0121"/>
    <w:rsid w:val="084D0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D&amp;L"/>
    <w:basedOn w:val="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2026-07-24T13:12:00Z</dcterms:created>
  <dc:creator>二审-许美玥</dc:creator>
  <cp:lastModifiedBy>二审-许美玥</cp:lastModifiedBy>
  <dcterms:modified xsi:type="dcterms:W3CDTF">2026-07-24T13:13:09Z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A30A7F6060214B7C8BF702B3DC144B7C_11</vt:lpwstr>
  </property>
  <property fmtid="{D5CDD505-2E9C-101B-9397-08002B2CF9AE}" pid="4" name="KSOTemplateDocerSaveRecord">
    <vt:lpwstr>eyJoZGlkIjoiZTdlZWY3ZWY1NGQ0OTgxYTUyZGUyZmJjMTFjY2Q4ZDciLCJ1c2VySWQiOiIzMjQ4MTEwODkifQ==</vt:lpwstr>
  </property>
</Properties>
</file>