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45DF7">
      <w:pPr>
        <w:adjustRightInd w:val="0"/>
        <w:snapToGrid w:val="0"/>
        <w:spacing w:line="360" w:lineRule="auto"/>
        <w:rPr>
          <w:rFonts w:ascii="宋体" w:hAnsi="宋体" w:eastAsia="宋体" w:cs="宋体"/>
          <w:b/>
          <w:szCs w:val="21"/>
        </w:rPr>
      </w:pPr>
      <w:bookmarkStart w:id="0" w:name="_Hlk196760242"/>
      <w:r>
        <w:rPr>
          <w:rFonts w:hint="eastAsia" w:ascii="宋体" w:hAnsi="宋体" w:eastAsia="宋体" w:cs="宋体"/>
          <w:b/>
          <w:szCs w:val="21"/>
        </w:rPr>
        <w:t>前注：</w:t>
      </w:r>
    </w:p>
    <w:p w14:paraId="2505F416">
      <w:pPr>
        <w:adjustRightInd w:val="0"/>
        <w:snapToGrid w:val="0"/>
        <w:spacing w:line="360" w:lineRule="auto"/>
        <w:ind w:firstLine="435"/>
        <w:rPr>
          <w:rFonts w:ascii="宋体" w:hAnsi="宋体" w:eastAsia="宋体" w:cs="宋体"/>
          <w:szCs w:val="21"/>
        </w:rPr>
      </w:pPr>
      <w:r>
        <w:rPr>
          <w:rFonts w:hint="eastAsia" w:ascii="宋体" w:hAnsi="宋体" w:eastAsia="宋体" w:cs="宋体"/>
          <w:szCs w:val="21"/>
        </w:rPr>
        <w:t>1.本采购需求中提出的服务方案仅为参考，如无明确限制，投标人可以进行优化，提供满足采购人实际需要的更优（或者性能实质上不低于的）服务方案，且此方案须经评标委员会评审认可。</w:t>
      </w:r>
    </w:p>
    <w:p w14:paraId="1758C9BA">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2.政府采购政策（包括但不限于下列具体政策要求）：</w:t>
      </w:r>
    </w:p>
    <w:p w14:paraId="00900F27">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59875136">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965F8FC">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szCs w:val="21"/>
        </w:rPr>
        <w:t>3.如采购人允许采用分包方式履行合同的，应当明确可以分包履行的相关内容。</w:t>
      </w:r>
    </w:p>
    <w:p w14:paraId="32DD3E8D">
      <w:pPr>
        <w:adjustRightInd w:val="0"/>
        <w:snapToGrid w:val="0"/>
        <w:spacing w:line="360" w:lineRule="auto"/>
        <w:ind w:firstLine="437"/>
        <w:outlineLvl w:val="1"/>
        <w:rPr>
          <w:rFonts w:ascii="宋体" w:hAnsi="宋体" w:eastAsia="宋体" w:cs="宋体"/>
          <w:b/>
          <w:szCs w:val="21"/>
        </w:rPr>
      </w:pPr>
      <w:bookmarkStart w:id="1" w:name="_Toc21798"/>
      <w:bookmarkStart w:id="2" w:name="_Toc4148"/>
      <w:bookmarkStart w:id="3" w:name="_Toc199325106"/>
      <w:bookmarkStart w:id="4" w:name="_Hlk23621890"/>
      <w:r>
        <w:rPr>
          <w:rFonts w:hint="eastAsia" w:ascii="宋体" w:hAnsi="宋体" w:eastAsia="宋体" w:cs="宋体"/>
          <w:b/>
          <w:szCs w:val="21"/>
        </w:rPr>
        <w:t>一、采购需求前附表</w:t>
      </w:r>
      <w:bookmarkEnd w:id="1"/>
      <w:bookmarkEnd w:id="2"/>
      <w:bookmarkEnd w:id="3"/>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483"/>
      </w:tblGrid>
      <w:tr w14:paraId="379A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299C228F">
            <w:pPr>
              <w:adjustRightInd w:val="0"/>
              <w:snapToGrid w:val="0"/>
              <w:spacing w:line="300" w:lineRule="auto"/>
              <w:jc w:val="center"/>
              <w:rPr>
                <w:rFonts w:ascii="宋体" w:hAnsi="宋体" w:eastAsia="宋体" w:cs="宋体"/>
                <w:bCs/>
                <w:szCs w:val="21"/>
              </w:rPr>
            </w:pPr>
            <w:r>
              <w:rPr>
                <w:rFonts w:hint="eastAsia" w:ascii="宋体" w:hAnsi="宋体" w:eastAsia="宋体" w:cs="宋体"/>
                <w:bCs/>
                <w:szCs w:val="21"/>
              </w:rPr>
              <w:t>序号</w:t>
            </w:r>
          </w:p>
        </w:tc>
        <w:tc>
          <w:tcPr>
            <w:tcW w:w="1192" w:type="pct"/>
            <w:vAlign w:val="center"/>
          </w:tcPr>
          <w:p w14:paraId="3D619C88">
            <w:pPr>
              <w:adjustRightInd w:val="0"/>
              <w:snapToGrid w:val="0"/>
              <w:spacing w:line="300" w:lineRule="auto"/>
              <w:rPr>
                <w:rFonts w:ascii="宋体" w:hAnsi="宋体" w:eastAsia="宋体" w:cs="宋体"/>
                <w:b/>
                <w:bCs/>
                <w:kern w:val="0"/>
                <w:szCs w:val="21"/>
              </w:rPr>
            </w:pPr>
            <w:r>
              <w:rPr>
                <w:rFonts w:hint="eastAsia" w:ascii="宋体" w:hAnsi="宋体" w:eastAsia="宋体" w:cs="宋体"/>
                <w:b/>
                <w:bCs/>
                <w:kern w:val="0"/>
                <w:szCs w:val="21"/>
              </w:rPr>
              <w:t>条款名称</w:t>
            </w:r>
          </w:p>
        </w:tc>
        <w:tc>
          <w:tcPr>
            <w:tcW w:w="3217" w:type="pct"/>
            <w:vAlign w:val="center"/>
          </w:tcPr>
          <w:p w14:paraId="7370F6DE">
            <w:pPr>
              <w:adjustRightInd w:val="0"/>
              <w:snapToGrid w:val="0"/>
              <w:spacing w:line="300" w:lineRule="auto"/>
              <w:rPr>
                <w:rFonts w:ascii="宋体" w:hAnsi="宋体" w:eastAsia="宋体" w:cs="宋体"/>
                <w:b/>
                <w:bCs/>
                <w:kern w:val="0"/>
                <w:szCs w:val="21"/>
              </w:rPr>
            </w:pPr>
            <w:r>
              <w:rPr>
                <w:rFonts w:hint="eastAsia" w:ascii="宋体" w:hAnsi="宋体" w:eastAsia="宋体" w:cs="宋体"/>
                <w:b/>
                <w:bCs/>
                <w:kern w:val="0"/>
                <w:szCs w:val="21"/>
              </w:rPr>
              <w:t>内容、说明与要求</w:t>
            </w:r>
          </w:p>
        </w:tc>
      </w:tr>
      <w:tr w14:paraId="39CC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29DAA4FE">
            <w:pPr>
              <w:adjustRightInd w:val="0"/>
              <w:snapToGrid w:val="0"/>
              <w:spacing w:line="300" w:lineRule="auto"/>
              <w:jc w:val="center"/>
              <w:rPr>
                <w:rFonts w:ascii="宋体" w:hAnsi="宋体" w:eastAsia="宋体" w:cs="宋体"/>
                <w:bCs/>
                <w:szCs w:val="21"/>
              </w:rPr>
            </w:pPr>
            <w:r>
              <w:rPr>
                <w:rFonts w:hint="eastAsia" w:ascii="宋体" w:hAnsi="宋体" w:eastAsia="宋体" w:cs="宋体"/>
                <w:bCs/>
                <w:szCs w:val="21"/>
              </w:rPr>
              <w:t>1</w:t>
            </w:r>
          </w:p>
        </w:tc>
        <w:tc>
          <w:tcPr>
            <w:tcW w:w="1192" w:type="pct"/>
            <w:vAlign w:val="center"/>
          </w:tcPr>
          <w:p w14:paraId="5162C0F5">
            <w:pPr>
              <w:adjustRightInd w:val="0"/>
              <w:snapToGrid w:val="0"/>
              <w:spacing w:line="300" w:lineRule="auto"/>
              <w:rPr>
                <w:rFonts w:ascii="宋体" w:hAnsi="宋体" w:eastAsia="宋体" w:cs="宋体"/>
                <w:b/>
                <w:bCs/>
                <w:kern w:val="0"/>
                <w:szCs w:val="21"/>
              </w:rPr>
            </w:pPr>
            <w:r>
              <w:rPr>
                <w:rFonts w:hint="eastAsia" w:ascii="宋体" w:hAnsi="宋体" w:eastAsia="宋体" w:cs="宋体"/>
                <w:bCs/>
                <w:kern w:val="0"/>
                <w:szCs w:val="21"/>
              </w:rPr>
              <w:t>付款方式</w:t>
            </w:r>
          </w:p>
        </w:tc>
        <w:tc>
          <w:tcPr>
            <w:tcW w:w="3217" w:type="pct"/>
            <w:vAlign w:val="center"/>
          </w:tcPr>
          <w:p w14:paraId="27CB3521">
            <w:pPr>
              <w:widowControl/>
              <w:adjustRightInd w:val="0"/>
              <w:snapToGrid w:val="0"/>
              <w:spacing w:line="300" w:lineRule="auto"/>
              <w:rPr>
                <w:rFonts w:ascii="宋体" w:hAnsi="宋体" w:eastAsia="宋体" w:cs="宋体"/>
                <w:szCs w:val="21"/>
              </w:rPr>
            </w:pPr>
            <w:r>
              <w:rPr>
                <w:rFonts w:ascii="宋体" w:hAnsi="宋体" w:eastAsia="宋体" w:cs="Times New Roman"/>
                <w:szCs w:val="21"/>
              </w:rPr>
              <w:t>合同生效后付至合同价的70%；中标人完成所有工作内容并经验收合格后，一次性付清合同价款。</w:t>
            </w:r>
          </w:p>
          <w:p w14:paraId="2AF0562E">
            <w:pPr>
              <w:widowControl/>
              <w:adjustRightInd w:val="0"/>
              <w:snapToGrid w:val="0"/>
              <w:spacing w:line="300" w:lineRule="auto"/>
              <w:rPr>
                <w:rFonts w:ascii="宋体" w:hAnsi="宋体" w:eastAsia="宋体" w:cs="宋体"/>
                <w:szCs w:val="21"/>
              </w:rPr>
            </w:pPr>
            <w:r>
              <w:rPr>
                <w:rFonts w:ascii="宋体" w:hAnsi="宋体" w:eastAsia="宋体" w:cs="Times New Roman"/>
                <w:szCs w:val="21"/>
              </w:rPr>
              <w:t>注：</w:t>
            </w:r>
            <w:r>
              <w:rPr>
                <w:rFonts w:hint="eastAsia" w:ascii="Times New Roman" w:hAnsi="Times New Roman" w:eastAsia="宋体" w:cs="Times New Roman"/>
                <w:szCs w:val="24"/>
              </w:rPr>
              <w:t>中标人应在采购人每次付款前向采购人提供合法的与当次付款金额相等的有效的增值税发票。中标人不能提供符合采购人要求的发票的，采购人有权拒绝支付相应合同款项。</w:t>
            </w:r>
          </w:p>
        </w:tc>
      </w:tr>
      <w:tr w14:paraId="7E59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3ADB1BC4">
            <w:pPr>
              <w:adjustRightInd w:val="0"/>
              <w:snapToGrid w:val="0"/>
              <w:spacing w:line="300" w:lineRule="auto"/>
              <w:jc w:val="center"/>
              <w:rPr>
                <w:rFonts w:ascii="宋体" w:hAnsi="宋体" w:eastAsia="宋体" w:cs="宋体"/>
                <w:bCs/>
                <w:szCs w:val="21"/>
              </w:rPr>
            </w:pPr>
            <w:r>
              <w:rPr>
                <w:rFonts w:hint="eastAsia" w:ascii="宋体" w:hAnsi="宋体" w:eastAsia="宋体" w:cs="宋体"/>
                <w:bCs/>
                <w:szCs w:val="21"/>
              </w:rPr>
              <w:t>2</w:t>
            </w:r>
          </w:p>
        </w:tc>
        <w:tc>
          <w:tcPr>
            <w:tcW w:w="1192" w:type="pct"/>
            <w:vAlign w:val="center"/>
          </w:tcPr>
          <w:p w14:paraId="7AA102A4">
            <w:pPr>
              <w:adjustRightInd w:val="0"/>
              <w:snapToGrid w:val="0"/>
              <w:spacing w:line="300" w:lineRule="auto"/>
              <w:rPr>
                <w:rFonts w:ascii="宋体" w:hAnsi="宋体" w:eastAsia="宋体" w:cs="宋体"/>
                <w:b/>
                <w:bCs/>
                <w:kern w:val="0"/>
                <w:szCs w:val="21"/>
              </w:rPr>
            </w:pPr>
            <w:r>
              <w:rPr>
                <w:rFonts w:hint="eastAsia" w:ascii="宋体" w:hAnsi="宋体" w:eastAsia="宋体" w:cs="宋体"/>
                <w:bCs/>
                <w:kern w:val="0"/>
                <w:szCs w:val="21"/>
              </w:rPr>
              <w:t>服务地点</w:t>
            </w:r>
          </w:p>
        </w:tc>
        <w:tc>
          <w:tcPr>
            <w:tcW w:w="3217" w:type="pct"/>
            <w:vAlign w:val="center"/>
          </w:tcPr>
          <w:p w14:paraId="51B07212">
            <w:pPr>
              <w:adjustRightInd w:val="0"/>
              <w:snapToGrid w:val="0"/>
              <w:spacing w:line="300" w:lineRule="auto"/>
              <w:rPr>
                <w:rFonts w:ascii="宋体" w:hAnsi="宋体" w:eastAsia="宋体" w:cs="宋体"/>
                <w:bCs/>
                <w:kern w:val="0"/>
                <w:szCs w:val="21"/>
              </w:rPr>
            </w:pPr>
            <w:r>
              <w:rPr>
                <w:rFonts w:hint="eastAsia" w:ascii="宋体" w:hAnsi="宋体" w:eastAsia="宋体" w:cs="宋体"/>
                <w:bCs/>
                <w:kern w:val="0"/>
                <w:szCs w:val="21"/>
              </w:rPr>
              <w:t>安徽省，具体按采购人指定地点。</w:t>
            </w:r>
          </w:p>
        </w:tc>
      </w:tr>
      <w:tr w14:paraId="1F4D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4FC638AF">
            <w:pPr>
              <w:adjustRightInd w:val="0"/>
              <w:snapToGrid w:val="0"/>
              <w:spacing w:line="300" w:lineRule="auto"/>
              <w:jc w:val="center"/>
              <w:rPr>
                <w:rFonts w:ascii="宋体" w:hAnsi="宋体" w:eastAsia="宋体" w:cs="宋体"/>
                <w:bCs/>
                <w:szCs w:val="21"/>
              </w:rPr>
            </w:pPr>
            <w:r>
              <w:rPr>
                <w:rFonts w:hint="eastAsia" w:ascii="宋体" w:hAnsi="宋体" w:eastAsia="宋体" w:cs="宋体"/>
                <w:bCs/>
                <w:szCs w:val="21"/>
              </w:rPr>
              <w:t>3</w:t>
            </w:r>
          </w:p>
        </w:tc>
        <w:tc>
          <w:tcPr>
            <w:tcW w:w="1192" w:type="pct"/>
            <w:vAlign w:val="center"/>
          </w:tcPr>
          <w:p w14:paraId="6A6D4367">
            <w:pPr>
              <w:adjustRightInd w:val="0"/>
              <w:snapToGrid w:val="0"/>
              <w:spacing w:line="300" w:lineRule="auto"/>
              <w:rPr>
                <w:rFonts w:ascii="宋体" w:hAnsi="宋体" w:eastAsia="宋体" w:cs="宋体"/>
                <w:b/>
                <w:bCs/>
                <w:kern w:val="0"/>
                <w:szCs w:val="21"/>
              </w:rPr>
            </w:pPr>
            <w:r>
              <w:rPr>
                <w:rFonts w:hint="eastAsia" w:ascii="宋体" w:hAnsi="宋体" w:eastAsia="宋体" w:cs="宋体"/>
                <w:bCs/>
                <w:kern w:val="0"/>
                <w:szCs w:val="21"/>
              </w:rPr>
              <w:t>服务期限</w:t>
            </w:r>
          </w:p>
        </w:tc>
        <w:tc>
          <w:tcPr>
            <w:tcW w:w="3217" w:type="pct"/>
            <w:vAlign w:val="center"/>
          </w:tcPr>
          <w:p w14:paraId="7B5C74BA">
            <w:pPr>
              <w:adjustRightInd w:val="0"/>
              <w:snapToGrid w:val="0"/>
              <w:spacing w:line="300" w:lineRule="auto"/>
              <w:rPr>
                <w:rFonts w:ascii="宋体" w:hAnsi="宋体" w:eastAsia="宋体" w:cs="宋体"/>
                <w:bCs/>
                <w:kern w:val="0"/>
                <w:szCs w:val="21"/>
              </w:rPr>
            </w:pPr>
            <w:r>
              <w:rPr>
                <w:rFonts w:ascii="宋体" w:hAnsi="宋体" w:eastAsia="宋体" w:cs="宋体"/>
                <w:bCs/>
                <w:kern w:val="0"/>
                <w:szCs w:val="21"/>
                <w:lang w:bidi="zh-CN"/>
              </w:rPr>
              <w:t>自合同生效之日起，至202</w:t>
            </w:r>
            <w:r>
              <w:rPr>
                <w:rFonts w:hint="eastAsia" w:ascii="宋体" w:hAnsi="宋体" w:eastAsia="宋体" w:cs="宋体"/>
                <w:bCs/>
                <w:kern w:val="0"/>
                <w:szCs w:val="21"/>
                <w:lang w:bidi="zh-CN"/>
              </w:rPr>
              <w:t>5</w:t>
            </w:r>
            <w:r>
              <w:rPr>
                <w:rFonts w:ascii="宋体" w:hAnsi="宋体" w:eastAsia="宋体" w:cs="宋体"/>
                <w:bCs/>
                <w:kern w:val="0"/>
                <w:szCs w:val="21"/>
                <w:lang w:bidi="zh-CN"/>
              </w:rPr>
              <w:t>年12月31日</w:t>
            </w:r>
            <w:r>
              <w:rPr>
                <w:rFonts w:ascii="宋体" w:hAnsi="宋体" w:eastAsia="宋体" w:cs="宋体"/>
                <w:bCs/>
                <w:kern w:val="0"/>
                <w:szCs w:val="21"/>
                <w:lang w:val="zh-CN" w:bidi="zh-CN"/>
              </w:rPr>
              <w:t>。</w:t>
            </w:r>
          </w:p>
        </w:tc>
      </w:tr>
      <w:tr w14:paraId="2A06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22FB2136">
            <w:pPr>
              <w:adjustRightInd w:val="0"/>
              <w:snapToGrid w:val="0"/>
              <w:spacing w:line="300" w:lineRule="auto"/>
              <w:jc w:val="center"/>
              <w:rPr>
                <w:rFonts w:ascii="宋体" w:hAnsi="宋体" w:eastAsia="宋体" w:cs="宋体"/>
                <w:bCs/>
                <w:szCs w:val="21"/>
              </w:rPr>
            </w:pPr>
            <w:r>
              <w:rPr>
                <w:rFonts w:hint="eastAsia" w:ascii="宋体" w:hAnsi="宋体" w:eastAsia="宋体" w:cs="宋体"/>
                <w:bCs/>
                <w:szCs w:val="21"/>
              </w:rPr>
              <w:t>4</w:t>
            </w:r>
          </w:p>
        </w:tc>
        <w:tc>
          <w:tcPr>
            <w:tcW w:w="1192" w:type="pct"/>
            <w:vAlign w:val="center"/>
          </w:tcPr>
          <w:p w14:paraId="61F2AF3B">
            <w:pPr>
              <w:adjustRightInd w:val="0"/>
              <w:snapToGrid w:val="0"/>
              <w:spacing w:line="300" w:lineRule="auto"/>
              <w:rPr>
                <w:rFonts w:ascii="宋体" w:hAnsi="宋体" w:eastAsia="宋体" w:cs="宋体"/>
                <w:b/>
                <w:bCs/>
                <w:kern w:val="0"/>
                <w:szCs w:val="21"/>
              </w:rPr>
            </w:pPr>
            <w:r>
              <w:rPr>
                <w:rFonts w:hint="eastAsia" w:ascii="宋体" w:hAnsi="宋体" w:eastAsia="宋体" w:cs="宋体"/>
                <w:bCs/>
                <w:kern w:val="0"/>
                <w:szCs w:val="21"/>
              </w:rPr>
              <w:t>本项目采购标的名称及所属行业</w:t>
            </w:r>
          </w:p>
        </w:tc>
        <w:tc>
          <w:tcPr>
            <w:tcW w:w="3217" w:type="pct"/>
            <w:vAlign w:val="center"/>
          </w:tcPr>
          <w:p w14:paraId="07991369">
            <w:pPr>
              <w:adjustRightInd w:val="0"/>
              <w:snapToGrid w:val="0"/>
              <w:spacing w:line="300" w:lineRule="auto"/>
              <w:jc w:val="left"/>
              <w:rPr>
                <w:rFonts w:ascii="宋体" w:hAnsi="宋体" w:eastAsia="宋体" w:cs="宋体"/>
                <w:szCs w:val="21"/>
              </w:rPr>
            </w:pPr>
            <w:r>
              <w:rPr>
                <w:rFonts w:hint="eastAsia" w:ascii="宋体" w:hAnsi="宋体" w:eastAsia="宋体" w:cs="宋体"/>
                <w:szCs w:val="21"/>
              </w:rPr>
              <w:t>标的名称：安徽省球类运动管理中心2025年省青少年体育赛事活动</w:t>
            </w:r>
          </w:p>
          <w:p w14:paraId="029F6790">
            <w:pPr>
              <w:adjustRightInd w:val="0"/>
              <w:snapToGrid w:val="0"/>
              <w:spacing w:line="300" w:lineRule="auto"/>
              <w:jc w:val="left"/>
              <w:rPr>
                <w:rFonts w:ascii="宋体" w:hAnsi="宋体" w:eastAsia="宋体" w:cs="宋体"/>
                <w:szCs w:val="21"/>
              </w:rPr>
            </w:pPr>
            <w:r>
              <w:rPr>
                <w:rFonts w:hint="eastAsia" w:ascii="宋体" w:hAnsi="宋体" w:eastAsia="宋体" w:cs="宋体"/>
                <w:szCs w:val="21"/>
              </w:rPr>
              <w:t>所属行业：其他未列明行业</w:t>
            </w:r>
          </w:p>
        </w:tc>
      </w:tr>
      <w:bookmarkEnd w:id="4"/>
    </w:tbl>
    <w:p w14:paraId="00A295E8">
      <w:pPr>
        <w:adjustRightInd w:val="0"/>
        <w:snapToGrid w:val="0"/>
        <w:spacing w:line="360" w:lineRule="auto"/>
        <w:ind w:firstLine="437"/>
        <w:outlineLvl w:val="1"/>
        <w:rPr>
          <w:rFonts w:ascii="宋体" w:hAnsi="宋体" w:eastAsia="宋体" w:cs="宋体"/>
          <w:b/>
          <w:szCs w:val="21"/>
        </w:rPr>
      </w:pPr>
      <w:bookmarkStart w:id="5" w:name="_Toc199325107"/>
      <w:r>
        <w:rPr>
          <w:rFonts w:hint="eastAsia" w:ascii="宋体" w:hAnsi="宋体" w:eastAsia="宋体" w:cs="宋体"/>
          <w:b/>
          <w:szCs w:val="21"/>
        </w:rPr>
        <w:t>二、采购</w:t>
      </w:r>
      <w:r>
        <w:rPr>
          <w:rFonts w:ascii="宋体" w:hAnsi="宋体" w:eastAsia="宋体" w:cs="宋体"/>
          <w:b/>
          <w:szCs w:val="21"/>
        </w:rPr>
        <w:t>需求</w:t>
      </w:r>
      <w:bookmarkEnd w:id="0"/>
      <w:bookmarkEnd w:id="5"/>
    </w:p>
    <w:p w14:paraId="7E5B75BF">
      <w:pPr>
        <w:widowControl/>
        <w:adjustRightInd w:val="0"/>
        <w:snapToGrid w:val="0"/>
        <w:spacing w:line="360" w:lineRule="auto"/>
        <w:rPr>
          <w:rFonts w:ascii="宋体" w:hAnsi="宋体" w:eastAsia="宋体" w:cs="宋体"/>
          <w:b/>
          <w:sz w:val="28"/>
          <w:szCs w:val="20"/>
        </w:rPr>
      </w:pPr>
      <w:r>
        <w:rPr>
          <w:rFonts w:hint="eastAsia" w:ascii="宋体" w:hAnsi="宋体" w:eastAsia="宋体" w:cs="宋体"/>
          <w:bCs/>
          <w:sz w:val="28"/>
          <w:szCs w:val="32"/>
        </w:rPr>
        <w:br w:type="page"/>
      </w:r>
    </w:p>
    <w:p w14:paraId="6C4518E0">
      <w:pPr>
        <w:keepNext/>
        <w:keepLines/>
        <w:adjustRightInd w:val="0"/>
        <w:snapToGrid w:val="0"/>
        <w:spacing w:line="360" w:lineRule="auto"/>
        <w:jc w:val="center"/>
        <w:outlineLvl w:val="1"/>
        <w:rPr>
          <w:rFonts w:ascii="宋体" w:hAnsi="宋体" w:eastAsia="宋体" w:cs="Times New Roman"/>
          <w:b/>
          <w:bCs/>
          <w:sz w:val="24"/>
          <w:szCs w:val="24"/>
        </w:rPr>
      </w:pPr>
      <w:bookmarkStart w:id="6" w:name="_Toc199325150"/>
      <w:r>
        <w:rPr>
          <w:rFonts w:hint="eastAsia" w:ascii="宋体" w:hAnsi="宋体" w:eastAsia="宋体" w:cs="Times New Roman"/>
          <w:b/>
          <w:bCs/>
          <w:sz w:val="24"/>
          <w:szCs w:val="24"/>
        </w:rPr>
        <w:t>第5包 乒乓球赛事</w:t>
      </w:r>
      <w:bookmarkEnd w:id="6"/>
    </w:p>
    <w:p w14:paraId="59CC5D39">
      <w:pPr>
        <w:keepNext/>
        <w:keepLines/>
        <w:adjustRightInd w:val="0"/>
        <w:snapToGrid w:val="0"/>
        <w:spacing w:line="360" w:lineRule="auto"/>
        <w:outlineLvl w:val="1"/>
        <w:rPr>
          <w:rFonts w:ascii="宋体" w:hAnsi="宋体" w:eastAsia="宋体" w:cs="Times New Roman"/>
          <w:b/>
          <w:bCs/>
          <w:szCs w:val="21"/>
        </w:rPr>
      </w:pPr>
      <w:bookmarkStart w:id="7" w:name="_Toc199325151"/>
      <w:r>
        <w:rPr>
          <w:rFonts w:hint="eastAsia" w:ascii="宋体" w:hAnsi="宋体" w:eastAsia="宋体" w:cs="Times New Roman"/>
          <w:b/>
          <w:bCs/>
          <w:szCs w:val="21"/>
        </w:rPr>
        <w:t>（一）项目内容</w:t>
      </w:r>
      <w:bookmarkEnd w:id="7"/>
    </w:p>
    <w:p w14:paraId="7EFA06D8">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1、承办 2025 年安徽省青少年乒乓球锦标赛；</w:t>
      </w:r>
    </w:p>
    <w:p w14:paraId="05BF94C7">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2、承办 2025 年安徽省乒乓球传统项目学校比赛。</w:t>
      </w:r>
    </w:p>
    <w:p w14:paraId="692CEDCA">
      <w:pPr>
        <w:keepNext/>
        <w:keepLines/>
        <w:adjustRightInd w:val="0"/>
        <w:snapToGrid w:val="0"/>
        <w:spacing w:line="360" w:lineRule="auto"/>
        <w:outlineLvl w:val="1"/>
        <w:rPr>
          <w:rFonts w:ascii="宋体" w:hAnsi="宋体" w:eastAsia="宋体" w:cs="Times New Roman"/>
          <w:b/>
          <w:bCs/>
          <w:sz w:val="32"/>
          <w:szCs w:val="32"/>
        </w:rPr>
      </w:pPr>
      <w:bookmarkStart w:id="8" w:name="_Toc199325152"/>
      <w:r>
        <w:rPr>
          <w:rFonts w:hint="eastAsia" w:ascii="宋体" w:hAnsi="宋体" w:eastAsia="宋体" w:cs="Times New Roman"/>
          <w:b/>
          <w:bCs/>
          <w:szCs w:val="21"/>
        </w:rPr>
        <w:t>（二）比赛参加人数及比赛天数</w:t>
      </w:r>
      <w:bookmarkEnd w:id="8"/>
    </w:p>
    <w:p w14:paraId="1C277BAD">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1、安徽省青少年乒乓球锦标赛裁判员、工作人员约40人，运动队约800人，比赛天数 10 天左右（含运动队报到天数）。</w:t>
      </w:r>
    </w:p>
    <w:p w14:paraId="4FADC417">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2、安徽省乒乓球传统项目学校比赛裁判员、工作人员约 35 人，运动队约300人，比赛天数 5 天左右（含运动队报到天数）。</w:t>
      </w:r>
    </w:p>
    <w:p w14:paraId="10A20506">
      <w:pPr>
        <w:keepNext/>
        <w:keepLines/>
        <w:adjustRightInd w:val="0"/>
        <w:snapToGrid w:val="0"/>
        <w:spacing w:line="360" w:lineRule="auto"/>
        <w:outlineLvl w:val="1"/>
        <w:rPr>
          <w:rFonts w:ascii="宋体" w:hAnsi="宋体" w:eastAsia="宋体" w:cs="Times New Roman"/>
          <w:b/>
          <w:bCs/>
          <w:sz w:val="32"/>
          <w:szCs w:val="32"/>
        </w:rPr>
      </w:pPr>
      <w:bookmarkStart w:id="9" w:name="_Toc199325153"/>
      <w:r>
        <w:rPr>
          <w:rFonts w:hint="eastAsia" w:ascii="宋体" w:hAnsi="宋体" w:eastAsia="宋体" w:cs="Times New Roman"/>
          <w:b/>
          <w:bCs/>
          <w:szCs w:val="21"/>
        </w:rPr>
        <w:t>（三）比赛举办时间</w:t>
      </w:r>
      <w:bookmarkEnd w:id="9"/>
    </w:p>
    <w:p w14:paraId="5A4E1955">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比赛举办时间以采购人指定为准。</w:t>
      </w:r>
    </w:p>
    <w:p w14:paraId="458F803F">
      <w:pPr>
        <w:keepNext/>
        <w:keepLines/>
        <w:adjustRightInd w:val="0"/>
        <w:snapToGrid w:val="0"/>
        <w:spacing w:line="360" w:lineRule="auto"/>
        <w:outlineLvl w:val="1"/>
        <w:rPr>
          <w:rFonts w:ascii="宋体" w:hAnsi="宋体" w:eastAsia="宋体" w:cs="Times New Roman"/>
          <w:b/>
          <w:bCs/>
          <w:color w:val="000000"/>
          <w:szCs w:val="21"/>
        </w:rPr>
      </w:pPr>
      <w:bookmarkStart w:id="10" w:name="_Toc199325154"/>
      <w:r>
        <w:rPr>
          <w:rFonts w:hint="eastAsia" w:ascii="宋体" w:hAnsi="宋体" w:eastAsia="宋体" w:cs="Times New Roman"/>
          <w:b/>
          <w:bCs/>
          <w:szCs w:val="21"/>
        </w:rPr>
        <w:t>（四）比赛器材设施条件要求</w:t>
      </w:r>
      <w:bookmarkEnd w:id="10"/>
    </w:p>
    <w:p w14:paraId="5D021946">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1.比赛场地、器材、设施、设备、物品等须满足该项比赛需求，合同签订时由采购单位提供所需以上竞赛工作需求保障清单（依据总局相关竞赛标准）。</w:t>
      </w:r>
    </w:p>
    <w:p w14:paraId="31A980D4">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投标人应具有满足对应项目比赛所需场馆（地）的使用权。如场馆（地）为租赁或有使用权的，合同签订后提供场馆（地）所有部门开具的使用权证明扫描件；如场馆（地）为自有场馆（地）的，合同签订后提供所有权证明材料扫描件。</w:t>
      </w:r>
    </w:p>
    <w:p w14:paraId="203C4EF5">
      <w:pPr>
        <w:widowControl/>
        <w:adjustRightInd w:val="0"/>
        <w:snapToGrid w:val="0"/>
        <w:spacing w:line="360" w:lineRule="auto"/>
        <w:ind w:firstLine="420" w:firstLineChars="200"/>
        <w:rPr>
          <w:rFonts w:ascii="宋体" w:hAnsi="宋体" w:eastAsia="宋体" w:cs="Times New Roman"/>
          <w:b/>
          <w:bCs/>
          <w:szCs w:val="21"/>
        </w:rPr>
      </w:pPr>
      <w:r>
        <w:rPr>
          <w:rFonts w:hint="eastAsia" w:ascii="宋体" w:hAnsi="宋体" w:eastAsia="宋体" w:cs="Times New Roman"/>
          <w:color w:val="000000"/>
          <w:szCs w:val="21"/>
        </w:rPr>
        <w:t>3.乒乓球比赛场地基本条件：需16张球台（比赛技术代表或裁判长提供标准）及配套的球网、翻分器、副裁桌、椅、毛巾盘等。场馆有</w:t>
      </w:r>
      <w:r>
        <w:rPr>
          <w:rFonts w:hint="eastAsia" w:ascii="宋体" w:hAnsi="宋体" w:eastAsia="宋体" w:cs="Times New Roman"/>
          <w:szCs w:val="21"/>
        </w:rPr>
        <w:t>看台，须与比赛区域隔离。暑天全程开放空调。照明系统能够满足比赛需求，光线均匀且不低于600LUX。</w:t>
      </w:r>
      <w:r>
        <w:rPr>
          <w:rFonts w:ascii="宋体" w:hAnsi="宋体" w:eastAsia="宋体" w:cs="Times New Roman"/>
          <w:b/>
          <w:bCs/>
          <w:szCs w:val="21"/>
        </w:rPr>
        <w:t>配备</w:t>
      </w:r>
      <w:r>
        <w:rPr>
          <w:rFonts w:hint="eastAsia" w:ascii="宋体" w:hAnsi="宋体" w:eastAsia="宋体" w:cs="Times New Roman"/>
          <w:b/>
          <w:bCs/>
          <w:szCs w:val="21"/>
        </w:rPr>
        <w:t>配置竞赛办公室（50人）</w:t>
      </w:r>
      <w:r>
        <w:rPr>
          <w:rFonts w:ascii="宋体" w:hAnsi="宋体" w:eastAsia="宋体" w:cs="Times New Roman"/>
          <w:b/>
          <w:bCs/>
          <w:szCs w:val="21"/>
        </w:rPr>
        <w:t>。</w:t>
      </w:r>
    </w:p>
    <w:p w14:paraId="05D5C1D0">
      <w:pPr>
        <w:widowControl/>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注：投标人为本项目投入的设备设施，所有权归属设备设施所有方，采购人仅行使使用权。</w:t>
      </w:r>
    </w:p>
    <w:p w14:paraId="612633E1">
      <w:pPr>
        <w:keepNext/>
        <w:keepLines/>
        <w:adjustRightInd w:val="0"/>
        <w:snapToGrid w:val="0"/>
        <w:spacing w:line="360" w:lineRule="auto"/>
        <w:outlineLvl w:val="1"/>
        <w:rPr>
          <w:rFonts w:ascii="宋体" w:hAnsi="宋体" w:eastAsia="宋体" w:cs="Times New Roman"/>
          <w:b/>
          <w:bCs/>
          <w:szCs w:val="21"/>
        </w:rPr>
      </w:pPr>
      <w:bookmarkStart w:id="11" w:name="_Toc199325155"/>
      <w:r>
        <w:rPr>
          <w:rFonts w:hint="eastAsia" w:ascii="宋体" w:hAnsi="宋体" w:eastAsia="宋体" w:cs="Times New Roman"/>
          <w:b/>
          <w:bCs/>
          <w:szCs w:val="21"/>
        </w:rPr>
        <w:t>（五）组织实施能力要求</w:t>
      </w:r>
      <w:bookmarkEnd w:id="11"/>
    </w:p>
    <w:p w14:paraId="3EBEB690">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1、赛事全程负责落实各项安全保障工作，确保比赛顺利进行。</w:t>
      </w:r>
    </w:p>
    <w:p w14:paraId="390191EF">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2、竞赛监督、竞赛组织（含资审）、仲裁、技术代表、裁判员的人员选调，优先选派各级学校在职人员。</w:t>
      </w:r>
      <w:r>
        <w:rPr>
          <w:rFonts w:ascii="宋体" w:hAnsi="宋体" w:eastAsia="宋体" w:cs="Times New Roman"/>
          <w:szCs w:val="21"/>
        </w:rPr>
        <w:t>其中，配备</w:t>
      </w:r>
      <w:r>
        <w:rPr>
          <w:rFonts w:hint="eastAsia" w:ascii="宋体" w:hAnsi="宋体" w:eastAsia="宋体" w:cs="Times New Roman"/>
          <w:szCs w:val="21"/>
        </w:rPr>
        <w:t>国家级</w:t>
      </w:r>
      <w:r>
        <w:rPr>
          <w:rFonts w:ascii="宋体" w:hAnsi="宋体" w:eastAsia="宋体" w:cs="Times New Roman"/>
          <w:szCs w:val="21"/>
        </w:rPr>
        <w:t>裁判员人数不得少于三人。</w:t>
      </w:r>
      <w:r>
        <w:rPr>
          <w:rFonts w:hint="eastAsia" w:ascii="宋体" w:hAnsi="宋体" w:eastAsia="宋体" w:cs="Times New Roman"/>
          <w:szCs w:val="21"/>
        </w:rPr>
        <w:t>名单须报采购单位和省体育局青少年体育处审核批复。</w:t>
      </w:r>
    </w:p>
    <w:p w14:paraId="7E1938BE">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3、提供服务保障比赛所需的专业工作人员。</w:t>
      </w:r>
    </w:p>
    <w:p w14:paraId="59B38A4E">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4、竞赛技术官员（竞赛监督、竞赛组织、仲裁、技术代表、裁判员等）差旅费用由中标供应商承担（往返程标准以高铁二等座价格核定，另：市内交通一次性补贴每人60元）。</w:t>
      </w:r>
    </w:p>
    <w:p w14:paraId="3ABCEB72">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5、竞赛技术官员（竞赛监督、竞赛组织、仲裁、技术代表、裁判员等）及工作人员酬金由中标供应商承担。一般裁判员和工作人员酬金每人每天不低于 260 元，竞赛监督、竞赛组织、仲裁、技术代表、正副裁判长、国家级及以上裁判员等每人每天不低于300元。</w:t>
      </w:r>
    </w:p>
    <w:p w14:paraId="03DCBA24">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6、须按照采购单位要求的时间内完成比赛任务。不可抗拒事项除外。</w:t>
      </w:r>
    </w:p>
    <w:p w14:paraId="610F7EBC">
      <w:pPr>
        <w:keepNext/>
        <w:keepLines/>
        <w:adjustRightInd w:val="0"/>
        <w:snapToGrid w:val="0"/>
        <w:spacing w:line="360" w:lineRule="auto"/>
        <w:outlineLvl w:val="1"/>
        <w:rPr>
          <w:rFonts w:ascii="宋体" w:hAnsi="宋体" w:eastAsia="宋体" w:cs="Times New Roman"/>
          <w:b/>
          <w:bCs/>
          <w:color w:val="000000"/>
          <w:szCs w:val="21"/>
        </w:rPr>
      </w:pPr>
      <w:bookmarkStart w:id="12" w:name="_Toc199325156"/>
      <w:r>
        <w:rPr>
          <w:rFonts w:hint="eastAsia" w:ascii="宋体" w:hAnsi="宋体" w:eastAsia="宋体" w:cs="Times New Roman"/>
          <w:b/>
          <w:bCs/>
          <w:color w:val="000000"/>
          <w:szCs w:val="21"/>
        </w:rPr>
        <w:t>（六）医疗及应急能力</w:t>
      </w:r>
      <w:bookmarkEnd w:id="12"/>
    </w:p>
    <w:p w14:paraId="00137FF3">
      <w:pPr>
        <w:widowControl/>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1、与距离比赛场馆较近的且诊疗技术和设备优良的医院建立绿色救护通道。</w:t>
      </w:r>
    </w:p>
    <w:p w14:paraId="165F5A4D">
      <w:pPr>
        <w:widowControl/>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2、比赛和训练期间，赛场外应安排救护车 1 辆。（比赛场馆需两个或以上的，间距超一公里及以上的需要分别须配置救护车）。场地内应配备1名医生、1名护士，配备除颤仪等相关急救药品设备（遇多个比赛和训练场馆应分别配备）。</w:t>
      </w:r>
    </w:p>
    <w:p w14:paraId="2DB160AD">
      <w:pPr>
        <w:widowControl/>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3、根据赛事举办要求编制医疗保障工作实施方案。比赛期间须按照实施方案，做好相关工作。</w:t>
      </w:r>
    </w:p>
    <w:p w14:paraId="50B36CE1">
      <w:pPr>
        <w:widowControl/>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4、比赛场馆须配置安保、保洁、志愿者等工作人员（按照组委会工作要求落实）。</w:t>
      </w:r>
    </w:p>
    <w:p w14:paraId="5AD2E3ED">
      <w:pPr>
        <w:keepNext/>
        <w:keepLines/>
        <w:adjustRightInd w:val="0"/>
        <w:snapToGrid w:val="0"/>
        <w:spacing w:line="360" w:lineRule="auto"/>
        <w:outlineLvl w:val="1"/>
        <w:rPr>
          <w:rFonts w:ascii="宋体" w:hAnsi="宋体" w:eastAsia="宋体" w:cs="Times New Roman"/>
          <w:b/>
          <w:bCs/>
          <w:color w:val="000000"/>
          <w:szCs w:val="21"/>
        </w:rPr>
      </w:pPr>
      <w:bookmarkStart w:id="13" w:name="_Toc199325157"/>
      <w:r>
        <w:rPr>
          <w:rFonts w:hint="eastAsia" w:ascii="宋体" w:hAnsi="宋体" w:eastAsia="宋体" w:cs="Times New Roman"/>
          <w:b/>
          <w:bCs/>
          <w:color w:val="000000"/>
          <w:szCs w:val="21"/>
        </w:rPr>
        <w:t>（七）食宿标准及条件</w:t>
      </w:r>
      <w:bookmarkEnd w:id="13"/>
    </w:p>
    <w:p w14:paraId="2B666785">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1、比赛接待宾馆应与比赛场馆较近，应当干净、卫生、安全，有空调（硬件标准不低于三星级）；就餐条件应达到卫生 B 类。</w:t>
      </w:r>
    </w:p>
    <w:p w14:paraId="4BD177F6">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2、竞赛技术官员（竞赛监督、竞赛组织、仲裁、技术代表、裁判长）等应安排单间；裁判员、竞赛及工作人员应安排标准间；运动队领队、教练员及其他工作人员应安排标准间；运动员不得超过 2 人/标准间。</w:t>
      </w:r>
    </w:p>
    <w:p w14:paraId="1161BBE4">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3、参赛队伙食标准不得低于 100 元/每人每天，竞赛技术人员伙食标准不得低于 160 元/每人每天。中餐、晚餐菜品不得少于 8 个，三主荤（牛肉、羊肉、猪肉、鱼虾等。要求：少骨少刺）、两半荤、三素、水果、饮料等为基本保障合理调配，需提前一周提供具体餐单（三日轮换），每餐留取带时间地点水印照片。</w:t>
      </w:r>
    </w:p>
    <w:p w14:paraId="2DCB9C87">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4、接受参赛队的监督和采购单位整改建议。</w:t>
      </w:r>
    </w:p>
    <w:p w14:paraId="5D3742C6">
      <w:pPr>
        <w:keepNext/>
        <w:keepLines/>
        <w:adjustRightInd w:val="0"/>
        <w:snapToGrid w:val="0"/>
        <w:spacing w:line="360" w:lineRule="auto"/>
        <w:outlineLvl w:val="1"/>
        <w:rPr>
          <w:rFonts w:ascii="宋体" w:hAnsi="宋体" w:eastAsia="宋体" w:cs="Times New Roman"/>
          <w:b/>
          <w:bCs/>
          <w:color w:val="000000"/>
          <w:szCs w:val="21"/>
        </w:rPr>
      </w:pPr>
      <w:bookmarkStart w:id="14" w:name="_Toc199325158"/>
      <w:r>
        <w:rPr>
          <w:rFonts w:hint="eastAsia" w:ascii="宋体" w:hAnsi="宋体" w:eastAsia="宋体" w:cs="Times New Roman"/>
          <w:b/>
          <w:bCs/>
          <w:color w:val="000000"/>
          <w:szCs w:val="21"/>
        </w:rPr>
        <w:t>（八）经费预算总额</w:t>
      </w:r>
      <w:bookmarkEnd w:id="14"/>
    </w:p>
    <w:p w14:paraId="6A126330">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1、本包别财政预算为63.072万元，用于比赛裁判员、工作人员食宿支出、劳务费用，比赛场地、竞赛器材等费用。</w:t>
      </w:r>
    </w:p>
    <w:p w14:paraId="1B6CBF6A">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2、参赛人员食宿费用自理。中标单位收取的参赛食宿费用必须全额用于参赛人员的保障。</w:t>
      </w:r>
    </w:p>
    <w:p w14:paraId="6F7F17F3">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3、赛事承办方可根据赛区用车情况，收取赛区交通费，最高不得超过 50 元/人。</w:t>
      </w:r>
    </w:p>
    <w:p w14:paraId="2C8E2CBD">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4、本包别报总价，报价包含并不限于所投服务、仪器设备、人员、餐饮、住宿、保险、税费等为完成本包别所需一切费用，</w:t>
      </w:r>
      <w:r>
        <w:rPr>
          <w:rFonts w:hint="eastAsia" w:ascii="宋体" w:hAnsi="宋体" w:eastAsia="宋体" w:cs="Times New Roman"/>
          <w:b/>
          <w:color w:val="000000"/>
          <w:szCs w:val="21"/>
        </w:rPr>
        <w:t>采购人后期不再另行追加任何费用</w:t>
      </w:r>
      <w:r>
        <w:rPr>
          <w:rFonts w:hint="eastAsia" w:ascii="宋体" w:hAnsi="宋体" w:eastAsia="宋体" w:cs="Times New Roman"/>
          <w:color w:val="000000"/>
          <w:szCs w:val="21"/>
        </w:rPr>
        <w:t>。</w:t>
      </w:r>
    </w:p>
    <w:p w14:paraId="6C60E1EE">
      <w:pPr>
        <w:keepNext/>
        <w:keepLines/>
        <w:adjustRightInd w:val="0"/>
        <w:snapToGrid w:val="0"/>
        <w:spacing w:line="360" w:lineRule="auto"/>
        <w:outlineLvl w:val="1"/>
        <w:rPr>
          <w:rFonts w:ascii="宋体" w:hAnsi="宋体" w:eastAsia="宋体" w:cs="Times New Roman"/>
          <w:b/>
          <w:bCs/>
          <w:color w:val="000000"/>
          <w:szCs w:val="21"/>
        </w:rPr>
      </w:pPr>
      <w:bookmarkStart w:id="15" w:name="_Toc199325159"/>
      <w:r>
        <w:rPr>
          <w:rFonts w:hint="eastAsia" w:ascii="宋体" w:hAnsi="宋体" w:eastAsia="宋体" w:cs="Times New Roman"/>
          <w:b/>
          <w:bCs/>
          <w:color w:val="000000"/>
          <w:szCs w:val="21"/>
        </w:rPr>
        <w:t>（九）无形资产开发</w:t>
      </w:r>
      <w:bookmarkEnd w:id="15"/>
    </w:p>
    <w:p w14:paraId="07959639">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各项比赛无形资产开发权属于采购单位，中标供应商或承办单位进行无形资产开发应提前与采购单位协商。</w:t>
      </w:r>
    </w:p>
    <w:p w14:paraId="1B0989EF">
      <w:pPr>
        <w:keepNext/>
        <w:keepLines/>
        <w:adjustRightInd w:val="0"/>
        <w:snapToGrid w:val="0"/>
        <w:spacing w:line="360" w:lineRule="auto"/>
        <w:outlineLvl w:val="1"/>
        <w:rPr>
          <w:rFonts w:ascii="宋体" w:hAnsi="宋体" w:eastAsia="宋体" w:cs="Times New Roman"/>
          <w:b/>
          <w:bCs/>
          <w:color w:val="000000"/>
          <w:szCs w:val="21"/>
        </w:rPr>
      </w:pPr>
      <w:bookmarkStart w:id="16" w:name="_Toc199325160"/>
      <w:r>
        <w:rPr>
          <w:rFonts w:hint="eastAsia" w:ascii="宋体" w:hAnsi="宋体" w:eastAsia="宋体" w:cs="Times New Roman"/>
          <w:b/>
          <w:bCs/>
          <w:color w:val="000000"/>
          <w:szCs w:val="21"/>
        </w:rPr>
        <w:t>（十）其他</w:t>
      </w:r>
      <w:bookmarkEnd w:id="16"/>
    </w:p>
    <w:p w14:paraId="03912031">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1、中标供应商应为参赛单位提供比赛秩序册、成绩册各2份。</w:t>
      </w:r>
    </w:p>
    <w:p w14:paraId="156DE867">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2、比赛结束后15天内，中标供应商须将比赛工作总结2份、秩序册、成绩册（纸质 7 份和 pdf 文件）送交采购单位和省体育局青少年体育处。</w:t>
      </w:r>
    </w:p>
    <w:p w14:paraId="0B53014A">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3、比赛结束后15天内，中标供应商须将比赛秩序册、成绩册各2份寄各市体育行政部门和参赛学校。</w:t>
      </w:r>
    </w:p>
    <w:p w14:paraId="286ABF74">
      <w:pPr>
        <w:widowControl/>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4、</w:t>
      </w:r>
      <w:r>
        <w:rPr>
          <w:rFonts w:hint="eastAsia" w:ascii="宋体" w:hAnsi="宋体" w:eastAsia="宋体" w:cs="Times New Roman"/>
          <w:color w:val="000000"/>
          <w:szCs w:val="21"/>
        </w:rPr>
        <w:t>中标</w:t>
      </w:r>
      <w:r>
        <w:rPr>
          <w:rFonts w:ascii="宋体" w:hAnsi="宋体" w:eastAsia="宋体" w:cs="Times New Roman"/>
          <w:color w:val="000000"/>
          <w:szCs w:val="21"/>
        </w:rPr>
        <w:t>供应商须向采购人提交承办地考察报告，包含场地设施、医疗、安保、交通、食宿条件安排等内容，须报采购单位和省体育局青少年体育处审核批复后，方可实施比赛组织工作。</w:t>
      </w:r>
    </w:p>
    <w:p w14:paraId="5BD9CDC3">
      <w:pPr>
        <w:widowControl/>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5、负责赛事宣传报道工作（省或市媒介各一个以上）</w:t>
      </w:r>
      <w:r>
        <w:rPr>
          <w:rFonts w:hint="eastAsia" w:ascii="宋体" w:hAnsi="宋体" w:eastAsia="宋体" w:cs="Times New Roman"/>
          <w:color w:val="000000"/>
          <w:szCs w:val="21"/>
        </w:rPr>
        <w:t>。</w:t>
      </w:r>
    </w:p>
    <w:p w14:paraId="12C3F222">
      <w:pPr>
        <w:rPr>
          <w:rFonts w:ascii="Times New Roman" w:hAnsi="Times New Roman" w:eastAsia="宋体" w:cs="Times New Roman"/>
          <w:szCs w:val="21"/>
        </w:rPr>
      </w:pPr>
    </w:p>
    <w:p w14:paraId="01B5EACB">
      <w:pPr>
        <w:widowControl/>
        <w:jc w:val="left"/>
        <w:rPr>
          <w:rFonts w:ascii="宋体" w:hAnsi="宋体" w:eastAsia="宋体" w:cs="宋体"/>
          <w:b/>
          <w:sz w:val="28"/>
          <w:szCs w:val="20"/>
        </w:rPr>
      </w:pPr>
      <w:r>
        <w:rPr>
          <w:rFonts w:hint="eastAsia" w:ascii="宋体" w:hAnsi="宋体" w:eastAsia="宋体" w:cs="宋体"/>
          <w:b/>
          <w:sz w:val="28"/>
          <w:szCs w:val="20"/>
        </w:rPr>
        <w:br w:type="page"/>
      </w:r>
    </w:p>
    <w:p w14:paraId="660453CE">
      <w:pPr>
        <w:keepNext/>
        <w:widowControl/>
        <w:snapToGrid w:val="0"/>
        <w:spacing w:line="360" w:lineRule="auto"/>
        <w:jc w:val="center"/>
        <w:outlineLvl w:val="0"/>
        <w:rPr>
          <w:rFonts w:ascii="宋体" w:hAnsi="宋体" w:eastAsia="宋体" w:cs="Times New Roman"/>
          <w:b/>
          <w:bCs/>
          <w:sz w:val="24"/>
          <w:szCs w:val="24"/>
        </w:rPr>
      </w:pPr>
      <w:bookmarkStart w:id="17" w:name="_Toc199325161"/>
      <w:r>
        <w:rPr>
          <w:rFonts w:hint="eastAsia" w:ascii="宋体" w:hAnsi="宋体" w:eastAsia="宋体" w:cs="Times New Roman"/>
          <w:b/>
          <w:bCs/>
          <w:sz w:val="24"/>
          <w:szCs w:val="24"/>
        </w:rPr>
        <w:t>第6包 网球赛事</w:t>
      </w:r>
      <w:bookmarkEnd w:id="17"/>
    </w:p>
    <w:p w14:paraId="42D09AD6">
      <w:pPr>
        <w:keepNext/>
        <w:keepLines/>
        <w:adjustRightInd w:val="0"/>
        <w:snapToGrid w:val="0"/>
        <w:spacing w:line="360" w:lineRule="auto"/>
        <w:outlineLvl w:val="1"/>
        <w:rPr>
          <w:rFonts w:ascii="宋体" w:hAnsi="宋体" w:eastAsia="宋体" w:cs="Times New Roman"/>
          <w:b/>
          <w:bCs/>
          <w:szCs w:val="21"/>
        </w:rPr>
      </w:pPr>
      <w:bookmarkStart w:id="18" w:name="_Toc199325162"/>
      <w:r>
        <w:rPr>
          <w:rFonts w:hint="eastAsia" w:ascii="宋体" w:hAnsi="宋体" w:eastAsia="宋体" w:cs="Times New Roman"/>
          <w:b/>
          <w:bCs/>
          <w:szCs w:val="21"/>
        </w:rPr>
        <w:t>（一）项目内容</w:t>
      </w:r>
      <w:bookmarkEnd w:id="18"/>
    </w:p>
    <w:p w14:paraId="51A4D77A">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承办 2025 年安徽省青少年网球锦标赛；</w:t>
      </w:r>
    </w:p>
    <w:p w14:paraId="2E3F16BB">
      <w:pPr>
        <w:keepNext/>
        <w:keepLines/>
        <w:adjustRightInd w:val="0"/>
        <w:snapToGrid w:val="0"/>
        <w:spacing w:line="360" w:lineRule="auto"/>
        <w:outlineLvl w:val="1"/>
        <w:rPr>
          <w:rFonts w:ascii="宋体" w:hAnsi="宋体" w:eastAsia="宋体" w:cs="Times New Roman"/>
          <w:b/>
          <w:bCs/>
          <w:sz w:val="32"/>
          <w:szCs w:val="32"/>
        </w:rPr>
      </w:pPr>
      <w:bookmarkStart w:id="19" w:name="_Toc199325163"/>
      <w:r>
        <w:rPr>
          <w:rFonts w:hint="eastAsia" w:ascii="宋体" w:hAnsi="宋体" w:eastAsia="宋体" w:cs="Times New Roman"/>
          <w:b/>
          <w:bCs/>
          <w:szCs w:val="21"/>
        </w:rPr>
        <w:t>（二）比赛参加人数及比赛天数</w:t>
      </w:r>
      <w:bookmarkEnd w:id="19"/>
    </w:p>
    <w:p w14:paraId="427444B4">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裁判员、工作人员约 50 人，参赛运动员约 600 人，比赛天数为 </w:t>
      </w:r>
      <w:r>
        <w:rPr>
          <w:rFonts w:hint="eastAsia" w:ascii="宋体" w:hAnsi="宋体" w:eastAsia="宋体" w:cs="Times New Roman"/>
          <w:color w:val="0000FF"/>
          <w:szCs w:val="21"/>
        </w:rPr>
        <w:t>7</w:t>
      </w:r>
      <w:r>
        <w:rPr>
          <w:rFonts w:hint="eastAsia" w:ascii="宋体" w:hAnsi="宋体" w:eastAsia="宋体" w:cs="Times New Roman"/>
          <w:szCs w:val="21"/>
        </w:rPr>
        <w:t xml:space="preserve"> 天左右（含运动员报到天数）。</w:t>
      </w:r>
    </w:p>
    <w:p w14:paraId="579CFDE1">
      <w:pPr>
        <w:keepNext/>
        <w:keepLines/>
        <w:adjustRightInd w:val="0"/>
        <w:snapToGrid w:val="0"/>
        <w:spacing w:line="360" w:lineRule="auto"/>
        <w:outlineLvl w:val="1"/>
        <w:rPr>
          <w:rFonts w:ascii="宋体" w:hAnsi="宋体" w:eastAsia="宋体" w:cs="Times New Roman"/>
          <w:b/>
          <w:bCs/>
          <w:sz w:val="32"/>
          <w:szCs w:val="32"/>
        </w:rPr>
      </w:pPr>
      <w:bookmarkStart w:id="20" w:name="_Toc199325164"/>
      <w:r>
        <w:rPr>
          <w:rFonts w:hint="eastAsia" w:ascii="宋体" w:hAnsi="宋体" w:eastAsia="宋体" w:cs="Times New Roman"/>
          <w:b/>
          <w:bCs/>
          <w:szCs w:val="21"/>
        </w:rPr>
        <w:t>（三）比赛举办时间</w:t>
      </w:r>
      <w:bookmarkEnd w:id="20"/>
    </w:p>
    <w:p w14:paraId="5BBF0313">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比赛举办时间以采购人指定为准。</w:t>
      </w:r>
    </w:p>
    <w:p w14:paraId="743A2353">
      <w:pPr>
        <w:keepNext/>
        <w:keepLines/>
        <w:adjustRightInd w:val="0"/>
        <w:snapToGrid w:val="0"/>
        <w:spacing w:line="360" w:lineRule="auto"/>
        <w:outlineLvl w:val="1"/>
        <w:rPr>
          <w:rFonts w:ascii="宋体" w:hAnsi="宋体" w:eastAsia="宋体" w:cs="Times New Roman"/>
          <w:b/>
          <w:bCs/>
          <w:color w:val="000000"/>
          <w:szCs w:val="21"/>
        </w:rPr>
      </w:pPr>
      <w:bookmarkStart w:id="21" w:name="_Toc199325165"/>
      <w:r>
        <w:rPr>
          <w:rFonts w:hint="eastAsia" w:ascii="宋体" w:hAnsi="宋体" w:eastAsia="宋体" w:cs="Times New Roman"/>
          <w:b/>
          <w:bCs/>
          <w:szCs w:val="21"/>
        </w:rPr>
        <w:t>（四）比赛器</w:t>
      </w:r>
      <w:r>
        <w:rPr>
          <w:rFonts w:hint="eastAsia" w:ascii="宋体" w:hAnsi="宋体" w:eastAsia="宋体" w:cs="Times New Roman"/>
          <w:b/>
          <w:bCs/>
          <w:color w:val="000000"/>
          <w:szCs w:val="21"/>
        </w:rPr>
        <w:t>材设施条件要求</w:t>
      </w:r>
      <w:bookmarkEnd w:id="21"/>
    </w:p>
    <w:p w14:paraId="3540852F">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1.比赛场地、器材、设施、设备、物品等须满足该项比赛需求，合同签订时由采购单位提供所需以上竞赛工作需求保障清单（依据总局相关竞赛标准）。</w:t>
      </w:r>
    </w:p>
    <w:p w14:paraId="4190B4F8">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投标人应具有满足对应项目比赛所需场馆（地）的使用权。如场馆（地）为租赁或有使用权的，合同签订后提供场馆（地）所有部门开具的使用权证明扫描件；如场馆（地）为自有场馆（地）的，合同签订后提供所有权证明材料扫描件。</w:t>
      </w:r>
    </w:p>
    <w:p w14:paraId="1D501B71">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color w:val="000000"/>
          <w:szCs w:val="21"/>
        </w:rPr>
        <w:t>3.网球比赛场地基本条件：须场地十块（其中含室内场地四块，热身场地二块，比赛网架等），</w:t>
      </w:r>
      <w:r>
        <w:rPr>
          <w:rFonts w:hint="eastAsia" w:ascii="宋体" w:hAnsi="宋体" w:eastAsia="宋体" w:cs="Times New Roman"/>
          <w:szCs w:val="21"/>
        </w:rPr>
        <w:t>照明系统能够满足晚间比赛需求，观赛区与比赛场地须硬隔离。需提供附属用房（包括但不限于竞赛办公室、运动员休息室等，有空调）。</w:t>
      </w:r>
    </w:p>
    <w:p w14:paraId="6673F213">
      <w:pPr>
        <w:widowControl/>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4.比赛现场提供穿线等服务。</w:t>
      </w:r>
    </w:p>
    <w:p w14:paraId="54BCCAE0">
      <w:pPr>
        <w:widowControl/>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注：投标人为本项目投入的设备设施，所有权归属设备设施所有方，采购人仅行使使用权。</w:t>
      </w:r>
    </w:p>
    <w:p w14:paraId="1690D739">
      <w:pPr>
        <w:keepNext/>
        <w:keepLines/>
        <w:adjustRightInd w:val="0"/>
        <w:snapToGrid w:val="0"/>
        <w:spacing w:line="360" w:lineRule="auto"/>
        <w:outlineLvl w:val="1"/>
        <w:rPr>
          <w:rFonts w:ascii="宋体" w:hAnsi="宋体" w:eastAsia="宋体" w:cs="Times New Roman"/>
          <w:b/>
          <w:bCs/>
          <w:szCs w:val="21"/>
        </w:rPr>
      </w:pPr>
      <w:bookmarkStart w:id="22" w:name="_Toc199325166"/>
      <w:r>
        <w:rPr>
          <w:rFonts w:hint="eastAsia" w:ascii="宋体" w:hAnsi="宋体" w:eastAsia="宋体" w:cs="Times New Roman"/>
          <w:b/>
          <w:bCs/>
          <w:szCs w:val="21"/>
        </w:rPr>
        <w:t>（五）组织实施能力要求</w:t>
      </w:r>
      <w:bookmarkEnd w:id="22"/>
    </w:p>
    <w:p w14:paraId="76D28D9E">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1、赛事全程负责落实各项安全保障工作，确保比赛顺利进行。</w:t>
      </w:r>
    </w:p>
    <w:p w14:paraId="002B0FA0">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2、竞赛监督、竞赛组织（含资审）、仲裁、技术代表、裁判员的人员选调，优先选派各级</w:t>
      </w:r>
      <w:bookmarkStart w:id="23" w:name="OLE_LINK6"/>
      <w:r>
        <w:rPr>
          <w:rFonts w:hint="eastAsia" w:ascii="宋体" w:hAnsi="宋体" w:eastAsia="宋体" w:cs="Times New Roman"/>
          <w:szCs w:val="21"/>
        </w:rPr>
        <w:t>学校在职人员</w:t>
      </w:r>
      <w:bookmarkEnd w:id="23"/>
      <w:r>
        <w:rPr>
          <w:rFonts w:hint="eastAsia" w:ascii="宋体" w:hAnsi="宋体" w:eastAsia="宋体" w:cs="Times New Roman"/>
          <w:szCs w:val="21"/>
        </w:rPr>
        <w:t>。</w:t>
      </w:r>
      <w:r>
        <w:rPr>
          <w:rFonts w:ascii="宋体" w:hAnsi="宋体" w:eastAsia="宋体" w:cs="Times New Roman"/>
          <w:szCs w:val="21"/>
        </w:rPr>
        <w:t>其中，配备</w:t>
      </w:r>
      <w:r>
        <w:rPr>
          <w:rFonts w:hint="eastAsia" w:ascii="宋体" w:hAnsi="宋体" w:eastAsia="宋体" w:cs="Times New Roman"/>
          <w:szCs w:val="21"/>
        </w:rPr>
        <w:t>国家级</w:t>
      </w:r>
      <w:r>
        <w:rPr>
          <w:rFonts w:ascii="宋体" w:hAnsi="宋体" w:eastAsia="宋体" w:cs="Times New Roman"/>
          <w:szCs w:val="21"/>
        </w:rPr>
        <w:t>裁判员人数不得少于三人。</w:t>
      </w:r>
      <w:r>
        <w:rPr>
          <w:rFonts w:hint="eastAsia" w:ascii="宋体" w:hAnsi="宋体" w:eastAsia="宋体" w:cs="Times New Roman"/>
          <w:szCs w:val="21"/>
        </w:rPr>
        <w:t>名单须报采购单位和省体育局青少年体育处审核批复。</w:t>
      </w:r>
    </w:p>
    <w:p w14:paraId="4D5A1E04">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3、提供服务保障比赛所需的专业工作人员。</w:t>
      </w:r>
    </w:p>
    <w:p w14:paraId="316AB7CE">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szCs w:val="21"/>
        </w:rPr>
        <w:t>4、竞赛技术官员（竞赛监督、竞赛组织、仲裁、技术代表、裁判员等）差旅费用由中标供应商承担（往返程标准以高铁二等</w:t>
      </w:r>
      <w:r>
        <w:rPr>
          <w:rFonts w:hint="eastAsia" w:ascii="宋体" w:hAnsi="宋体" w:eastAsia="宋体" w:cs="Times New Roman"/>
          <w:color w:val="000000"/>
          <w:szCs w:val="21"/>
        </w:rPr>
        <w:t>座价格核定，另：市内交通一次性补贴每人60元）。</w:t>
      </w:r>
    </w:p>
    <w:p w14:paraId="03C7BCCD">
      <w:pPr>
        <w:widowControl/>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5、竞赛技术官员（竞赛监督、竞赛组织、仲裁、技术代表、裁判员等）及工作人员酬金由中标供应商承担。一般裁判员和工作人员酬金每人每天不低于 260 元，竞赛监督、竞赛组织、仲裁、技术代表、正副裁判长、国家级及以上裁判员等每人每天不低于300元。</w:t>
      </w:r>
    </w:p>
    <w:p w14:paraId="4C2E8B57">
      <w:pPr>
        <w:widowControl/>
        <w:tabs>
          <w:tab w:val="left" w:pos="7295"/>
        </w:tabs>
        <w:adjustRightInd w:val="0"/>
        <w:snapToGrid w:val="0"/>
        <w:spacing w:line="360" w:lineRule="auto"/>
        <w:ind w:firstLine="420" w:firstLineChars="200"/>
        <w:rPr>
          <w:rFonts w:ascii="宋体" w:hAnsi="宋体" w:eastAsia="宋体" w:cs="Times New Roman"/>
          <w:b/>
          <w:bCs/>
          <w:szCs w:val="21"/>
        </w:rPr>
      </w:pPr>
      <w:r>
        <w:rPr>
          <w:rFonts w:hint="eastAsia" w:ascii="宋体" w:hAnsi="宋体" w:eastAsia="宋体" w:cs="Times New Roman"/>
          <w:color w:val="000000"/>
          <w:szCs w:val="21"/>
        </w:rPr>
        <w:t>6、须按照采购单位要求的时间内完成比赛任务。不可抗拒事项除外。</w:t>
      </w:r>
      <w:r>
        <w:rPr>
          <w:rFonts w:ascii="宋体" w:hAnsi="宋体" w:eastAsia="宋体" w:cs="Times New Roman"/>
          <w:color w:val="000000"/>
          <w:szCs w:val="21"/>
        </w:rPr>
        <w:tab/>
      </w:r>
    </w:p>
    <w:p w14:paraId="17012CFB">
      <w:pPr>
        <w:widowControl/>
        <w:tabs>
          <w:tab w:val="left" w:pos="7295"/>
        </w:tabs>
        <w:adjustRightInd w:val="0"/>
        <w:snapToGrid w:val="0"/>
        <w:spacing w:line="360" w:lineRule="auto"/>
        <w:ind w:firstLine="422" w:firstLineChars="200"/>
        <w:rPr>
          <w:rFonts w:ascii="宋体" w:hAnsi="宋体" w:eastAsia="宋体" w:cs="Times New Roman"/>
          <w:szCs w:val="21"/>
        </w:rPr>
      </w:pPr>
      <w:r>
        <w:rPr>
          <w:rFonts w:hint="eastAsia" w:ascii="宋体" w:hAnsi="宋体" w:eastAsia="宋体" w:cs="Times New Roman"/>
          <w:b/>
          <w:bCs/>
          <w:szCs w:val="21"/>
        </w:rPr>
        <w:t>（六）医疗及应急能力</w:t>
      </w:r>
    </w:p>
    <w:p w14:paraId="3779F65D">
      <w:pPr>
        <w:widowControl/>
        <w:tabs>
          <w:tab w:val="left" w:pos="7295"/>
        </w:tabs>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1、与距离比赛场馆较近的且诊疗技术和设备优良的医院建立绿色救护通道。</w:t>
      </w:r>
    </w:p>
    <w:p w14:paraId="62770825">
      <w:pPr>
        <w:widowControl/>
        <w:tabs>
          <w:tab w:val="left" w:pos="7295"/>
        </w:tabs>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2、比赛和训练期间，赛场外应安排救护车 1 辆。（比赛场馆需两个或以上的，间距超一公里及以上的需要分别须配置救护车）。场地内应配备1名医生、1名护士，配备除颤仪等相关急救药品设备（遇多个比赛和训练场馆应分别配备）。</w:t>
      </w:r>
    </w:p>
    <w:p w14:paraId="3436A59D">
      <w:pPr>
        <w:keepNext/>
        <w:keepLines/>
        <w:adjustRightInd w:val="0"/>
        <w:snapToGrid w:val="0"/>
        <w:spacing w:line="360" w:lineRule="auto"/>
        <w:ind w:firstLine="420" w:firstLineChars="200"/>
        <w:outlineLvl w:val="1"/>
        <w:rPr>
          <w:rFonts w:ascii="宋体" w:hAnsi="宋体" w:eastAsia="宋体" w:cs="Times New Roman"/>
          <w:szCs w:val="21"/>
        </w:rPr>
      </w:pPr>
      <w:bookmarkStart w:id="24" w:name="_Toc199325167"/>
      <w:r>
        <w:rPr>
          <w:rFonts w:ascii="宋体" w:hAnsi="宋体" w:eastAsia="宋体" w:cs="Times New Roman"/>
          <w:szCs w:val="21"/>
        </w:rPr>
        <w:t>3、根据赛事举办要求编制医疗保障工作实施方案。比赛期间须按照实施方案，做好相关工作。</w:t>
      </w:r>
      <w:bookmarkEnd w:id="24"/>
    </w:p>
    <w:p w14:paraId="46C6859E">
      <w:pPr>
        <w:keepNext/>
        <w:keepLines/>
        <w:adjustRightInd w:val="0"/>
        <w:snapToGrid w:val="0"/>
        <w:spacing w:line="360" w:lineRule="auto"/>
        <w:ind w:firstLine="420" w:firstLineChars="200"/>
        <w:outlineLvl w:val="1"/>
        <w:rPr>
          <w:rFonts w:ascii="宋体" w:hAnsi="宋体" w:eastAsia="宋体" w:cs="Times New Roman"/>
          <w:b/>
          <w:bCs/>
          <w:szCs w:val="21"/>
        </w:rPr>
      </w:pPr>
      <w:bookmarkStart w:id="25" w:name="_Toc199325168"/>
      <w:r>
        <w:rPr>
          <w:rFonts w:ascii="宋体" w:hAnsi="宋体" w:eastAsia="宋体" w:cs="Times New Roman"/>
          <w:szCs w:val="21"/>
        </w:rPr>
        <w:t>4、比赛场馆须配置安保、保洁、志愿者等工作人员（按照组委会工作要求落实）。</w:t>
      </w:r>
      <w:bookmarkEnd w:id="25"/>
    </w:p>
    <w:p w14:paraId="5F89A3C1">
      <w:pPr>
        <w:keepNext/>
        <w:keepLines/>
        <w:adjustRightInd w:val="0"/>
        <w:snapToGrid w:val="0"/>
        <w:spacing w:line="360" w:lineRule="auto"/>
        <w:outlineLvl w:val="1"/>
        <w:rPr>
          <w:rFonts w:ascii="宋体" w:hAnsi="宋体" w:eastAsia="宋体" w:cs="Times New Roman"/>
          <w:b/>
          <w:bCs/>
          <w:szCs w:val="21"/>
        </w:rPr>
      </w:pPr>
      <w:bookmarkStart w:id="26" w:name="_Toc199325169"/>
      <w:r>
        <w:rPr>
          <w:rFonts w:hint="eastAsia" w:ascii="宋体" w:hAnsi="宋体" w:eastAsia="宋体" w:cs="Times New Roman"/>
          <w:b/>
          <w:bCs/>
          <w:szCs w:val="21"/>
        </w:rPr>
        <w:t>（七）食宿标准及条件</w:t>
      </w:r>
      <w:bookmarkEnd w:id="26"/>
    </w:p>
    <w:p w14:paraId="7B2EC4C0">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1、比赛接待宾馆应与比赛场馆较近，应当干净、卫生、安全，有空调（硬件标准不低于三星级）；就餐条件应达到卫生 B 类。</w:t>
      </w:r>
    </w:p>
    <w:p w14:paraId="4041E5CF">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2、竞赛技术官员（竞赛监督、竞赛组织、仲裁、技术代表、裁判长）等应安排单间；裁判员、竞赛及工作人员应安排标准间；运动队领队、教练员及其他工作人员应安排标准间；运动员不得超过 2 人/标准间。</w:t>
      </w:r>
    </w:p>
    <w:p w14:paraId="202EB028">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3、参赛队伙食标准不得低于 100 元/每人每天，竞赛技术人员伙食标准不得低于 160 元/每人每天。中餐、晚餐菜品不得少于 8 个，三主荤（牛肉、羊肉、猪肉、鱼虾等。要求：少骨少刺）、两半荤、三素、水果、饮料等为基本保障合理调配，需提前一周提供具体餐单（三日轮换），每餐留取带时间地点水印照片。</w:t>
      </w:r>
    </w:p>
    <w:p w14:paraId="3F5A9E1D">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4、接受参赛队的监督和采购单位整改建议。</w:t>
      </w:r>
    </w:p>
    <w:p w14:paraId="57404D6D">
      <w:pPr>
        <w:keepNext/>
        <w:keepLines/>
        <w:adjustRightInd w:val="0"/>
        <w:snapToGrid w:val="0"/>
        <w:spacing w:line="360" w:lineRule="auto"/>
        <w:outlineLvl w:val="1"/>
        <w:rPr>
          <w:rFonts w:ascii="宋体" w:hAnsi="宋体" w:eastAsia="宋体" w:cs="Times New Roman"/>
          <w:b/>
          <w:bCs/>
          <w:szCs w:val="21"/>
        </w:rPr>
      </w:pPr>
      <w:bookmarkStart w:id="27" w:name="_Toc199325170"/>
      <w:r>
        <w:rPr>
          <w:rFonts w:hint="eastAsia" w:ascii="宋体" w:hAnsi="宋体" w:eastAsia="宋体" w:cs="Times New Roman"/>
          <w:b/>
          <w:bCs/>
          <w:szCs w:val="21"/>
        </w:rPr>
        <w:t>（八）经费预算总额</w:t>
      </w:r>
      <w:bookmarkEnd w:id="27"/>
    </w:p>
    <w:p w14:paraId="2249BEE6">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1、本包别财政预算为33.696万元，用于比赛裁判员、工作人员食宿支出、劳务费用，比赛场地、竞赛器材等费用。</w:t>
      </w:r>
    </w:p>
    <w:p w14:paraId="449B7D8F">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2、参赛人员食宿费用自理。中标单位收取的参赛食宿费用必须全额用于参赛人员的保障。3、赛事承办方可根据赛区用车情况，收取赛区交通费，最高不得超过 50 元/人。</w:t>
      </w:r>
    </w:p>
    <w:p w14:paraId="048208F9">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4、本包别报总价，报价包含并不限于所投服务、仪器设备、人员、餐饮、住宿、保险、税费等为完成本包别所需一切费用，</w:t>
      </w:r>
      <w:r>
        <w:rPr>
          <w:rFonts w:hint="eastAsia" w:ascii="宋体" w:hAnsi="宋体" w:eastAsia="宋体" w:cs="Times New Roman"/>
          <w:b/>
          <w:szCs w:val="21"/>
        </w:rPr>
        <w:t>采购人后期不再另行追加任何费用</w:t>
      </w:r>
      <w:r>
        <w:rPr>
          <w:rFonts w:hint="eastAsia" w:ascii="宋体" w:hAnsi="宋体" w:eastAsia="宋体" w:cs="Times New Roman"/>
          <w:szCs w:val="21"/>
        </w:rPr>
        <w:t>。</w:t>
      </w:r>
    </w:p>
    <w:p w14:paraId="613B2D1F">
      <w:pPr>
        <w:widowControl/>
        <w:adjustRightInd w:val="0"/>
        <w:snapToGrid w:val="0"/>
        <w:spacing w:line="360" w:lineRule="auto"/>
        <w:ind w:firstLine="422" w:firstLineChars="200"/>
        <w:rPr>
          <w:rFonts w:ascii="宋体" w:hAnsi="宋体" w:eastAsia="宋体" w:cs="Times New Roman"/>
          <w:b/>
          <w:bCs/>
          <w:szCs w:val="21"/>
        </w:rPr>
      </w:pPr>
      <w:r>
        <w:rPr>
          <w:rFonts w:hint="eastAsia" w:ascii="宋体" w:hAnsi="宋体" w:eastAsia="宋体" w:cs="Times New Roman"/>
          <w:b/>
          <w:bCs/>
          <w:szCs w:val="21"/>
        </w:rPr>
        <w:t>（九）无形资产开发</w:t>
      </w:r>
    </w:p>
    <w:p w14:paraId="5A0243AA">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各项比赛无形资产开发权属于采购单位，中标供应商或承办单位进行无形资产开发应提前与采购单位协商。</w:t>
      </w:r>
    </w:p>
    <w:p w14:paraId="2AF46966">
      <w:pPr>
        <w:keepNext/>
        <w:keepLines/>
        <w:adjustRightInd w:val="0"/>
        <w:snapToGrid w:val="0"/>
        <w:spacing w:line="360" w:lineRule="auto"/>
        <w:outlineLvl w:val="1"/>
        <w:rPr>
          <w:rFonts w:ascii="宋体" w:hAnsi="宋体" w:eastAsia="宋体" w:cs="Times New Roman"/>
          <w:b/>
          <w:bCs/>
          <w:szCs w:val="21"/>
        </w:rPr>
      </w:pPr>
      <w:bookmarkStart w:id="28" w:name="_Toc199325171"/>
      <w:r>
        <w:rPr>
          <w:rFonts w:hint="eastAsia" w:ascii="宋体" w:hAnsi="宋体" w:eastAsia="宋体" w:cs="Times New Roman"/>
          <w:b/>
          <w:bCs/>
          <w:szCs w:val="21"/>
        </w:rPr>
        <w:t>（十）其他</w:t>
      </w:r>
      <w:bookmarkEnd w:id="28"/>
    </w:p>
    <w:p w14:paraId="14F4FE1F">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1、中标供应商应为参赛单位提供比赛秩序册、成绩册各 2 份。</w:t>
      </w:r>
    </w:p>
    <w:p w14:paraId="0522E72B">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2、比赛结束后 15 天内，中标供应商须将比赛工作总结 2 份、秩序册、成绩册（纸质 7 份和 pdf 文件）送交采购单位和省体育局青少年体育处。</w:t>
      </w:r>
    </w:p>
    <w:p w14:paraId="6157131B">
      <w:pPr>
        <w:widowControl/>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3、比赛结束后 15 天内，中标供应商须将比赛秩序册、成绩册各 2 份寄各市体育行政部门和参赛学校。</w:t>
      </w:r>
    </w:p>
    <w:p w14:paraId="08DEFC66">
      <w:pPr>
        <w:widowControl/>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中标</w:t>
      </w:r>
      <w:r>
        <w:rPr>
          <w:rFonts w:ascii="宋体" w:hAnsi="宋体" w:eastAsia="宋体" w:cs="Times New Roman"/>
          <w:szCs w:val="21"/>
        </w:rPr>
        <w:t>供应商须向采购人提交承办地考察报告，包含场地设施、医疗、安保、交通、食宿条件安排等内容，须报采购单位和省体育局青少年体育处审核批复后，方可实施比赛组织工作。</w:t>
      </w:r>
    </w:p>
    <w:p w14:paraId="58CBA592">
      <w:pPr>
        <w:widowControl/>
        <w:adjustRightInd w:val="0"/>
        <w:snapToGrid w:val="0"/>
        <w:spacing w:line="360" w:lineRule="auto"/>
        <w:ind w:firstLine="420" w:firstLineChars="200"/>
      </w:pPr>
      <w:r>
        <w:rPr>
          <w:rFonts w:ascii="宋体" w:hAnsi="宋体" w:eastAsia="宋体" w:cs="Times New Roman"/>
          <w:szCs w:val="21"/>
        </w:rPr>
        <w:t>5、负责赛事宣传报道工作（省或市媒介各一个以上）</w:t>
      </w:r>
      <w:r>
        <w:rPr>
          <w:rFonts w:hint="eastAsia" w:ascii="宋体" w:hAnsi="宋体" w:eastAsia="宋体" w:cs="Times New Roman"/>
          <w:szCs w:val="21"/>
        </w:rPr>
        <w:t>。</w:t>
      </w:r>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B1F"/>
    <w:rsid w:val="00323B1F"/>
    <w:rsid w:val="00330D23"/>
    <w:rsid w:val="00921662"/>
    <w:rsid w:val="2980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14499</Words>
  <Characters>14778</Characters>
  <Lines>124</Lines>
  <Paragraphs>35</Paragraphs>
  <TotalTime>0</TotalTime>
  <ScaleCrop>false</ScaleCrop>
  <LinksUpToDate>false</LinksUpToDate>
  <CharactersWithSpaces>15052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2025-05-30T05:06:00Z</dcterms:created>
  <dc:creator>校对-李真</dc:creator>
  <cp:lastModifiedBy>省招</cp:lastModifiedBy>
  <dcterms:modified xsi:type="dcterms:W3CDTF">2025-06-23T10:36:01Z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eyJoZGlkIjoiMjFlNDcxMzhjZTVlNDBjMzBjMjM4MDQwMDM2MDcyZTEiLCJ1c2VySWQiOiIzMjQ4MTEwODkifQ==</vt:lpwstr>
  </property>
  <property fmtid="{D5CDD505-2E9C-101B-9397-08002B2CF9AE}" pid="3" name="KSOProductBuildVer">
    <vt:lpwstr>2052-12.1.0.21541</vt:lpwstr>
  </property>
  <property fmtid="{D5CDD505-2E9C-101B-9397-08002B2CF9AE}" pid="4" name="ICV">
    <vt:lpwstr>5972041139FB4B21921B18A7EFC70D38_12</vt:lpwstr>
  </property>
</Properties>
</file>