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E3639">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48A9894">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D19009F">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471EC60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w:t>
      </w:r>
      <w:bookmarkStart w:id="48" w:name="_GoBack"/>
      <w:bookmarkEnd w:id="48"/>
      <w:r>
        <w:rPr>
          <w:rFonts w:hint="eastAsia" w:ascii="宋体" w:hAnsi="宋体" w:eastAsia="宋体" w:cs="宋体"/>
          <w:color w:val="auto"/>
          <w:sz w:val="24"/>
          <w:szCs w:val="24"/>
          <w:highlight w:val="none"/>
        </w:rPr>
        <w:t>，则投标人所投产品须具有市场监管总局公布的《参与实施政府采购节能产品认证机构目录》中的认证机构出具的、处于有效期内的节能产品认证证书。</w:t>
      </w:r>
    </w:p>
    <w:p w14:paraId="799BB42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0A603A90">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4.下列采购需求中：标注▲的产品为核心产品（主要中标标的）。</w:t>
      </w:r>
    </w:p>
    <w:p w14:paraId="30B0ED33">
      <w:pPr>
        <w:spacing w:line="360" w:lineRule="auto"/>
        <w:ind w:firstLine="437"/>
        <w:outlineLvl w:val="1"/>
        <w:rPr>
          <w:rFonts w:ascii="宋体" w:hAnsi="宋体" w:eastAsia="宋体"/>
          <w:b/>
          <w:color w:val="auto"/>
          <w:sz w:val="24"/>
          <w:szCs w:val="18"/>
          <w:highlight w:val="none"/>
        </w:rPr>
      </w:pPr>
      <w:bookmarkStart w:id="0" w:name="_Toc32151"/>
      <w:bookmarkStart w:id="1" w:name="_Toc2554"/>
      <w:bookmarkStart w:id="2" w:name="_Toc11722"/>
      <w:r>
        <w:rPr>
          <w:rFonts w:hint="eastAsia" w:ascii="宋体" w:hAnsi="宋体" w:eastAsia="宋体"/>
          <w:b/>
          <w:color w:val="auto"/>
          <w:sz w:val="24"/>
          <w:szCs w:val="18"/>
          <w:highlight w:val="none"/>
        </w:rPr>
        <w:t>一、采购需求前附表</w:t>
      </w:r>
      <w:bookmarkEnd w:id="0"/>
      <w:bookmarkEnd w:id="1"/>
      <w:bookmarkEnd w:id="2"/>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5"/>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00C6B67">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08E055">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5"/>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A999D1">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2DF1EF3D">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rPr>
              <w:t>合同生效后，采购人付至合同价的70%（中标人须提供等额预付款担保），项目经验收合格且相关资料齐备己移交后，一次性付清合同价款。</w:t>
            </w:r>
          </w:p>
          <w:p w14:paraId="4D51ABD4">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rPr>
              <w:t>注：</w:t>
            </w:r>
          </w:p>
          <w:p w14:paraId="2FCB0F95">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rPr>
              <w:t>（1）中标人未按规定提供预付款担保的，视为放弃预付款；</w:t>
            </w:r>
          </w:p>
          <w:p w14:paraId="62B8C4E7">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 xml:space="preserve">（2）预付款担保要求：如采用银行保函、担保机构出具的保函（担保机构担保）均须满足无条件见索即付条件。             </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5"/>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00801A7">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17" w:type="pct"/>
            <w:vAlign w:val="center"/>
          </w:tcPr>
          <w:p w14:paraId="008E1630">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 xml:space="preserve">安徽省农业科学院水产研究所，具体按采购人指定地点。              </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5"/>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D0729D">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217" w:type="pct"/>
            <w:vAlign w:val="center"/>
          </w:tcPr>
          <w:p w14:paraId="64A45A16">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ascii="宋体" w:hAnsi="宋体" w:eastAsia="宋体"/>
                <w:b w:val="0"/>
                <w:color w:val="auto"/>
                <w:sz w:val="24"/>
                <w:highlight w:val="none"/>
                <w:u w:val="none"/>
              </w:rPr>
            </w:pPr>
            <w:r>
              <w:rPr>
                <w:rFonts w:hint="eastAsia" w:ascii="宋体" w:hAnsi="宋体" w:eastAsia="宋体"/>
                <w:b w:val="0"/>
                <w:color w:val="auto"/>
                <w:sz w:val="24"/>
                <w:highlight w:val="none"/>
                <w:u w:val="none"/>
                <w:lang w:val="en-US" w:eastAsia="zh-CN"/>
              </w:rPr>
              <w:t>合同生效之日起，30个日历日内完成供货、安装、调试、培训等所有工作内容。</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5"/>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6BA5A37C">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217" w:type="pct"/>
            <w:vAlign w:val="center"/>
          </w:tcPr>
          <w:p w14:paraId="0D94A51E">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 xml:space="preserve">自验收合格之日起，1年。             </w:t>
            </w:r>
          </w:p>
        </w:tc>
      </w:tr>
    </w:tbl>
    <w:p w14:paraId="608ADC2B">
      <w:pPr>
        <w:rPr>
          <w:rFonts w:hint="eastAsia"/>
          <w:color w:val="auto"/>
        </w:rPr>
      </w:pPr>
      <w:bookmarkStart w:id="3" w:name="_Toc5944"/>
      <w:bookmarkStart w:id="4" w:name="_Toc7671"/>
    </w:p>
    <w:p w14:paraId="3E806DB2">
      <w:pPr>
        <w:spacing w:line="360" w:lineRule="auto"/>
        <w:ind w:firstLine="437"/>
        <w:outlineLvl w:val="1"/>
        <w:rPr>
          <w:rFonts w:hint="eastAsia" w:ascii="宋体" w:hAnsi="宋体" w:eastAsia="宋体"/>
          <w:b/>
          <w:bCs/>
          <w:color w:val="auto"/>
          <w:sz w:val="24"/>
          <w:szCs w:val="18"/>
          <w:highlight w:val="none"/>
        </w:rPr>
      </w:pPr>
      <w:bookmarkStart w:id="5" w:name="_Toc31297"/>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
      <w:bookmarkEnd w:id="4"/>
      <w:bookmarkEnd w:id="5"/>
    </w:p>
    <w:p w14:paraId="6C3D332C">
      <w:pPr>
        <w:widowControl/>
        <w:wordWrap/>
        <w:ind w:firstLine="482" w:firstLineChars="200"/>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标识符号</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3F09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0"/>
            <w:vAlign w:val="center"/>
          </w:tcPr>
          <w:p w14:paraId="69E444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标识类型</w:t>
            </w:r>
          </w:p>
        </w:tc>
        <w:tc>
          <w:tcPr>
            <w:tcW w:w="1365" w:type="dxa"/>
            <w:noWrap w:val="0"/>
            <w:vAlign w:val="center"/>
          </w:tcPr>
          <w:p w14:paraId="5A1C0A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w:t>
            </w:r>
          </w:p>
        </w:tc>
        <w:tc>
          <w:tcPr>
            <w:tcW w:w="5363" w:type="dxa"/>
            <w:noWrap w:val="0"/>
            <w:vAlign w:val="center"/>
          </w:tcPr>
          <w:p w14:paraId="144C8C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标识符号含义</w:t>
            </w:r>
          </w:p>
        </w:tc>
      </w:tr>
      <w:tr w14:paraId="017A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noWrap w:val="0"/>
            <w:vAlign w:val="center"/>
          </w:tcPr>
          <w:p w14:paraId="309193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核心指标</w:t>
            </w:r>
            <w:r>
              <w:rPr>
                <w:rFonts w:hint="eastAsia" w:ascii="宋体" w:hAnsi="宋体" w:eastAsia="宋体" w:cs="宋体"/>
                <w:color w:val="auto"/>
                <w:sz w:val="24"/>
                <w:szCs w:val="24"/>
                <w:highlight w:val="none"/>
              </w:rPr>
              <w:t>项</w:t>
            </w:r>
          </w:p>
        </w:tc>
        <w:tc>
          <w:tcPr>
            <w:tcW w:w="1365" w:type="dxa"/>
            <w:noWrap w:val="0"/>
            <w:vAlign w:val="center"/>
          </w:tcPr>
          <w:p w14:paraId="64C4671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w:t>
            </w:r>
          </w:p>
        </w:tc>
        <w:tc>
          <w:tcPr>
            <w:tcW w:w="5363" w:type="dxa"/>
            <w:noWrap w:val="0"/>
            <w:vAlign w:val="center"/>
          </w:tcPr>
          <w:p w14:paraId="33E2403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left"/>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符合性审查项，该指标项负偏离或未响应的，</w:t>
            </w:r>
            <w:r>
              <w:rPr>
                <w:rFonts w:hint="eastAsia" w:ascii="宋体" w:hAnsi="宋体" w:eastAsia="宋体" w:cs="宋体"/>
                <w:b/>
                <w:bCs w:val="0"/>
                <w:color w:val="auto"/>
                <w:sz w:val="24"/>
                <w:szCs w:val="24"/>
                <w:highlight w:val="none"/>
                <w:lang w:val="en-US" w:eastAsia="zh-CN"/>
              </w:rPr>
              <w:t>投标无效</w:t>
            </w:r>
            <w:r>
              <w:rPr>
                <w:rFonts w:hint="eastAsia" w:ascii="宋体" w:hAnsi="宋体" w:eastAsia="宋体" w:cs="宋体"/>
                <w:bCs/>
                <w:color w:val="auto"/>
                <w:sz w:val="24"/>
                <w:szCs w:val="24"/>
                <w:highlight w:val="none"/>
                <w:lang w:val="en-US" w:eastAsia="zh-CN"/>
              </w:rPr>
              <w:t>。</w:t>
            </w:r>
          </w:p>
        </w:tc>
      </w:tr>
      <w:tr w14:paraId="7E0ED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shd w:val="clear" w:color="auto" w:fill="auto"/>
            <w:noWrap w:val="0"/>
            <w:vAlign w:val="center"/>
          </w:tcPr>
          <w:p w14:paraId="340631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重要指标项</w:t>
            </w:r>
          </w:p>
        </w:tc>
        <w:tc>
          <w:tcPr>
            <w:tcW w:w="1365" w:type="dxa"/>
            <w:shd w:val="clear" w:color="auto" w:fill="auto"/>
            <w:noWrap w:val="0"/>
            <w:vAlign w:val="center"/>
          </w:tcPr>
          <w:p w14:paraId="761D9B8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sz w:val="24"/>
                <w:szCs w:val="24"/>
                <w:highlight w:val="none"/>
              </w:rPr>
              <w:t>★</w:t>
            </w:r>
          </w:p>
        </w:tc>
        <w:tc>
          <w:tcPr>
            <w:tcW w:w="5363" w:type="dxa"/>
            <w:shd w:val="clear" w:color="auto" w:fill="auto"/>
            <w:noWrap w:val="0"/>
            <w:vAlign w:val="center"/>
          </w:tcPr>
          <w:p w14:paraId="4EF10B6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评分项，</w:t>
            </w:r>
            <w:r>
              <w:rPr>
                <w:rFonts w:hint="eastAsia" w:ascii="宋体" w:hAnsi="宋体" w:eastAsia="宋体" w:cs="宋体"/>
                <w:color w:val="auto"/>
                <w:kern w:val="2"/>
                <w:sz w:val="24"/>
                <w:szCs w:val="24"/>
                <w:highlight w:val="none"/>
                <w:lang w:val="en-US" w:eastAsia="zh-CN" w:bidi="ar"/>
              </w:rPr>
              <w:t>详见评标办法和标准。</w:t>
            </w:r>
          </w:p>
        </w:tc>
      </w:tr>
      <w:tr w14:paraId="05A6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0"/>
            <w:vAlign w:val="center"/>
          </w:tcPr>
          <w:p w14:paraId="4929B2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无标识项</w:t>
            </w:r>
          </w:p>
        </w:tc>
        <w:tc>
          <w:tcPr>
            <w:tcW w:w="1365" w:type="dxa"/>
            <w:noWrap w:val="0"/>
            <w:vAlign w:val="center"/>
          </w:tcPr>
          <w:p w14:paraId="37BD2C2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center"/>
              <w:textAlignment w:val="auto"/>
              <w:rPr>
                <w:rFonts w:hint="eastAsia" w:ascii="宋体" w:hAnsi="宋体" w:eastAsia="宋体" w:cs="宋体"/>
                <w:bCs/>
                <w:color w:val="auto"/>
                <w:sz w:val="24"/>
                <w:szCs w:val="24"/>
                <w:highlight w:val="none"/>
              </w:rPr>
            </w:pPr>
          </w:p>
        </w:tc>
        <w:tc>
          <w:tcPr>
            <w:tcW w:w="5363" w:type="dxa"/>
            <w:noWrap w:val="0"/>
            <w:vAlign w:val="center"/>
          </w:tcPr>
          <w:p w14:paraId="31CD4D0C">
            <w:pPr>
              <w:keepNext w:val="0"/>
              <w:keepLines w:val="0"/>
              <w:suppressLineNumbers w:val="0"/>
              <w:adjustRightInd w:val="0"/>
              <w:snapToGrid w:val="0"/>
              <w:spacing w:before="0" w:beforeAutospacing="0" w:after="0" w:afterAutospacing="0" w:line="300" w:lineRule="auto"/>
              <w:ind w:left="0" w:leftChars="0" w:right="0" w:firstLine="0" w:firstLineChars="0"/>
              <w:jc w:val="left"/>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符合性审查项，该指标项最大允许负偏离</w:t>
            </w:r>
            <w:r>
              <w:rPr>
                <w:rFonts w:hint="eastAsia" w:ascii="宋体" w:hAnsi="宋体" w:eastAsia="宋体" w:cs="宋体"/>
                <w:bCs/>
                <w:color w:val="auto"/>
                <w:kern w:val="2"/>
                <w:sz w:val="24"/>
                <w:szCs w:val="24"/>
                <w:highlight w:val="none"/>
                <w:u w:val="single"/>
                <w:lang w:val="en-US" w:eastAsia="zh-CN" w:bidi="ar-SA"/>
              </w:rPr>
              <w:t>5</w:t>
            </w:r>
            <w:r>
              <w:rPr>
                <w:rFonts w:hint="eastAsia" w:ascii="宋体" w:hAnsi="宋体" w:eastAsia="宋体" w:cs="宋体"/>
                <w:bCs/>
                <w:color w:val="auto"/>
                <w:kern w:val="2"/>
                <w:sz w:val="24"/>
                <w:szCs w:val="24"/>
                <w:highlight w:val="none"/>
                <w:lang w:val="en-US" w:eastAsia="zh-CN" w:bidi="ar-SA"/>
              </w:rPr>
              <w:t>项，超过最大允许负偏离项数的，</w:t>
            </w:r>
            <w:r>
              <w:rPr>
                <w:rFonts w:hint="eastAsia" w:ascii="宋体" w:hAnsi="宋体" w:eastAsia="宋体" w:cs="宋体"/>
                <w:b/>
                <w:bCs w:val="0"/>
                <w:color w:val="auto"/>
                <w:kern w:val="2"/>
                <w:sz w:val="24"/>
                <w:szCs w:val="24"/>
                <w:highlight w:val="none"/>
                <w:lang w:val="en-US" w:eastAsia="zh-CN" w:bidi="ar-SA"/>
              </w:rPr>
              <w:t>投标无效</w:t>
            </w:r>
            <w:r>
              <w:rPr>
                <w:rFonts w:hint="eastAsia" w:ascii="宋体" w:hAnsi="宋体" w:eastAsia="宋体" w:cs="宋体"/>
                <w:bCs/>
                <w:color w:val="auto"/>
                <w:kern w:val="2"/>
                <w:sz w:val="24"/>
                <w:szCs w:val="24"/>
                <w:highlight w:val="none"/>
                <w:lang w:val="en-US" w:eastAsia="zh-CN" w:bidi="ar-SA"/>
              </w:rPr>
              <w:t>。</w:t>
            </w:r>
          </w:p>
        </w:tc>
      </w:tr>
      <w:tr w14:paraId="6912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0"/>
            <w:vAlign w:val="center"/>
          </w:tcPr>
          <w:p w14:paraId="7DC57536">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1B3374F6">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如某项标识中包含多条技术参数或要求，则该项标识所含内容均需满足或优于</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文件要求，否则不予认可。</w:t>
            </w:r>
          </w:p>
          <w:p w14:paraId="32506066">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2）所属行业中标注“/”的品目，无须在《中小企业声明函》中列明。</w:t>
            </w:r>
          </w:p>
        </w:tc>
      </w:tr>
    </w:tbl>
    <w:p w14:paraId="4DA11626">
      <w:pPr>
        <w:rPr>
          <w:rFonts w:hint="eastAsia"/>
          <w:color w:val="auto"/>
        </w:rPr>
      </w:pPr>
    </w:p>
    <w:p w14:paraId="7E9B8411">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lang w:val="en-US" w:eastAsia="zh-CN"/>
        </w:rPr>
        <w:t>货物需求</w:t>
      </w:r>
      <w:r>
        <w:rPr>
          <w:rFonts w:hint="eastAsia" w:ascii="宋体" w:hAnsi="宋体" w:eastAsia="宋体" w:cs="宋体"/>
          <w:b/>
          <w:bCs/>
          <w:color w:val="auto"/>
          <w:sz w:val="24"/>
          <w:szCs w:val="24"/>
          <w:highlight w:val="none"/>
        </w:rPr>
        <w:t>清单</w:t>
      </w:r>
    </w:p>
    <w:tbl>
      <w:tblPr>
        <w:tblStyle w:val="3"/>
        <w:tblW w:w="50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783"/>
        <w:gridCol w:w="5370"/>
        <w:gridCol w:w="815"/>
        <w:gridCol w:w="813"/>
      </w:tblGrid>
      <w:tr w14:paraId="7B2A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545EECFE">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457" w:type="pct"/>
            <w:vAlign w:val="center"/>
          </w:tcPr>
          <w:p w14:paraId="69DCB03D">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货物名称</w:t>
            </w:r>
          </w:p>
        </w:tc>
        <w:tc>
          <w:tcPr>
            <w:tcW w:w="3139" w:type="pct"/>
            <w:vAlign w:val="center"/>
          </w:tcPr>
          <w:p w14:paraId="01D3AE09">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技术参数及要求</w:t>
            </w:r>
          </w:p>
        </w:tc>
        <w:tc>
          <w:tcPr>
            <w:tcW w:w="476" w:type="pct"/>
            <w:vAlign w:val="center"/>
          </w:tcPr>
          <w:p w14:paraId="4B7F62BB">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p w14:paraId="550139AA">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台/套</w:t>
            </w:r>
            <w:r>
              <w:rPr>
                <w:rFonts w:hint="eastAsia" w:ascii="宋体" w:hAnsi="宋体" w:eastAsia="宋体" w:cs="宋体"/>
                <w:b/>
                <w:bCs/>
                <w:color w:val="auto"/>
                <w:sz w:val="21"/>
                <w:szCs w:val="21"/>
                <w:highlight w:val="none"/>
              </w:rPr>
              <w:t>）</w:t>
            </w:r>
          </w:p>
        </w:tc>
        <w:tc>
          <w:tcPr>
            <w:tcW w:w="475" w:type="pct"/>
            <w:vAlign w:val="center"/>
          </w:tcPr>
          <w:p w14:paraId="3DC60D6E">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所属</w:t>
            </w:r>
          </w:p>
          <w:p w14:paraId="6CA3FB07">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行业</w:t>
            </w:r>
          </w:p>
        </w:tc>
      </w:tr>
      <w:tr w14:paraId="78CE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shd w:val="clear" w:color="auto" w:fill="auto"/>
            <w:vAlign w:val="center"/>
          </w:tcPr>
          <w:p w14:paraId="3EA8FE50">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457" w:type="pct"/>
            <w:shd w:val="clear" w:color="auto" w:fill="auto"/>
            <w:vAlign w:val="center"/>
          </w:tcPr>
          <w:p w14:paraId="2679ECA5">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UPS不间断电源</w:t>
            </w:r>
          </w:p>
        </w:tc>
        <w:tc>
          <w:tcPr>
            <w:tcW w:w="3139" w:type="pct"/>
            <w:shd w:val="clear" w:color="auto" w:fill="auto"/>
            <w:vAlign w:val="center"/>
          </w:tcPr>
          <w:p w14:paraId="5158CD9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1.容量：6000VA/4800W</w:t>
            </w:r>
            <w:r>
              <w:rPr>
                <w:rFonts w:hint="eastAsia" w:ascii="宋体" w:hAnsi="宋体" w:eastAsia="宋体" w:cs="宋体"/>
                <w:b/>
                <w:bCs/>
                <w:color w:val="auto"/>
                <w:sz w:val="21"/>
                <w:szCs w:val="21"/>
                <w:vertAlign w:val="baseline"/>
                <w:lang w:val="en-US" w:eastAsia="zh-CN"/>
              </w:rPr>
              <w:t>[投标文件中提供产品彩页证明]</w:t>
            </w:r>
            <w:r>
              <w:rPr>
                <w:rFonts w:hint="eastAsia" w:ascii="宋体" w:hAnsi="宋体" w:eastAsia="宋体" w:cs="宋体"/>
                <w:color w:val="auto"/>
                <w:sz w:val="21"/>
                <w:szCs w:val="21"/>
                <w:vertAlign w:val="baseline"/>
                <w:lang w:val="en-US" w:eastAsia="zh-CN"/>
              </w:rPr>
              <w:t>；</w:t>
            </w:r>
          </w:p>
          <w:p w14:paraId="4D9D7A6E">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2.输入电压：110-300VAC；</w:t>
            </w:r>
          </w:p>
          <w:p w14:paraId="3FD5B287">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3.延时范围：外置电池2小时后备供电；</w:t>
            </w:r>
          </w:p>
          <w:p w14:paraId="0D9926F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4.输出失真度：THD&lt;2%；</w:t>
            </w:r>
          </w:p>
          <w:p w14:paraId="1AD65F4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输出电压：220VAC±1%</w:t>
            </w:r>
            <w:r>
              <w:rPr>
                <w:rFonts w:hint="eastAsia" w:ascii="宋体" w:hAnsi="宋体" w:eastAsia="宋体" w:cs="宋体"/>
                <w:color w:val="auto"/>
                <w:sz w:val="21"/>
                <w:szCs w:val="21"/>
                <w:lang w:eastAsia="zh-CN"/>
              </w:rPr>
              <w:t>；</w:t>
            </w:r>
          </w:p>
          <w:p w14:paraId="04E3AA1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输入功率因数：＞0.99</w:t>
            </w:r>
            <w:r>
              <w:rPr>
                <w:rFonts w:hint="eastAsia" w:ascii="宋体" w:hAnsi="宋体" w:eastAsia="宋体" w:cs="宋体"/>
                <w:color w:val="auto"/>
                <w:sz w:val="21"/>
                <w:szCs w:val="21"/>
                <w:lang w:eastAsia="zh-CN"/>
              </w:rPr>
              <w:t>。</w:t>
            </w:r>
          </w:p>
        </w:tc>
        <w:tc>
          <w:tcPr>
            <w:tcW w:w="476" w:type="pct"/>
            <w:vAlign w:val="center"/>
          </w:tcPr>
          <w:p w14:paraId="5D59057B">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11E9AC69">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工业</w:t>
            </w:r>
          </w:p>
        </w:tc>
      </w:tr>
      <w:tr w14:paraId="1667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31C9EF2E">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3B212746">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lang w:val="en-US" w:eastAsia="zh-CN"/>
              </w:rPr>
              <w:t>纯水仪</w:t>
            </w:r>
          </w:p>
        </w:tc>
        <w:tc>
          <w:tcPr>
            <w:tcW w:w="3139" w:type="pct"/>
            <w:shd w:val="clear" w:color="auto" w:fill="auto"/>
            <w:vAlign w:val="center"/>
          </w:tcPr>
          <w:p w14:paraId="3F9D6107">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1.出水水质：可同时制取RO纯水和UP超纯水；</w:t>
            </w:r>
          </w:p>
          <w:p w14:paraId="027B4639">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2.制水量: ≥20升/小时（水温25℃时）；</w:t>
            </w:r>
          </w:p>
          <w:p w14:paraId="7CDD61FB">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lang w:val="en-US" w:eastAsia="zh-CN"/>
              </w:rPr>
              <w:t>3.第一出水(RO纯水) (在线监测)电导率:≤5 µS/cm（符合国标GB/T6682-2008 三级水）</w:t>
            </w:r>
            <w:r>
              <w:rPr>
                <w:rFonts w:hint="eastAsia" w:ascii="宋体" w:hAnsi="宋体" w:eastAsia="宋体" w:cs="宋体"/>
                <w:b/>
                <w:bCs/>
                <w:color w:val="auto"/>
                <w:sz w:val="21"/>
                <w:szCs w:val="21"/>
                <w:vertAlign w:val="baseline"/>
                <w:lang w:val="en-US" w:eastAsia="zh-CN"/>
              </w:rPr>
              <w:t>[投标文件中提供产品彩页证明]</w:t>
            </w:r>
            <w:r>
              <w:rPr>
                <w:rFonts w:hint="eastAsia" w:ascii="宋体" w:hAnsi="宋体" w:eastAsia="宋体" w:cs="宋体"/>
                <w:color w:val="auto"/>
                <w:sz w:val="21"/>
                <w:szCs w:val="21"/>
                <w:lang w:eastAsia="zh-CN"/>
              </w:rPr>
              <w:t>。</w:t>
            </w:r>
          </w:p>
          <w:p w14:paraId="5AA9EFD4">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lang w:val="en-US" w:eastAsia="zh-CN"/>
              </w:rPr>
              <w:t>4.第二出水(UP超纯水)(在线监测)电阻率：≥18.2MΩ.cm（符合国标GB/T6682-2008 一级水）</w:t>
            </w:r>
            <w:r>
              <w:rPr>
                <w:rFonts w:hint="eastAsia" w:ascii="宋体" w:hAnsi="宋体" w:eastAsia="宋体" w:cs="宋体"/>
                <w:b/>
                <w:bCs/>
                <w:color w:val="auto"/>
                <w:sz w:val="21"/>
                <w:szCs w:val="21"/>
                <w:vertAlign w:val="baseline"/>
                <w:lang w:val="en-US" w:eastAsia="zh-CN"/>
              </w:rPr>
              <w:t>[投标文件中提供产品彩页证明]</w:t>
            </w:r>
            <w:r>
              <w:rPr>
                <w:rFonts w:hint="eastAsia" w:ascii="宋体" w:hAnsi="宋体" w:eastAsia="宋体" w:cs="宋体"/>
                <w:color w:val="auto"/>
                <w:sz w:val="21"/>
                <w:szCs w:val="21"/>
                <w:lang w:val="en-US" w:eastAsia="zh-CN"/>
              </w:rPr>
              <w:t>。</w:t>
            </w:r>
          </w:p>
          <w:p w14:paraId="11A52F1E">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5.取水流速： RO水≥1L/Min；UP水≥1.0L/Min。</w:t>
            </w:r>
          </w:p>
          <w:p w14:paraId="295F0D39">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6.系统开机自检RO反渗透膜自动冲洗。</w:t>
            </w:r>
          </w:p>
        </w:tc>
        <w:tc>
          <w:tcPr>
            <w:tcW w:w="476" w:type="pct"/>
            <w:vAlign w:val="center"/>
          </w:tcPr>
          <w:p w14:paraId="3B2B50E3">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2</w:t>
            </w:r>
          </w:p>
        </w:tc>
        <w:tc>
          <w:tcPr>
            <w:tcW w:w="475" w:type="pct"/>
            <w:vAlign w:val="center"/>
          </w:tcPr>
          <w:p w14:paraId="2D2EBE93">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0457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63F0B29D">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0" w:type="auto"/>
            <w:shd w:val="clear" w:color="auto" w:fill="auto"/>
            <w:vAlign w:val="center"/>
          </w:tcPr>
          <w:p w14:paraId="3207FE67">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便携式水质测定仪</w:t>
            </w:r>
          </w:p>
        </w:tc>
        <w:tc>
          <w:tcPr>
            <w:tcW w:w="3139" w:type="pct"/>
            <w:shd w:val="clear" w:color="auto" w:fill="auto"/>
            <w:vAlign w:val="center"/>
          </w:tcPr>
          <w:p w14:paraId="2C009F8E">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1.配备温度、溶解氧、pH、电导率、氧化还原电位探头，</w:t>
            </w:r>
            <w:r>
              <w:rPr>
                <w:rFonts w:hint="eastAsia" w:ascii="宋体" w:hAnsi="宋体" w:eastAsia="宋体" w:cs="宋体"/>
                <w:color w:val="auto"/>
                <w:sz w:val="21"/>
                <w:szCs w:val="21"/>
                <w:highlight w:val="none"/>
              </w:rPr>
              <w:t>连接线缆不低于4米，主机安全防护</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IP67防水等级。</w:t>
            </w:r>
          </w:p>
          <w:p w14:paraId="0DA63A2E">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2.主机、电缆、探头三体分离：同一主机可配备不同长度、不同参数接口的电缆；</w:t>
            </w:r>
          </w:p>
          <w:p w14:paraId="03077DA7">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3.电池仓与仪器电路仓各自独立分隔并密封；</w:t>
            </w:r>
          </w:p>
          <w:p w14:paraId="56995A9F">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4.溶解氧（极谱法或原电池法，毫克/升）</w:t>
            </w:r>
            <w:r>
              <w:rPr>
                <w:rFonts w:hint="eastAsia" w:ascii="宋体" w:hAnsi="宋体" w:eastAsia="宋体" w:cs="宋体"/>
                <w:b/>
                <w:bCs/>
                <w:color w:val="auto"/>
                <w:sz w:val="21"/>
                <w:szCs w:val="21"/>
                <w:vertAlign w:val="baseline"/>
                <w:lang w:val="en-US" w:eastAsia="zh-CN"/>
              </w:rPr>
              <w:t>[投标文件中提供产品彩页证明，须能体现以下1-2项参数]</w:t>
            </w:r>
            <w:r>
              <w:rPr>
                <w:rFonts w:hint="eastAsia" w:ascii="宋体" w:hAnsi="宋体" w:eastAsia="宋体" w:cs="宋体"/>
                <w:color w:val="auto"/>
                <w:sz w:val="21"/>
                <w:szCs w:val="21"/>
                <w:vertAlign w:val="baseline"/>
                <w:lang w:val="en-US" w:eastAsia="zh-CN"/>
              </w:rPr>
              <w:t>：</w:t>
            </w:r>
          </w:p>
          <w:p w14:paraId="106BC941">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4.1测量范围不低于：0～30 mg/L；</w:t>
            </w:r>
          </w:p>
          <w:p w14:paraId="15F4680C">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4.2准确度：0~20mg/L: 读数值±0.2 mg/L或2% (以较大值为准)，20~30mg/L: 读数值±6% 。</w:t>
            </w:r>
          </w:p>
          <w:p w14:paraId="4835801E">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5.温度测量范围不低于：0~50℃；</w:t>
            </w:r>
          </w:p>
          <w:p w14:paraId="4ED15D6F">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5.1准确度：±0.2℃；</w:t>
            </w:r>
          </w:p>
          <w:p w14:paraId="733D0A20">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5.2分辨率：0.1℃ 。</w:t>
            </w:r>
          </w:p>
          <w:p w14:paraId="51E17CC0">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6.电导率测量范围不低于：0～200mS/cm，准确度：读数的±0.5%或0.001mS/cm, 以较大值为准；分辨率：0.001~0.1mS/cm</w:t>
            </w:r>
          </w:p>
          <w:p w14:paraId="429845C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 pH测量范围不低于：0～14；</w:t>
            </w:r>
            <w:r>
              <w:rPr>
                <w:rFonts w:hint="eastAsia" w:ascii="宋体" w:hAnsi="宋体" w:eastAsia="宋体" w:cs="宋体"/>
                <w:color w:val="auto"/>
                <w:sz w:val="21"/>
                <w:szCs w:val="21"/>
                <w:vertAlign w:val="baseline"/>
                <w:lang w:val="en-US" w:eastAsia="zh-CN"/>
              </w:rPr>
              <w:t>[</w:t>
            </w:r>
            <w:r>
              <w:rPr>
                <w:rFonts w:hint="eastAsia" w:ascii="宋体" w:hAnsi="宋体" w:eastAsia="宋体" w:cs="宋体"/>
                <w:b/>
                <w:bCs/>
                <w:color w:val="auto"/>
                <w:sz w:val="21"/>
                <w:szCs w:val="21"/>
                <w:vertAlign w:val="baseline"/>
                <w:lang w:val="en-US" w:eastAsia="zh-CN"/>
              </w:rPr>
              <w:t>投标文件中提供产品彩页证明</w:t>
            </w:r>
            <w:r>
              <w:rPr>
                <w:rFonts w:hint="eastAsia" w:ascii="宋体" w:hAnsi="宋体" w:eastAsia="宋体" w:cs="宋体"/>
                <w:color w:val="auto"/>
                <w:sz w:val="21"/>
                <w:szCs w:val="21"/>
                <w:vertAlign w:val="baseline"/>
                <w:lang w:val="en-US" w:eastAsia="zh-CN"/>
              </w:rPr>
              <w:t>]</w:t>
            </w:r>
          </w:p>
          <w:p w14:paraId="2CD11740">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8.1准确度：±0.2；</w:t>
            </w:r>
          </w:p>
          <w:p w14:paraId="4649118D">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8.2分辨率：0.01 。</w:t>
            </w:r>
          </w:p>
          <w:p w14:paraId="26160093">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9.氧化还原电位测量范围不低于：-1999～1999mV；</w:t>
            </w:r>
          </w:p>
          <w:p w14:paraId="509C70AC">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9.1准确度：±0.2 mV；</w:t>
            </w:r>
          </w:p>
          <w:p w14:paraId="2DBB984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9.2分辨率：0.1mV。</w:t>
            </w:r>
          </w:p>
        </w:tc>
        <w:tc>
          <w:tcPr>
            <w:tcW w:w="476" w:type="pct"/>
            <w:vAlign w:val="center"/>
          </w:tcPr>
          <w:p w14:paraId="7F35D1B4">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2</w:t>
            </w:r>
          </w:p>
        </w:tc>
        <w:tc>
          <w:tcPr>
            <w:tcW w:w="475" w:type="pct"/>
            <w:vAlign w:val="center"/>
          </w:tcPr>
          <w:p w14:paraId="7F0FDB56">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7209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41574B6B">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74512A8A">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生物安全柜</w:t>
            </w:r>
          </w:p>
        </w:tc>
        <w:tc>
          <w:tcPr>
            <w:tcW w:w="3139" w:type="pct"/>
            <w:shd w:val="clear" w:color="auto" w:fill="auto"/>
            <w:vAlign w:val="center"/>
          </w:tcPr>
          <w:p w14:paraId="41D9A907">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1.气流模式：30%外排，70%循环，流入气流平均风速≥0.5m/s，下降气流平均风速≥0.3m/s；</w:t>
            </w:r>
          </w:p>
          <w:p w14:paraId="61386C63">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 HEPA或ULPA超高效空气过滤器，针对颗粒直径≥0.12um，过滤效率≥99.9%；</w:t>
            </w:r>
          </w:p>
          <w:p w14:paraId="00241D82">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 前窗具有安全高度限位声光报警功能；</w:t>
            </w:r>
          </w:p>
          <w:p w14:paraId="1E6A0BD2">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4.安全性能保障：具备紫外系统、荧光灯、前窗的连锁系统</w:t>
            </w:r>
          </w:p>
          <w:p w14:paraId="29E3D14E">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5.移动可调支架，工作区内部工作尺寸宽度要求≥1300mm</w:t>
            </w:r>
            <w:r>
              <w:rPr>
                <w:rFonts w:hint="eastAsia" w:ascii="宋体" w:hAnsi="宋体" w:eastAsia="宋体" w:cs="宋体"/>
                <w:color w:val="auto"/>
                <w:sz w:val="21"/>
                <w:szCs w:val="21"/>
                <w:vertAlign w:val="baseline"/>
                <w:lang w:val="en-US" w:eastAsia="zh-CN"/>
              </w:rPr>
              <w:t>[</w:t>
            </w:r>
            <w:r>
              <w:rPr>
                <w:rFonts w:hint="eastAsia" w:ascii="宋体" w:hAnsi="宋体" w:eastAsia="宋体" w:cs="宋体"/>
                <w:b/>
                <w:bCs/>
                <w:color w:val="auto"/>
                <w:sz w:val="21"/>
                <w:szCs w:val="21"/>
                <w:vertAlign w:val="baseline"/>
                <w:lang w:val="en-US" w:eastAsia="zh-CN"/>
              </w:rPr>
              <w:t>投标文件中提供产品彩页证明</w:t>
            </w:r>
            <w:r>
              <w:rPr>
                <w:rFonts w:hint="eastAsia" w:ascii="宋体" w:hAnsi="宋体" w:eastAsia="宋体" w:cs="宋体"/>
                <w:color w:val="auto"/>
                <w:sz w:val="21"/>
                <w:szCs w:val="21"/>
                <w:vertAlign w:val="baseline"/>
                <w:lang w:val="en-US" w:eastAsia="zh-CN"/>
              </w:rPr>
              <w:t>]</w:t>
            </w:r>
            <w:r>
              <w:rPr>
                <w:rFonts w:hint="eastAsia" w:ascii="宋体" w:hAnsi="宋体" w:eastAsia="宋体" w:cs="宋体"/>
                <w:color w:val="auto"/>
                <w:sz w:val="21"/>
                <w:szCs w:val="21"/>
                <w:lang w:val="en-US" w:eastAsia="zh-CN"/>
              </w:rPr>
              <w:t>。</w:t>
            </w:r>
          </w:p>
        </w:tc>
        <w:tc>
          <w:tcPr>
            <w:tcW w:w="476" w:type="pct"/>
            <w:vAlign w:val="center"/>
          </w:tcPr>
          <w:p w14:paraId="227009A1">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2</w:t>
            </w:r>
          </w:p>
        </w:tc>
        <w:tc>
          <w:tcPr>
            <w:tcW w:w="475" w:type="pct"/>
            <w:vAlign w:val="center"/>
          </w:tcPr>
          <w:p w14:paraId="0C5811C7">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3A38B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Merge w:val="restart"/>
            <w:shd w:val="clear" w:color="auto" w:fill="auto"/>
            <w:vAlign w:val="center"/>
          </w:tcPr>
          <w:p w14:paraId="16150428">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51C59022">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普通生物显微镜（1）</w:t>
            </w:r>
          </w:p>
        </w:tc>
        <w:tc>
          <w:tcPr>
            <w:tcW w:w="3139" w:type="pct"/>
            <w:shd w:val="clear" w:color="auto" w:fill="auto"/>
            <w:vAlign w:val="center"/>
          </w:tcPr>
          <w:p w14:paraId="6E5CDE62">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1、目镜参数：</w:t>
            </w:r>
          </w:p>
          <w:p w14:paraId="6D2BB128">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1.1 30°倾斜，铰链式三目观察头，可360度旋转；</w:t>
            </w:r>
          </w:p>
          <w:p w14:paraId="26B7DA7B">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1.2 瞳距调节：50mm-75mm；</w:t>
            </w:r>
          </w:p>
          <w:p w14:paraId="4DF70414">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1.3 大视野平场目镜不小于PL10X/18mm。</w:t>
            </w:r>
          </w:p>
          <w:p w14:paraId="433F5D2C">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2、配备平场消色差物镜 4X 10X 40X 100X ；</w:t>
            </w:r>
          </w:p>
          <w:p w14:paraId="52AEB5FE">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3、光学校正：无限远色差校正系统物镜；</w:t>
            </w:r>
          </w:p>
          <w:p w14:paraId="029F7612">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4、观察方式：具备试样在透射情况下的明场观察方式；</w:t>
            </w:r>
          </w:p>
          <w:p w14:paraId="2A47740F">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5、含拍照和显示屏，显示屏≥10英寸，有效像素不低于1600万。</w:t>
            </w:r>
          </w:p>
        </w:tc>
        <w:tc>
          <w:tcPr>
            <w:tcW w:w="476" w:type="pct"/>
            <w:vAlign w:val="center"/>
          </w:tcPr>
          <w:p w14:paraId="0EA20DEC">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2BE169D9">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1512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Merge w:val="continue"/>
          </w:tcPr>
          <w:p w14:paraId="1498A4DF">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p>
        </w:tc>
        <w:tc>
          <w:tcPr>
            <w:tcW w:w="0" w:type="auto"/>
            <w:shd w:val="clear" w:color="auto" w:fill="auto"/>
            <w:vAlign w:val="center"/>
          </w:tcPr>
          <w:p w14:paraId="4FC3F001">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普通生物显微镜（2）</w:t>
            </w:r>
          </w:p>
        </w:tc>
        <w:tc>
          <w:tcPr>
            <w:tcW w:w="3139" w:type="pct"/>
            <w:shd w:val="clear" w:color="auto" w:fill="auto"/>
            <w:vAlign w:val="center"/>
          </w:tcPr>
          <w:p w14:paraId="6B5B0B83">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leftChars="0"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rPr>
              <w:t>无限远平场消色差物镜</w:t>
            </w:r>
          </w:p>
          <w:p w14:paraId="4EB5B9F5">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leftChars="0"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sz w:val="21"/>
                <w:szCs w:val="21"/>
                <w:lang w:val="en-US" w:eastAsia="zh-CN"/>
              </w:rPr>
              <w:t>放大倍数：4X 、10X 、40X 、100X（油）：</w:t>
            </w:r>
            <w:r>
              <w:rPr>
                <w:rFonts w:hint="eastAsia" w:ascii="宋体" w:hAnsi="宋体" w:eastAsia="宋体" w:cs="宋体"/>
                <w:color w:val="auto"/>
                <w:sz w:val="21"/>
                <w:szCs w:val="21"/>
              </w:rPr>
              <w:t>各1只</w:t>
            </w:r>
          </w:p>
          <w:p w14:paraId="49761B4A">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leftChars="0"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3、</w:t>
            </w:r>
            <w:r>
              <w:rPr>
                <w:rFonts w:hint="eastAsia" w:ascii="宋体" w:hAnsi="宋体" w:eastAsia="宋体" w:cs="宋体"/>
                <w:color w:val="auto"/>
                <w:sz w:val="21"/>
                <w:szCs w:val="21"/>
              </w:rPr>
              <w:t>三目筒目镜管</w:t>
            </w:r>
            <w:r>
              <w:rPr>
                <w:rFonts w:hint="eastAsia" w:ascii="宋体" w:hAnsi="宋体" w:eastAsia="宋体" w:cs="宋体"/>
                <w:color w:val="auto"/>
                <w:sz w:val="21"/>
                <w:szCs w:val="21"/>
                <w:lang w:val="en-US" w:eastAsia="zh-CN"/>
              </w:rPr>
              <w:t>1只，配备10X 目镜、16X 目镜各 1 对</w:t>
            </w:r>
          </w:p>
          <w:p w14:paraId="7093DD5A">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leftChars="0"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lang w:val="en-US" w:eastAsia="zh-CN"/>
              </w:rPr>
              <w:t>总放大倍数：40X-1600X</w:t>
            </w:r>
          </w:p>
          <w:p w14:paraId="7B4EFF9B">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leftChars="0"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5、</w:t>
            </w:r>
            <w:r>
              <w:rPr>
                <w:rFonts w:hint="eastAsia" w:ascii="宋体" w:hAnsi="宋体" w:eastAsia="宋体" w:cs="宋体"/>
                <w:color w:val="auto"/>
                <w:sz w:val="21"/>
                <w:szCs w:val="21"/>
                <w:lang w:val="en-US" w:eastAsia="zh-CN"/>
              </w:rPr>
              <w:t>内置式</w:t>
            </w:r>
            <w:r>
              <w:rPr>
                <w:rFonts w:hint="eastAsia" w:ascii="宋体" w:hAnsi="宋体" w:eastAsia="宋体" w:cs="宋体"/>
                <w:color w:val="auto"/>
                <w:sz w:val="21"/>
                <w:szCs w:val="21"/>
              </w:rPr>
              <w:t>LED</w:t>
            </w:r>
            <w:r>
              <w:rPr>
                <w:rFonts w:hint="eastAsia" w:ascii="宋体" w:hAnsi="宋体" w:eastAsia="宋体" w:cs="宋体"/>
                <w:color w:val="auto"/>
                <w:sz w:val="21"/>
                <w:szCs w:val="21"/>
                <w:lang w:val="en-US" w:eastAsia="zh-CN"/>
              </w:rPr>
              <w:t>可调光源</w:t>
            </w:r>
          </w:p>
          <w:p w14:paraId="437FB588">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leftChars="0"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6、</w:t>
            </w:r>
            <w:r>
              <w:rPr>
                <w:rFonts w:hint="eastAsia" w:ascii="宋体" w:hAnsi="宋体" w:eastAsia="宋体" w:cs="宋体"/>
                <w:color w:val="auto"/>
                <w:sz w:val="21"/>
                <w:szCs w:val="21"/>
                <w:lang w:val="en-US" w:eastAsia="zh-CN"/>
              </w:rPr>
              <w:t>物镜用浸油（合成油）1瓶</w:t>
            </w:r>
          </w:p>
          <w:p w14:paraId="792470C3">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leftChars="0" w:firstLine="0" w:firstLineChars="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滤色片（蓝、黄、绿）：各 1 片</w:t>
            </w:r>
          </w:p>
        </w:tc>
        <w:tc>
          <w:tcPr>
            <w:tcW w:w="476" w:type="pct"/>
            <w:vAlign w:val="center"/>
          </w:tcPr>
          <w:p w14:paraId="72CA8387">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2</w:t>
            </w:r>
          </w:p>
        </w:tc>
        <w:tc>
          <w:tcPr>
            <w:tcW w:w="475" w:type="pct"/>
            <w:vAlign w:val="center"/>
          </w:tcPr>
          <w:p w14:paraId="6A88CE89">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3F80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45523618">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0B017A41">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高质量生物显微镜</w:t>
            </w:r>
          </w:p>
        </w:tc>
        <w:tc>
          <w:tcPr>
            <w:tcW w:w="3139" w:type="pct"/>
            <w:shd w:val="clear" w:color="auto" w:fill="auto"/>
            <w:vAlign w:val="center"/>
          </w:tcPr>
          <w:p w14:paraId="5200194C">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lang w:val="en-US" w:eastAsia="zh-CN"/>
              </w:rPr>
              <w:t>镜筒：30°倾斜，铰链式三目观察头，可360度旋转；</w:t>
            </w:r>
          </w:p>
          <w:p w14:paraId="7DDE416B">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2.大视野平场目镜不小于PL10X/20mm；</w:t>
            </w:r>
          </w:p>
          <w:p w14:paraId="2F8A1C6B">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3.无限远平场消色差物镜:4×、10×、40×、100×(S)Oi；</w:t>
            </w:r>
          </w:p>
          <w:p w14:paraId="15F75703">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4.总放大倍率：40×～1000×；</w:t>
            </w:r>
          </w:p>
          <w:p w14:paraId="36FA686E">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5.</w:t>
            </w:r>
            <w:r>
              <w:rPr>
                <w:rFonts w:hint="eastAsia" w:ascii="宋体" w:hAnsi="宋体" w:eastAsia="宋体" w:cs="宋体"/>
                <w:color w:val="auto"/>
                <w:sz w:val="21"/>
                <w:szCs w:val="21"/>
                <w:lang w:val="en-US" w:eastAsia="zh-CN"/>
              </w:rPr>
              <w:t>载物台：内置式双层机构机械载物台，双切片设计；</w:t>
            </w:r>
          </w:p>
          <w:p w14:paraId="420B973F">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6.调焦机构：粗调行程≥25mm，微调精度≤2μm，带有防止下滑的调节松紧装置和随机上限位装置；</w:t>
            </w:r>
          </w:p>
          <w:p w14:paraId="1DE6FA7A">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7.内置式LED可调冷光源；</w:t>
            </w:r>
          </w:p>
          <w:p w14:paraId="724A8CCE">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8.标准配置：</w:t>
            </w:r>
          </w:p>
          <w:p w14:paraId="2540FCAC">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8.1.生物显微镜/台；</w:t>
            </w:r>
          </w:p>
          <w:p w14:paraId="3AC21D6A">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8.2.观察镜筒/1只（在主机上）；</w:t>
            </w:r>
          </w:p>
          <w:p w14:paraId="6D6B3AD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8.3.平场目镜 10X /对；</w:t>
            </w:r>
          </w:p>
          <w:p w14:paraId="606BBA30">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8.4.无穷远平场物镜 4 ×、 10×、40× (S)、 100× (S) Oil/各 1 只；</w:t>
            </w:r>
          </w:p>
          <w:p w14:paraId="63408369">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8.5.移动工作台/1只（在主机上）；</w:t>
            </w:r>
          </w:p>
          <w:p w14:paraId="3E027F1F">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8.6.滤色片/1 片；</w:t>
            </w:r>
          </w:p>
          <w:p w14:paraId="0EA489BF">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8.7.拍照处理终端1套</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配备专业拍摄系统，不低于5核，16G DDR4/512G SSD</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，输出设备1台（只需1台显微镜配备拍照终端和输出设备）。</w:t>
            </w:r>
          </w:p>
        </w:tc>
        <w:tc>
          <w:tcPr>
            <w:tcW w:w="476" w:type="pct"/>
            <w:vAlign w:val="center"/>
          </w:tcPr>
          <w:p w14:paraId="73C3EF8F">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3</w:t>
            </w:r>
          </w:p>
        </w:tc>
        <w:tc>
          <w:tcPr>
            <w:tcW w:w="475" w:type="pct"/>
            <w:vAlign w:val="center"/>
          </w:tcPr>
          <w:p w14:paraId="5F6B1F71">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3B1F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6795BFBA">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522EEB89">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冰箱</w:t>
            </w:r>
          </w:p>
        </w:tc>
        <w:tc>
          <w:tcPr>
            <w:tcW w:w="3139" w:type="pct"/>
            <w:shd w:val="clear" w:color="auto" w:fill="auto"/>
            <w:vAlign w:val="center"/>
          </w:tcPr>
          <w:p w14:paraId="1D44C37E">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1.总容积≥400L，冷冻室容积≥120L；</w:t>
            </w:r>
          </w:p>
          <w:p w14:paraId="5D36B2BE">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2.一级效能；</w:t>
            </w:r>
          </w:p>
          <w:p w14:paraId="200F7C3D">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3.额定电压220V；</w:t>
            </w:r>
          </w:p>
          <w:p w14:paraId="795E200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4.十字门，冷冻室冷冻能力≥5kg/12h。</w:t>
            </w:r>
          </w:p>
        </w:tc>
        <w:tc>
          <w:tcPr>
            <w:tcW w:w="476" w:type="pct"/>
            <w:vAlign w:val="center"/>
          </w:tcPr>
          <w:p w14:paraId="6CEFB908">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4</w:t>
            </w:r>
          </w:p>
        </w:tc>
        <w:tc>
          <w:tcPr>
            <w:tcW w:w="475" w:type="pct"/>
            <w:vAlign w:val="center"/>
          </w:tcPr>
          <w:p w14:paraId="487EC90D">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501B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1DCA8824">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14DF733B">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冰柜</w:t>
            </w:r>
          </w:p>
        </w:tc>
        <w:tc>
          <w:tcPr>
            <w:tcW w:w="3139" w:type="pct"/>
            <w:shd w:val="clear" w:color="auto" w:fill="auto"/>
            <w:vAlign w:val="center"/>
          </w:tcPr>
          <w:p w14:paraId="25F0FDC8">
            <w:pPr>
              <w:keepNext w:val="0"/>
              <w:keepLines w:val="0"/>
              <w:pageBreakBefore w:val="0"/>
              <w:widowControl w:val="0"/>
              <w:numPr>
                <w:ilvl w:val="0"/>
                <w:numId w:val="2"/>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容积≥600L；</w:t>
            </w:r>
          </w:p>
          <w:p w14:paraId="3FAC1798">
            <w:pPr>
              <w:keepNext w:val="0"/>
              <w:keepLines w:val="0"/>
              <w:pageBreakBefore w:val="0"/>
              <w:widowControl w:val="0"/>
              <w:numPr>
                <w:ilvl w:val="0"/>
                <w:numId w:val="2"/>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最低制冷≤-18℃；</w:t>
            </w:r>
          </w:p>
          <w:p w14:paraId="37E6960E">
            <w:pPr>
              <w:keepNext w:val="0"/>
              <w:keepLines w:val="0"/>
              <w:pageBreakBefore w:val="0"/>
              <w:widowControl w:val="0"/>
              <w:numPr>
                <w:ilvl w:val="0"/>
                <w:numId w:val="2"/>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冷冻能力≥25kg/12h，额定电压220V。</w:t>
            </w:r>
          </w:p>
        </w:tc>
        <w:tc>
          <w:tcPr>
            <w:tcW w:w="476" w:type="pct"/>
            <w:vAlign w:val="center"/>
          </w:tcPr>
          <w:p w14:paraId="2CCFB167">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4</w:t>
            </w:r>
          </w:p>
        </w:tc>
        <w:tc>
          <w:tcPr>
            <w:tcW w:w="475" w:type="pct"/>
            <w:vAlign w:val="center"/>
          </w:tcPr>
          <w:p w14:paraId="5934F82A">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765F7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3990C43D">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5A4B7A28">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立式冷藏柜</w:t>
            </w:r>
          </w:p>
        </w:tc>
        <w:tc>
          <w:tcPr>
            <w:tcW w:w="3139" w:type="pct"/>
            <w:shd w:val="clear" w:color="auto" w:fill="auto"/>
            <w:vAlign w:val="center"/>
          </w:tcPr>
          <w:p w14:paraId="3667540B">
            <w:pPr>
              <w:keepNext w:val="0"/>
              <w:keepLines w:val="0"/>
              <w:pageBreakBefore w:val="0"/>
              <w:widowControl w:val="0"/>
              <w:numPr>
                <w:ilvl w:val="0"/>
                <w:numId w:val="3"/>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容积≥500L，温度范围</w:t>
            </w:r>
            <w:r>
              <w:rPr>
                <w:rFonts w:hint="eastAsia" w:ascii="宋体" w:hAnsi="宋体" w:eastAsia="宋体" w:cs="宋体"/>
                <w:color w:val="auto"/>
                <w:sz w:val="21"/>
                <w:szCs w:val="21"/>
              </w:rPr>
              <w:t>2～8℃</w:t>
            </w:r>
            <w:r>
              <w:rPr>
                <w:rFonts w:hint="eastAsia" w:ascii="宋体" w:hAnsi="宋体" w:eastAsia="宋体" w:cs="宋体"/>
                <w:color w:val="auto"/>
                <w:sz w:val="21"/>
                <w:szCs w:val="21"/>
                <w:lang w:eastAsia="zh-CN"/>
              </w:rPr>
              <w:t>；</w:t>
            </w:r>
          </w:p>
          <w:p w14:paraId="22B8B95C">
            <w:pPr>
              <w:keepNext w:val="0"/>
              <w:keepLines w:val="0"/>
              <w:pageBreakBefore w:val="0"/>
              <w:widowControl w:val="0"/>
              <w:numPr>
                <w:ilvl w:val="0"/>
                <w:numId w:val="3"/>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一级效能，侧开门，风冷制冷，多层送风，均匀制冷，带</w:t>
            </w:r>
            <w:r>
              <w:rPr>
                <w:rFonts w:hint="eastAsia" w:ascii="宋体" w:hAnsi="宋体" w:eastAsia="宋体" w:cs="宋体"/>
                <w:color w:val="auto"/>
                <w:sz w:val="21"/>
                <w:szCs w:val="21"/>
              </w:rPr>
              <w:t>万向</w:t>
            </w:r>
            <w:r>
              <w:rPr>
                <w:rFonts w:hint="eastAsia" w:ascii="宋体" w:hAnsi="宋体" w:eastAsia="宋体" w:cs="宋体"/>
                <w:color w:val="auto"/>
                <w:sz w:val="21"/>
                <w:szCs w:val="21"/>
                <w:lang w:val="en-US" w:eastAsia="zh-CN"/>
              </w:rPr>
              <w:t>脚轮；</w:t>
            </w:r>
          </w:p>
          <w:p w14:paraId="772D95CE">
            <w:pPr>
              <w:keepNext w:val="0"/>
              <w:keepLines w:val="0"/>
              <w:pageBreakBefore w:val="0"/>
              <w:widowControl w:val="0"/>
              <w:numPr>
                <w:ilvl w:val="0"/>
                <w:numId w:val="3"/>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门体采用钢化玻璃门设计</w:t>
            </w:r>
            <w:r>
              <w:rPr>
                <w:rFonts w:hint="eastAsia" w:ascii="宋体" w:hAnsi="宋体" w:eastAsia="宋体" w:cs="宋体"/>
                <w:color w:val="auto"/>
                <w:sz w:val="21"/>
                <w:szCs w:val="21"/>
                <w:lang w:eastAsia="zh-CN"/>
              </w:rPr>
              <w:t>；</w:t>
            </w:r>
          </w:p>
          <w:p w14:paraId="513C5E39">
            <w:pPr>
              <w:keepNext w:val="0"/>
              <w:keepLines w:val="0"/>
              <w:pageBreakBefore w:val="0"/>
              <w:widowControl w:val="0"/>
              <w:numPr>
                <w:ilvl w:val="0"/>
                <w:numId w:val="3"/>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灯光：</w:t>
            </w:r>
            <w:r>
              <w:rPr>
                <w:rFonts w:hint="eastAsia" w:ascii="宋体" w:hAnsi="宋体" w:eastAsia="宋体" w:cs="宋体"/>
                <w:color w:val="auto"/>
                <w:sz w:val="21"/>
                <w:szCs w:val="21"/>
              </w:rPr>
              <w:t>箱内配置LED照明灯</w:t>
            </w:r>
            <w:r>
              <w:rPr>
                <w:rFonts w:hint="eastAsia" w:ascii="宋体" w:hAnsi="宋体" w:eastAsia="宋体" w:cs="宋体"/>
                <w:color w:val="auto"/>
                <w:sz w:val="21"/>
                <w:szCs w:val="21"/>
                <w:lang w:eastAsia="zh-CN"/>
              </w:rPr>
              <w:t>；</w:t>
            </w:r>
          </w:p>
          <w:p w14:paraId="777D82A8">
            <w:pPr>
              <w:keepNext w:val="0"/>
              <w:keepLines w:val="0"/>
              <w:pageBreakBefore w:val="0"/>
              <w:widowControl w:val="0"/>
              <w:numPr>
                <w:ilvl w:val="0"/>
                <w:numId w:val="3"/>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配置不少于</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个搁架</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2个筐篮</w:t>
            </w:r>
            <w:r>
              <w:rPr>
                <w:rFonts w:hint="eastAsia" w:ascii="宋体" w:hAnsi="宋体" w:eastAsia="宋体" w:cs="宋体"/>
                <w:color w:val="auto"/>
                <w:sz w:val="21"/>
                <w:szCs w:val="21"/>
                <w:lang w:eastAsia="zh-CN"/>
              </w:rPr>
              <w:t>。</w:t>
            </w:r>
          </w:p>
        </w:tc>
        <w:tc>
          <w:tcPr>
            <w:tcW w:w="476" w:type="pct"/>
            <w:vAlign w:val="center"/>
          </w:tcPr>
          <w:p w14:paraId="59EFDEA4">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6</w:t>
            </w:r>
          </w:p>
        </w:tc>
        <w:tc>
          <w:tcPr>
            <w:tcW w:w="475" w:type="pct"/>
            <w:vAlign w:val="center"/>
          </w:tcPr>
          <w:p w14:paraId="0AFDF7CF">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6598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5E537D03">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61B90E2D">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分析天平1</w:t>
            </w:r>
          </w:p>
        </w:tc>
        <w:tc>
          <w:tcPr>
            <w:tcW w:w="3139" w:type="pct"/>
            <w:shd w:val="clear" w:color="auto" w:fill="auto"/>
            <w:vAlign w:val="center"/>
          </w:tcPr>
          <w:p w14:paraId="0C6090AD">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1.最大称量值：≥100g；</w:t>
            </w:r>
          </w:p>
          <w:p w14:paraId="291245F0">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2.可读性：0.1mg；</w:t>
            </w:r>
          </w:p>
          <w:p w14:paraId="70341549">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3.重复性：≤0.08mg；</w:t>
            </w:r>
          </w:p>
          <w:p w14:paraId="0B46FA7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4.线性误差：≤0.2mg</w:t>
            </w:r>
            <w:r>
              <w:rPr>
                <w:rFonts w:hint="eastAsia" w:ascii="宋体" w:hAnsi="宋体" w:eastAsia="宋体" w:cs="宋体"/>
                <w:b/>
                <w:bCs/>
                <w:color w:val="auto"/>
                <w:sz w:val="21"/>
                <w:szCs w:val="21"/>
                <w:vertAlign w:val="baseline"/>
                <w:lang w:val="en-US" w:eastAsia="zh-CN"/>
              </w:rPr>
              <w:t>[投标文件中提供产品彩页证明]</w:t>
            </w:r>
            <w:r>
              <w:rPr>
                <w:rFonts w:hint="eastAsia" w:ascii="宋体" w:hAnsi="宋体" w:eastAsia="宋体" w:cs="宋体"/>
                <w:color w:val="auto"/>
                <w:sz w:val="21"/>
                <w:szCs w:val="21"/>
                <w:highlight w:val="none"/>
                <w:lang w:val="en-US" w:eastAsia="zh-CN"/>
              </w:rPr>
              <w:t>；</w:t>
            </w:r>
          </w:p>
          <w:p w14:paraId="00F43329">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5.灵敏度偏移（标称加载下）: 0.8mg；</w:t>
            </w:r>
          </w:p>
          <w:p w14:paraId="3DE47A77">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6.最小称量值（USP，允差 = 0.10%）：160mg；</w:t>
            </w:r>
          </w:p>
          <w:p w14:paraId="5C00014D">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7.金属底座和具有耐化学及酸碱腐蚀性外壳材料；</w:t>
            </w:r>
          </w:p>
          <w:p w14:paraId="553E3F36">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8.具备内部校正功能，内置砝码校正功能。</w:t>
            </w:r>
          </w:p>
        </w:tc>
        <w:tc>
          <w:tcPr>
            <w:tcW w:w="476" w:type="pct"/>
            <w:vAlign w:val="center"/>
          </w:tcPr>
          <w:p w14:paraId="338C557A">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56A92480">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6E49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40EBC8C6">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79011295">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分析天平2</w:t>
            </w:r>
          </w:p>
        </w:tc>
        <w:tc>
          <w:tcPr>
            <w:tcW w:w="3139" w:type="pct"/>
            <w:shd w:val="clear" w:color="auto" w:fill="auto"/>
            <w:vAlign w:val="center"/>
          </w:tcPr>
          <w:p w14:paraId="41C0501F">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1.最大称量值：≥50g；</w:t>
            </w:r>
          </w:p>
          <w:p w14:paraId="4A306EB2">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2.可读性：0.01mg</w:t>
            </w:r>
            <w:r>
              <w:rPr>
                <w:rFonts w:hint="eastAsia" w:ascii="宋体" w:hAnsi="宋体" w:eastAsia="宋体" w:cs="宋体"/>
                <w:color w:val="auto"/>
                <w:sz w:val="21"/>
                <w:szCs w:val="21"/>
                <w:vertAlign w:val="baseline"/>
                <w:lang w:val="en-US" w:eastAsia="zh-CN"/>
              </w:rPr>
              <w:t>[</w:t>
            </w:r>
            <w:r>
              <w:rPr>
                <w:rFonts w:hint="eastAsia" w:ascii="宋体" w:hAnsi="宋体" w:eastAsia="宋体" w:cs="宋体"/>
                <w:b/>
                <w:bCs/>
                <w:color w:val="auto"/>
                <w:sz w:val="21"/>
                <w:szCs w:val="21"/>
                <w:vertAlign w:val="baseline"/>
                <w:lang w:val="en-US" w:eastAsia="zh-CN"/>
              </w:rPr>
              <w:t>投标文件中提供产品彩页证明</w:t>
            </w:r>
            <w:r>
              <w:rPr>
                <w:rFonts w:hint="eastAsia" w:ascii="宋体" w:hAnsi="宋体" w:eastAsia="宋体" w:cs="宋体"/>
                <w:color w:val="auto"/>
                <w:sz w:val="21"/>
                <w:szCs w:val="21"/>
                <w:vertAlign w:val="baseline"/>
                <w:lang w:val="en-US" w:eastAsia="zh-CN"/>
              </w:rPr>
              <w:t>]；</w:t>
            </w:r>
          </w:p>
          <w:p w14:paraId="62E040A4">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3.重复性：≤0.03mg；</w:t>
            </w:r>
          </w:p>
          <w:p w14:paraId="01DEB721">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4.线性误差:≤0.1mg；</w:t>
            </w:r>
          </w:p>
          <w:p w14:paraId="3580C530">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5.灵敏度偏移（标称加载下）: 0.4mg；</w:t>
            </w:r>
          </w:p>
          <w:p w14:paraId="772B0B47">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6.最小称量值（USP，允差 = 0.10%）：30mg；</w:t>
            </w:r>
          </w:p>
          <w:p w14:paraId="1A5592BA">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7.金属底座和具有耐化学及酸碱腐蚀性外壳材料；</w:t>
            </w:r>
          </w:p>
          <w:p w14:paraId="4B5BE0FC">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8.具备内部校正功能，内置砝码校正功能。</w:t>
            </w:r>
          </w:p>
        </w:tc>
        <w:tc>
          <w:tcPr>
            <w:tcW w:w="476" w:type="pct"/>
            <w:vAlign w:val="center"/>
          </w:tcPr>
          <w:p w14:paraId="0D0F96C7">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4578E2D6">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57F4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6D300E00">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59A5B2BD">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电子天平</w:t>
            </w:r>
          </w:p>
        </w:tc>
        <w:tc>
          <w:tcPr>
            <w:tcW w:w="3139" w:type="pct"/>
            <w:shd w:val="clear" w:color="auto" w:fill="auto"/>
            <w:vAlign w:val="center"/>
          </w:tcPr>
          <w:p w14:paraId="6B9E5701">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1.最大称量值：≥600g；，最小称量值：≤0.2g；</w:t>
            </w:r>
          </w:p>
          <w:p w14:paraId="57CACA19">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eastAsia="zh-CN"/>
              </w:rPr>
              <w:t>2.精确度：≤0.01g；</w:t>
            </w:r>
          </w:p>
          <w:p w14:paraId="6DF1A633">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3.可充电。</w:t>
            </w:r>
          </w:p>
        </w:tc>
        <w:tc>
          <w:tcPr>
            <w:tcW w:w="476" w:type="pct"/>
            <w:vAlign w:val="center"/>
          </w:tcPr>
          <w:p w14:paraId="5E1BE24C">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4</w:t>
            </w:r>
          </w:p>
        </w:tc>
        <w:tc>
          <w:tcPr>
            <w:tcW w:w="475" w:type="pct"/>
            <w:vAlign w:val="center"/>
          </w:tcPr>
          <w:p w14:paraId="4B24B88D">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0732A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7018B686">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529BD45B">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紫外可见光分光光度计</w:t>
            </w:r>
          </w:p>
        </w:tc>
        <w:tc>
          <w:tcPr>
            <w:tcW w:w="3139" w:type="pct"/>
            <w:shd w:val="clear" w:color="auto" w:fill="auto"/>
            <w:vAlign w:val="center"/>
          </w:tcPr>
          <w:p w14:paraId="0BB94CDD">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1、仪器特点和功能 </w:t>
            </w:r>
          </w:p>
          <w:p w14:paraId="50A9B91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1.1</w:t>
            </w:r>
            <w:r>
              <w:rPr>
                <w:rFonts w:hint="eastAsia" w:ascii="宋体" w:hAnsi="宋体" w:eastAsia="宋体" w:cs="宋体"/>
                <w:color w:val="auto"/>
                <w:sz w:val="21"/>
                <w:szCs w:val="21"/>
              </w:rPr>
              <w:t>配备高清智能触摸屏</w:t>
            </w:r>
            <w:r>
              <w:rPr>
                <w:rFonts w:hint="eastAsia" w:ascii="宋体" w:hAnsi="宋体" w:eastAsia="宋体" w:cs="宋体"/>
                <w:color w:val="auto"/>
                <w:sz w:val="21"/>
                <w:szCs w:val="21"/>
                <w:lang w:val="en-US" w:eastAsia="zh-CN"/>
              </w:rPr>
              <w:t>；</w:t>
            </w:r>
          </w:p>
          <w:p w14:paraId="682DD2EF">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1.2 样品仓配置自动五联池架，可以适用1-10cm比色皿；</w:t>
            </w:r>
          </w:p>
          <w:p w14:paraId="52DD1896">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color w:val="auto"/>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2、仪器技术参数</w:t>
            </w:r>
            <w:r>
              <w:rPr>
                <w:rFonts w:hint="eastAsia" w:ascii="宋体" w:hAnsi="宋体" w:eastAsia="宋体" w:cs="宋体"/>
                <w:b/>
                <w:bCs/>
                <w:color w:val="auto"/>
                <w:sz w:val="21"/>
                <w:szCs w:val="21"/>
                <w:vertAlign w:val="baseline"/>
                <w:lang w:val="en-US" w:eastAsia="zh-CN"/>
              </w:rPr>
              <w:t>[投标文件中提供产品彩页证明，须能体现以下1-9项参数]</w:t>
            </w:r>
            <w:r>
              <w:rPr>
                <w:rFonts w:hint="eastAsia" w:ascii="宋体" w:hAnsi="宋体" w:eastAsia="宋体" w:cs="宋体"/>
                <w:color w:val="auto"/>
                <w:sz w:val="21"/>
                <w:szCs w:val="21"/>
                <w:vertAlign w:val="baseline"/>
                <w:lang w:val="en-US" w:eastAsia="zh-CN"/>
              </w:rPr>
              <w:t>：</w:t>
            </w:r>
          </w:p>
          <w:p w14:paraId="538596AA">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2.1波长范围：190-1100nm；</w:t>
            </w:r>
          </w:p>
          <w:p w14:paraId="73932708">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2.2光谱带宽：1.8 nm；</w:t>
            </w:r>
          </w:p>
          <w:p w14:paraId="113F7681">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2.3波长准确度：±0.3nm；</w:t>
            </w:r>
          </w:p>
          <w:p w14:paraId="0639547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2.4波长重复性：≤0.2nm；</w:t>
            </w:r>
          </w:p>
          <w:p w14:paraId="79BCA0F6">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2.5光度准确度：±0.3%T（0-100%T）；</w:t>
            </w:r>
          </w:p>
          <w:p w14:paraId="5F350AFC">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2.6光度重复性：≤0.1%T(0-100%T)；</w:t>
            </w:r>
          </w:p>
          <w:p w14:paraId="2780673E">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2.7杂散光：≤0.03%T；</w:t>
            </w:r>
          </w:p>
          <w:p w14:paraId="33729F8D">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2.8检测器：硅光二极管；</w:t>
            </w:r>
          </w:p>
          <w:p w14:paraId="53633E94">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2.9光源：钨灯、氘灯。</w:t>
            </w:r>
          </w:p>
        </w:tc>
        <w:tc>
          <w:tcPr>
            <w:tcW w:w="476" w:type="pct"/>
            <w:vAlign w:val="center"/>
          </w:tcPr>
          <w:p w14:paraId="0E357CBA">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2</w:t>
            </w:r>
          </w:p>
        </w:tc>
        <w:tc>
          <w:tcPr>
            <w:tcW w:w="475" w:type="pct"/>
            <w:vAlign w:val="center"/>
          </w:tcPr>
          <w:p w14:paraId="336B8F56">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53BBC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6177F59B">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179EEF25">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单道移液器</w:t>
            </w:r>
          </w:p>
        </w:tc>
        <w:tc>
          <w:tcPr>
            <w:tcW w:w="3139" w:type="pct"/>
            <w:shd w:val="clear" w:color="auto" w:fill="auto"/>
            <w:vAlign w:val="center"/>
          </w:tcPr>
          <w:p w14:paraId="3CBC317C">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0.1-2.5μL，1-10μL，10-100μL，20-200μL，100-1000μL各一支</w:t>
            </w:r>
          </w:p>
        </w:tc>
        <w:tc>
          <w:tcPr>
            <w:tcW w:w="476" w:type="pct"/>
            <w:vAlign w:val="center"/>
          </w:tcPr>
          <w:p w14:paraId="53EAB327">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2</w:t>
            </w:r>
          </w:p>
        </w:tc>
        <w:tc>
          <w:tcPr>
            <w:tcW w:w="475" w:type="pct"/>
            <w:vAlign w:val="center"/>
          </w:tcPr>
          <w:p w14:paraId="05BF112A">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2C3B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8" w:hRule="atLeast"/>
          <w:jc w:val="center"/>
        </w:trPr>
        <w:tc>
          <w:tcPr>
            <w:tcW w:w="0" w:type="auto"/>
            <w:shd w:val="clear" w:color="auto" w:fill="auto"/>
            <w:vAlign w:val="center"/>
          </w:tcPr>
          <w:p w14:paraId="18A08D47">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6321253C">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高压灭菌锅</w:t>
            </w:r>
          </w:p>
        </w:tc>
        <w:tc>
          <w:tcPr>
            <w:tcW w:w="3139" w:type="pct"/>
            <w:shd w:val="clear" w:color="auto" w:fill="auto"/>
            <w:vAlign w:val="center"/>
          </w:tcPr>
          <w:p w14:paraId="7100C5D2">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1.锅盖启闭装置采用拨杆式多连杆同步伸缩结构</w:t>
            </w:r>
            <w:r>
              <w:rPr>
                <w:rFonts w:hint="eastAsia" w:ascii="宋体" w:hAnsi="宋体" w:eastAsia="宋体" w:cs="宋体"/>
                <w:b/>
                <w:bCs/>
                <w:color w:val="auto"/>
                <w:sz w:val="21"/>
                <w:szCs w:val="21"/>
                <w:highlight w:val="none"/>
                <w:vertAlign w:val="baseline"/>
                <w:lang w:val="en-US" w:eastAsia="zh-CN"/>
              </w:rPr>
              <w:t>；</w:t>
            </w:r>
          </w:p>
          <w:p w14:paraId="0ED4DE89">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2.灭菌锅体采用304及以上不锈钢材质；</w:t>
            </w:r>
          </w:p>
          <w:p w14:paraId="06930542">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3.数码液晶窗中文显示运行状态，灭菌结束提醒自动停机；</w:t>
            </w:r>
          </w:p>
          <w:p w14:paraId="69149FCA">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4.具备故障自动检测判断系统；</w:t>
            </w:r>
          </w:p>
          <w:p w14:paraId="51FEB37A">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5.具备灭菌结束自动排气功能；</w:t>
            </w:r>
          </w:p>
          <w:p w14:paraId="1CA50958">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6.灭菌温度可选设定范围50℃-130℃；</w:t>
            </w:r>
          </w:p>
          <w:p w14:paraId="427945D7">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7.灭菌时间可调设定范围0-10h；</w:t>
            </w:r>
          </w:p>
          <w:p w14:paraId="43264E1A">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8.具有断水保护防干烧和漏电保护系统；</w:t>
            </w:r>
          </w:p>
          <w:p w14:paraId="29A6B0C2">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9.具有机械式安全泄压阀和电控式过压保护装置；</w:t>
            </w:r>
          </w:p>
          <w:p w14:paraId="48164882">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10.容积：≥75升,电源电压:220V/50Hz；</w:t>
            </w:r>
          </w:p>
          <w:p w14:paraId="0DE6FA00">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11.</w:t>
            </w:r>
            <w:r>
              <w:rPr>
                <w:rFonts w:hint="eastAsia" w:ascii="宋体" w:hAnsi="宋体" w:eastAsia="宋体" w:cs="宋体"/>
                <w:color w:val="auto"/>
                <w:sz w:val="21"/>
                <w:szCs w:val="21"/>
              </w:rPr>
              <w:t>网篮2只</w:t>
            </w:r>
            <w:r>
              <w:rPr>
                <w:rFonts w:hint="eastAsia" w:ascii="宋体" w:hAnsi="宋体" w:eastAsia="宋体" w:cs="宋体"/>
                <w:color w:val="auto"/>
                <w:sz w:val="21"/>
                <w:szCs w:val="21"/>
                <w:lang w:eastAsia="zh-CN"/>
              </w:rPr>
              <w:t>。</w:t>
            </w:r>
          </w:p>
        </w:tc>
        <w:tc>
          <w:tcPr>
            <w:tcW w:w="476" w:type="pct"/>
            <w:vAlign w:val="center"/>
          </w:tcPr>
          <w:p w14:paraId="13667C04">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2</w:t>
            </w:r>
          </w:p>
        </w:tc>
        <w:tc>
          <w:tcPr>
            <w:tcW w:w="475" w:type="pct"/>
            <w:vAlign w:val="center"/>
          </w:tcPr>
          <w:p w14:paraId="334C0FEB">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3AEE1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5475F327">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3ED1D809">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水浴锅</w:t>
            </w:r>
          </w:p>
        </w:tc>
        <w:tc>
          <w:tcPr>
            <w:tcW w:w="3139" w:type="pct"/>
            <w:shd w:val="clear" w:color="auto" w:fill="auto"/>
            <w:vAlign w:val="center"/>
          </w:tcPr>
          <w:p w14:paraId="64EF73FF">
            <w:pPr>
              <w:keepNext w:val="0"/>
              <w:keepLines w:val="0"/>
              <w:pageBreakBefore w:val="0"/>
              <w:widowControl w:val="0"/>
              <w:tabs>
                <w:tab w:val="center" w:pos="2577"/>
              </w:tabs>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1、双列八孔；</w:t>
            </w:r>
          </w:p>
          <w:p w14:paraId="7D3D11F7">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2、内胆尺寸：≥600*290*120 mm；</w:t>
            </w:r>
          </w:p>
          <w:p w14:paraId="344A1E0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3、控温范围：RT+5-100℃；</w:t>
            </w:r>
          </w:p>
          <w:p w14:paraId="18F8E1ED">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4、温度波动度：±1℃ 。</w:t>
            </w:r>
          </w:p>
        </w:tc>
        <w:tc>
          <w:tcPr>
            <w:tcW w:w="476" w:type="pct"/>
            <w:vAlign w:val="center"/>
          </w:tcPr>
          <w:p w14:paraId="43EAB132">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6</w:t>
            </w:r>
          </w:p>
        </w:tc>
        <w:tc>
          <w:tcPr>
            <w:tcW w:w="475" w:type="pct"/>
            <w:vAlign w:val="center"/>
          </w:tcPr>
          <w:p w14:paraId="1B37D6E6">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1A45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09828F5E">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67D4742E">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成品道闸</w:t>
            </w:r>
          </w:p>
        </w:tc>
        <w:tc>
          <w:tcPr>
            <w:tcW w:w="3139" w:type="pct"/>
            <w:shd w:val="clear" w:color="auto" w:fill="auto"/>
            <w:vAlign w:val="center"/>
          </w:tcPr>
          <w:p w14:paraId="1D04E0CB">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1.车牌识别率：白天≥99.8%；夜间≥99.6%；</w:t>
            </w:r>
          </w:p>
          <w:p w14:paraId="172C0954">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2.图像分辨率：≥720P CIF4 CIF；防护等级：≥IP66；</w:t>
            </w:r>
          </w:p>
          <w:p w14:paraId="090BF3AB">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3.闸杆尺寸：主杆170mm*55mm*1.8厚，长度约4.5m（现场测量为准） 竖杆60mm*20mm，副杆87mm*44mm；</w:t>
            </w:r>
          </w:p>
          <w:p w14:paraId="3A6CD68C">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4.走人小门尺寸：1163-1730mm可调节（刷脸）。</w:t>
            </w:r>
          </w:p>
        </w:tc>
        <w:tc>
          <w:tcPr>
            <w:tcW w:w="476" w:type="pct"/>
            <w:vAlign w:val="center"/>
          </w:tcPr>
          <w:p w14:paraId="0EAC7510">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2C1ECFFC">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4ADE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571A420B">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62E691BA">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电子显示屏</w:t>
            </w:r>
          </w:p>
        </w:tc>
        <w:tc>
          <w:tcPr>
            <w:tcW w:w="3139" w:type="pct"/>
            <w:shd w:val="clear" w:color="auto" w:fill="auto"/>
            <w:vAlign w:val="center"/>
          </w:tcPr>
          <w:p w14:paraId="21F1C62F">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1.室内</w:t>
            </w:r>
            <w:r>
              <w:rPr>
                <w:rFonts w:hint="eastAsia" w:ascii="宋体" w:hAnsi="宋体" w:eastAsia="宋体" w:cs="宋体"/>
                <w:color w:val="auto"/>
                <w:sz w:val="21"/>
                <w:szCs w:val="21"/>
                <w:lang w:val="en-US" w:eastAsia="zh-CN"/>
              </w:rPr>
              <w:t>悬挂式全彩LED屏，尺寸约为2.31米（宽）×1.30米（高）；</w:t>
            </w:r>
          </w:p>
          <w:p w14:paraId="35C8FFDC">
            <w:pPr>
              <w:keepNext w:val="0"/>
              <w:keepLines w:val="0"/>
              <w:pageBreakBefore w:val="0"/>
              <w:widowControl w:val="0"/>
              <w:numPr>
                <w:ilvl w:val="0"/>
                <w:numId w:val="0"/>
              </w:numPr>
              <w:kinsoku/>
              <w:wordWrap w:val="0"/>
              <w:overflowPunct/>
              <w:topLinePunct w:val="0"/>
              <w:autoSpaceDE/>
              <w:autoSpaceDN/>
              <w:bidi w:val="0"/>
              <w:adjustRightInd/>
              <w:snapToGrid/>
              <w:spacing w:line="300" w:lineRule="auto"/>
              <w:ind w:left="0" w:leftChars="0" w:firstLine="0" w:firstLineChars="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w:t>
            </w: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sz w:val="21"/>
                <w:szCs w:val="21"/>
                <w:lang w:val="en-US" w:eastAsia="zh-CN"/>
              </w:rPr>
              <w:t>≥111100像素/平方米（点间距≤3mm）</w:t>
            </w:r>
            <w:r>
              <w:rPr>
                <w:rFonts w:hint="eastAsia" w:ascii="宋体" w:hAnsi="宋体" w:eastAsia="宋体" w:cs="宋体"/>
                <w:b/>
                <w:bCs/>
                <w:color w:val="auto"/>
                <w:sz w:val="21"/>
                <w:szCs w:val="21"/>
                <w:vertAlign w:val="baseline"/>
                <w:lang w:val="en-US" w:eastAsia="zh-CN"/>
              </w:rPr>
              <w:t>[投标文件中提供产品彩页证明]</w:t>
            </w:r>
          </w:p>
        </w:tc>
        <w:tc>
          <w:tcPr>
            <w:tcW w:w="476" w:type="pct"/>
            <w:vAlign w:val="center"/>
          </w:tcPr>
          <w:p w14:paraId="1A35700E">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44DA847E">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r w14:paraId="0150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748CD5AA">
            <w:pPr>
              <w:keepNext w:val="0"/>
              <w:keepLines w:val="0"/>
              <w:pageBreakBefore w:val="0"/>
              <w:widowControl w:val="0"/>
              <w:numPr>
                <w:ilvl w:val="0"/>
                <w:numId w:val="1"/>
              </w:numPr>
              <w:tabs>
                <w:tab w:val="clear" w:pos="0"/>
              </w:tabs>
              <w:kinsoku/>
              <w:overflowPunct/>
              <w:topLinePunct w:val="0"/>
              <w:autoSpaceDE/>
              <w:autoSpaceDN/>
              <w:bidi w:val="0"/>
              <w:adjustRightInd/>
              <w:snapToGrid/>
              <w:spacing w:line="300" w:lineRule="auto"/>
              <w:ind w:left="0" w:lef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0" w:type="auto"/>
            <w:shd w:val="clear" w:color="auto" w:fill="auto"/>
            <w:vAlign w:val="center"/>
          </w:tcPr>
          <w:p w14:paraId="3B39FF68">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监测数据库服务器</w:t>
            </w:r>
          </w:p>
        </w:tc>
        <w:tc>
          <w:tcPr>
            <w:tcW w:w="3139" w:type="pct"/>
            <w:shd w:val="clear" w:color="auto" w:fill="auto"/>
            <w:vAlign w:val="center"/>
          </w:tcPr>
          <w:p w14:paraId="37A922C7">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1、CPU：≥10核16线程；基础主频≥2.5GHz,最大睿频≥4.7GHz，三级缓存≥20MB</w:t>
            </w:r>
            <w:r>
              <w:rPr>
                <w:rFonts w:hint="eastAsia" w:ascii="宋体" w:hAnsi="宋体" w:eastAsia="宋体" w:cs="宋体"/>
                <w:b/>
                <w:bCs/>
                <w:color w:val="auto"/>
                <w:sz w:val="21"/>
                <w:szCs w:val="21"/>
                <w:vertAlign w:val="baseline"/>
                <w:lang w:val="en-US" w:eastAsia="zh-CN"/>
              </w:rPr>
              <w:t>[投标文件中提供产品彩页证明]</w:t>
            </w:r>
            <w:r>
              <w:rPr>
                <w:rFonts w:hint="eastAsia" w:ascii="宋体" w:hAnsi="宋体" w:eastAsia="宋体" w:cs="宋体"/>
                <w:color w:val="auto"/>
                <w:sz w:val="21"/>
                <w:szCs w:val="21"/>
                <w:lang w:val="en-US" w:eastAsia="zh-CN"/>
              </w:rPr>
              <w:t>；</w:t>
            </w:r>
          </w:p>
          <w:p w14:paraId="1FF2A52B">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2、主板：全固态电容主板，B7芯片组或以上；主板内置PCIe插槽数量：≥3个；</w:t>
            </w:r>
          </w:p>
          <w:p w14:paraId="5166A682">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3、接口：≥9个USB TYPE-A 3.0接口，1个TYPE-C型接口，1个串口，视频接口数量≥3，千兆自适应网卡≥1，前置智能读卡器，前置网络状态指示灯，前置硬件故障指示灯；</w:t>
            </w:r>
          </w:p>
          <w:p w14:paraId="46F5CCB9">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4、存储：≥512GB M.2固态硬盘，≥4TB机械硬盘；</w:t>
            </w:r>
          </w:p>
          <w:p w14:paraId="66490BA9">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5、内存：≥16GB DDR5 5600MHz，内存条配置数量（板载内存不涉及）≥4；</w:t>
            </w:r>
          </w:p>
          <w:p w14:paraId="544BAC72">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6、音频接口：≥5个；</w:t>
            </w:r>
          </w:p>
          <w:p w14:paraId="635FBF95">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7、显卡：独立显卡，内存≥16G，带宽</w:t>
            </w:r>
            <w:r>
              <w:rPr>
                <w:rFonts w:hint="eastAsia" w:ascii="宋体" w:hAnsi="宋体" w:eastAsia="宋体" w:cs="宋体"/>
                <w:color w:val="auto"/>
                <w:sz w:val="21"/>
                <w:szCs w:val="21"/>
              </w:rPr>
              <w:t>≥1 TB/s</w:t>
            </w:r>
            <w:r>
              <w:rPr>
                <w:rFonts w:hint="eastAsia" w:ascii="宋体" w:hAnsi="宋体" w:eastAsia="宋体" w:cs="宋体"/>
                <w:b/>
                <w:bCs/>
                <w:color w:val="auto"/>
                <w:sz w:val="21"/>
                <w:szCs w:val="21"/>
                <w:vertAlign w:val="baseline"/>
                <w:lang w:val="en-US" w:eastAsia="zh-CN"/>
              </w:rPr>
              <w:t>[投标文件中提供产品彩页证明]</w:t>
            </w:r>
            <w:r>
              <w:rPr>
                <w:rFonts w:hint="eastAsia" w:ascii="宋体" w:hAnsi="宋体" w:eastAsia="宋体" w:cs="宋体"/>
                <w:color w:val="auto"/>
                <w:sz w:val="21"/>
                <w:szCs w:val="21"/>
                <w:vertAlign w:val="baseline"/>
                <w:lang w:val="en-US" w:eastAsia="zh-CN"/>
              </w:rPr>
              <w:t>；</w:t>
            </w:r>
          </w:p>
          <w:p w14:paraId="268F4EC8">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8、电源：额定功率不低于330W，运行电压89V-265V之间可稳定运行；</w:t>
            </w:r>
          </w:p>
          <w:p w14:paraId="7078C663">
            <w:pPr>
              <w:keepNext w:val="0"/>
              <w:keepLines w:val="0"/>
              <w:pageBreakBefore w:val="0"/>
              <w:widowControl w:val="0"/>
              <w:kinsoku/>
              <w:wordWrap w:val="0"/>
              <w:overflowPunct/>
              <w:topLinePunct w:val="0"/>
              <w:autoSpaceDE/>
              <w:autoSpaceDN/>
              <w:bidi w:val="0"/>
              <w:adjustRightInd/>
              <w:snapToGrid/>
              <w:spacing w:line="300" w:lineRule="auto"/>
              <w:ind w:left="0" w:firstLine="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9、≥23.8英寸IPS显示，分辨率≥1920*1080，刷新率≥120Hz，VGA+HDMI接口。</w:t>
            </w:r>
          </w:p>
        </w:tc>
        <w:tc>
          <w:tcPr>
            <w:tcW w:w="476" w:type="pct"/>
            <w:vAlign w:val="center"/>
          </w:tcPr>
          <w:p w14:paraId="76879F30">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475" w:type="pct"/>
            <w:vAlign w:val="center"/>
          </w:tcPr>
          <w:p w14:paraId="003578D7">
            <w:pPr>
              <w:keepNext w:val="0"/>
              <w:keepLines w:val="0"/>
              <w:pageBreakBefore w:val="0"/>
              <w:widowControl w:val="0"/>
              <w:kinsoku/>
              <w:overflowPunct/>
              <w:topLinePunct w:val="0"/>
              <w:autoSpaceDE/>
              <w:autoSpaceDN/>
              <w:bidi w:val="0"/>
              <w:adjustRightInd/>
              <w:snapToGrid/>
              <w:spacing w:line="300" w:lineRule="auto"/>
              <w:ind w:left="0" w:firstLine="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工业</w:t>
            </w:r>
          </w:p>
        </w:tc>
      </w:tr>
    </w:tbl>
    <w:p w14:paraId="7211EA8A">
      <w:pPr>
        <w:spacing w:line="360" w:lineRule="auto"/>
        <w:ind w:firstLine="437"/>
        <w:outlineLvl w:val="1"/>
        <w:rPr>
          <w:rFonts w:ascii="宋体" w:hAnsi="宋体" w:eastAsia="宋体"/>
          <w:b/>
          <w:bCs/>
          <w:color w:val="auto"/>
          <w:sz w:val="24"/>
          <w:szCs w:val="18"/>
          <w:highlight w:val="none"/>
        </w:rPr>
      </w:pPr>
      <w:bookmarkStart w:id="6" w:name="_Toc4843"/>
      <w:bookmarkStart w:id="7" w:name="_Toc7421"/>
      <w:bookmarkStart w:id="8" w:name="_Toc773"/>
      <w:r>
        <w:rPr>
          <w:rFonts w:hint="eastAsia" w:ascii="宋体" w:hAnsi="宋体" w:eastAsia="宋体"/>
          <w:b/>
          <w:bCs/>
          <w:color w:val="auto"/>
          <w:sz w:val="24"/>
          <w:szCs w:val="18"/>
          <w:highlight w:val="none"/>
        </w:rPr>
        <w:t>三、报价要求</w:t>
      </w:r>
      <w:bookmarkEnd w:id="6"/>
      <w:bookmarkEnd w:id="7"/>
      <w:bookmarkEnd w:id="8"/>
    </w:p>
    <w:p w14:paraId="6015AA15">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本项目报总价，投标报价</w:t>
      </w:r>
      <w:r>
        <w:rPr>
          <w:rFonts w:ascii="宋体" w:hAnsi="宋体" w:eastAsia="宋体"/>
          <w:bCs/>
          <w:color w:val="auto"/>
          <w:sz w:val="24"/>
          <w:szCs w:val="18"/>
          <w:highlight w:val="none"/>
        </w:rPr>
        <w:t>包括</w:t>
      </w:r>
      <w:r>
        <w:rPr>
          <w:rFonts w:hint="eastAsia" w:ascii="宋体" w:hAnsi="宋体" w:eastAsia="宋体"/>
          <w:bCs/>
          <w:color w:val="auto"/>
          <w:sz w:val="24"/>
          <w:szCs w:val="18"/>
          <w:highlight w:val="none"/>
        </w:rPr>
        <w:t>本项目需求的全部货物及所需附件购置费、包装费、运输费、人工费、安装调试费、各种税费、资料费、售后服务费及完成项目应有的全部费用。</w:t>
      </w:r>
    </w:p>
    <w:p w14:paraId="75A82534">
      <w:pPr>
        <w:spacing w:line="360" w:lineRule="auto"/>
        <w:ind w:firstLine="437"/>
        <w:outlineLvl w:val="1"/>
        <w:rPr>
          <w:rFonts w:hint="eastAsia" w:ascii="宋体" w:hAnsi="宋体" w:eastAsia="宋体"/>
          <w:b/>
          <w:bCs/>
          <w:color w:val="auto"/>
          <w:sz w:val="24"/>
          <w:szCs w:val="18"/>
          <w:highlight w:val="none"/>
        </w:rPr>
      </w:pPr>
      <w:bookmarkStart w:id="9" w:name="_Toc4591"/>
      <w:r>
        <w:rPr>
          <w:rFonts w:hint="eastAsia" w:ascii="宋体" w:hAnsi="宋体" w:eastAsia="宋体"/>
          <w:b/>
          <w:bCs/>
          <w:color w:val="auto"/>
          <w:sz w:val="24"/>
          <w:szCs w:val="18"/>
          <w:highlight w:val="none"/>
        </w:rPr>
        <w:t>四、备品备件及专用工具</w:t>
      </w:r>
      <w:bookmarkEnd w:id="9"/>
    </w:p>
    <w:p w14:paraId="0A607135">
      <w:pPr>
        <w:spacing w:line="360" w:lineRule="auto"/>
        <w:ind w:firstLine="437"/>
        <w:outlineLvl w:val="1"/>
        <w:rPr>
          <w:rFonts w:ascii="宋体" w:hAnsi="宋体" w:eastAsia="宋体"/>
          <w:bCs/>
          <w:color w:val="auto"/>
          <w:sz w:val="24"/>
          <w:szCs w:val="18"/>
          <w:highlight w:val="none"/>
        </w:rPr>
      </w:pPr>
      <w:bookmarkStart w:id="10" w:name="_Toc20099"/>
      <w:bookmarkStart w:id="11" w:name="_Toc455587277"/>
      <w:bookmarkStart w:id="12" w:name="_Toc455587093"/>
      <w:bookmarkStart w:id="13" w:name="_Toc445554752"/>
      <w:r>
        <w:rPr>
          <w:rFonts w:ascii="宋体" w:hAnsi="宋体" w:eastAsia="宋体"/>
          <w:bCs/>
          <w:color w:val="auto"/>
          <w:sz w:val="24"/>
          <w:szCs w:val="18"/>
          <w:highlight w:val="none"/>
        </w:rPr>
        <w:t>1、备品备件：中标人提供能够满足质量保证期内的设备维修要求的备品备件，备品备件应是新品。</w:t>
      </w:r>
      <w:bookmarkEnd w:id="10"/>
    </w:p>
    <w:p w14:paraId="4DD3331B">
      <w:pPr>
        <w:spacing w:line="360" w:lineRule="auto"/>
        <w:ind w:firstLine="437"/>
        <w:outlineLvl w:val="1"/>
        <w:rPr>
          <w:rFonts w:ascii="宋体" w:hAnsi="宋体" w:eastAsia="宋体"/>
          <w:bCs/>
          <w:color w:val="auto"/>
          <w:sz w:val="24"/>
          <w:szCs w:val="18"/>
          <w:highlight w:val="none"/>
        </w:rPr>
      </w:pPr>
      <w:bookmarkStart w:id="14" w:name="_Toc28160"/>
      <w:r>
        <w:rPr>
          <w:rFonts w:ascii="宋体" w:hAnsi="宋体" w:eastAsia="宋体"/>
          <w:bCs/>
          <w:color w:val="auto"/>
          <w:sz w:val="24"/>
          <w:szCs w:val="18"/>
          <w:highlight w:val="none"/>
        </w:rPr>
        <w:t>2、专用工具：中标人提供设备安装、调试、维修、保养所必要的专用工具、仪器、仪表等工具。</w:t>
      </w:r>
      <w:bookmarkEnd w:id="14"/>
    </w:p>
    <w:bookmarkEnd w:id="11"/>
    <w:bookmarkEnd w:id="12"/>
    <w:bookmarkEnd w:id="13"/>
    <w:p w14:paraId="29D6A966">
      <w:pPr>
        <w:spacing w:line="360" w:lineRule="auto"/>
        <w:ind w:firstLine="437"/>
        <w:outlineLvl w:val="1"/>
        <w:rPr>
          <w:rFonts w:hint="eastAsia" w:ascii="宋体" w:hAnsi="宋体" w:eastAsia="宋体"/>
          <w:b/>
          <w:bCs/>
          <w:color w:val="auto"/>
          <w:sz w:val="24"/>
          <w:szCs w:val="18"/>
          <w:highlight w:val="none"/>
        </w:rPr>
      </w:pPr>
      <w:bookmarkStart w:id="15" w:name="_Toc532199625"/>
      <w:bookmarkStart w:id="16" w:name="_Toc7248"/>
      <w:bookmarkStart w:id="17" w:name="_Toc455587094"/>
      <w:bookmarkStart w:id="18" w:name="_Toc445554753"/>
      <w:bookmarkStart w:id="19" w:name="_Toc455587278"/>
      <w:r>
        <w:rPr>
          <w:rFonts w:hint="eastAsia" w:ascii="宋体" w:hAnsi="宋体" w:eastAsia="宋体"/>
          <w:b/>
          <w:bCs/>
          <w:color w:val="auto"/>
          <w:sz w:val="24"/>
          <w:szCs w:val="18"/>
          <w:highlight w:val="none"/>
          <w:lang w:eastAsia="zh-CN"/>
        </w:rPr>
        <w:t>五</w:t>
      </w:r>
      <w:r>
        <w:rPr>
          <w:rFonts w:hint="eastAsia" w:ascii="宋体" w:hAnsi="宋体" w:eastAsia="宋体"/>
          <w:b/>
          <w:bCs/>
          <w:color w:val="auto"/>
          <w:sz w:val="24"/>
          <w:szCs w:val="18"/>
          <w:highlight w:val="none"/>
        </w:rPr>
        <w:t>、安装调试、验收试验及质量保证</w:t>
      </w:r>
      <w:bookmarkEnd w:id="15"/>
      <w:bookmarkEnd w:id="16"/>
    </w:p>
    <w:p w14:paraId="49EDBB38">
      <w:pPr>
        <w:spacing w:line="360" w:lineRule="auto"/>
        <w:ind w:firstLine="437"/>
        <w:outlineLvl w:val="1"/>
        <w:rPr>
          <w:rFonts w:ascii="宋体" w:hAnsi="宋体" w:eastAsia="宋体"/>
          <w:bCs/>
          <w:color w:val="auto"/>
          <w:sz w:val="24"/>
          <w:szCs w:val="18"/>
          <w:highlight w:val="none"/>
        </w:rPr>
      </w:pPr>
      <w:bookmarkStart w:id="20" w:name="_Toc1466"/>
      <w:r>
        <w:rPr>
          <w:rFonts w:ascii="宋体" w:hAnsi="宋体" w:eastAsia="宋体"/>
          <w:bCs/>
          <w:color w:val="auto"/>
          <w:sz w:val="24"/>
          <w:szCs w:val="18"/>
          <w:highlight w:val="none"/>
        </w:rPr>
        <w:t>1、中标人在设备安装地点负责安装、调试。</w:t>
      </w:r>
      <w:bookmarkEnd w:id="20"/>
    </w:p>
    <w:p w14:paraId="7C8BDAD9">
      <w:pPr>
        <w:spacing w:line="360" w:lineRule="auto"/>
        <w:ind w:firstLine="437"/>
        <w:outlineLvl w:val="1"/>
        <w:rPr>
          <w:rFonts w:ascii="宋体" w:hAnsi="宋体" w:eastAsia="宋体"/>
          <w:bCs/>
          <w:color w:val="auto"/>
          <w:sz w:val="24"/>
          <w:szCs w:val="18"/>
          <w:highlight w:val="none"/>
        </w:rPr>
      </w:pPr>
      <w:bookmarkStart w:id="21" w:name="_Toc23643"/>
      <w:r>
        <w:rPr>
          <w:rFonts w:ascii="宋体" w:hAnsi="宋体" w:eastAsia="宋体"/>
          <w:bCs/>
          <w:color w:val="auto"/>
          <w:sz w:val="24"/>
          <w:szCs w:val="18"/>
          <w:highlight w:val="none"/>
        </w:rPr>
        <w:t>2、具体设备验收标准和程序按采购人要求执行，下列验收程序可参照执行：</w:t>
      </w:r>
      <w:bookmarkEnd w:id="21"/>
    </w:p>
    <w:p w14:paraId="11840BE4">
      <w:pPr>
        <w:spacing w:line="360" w:lineRule="auto"/>
        <w:ind w:firstLine="437"/>
        <w:outlineLvl w:val="1"/>
        <w:rPr>
          <w:rFonts w:ascii="宋体" w:hAnsi="宋体" w:eastAsia="宋体"/>
          <w:bCs/>
          <w:color w:val="auto"/>
          <w:sz w:val="24"/>
          <w:szCs w:val="18"/>
          <w:highlight w:val="none"/>
        </w:rPr>
      </w:pPr>
      <w:bookmarkStart w:id="22" w:name="_Toc4108"/>
      <w:r>
        <w:rPr>
          <w:rFonts w:ascii="宋体" w:hAnsi="宋体" w:eastAsia="宋体"/>
          <w:bCs/>
          <w:color w:val="auto"/>
          <w:sz w:val="24"/>
          <w:szCs w:val="18"/>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bookmarkEnd w:id="22"/>
    </w:p>
    <w:p w14:paraId="44EDDDC2">
      <w:pPr>
        <w:spacing w:line="360" w:lineRule="auto"/>
        <w:ind w:firstLine="437"/>
        <w:outlineLvl w:val="1"/>
        <w:rPr>
          <w:rFonts w:ascii="宋体" w:hAnsi="宋体" w:eastAsia="宋体"/>
          <w:bCs/>
          <w:color w:val="auto"/>
          <w:sz w:val="24"/>
          <w:szCs w:val="18"/>
          <w:highlight w:val="none"/>
        </w:rPr>
      </w:pPr>
      <w:bookmarkStart w:id="23" w:name="_Toc15785"/>
      <w:r>
        <w:rPr>
          <w:rFonts w:ascii="宋体" w:hAnsi="宋体" w:eastAsia="宋体"/>
          <w:bCs/>
          <w:color w:val="auto"/>
          <w:sz w:val="24"/>
          <w:szCs w:val="18"/>
          <w:highlight w:val="none"/>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bookmarkEnd w:id="23"/>
    </w:p>
    <w:p w14:paraId="585538B4">
      <w:pPr>
        <w:spacing w:line="360" w:lineRule="auto"/>
        <w:ind w:firstLine="437"/>
        <w:outlineLvl w:val="1"/>
        <w:rPr>
          <w:rFonts w:ascii="宋体" w:hAnsi="宋体" w:eastAsia="宋体"/>
          <w:bCs/>
          <w:color w:val="auto"/>
          <w:sz w:val="24"/>
          <w:szCs w:val="18"/>
          <w:highlight w:val="none"/>
        </w:rPr>
      </w:pPr>
      <w:bookmarkStart w:id="24" w:name="_Toc19568"/>
      <w:r>
        <w:rPr>
          <w:rFonts w:ascii="宋体" w:hAnsi="宋体" w:eastAsia="宋体"/>
          <w:bCs/>
          <w:color w:val="auto"/>
          <w:sz w:val="24"/>
          <w:szCs w:val="18"/>
          <w:highlight w:val="none"/>
        </w:rPr>
        <w:t>2.3 中标人应根据采购人使用单位的技术要求提供相应的产品。由中标人所提供的设备部件间的连线和插接件均应视为设备内部器件，包含在相应的设备之中。</w:t>
      </w:r>
      <w:bookmarkEnd w:id="24"/>
    </w:p>
    <w:p w14:paraId="3AFACE87">
      <w:pPr>
        <w:spacing w:line="360" w:lineRule="auto"/>
        <w:ind w:firstLine="437"/>
        <w:outlineLvl w:val="1"/>
        <w:rPr>
          <w:rFonts w:ascii="宋体" w:hAnsi="宋体" w:eastAsia="宋体"/>
          <w:bCs/>
          <w:color w:val="auto"/>
          <w:sz w:val="24"/>
          <w:szCs w:val="18"/>
          <w:highlight w:val="none"/>
        </w:rPr>
      </w:pPr>
      <w:bookmarkStart w:id="25" w:name="_Toc17457"/>
      <w:r>
        <w:rPr>
          <w:rFonts w:ascii="宋体" w:hAnsi="宋体" w:eastAsia="宋体"/>
          <w:bCs/>
          <w:color w:val="auto"/>
          <w:sz w:val="24"/>
          <w:szCs w:val="18"/>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bookmarkEnd w:id="25"/>
    </w:p>
    <w:p w14:paraId="0BED61DB">
      <w:pPr>
        <w:spacing w:line="360" w:lineRule="auto"/>
        <w:ind w:firstLine="437"/>
        <w:outlineLvl w:val="1"/>
        <w:rPr>
          <w:rFonts w:ascii="宋体" w:hAnsi="宋体" w:eastAsia="宋体"/>
          <w:bCs/>
          <w:color w:val="auto"/>
          <w:sz w:val="24"/>
          <w:szCs w:val="18"/>
          <w:highlight w:val="none"/>
        </w:rPr>
      </w:pPr>
      <w:bookmarkStart w:id="26" w:name="_Toc28637"/>
      <w:r>
        <w:rPr>
          <w:rFonts w:ascii="宋体" w:hAnsi="宋体" w:eastAsia="宋体"/>
          <w:bCs/>
          <w:color w:val="auto"/>
          <w:sz w:val="24"/>
          <w:szCs w:val="18"/>
          <w:highlight w:val="none"/>
        </w:rPr>
        <w:t>2.5 中标人应向采购人提供安装调试过程中的各种文档资料,以便采购人今后能掌握操作和维护方法。</w:t>
      </w:r>
      <w:bookmarkEnd w:id="26"/>
    </w:p>
    <w:p w14:paraId="5B2E9AB4">
      <w:pPr>
        <w:spacing w:line="360" w:lineRule="auto"/>
        <w:ind w:firstLine="437"/>
        <w:outlineLvl w:val="1"/>
        <w:rPr>
          <w:rFonts w:ascii="宋体" w:hAnsi="宋体" w:eastAsia="宋体"/>
          <w:bCs/>
          <w:color w:val="auto"/>
          <w:sz w:val="24"/>
          <w:szCs w:val="18"/>
          <w:highlight w:val="none"/>
        </w:rPr>
      </w:pPr>
      <w:bookmarkStart w:id="27" w:name="_Toc30337"/>
      <w:r>
        <w:rPr>
          <w:rFonts w:ascii="宋体" w:hAnsi="宋体" w:eastAsia="宋体"/>
          <w:bCs/>
          <w:color w:val="auto"/>
          <w:sz w:val="24"/>
          <w:szCs w:val="18"/>
          <w:highlight w:val="none"/>
        </w:rPr>
        <w:t>3、如设备在验收时有一个或多个指标未能达到要求而属于中标人责任时，则中标人自费采取有效措施，在</w:t>
      </w:r>
      <w:r>
        <w:rPr>
          <w:rFonts w:hint="eastAsia" w:ascii="宋体" w:hAnsi="宋体" w:eastAsia="宋体"/>
          <w:bCs/>
          <w:color w:val="auto"/>
          <w:sz w:val="24"/>
          <w:szCs w:val="18"/>
          <w:highlight w:val="none"/>
          <w:lang w:val="en-US" w:eastAsia="zh-CN"/>
        </w:rPr>
        <w:t>采购人</w:t>
      </w:r>
      <w:r>
        <w:rPr>
          <w:rFonts w:ascii="宋体" w:hAnsi="宋体" w:eastAsia="宋体"/>
          <w:bCs/>
          <w:color w:val="auto"/>
          <w:sz w:val="24"/>
          <w:szCs w:val="18"/>
          <w:highlight w:val="none"/>
        </w:rPr>
        <w:t>规定时间内使之达到保证指标。如在</w:t>
      </w:r>
      <w:r>
        <w:rPr>
          <w:rFonts w:hint="eastAsia" w:ascii="宋体" w:hAnsi="宋体" w:eastAsia="宋体"/>
          <w:bCs/>
          <w:color w:val="auto"/>
          <w:sz w:val="24"/>
          <w:szCs w:val="18"/>
          <w:highlight w:val="none"/>
          <w:lang w:val="en-US" w:eastAsia="zh-CN"/>
        </w:rPr>
        <w:t>采购人</w:t>
      </w:r>
      <w:r>
        <w:rPr>
          <w:rFonts w:ascii="宋体" w:hAnsi="宋体" w:eastAsia="宋体"/>
          <w:bCs/>
          <w:color w:val="auto"/>
          <w:sz w:val="24"/>
          <w:szCs w:val="18"/>
          <w:highlight w:val="none"/>
        </w:rPr>
        <w:t>规定的时间内仍达不到合格标准时，则中标人应向采购人赔偿。</w:t>
      </w:r>
      <w:bookmarkEnd w:id="27"/>
    </w:p>
    <w:p w14:paraId="2714D47C">
      <w:pPr>
        <w:spacing w:line="360" w:lineRule="auto"/>
        <w:ind w:firstLine="437"/>
        <w:outlineLvl w:val="1"/>
        <w:rPr>
          <w:rFonts w:hint="eastAsia" w:ascii="宋体" w:hAnsi="宋体" w:eastAsia="宋体"/>
          <w:b/>
          <w:bCs/>
          <w:color w:val="auto"/>
          <w:sz w:val="24"/>
          <w:szCs w:val="18"/>
          <w:highlight w:val="none"/>
        </w:rPr>
      </w:pPr>
      <w:bookmarkStart w:id="28" w:name="_Toc532199626"/>
      <w:bookmarkStart w:id="29" w:name="_Toc15954"/>
      <w:r>
        <w:rPr>
          <w:rFonts w:hint="eastAsia" w:ascii="宋体" w:hAnsi="宋体" w:eastAsia="宋体"/>
          <w:b/>
          <w:bCs/>
          <w:color w:val="auto"/>
          <w:sz w:val="24"/>
          <w:szCs w:val="18"/>
          <w:highlight w:val="none"/>
        </w:rPr>
        <w:t>六、包装运输</w:t>
      </w:r>
      <w:bookmarkEnd w:id="17"/>
      <w:bookmarkEnd w:id="18"/>
      <w:bookmarkEnd w:id="19"/>
      <w:bookmarkEnd w:id="28"/>
      <w:bookmarkEnd w:id="29"/>
    </w:p>
    <w:p w14:paraId="4786D7C9">
      <w:pPr>
        <w:spacing w:line="360" w:lineRule="auto"/>
        <w:ind w:firstLine="437"/>
        <w:outlineLvl w:val="1"/>
        <w:rPr>
          <w:rFonts w:ascii="宋体" w:hAnsi="宋体" w:eastAsia="宋体"/>
          <w:bCs/>
          <w:color w:val="auto"/>
          <w:sz w:val="24"/>
          <w:szCs w:val="18"/>
          <w:highlight w:val="none"/>
        </w:rPr>
      </w:pPr>
      <w:bookmarkStart w:id="30" w:name="_Toc10649"/>
      <w:bookmarkStart w:id="31" w:name="_Toc455587095"/>
      <w:bookmarkStart w:id="32" w:name="_Toc455587279"/>
      <w:bookmarkStart w:id="33" w:name="_Toc445554754"/>
      <w:r>
        <w:rPr>
          <w:rFonts w:ascii="宋体" w:hAnsi="宋体" w:eastAsia="宋体"/>
          <w:bCs/>
          <w:color w:val="auto"/>
          <w:sz w:val="24"/>
          <w:szCs w:val="18"/>
          <w:highlight w:val="none"/>
        </w:rPr>
        <w:t>1、中标人负责设备包装、办理运输和保险，将设备安全运抵交货地点。</w:t>
      </w:r>
      <w:bookmarkEnd w:id="30"/>
    </w:p>
    <w:p w14:paraId="69524BB1">
      <w:pPr>
        <w:spacing w:line="360" w:lineRule="auto"/>
        <w:ind w:firstLine="437"/>
        <w:outlineLvl w:val="1"/>
        <w:rPr>
          <w:rFonts w:ascii="宋体" w:hAnsi="宋体" w:eastAsia="宋体"/>
          <w:bCs/>
          <w:color w:val="auto"/>
          <w:sz w:val="24"/>
          <w:szCs w:val="18"/>
          <w:highlight w:val="none"/>
        </w:rPr>
      </w:pPr>
      <w:bookmarkStart w:id="34" w:name="_Toc24006"/>
      <w:r>
        <w:rPr>
          <w:rFonts w:ascii="宋体" w:hAnsi="宋体" w:eastAsia="宋体"/>
          <w:bCs/>
          <w:color w:val="auto"/>
          <w:sz w:val="24"/>
          <w:szCs w:val="18"/>
          <w:highlight w:val="none"/>
        </w:rPr>
        <w:t>2、设备制造完成并通过试验后应及时包装，否则应得到切实的保护，确保其不受污损。</w:t>
      </w:r>
      <w:bookmarkEnd w:id="34"/>
    </w:p>
    <w:p w14:paraId="2419B0B9">
      <w:pPr>
        <w:spacing w:line="360" w:lineRule="auto"/>
        <w:ind w:firstLine="437"/>
        <w:outlineLvl w:val="1"/>
        <w:rPr>
          <w:rFonts w:ascii="宋体" w:hAnsi="宋体" w:eastAsia="宋体"/>
          <w:bCs/>
          <w:color w:val="auto"/>
          <w:sz w:val="24"/>
          <w:szCs w:val="18"/>
          <w:highlight w:val="none"/>
        </w:rPr>
      </w:pPr>
      <w:bookmarkStart w:id="35" w:name="_Toc25766"/>
      <w:r>
        <w:rPr>
          <w:rFonts w:ascii="宋体" w:hAnsi="宋体" w:eastAsia="宋体"/>
          <w:bCs/>
          <w:color w:val="auto"/>
          <w:sz w:val="24"/>
          <w:szCs w:val="18"/>
          <w:highlight w:val="none"/>
        </w:rPr>
        <w:t>3、在包装箱外应标明采购人的订货号、发货号。</w:t>
      </w:r>
      <w:bookmarkEnd w:id="35"/>
    </w:p>
    <w:p w14:paraId="20860EAF">
      <w:pPr>
        <w:spacing w:line="360" w:lineRule="auto"/>
        <w:ind w:firstLine="437"/>
        <w:outlineLvl w:val="1"/>
        <w:rPr>
          <w:rFonts w:ascii="宋体" w:hAnsi="宋体" w:eastAsia="宋体"/>
          <w:bCs/>
          <w:color w:val="auto"/>
          <w:sz w:val="24"/>
          <w:szCs w:val="18"/>
          <w:highlight w:val="none"/>
        </w:rPr>
      </w:pPr>
      <w:bookmarkStart w:id="36" w:name="_Toc5502"/>
      <w:r>
        <w:rPr>
          <w:rFonts w:ascii="宋体" w:hAnsi="宋体" w:eastAsia="宋体"/>
          <w:bCs/>
          <w:color w:val="auto"/>
          <w:sz w:val="24"/>
          <w:szCs w:val="18"/>
          <w:highlight w:val="none"/>
        </w:rPr>
        <w:t>4、各种包装应能确保各零部件在运输过程中不致遭到损坏、丢失、变形、受潮和腐蚀。</w:t>
      </w:r>
      <w:bookmarkEnd w:id="36"/>
    </w:p>
    <w:p w14:paraId="7AD9D441">
      <w:pPr>
        <w:spacing w:line="360" w:lineRule="auto"/>
        <w:ind w:firstLine="437"/>
        <w:outlineLvl w:val="1"/>
        <w:rPr>
          <w:rFonts w:ascii="宋体" w:hAnsi="宋体" w:eastAsia="宋体"/>
          <w:bCs/>
          <w:color w:val="auto"/>
          <w:sz w:val="24"/>
          <w:szCs w:val="18"/>
          <w:highlight w:val="none"/>
        </w:rPr>
      </w:pPr>
      <w:bookmarkStart w:id="37" w:name="_Toc25470"/>
      <w:r>
        <w:rPr>
          <w:rFonts w:ascii="宋体" w:hAnsi="宋体" w:eastAsia="宋体"/>
          <w:bCs/>
          <w:color w:val="auto"/>
          <w:sz w:val="24"/>
          <w:szCs w:val="18"/>
          <w:highlight w:val="none"/>
        </w:rPr>
        <w:t>5、包装箱上应有明显的包装储运图示标志。</w:t>
      </w:r>
      <w:bookmarkEnd w:id="37"/>
    </w:p>
    <w:p w14:paraId="3C3B6058">
      <w:pPr>
        <w:spacing w:line="360" w:lineRule="auto"/>
        <w:ind w:firstLine="437"/>
        <w:outlineLvl w:val="1"/>
        <w:rPr>
          <w:rFonts w:ascii="宋体" w:hAnsi="宋体" w:eastAsia="宋体"/>
          <w:bCs/>
          <w:color w:val="auto"/>
          <w:sz w:val="24"/>
          <w:szCs w:val="18"/>
          <w:highlight w:val="none"/>
        </w:rPr>
      </w:pPr>
      <w:bookmarkStart w:id="38" w:name="_Toc1298"/>
      <w:r>
        <w:rPr>
          <w:rFonts w:ascii="宋体" w:hAnsi="宋体" w:eastAsia="宋体"/>
          <w:bCs/>
          <w:color w:val="auto"/>
          <w:sz w:val="24"/>
          <w:szCs w:val="18"/>
          <w:highlight w:val="none"/>
        </w:rPr>
        <w:t>6、整体产品或分别运输的部件都要适应运输和装载的要求。</w:t>
      </w:r>
      <w:bookmarkEnd w:id="38"/>
    </w:p>
    <w:p w14:paraId="2B200FB3">
      <w:pPr>
        <w:spacing w:line="360" w:lineRule="auto"/>
        <w:ind w:firstLine="437"/>
        <w:outlineLvl w:val="1"/>
        <w:rPr>
          <w:rFonts w:ascii="宋体" w:hAnsi="宋体" w:eastAsia="宋体"/>
          <w:bCs/>
          <w:color w:val="auto"/>
          <w:sz w:val="24"/>
          <w:szCs w:val="18"/>
          <w:highlight w:val="none"/>
        </w:rPr>
      </w:pPr>
      <w:bookmarkStart w:id="39" w:name="_Toc13835"/>
      <w:r>
        <w:rPr>
          <w:rFonts w:ascii="宋体" w:hAnsi="宋体" w:eastAsia="宋体"/>
          <w:bCs/>
          <w:color w:val="auto"/>
          <w:sz w:val="24"/>
          <w:szCs w:val="18"/>
          <w:highlight w:val="none"/>
        </w:rPr>
        <w:t>7、随产品提供的技术资料应完整无缺。</w:t>
      </w:r>
      <w:bookmarkEnd w:id="39"/>
    </w:p>
    <w:p w14:paraId="3C0B4846">
      <w:pPr>
        <w:spacing w:line="360" w:lineRule="auto"/>
        <w:ind w:firstLine="437"/>
        <w:outlineLvl w:val="1"/>
        <w:rPr>
          <w:rFonts w:hint="eastAsia" w:ascii="宋体" w:hAnsi="宋体" w:eastAsia="宋体"/>
          <w:b/>
          <w:bCs/>
          <w:color w:val="auto"/>
          <w:sz w:val="24"/>
          <w:szCs w:val="18"/>
          <w:highlight w:val="none"/>
        </w:rPr>
      </w:pPr>
      <w:bookmarkStart w:id="40" w:name="_Toc532199627"/>
      <w:bookmarkStart w:id="41" w:name="_Toc30894"/>
      <w:r>
        <w:rPr>
          <w:rFonts w:hint="eastAsia" w:ascii="宋体" w:hAnsi="宋体" w:eastAsia="宋体"/>
          <w:b/>
          <w:bCs/>
          <w:color w:val="auto"/>
          <w:sz w:val="24"/>
          <w:szCs w:val="18"/>
          <w:highlight w:val="none"/>
          <w:lang w:eastAsia="zh-CN"/>
        </w:rPr>
        <w:t>七</w:t>
      </w:r>
      <w:r>
        <w:rPr>
          <w:rFonts w:hint="eastAsia" w:ascii="宋体" w:hAnsi="宋体" w:eastAsia="宋体"/>
          <w:b/>
          <w:bCs/>
          <w:color w:val="auto"/>
          <w:sz w:val="24"/>
          <w:szCs w:val="18"/>
          <w:highlight w:val="none"/>
        </w:rPr>
        <w:t>、技术培训</w:t>
      </w:r>
      <w:bookmarkEnd w:id="31"/>
      <w:bookmarkEnd w:id="32"/>
      <w:bookmarkEnd w:id="33"/>
      <w:bookmarkEnd w:id="40"/>
      <w:bookmarkEnd w:id="41"/>
    </w:p>
    <w:p w14:paraId="7C40B88B">
      <w:pPr>
        <w:spacing w:line="360" w:lineRule="auto"/>
        <w:ind w:firstLine="437"/>
        <w:outlineLvl w:val="1"/>
        <w:rPr>
          <w:rFonts w:ascii="宋体" w:hAnsi="宋体" w:eastAsia="宋体"/>
          <w:bCs/>
          <w:color w:val="auto"/>
          <w:sz w:val="24"/>
          <w:szCs w:val="18"/>
          <w:highlight w:val="none"/>
        </w:rPr>
      </w:pPr>
      <w:bookmarkStart w:id="42" w:name="_Toc11276"/>
      <w:r>
        <w:rPr>
          <w:rFonts w:ascii="宋体" w:hAnsi="宋体" w:eastAsia="宋体"/>
          <w:bCs/>
          <w:color w:val="auto"/>
          <w:sz w:val="24"/>
          <w:szCs w:val="18"/>
          <w:highlight w:val="none"/>
        </w:rPr>
        <w:t>1、为使合同设备能正常安装和运行，由中标人提供相应的技术培训</w:t>
      </w:r>
      <w:r>
        <w:rPr>
          <w:rFonts w:hint="eastAsia" w:ascii="宋体" w:hAnsi="宋体" w:eastAsia="宋体"/>
          <w:bCs/>
          <w:color w:val="auto"/>
          <w:sz w:val="24"/>
          <w:szCs w:val="18"/>
          <w:highlight w:val="none"/>
          <w:lang w:eastAsia="zh-CN"/>
        </w:rPr>
        <w:t>，</w:t>
      </w:r>
      <w:r>
        <w:rPr>
          <w:rFonts w:ascii="宋体" w:hAnsi="宋体" w:eastAsia="宋体"/>
          <w:bCs/>
          <w:color w:val="auto"/>
          <w:sz w:val="24"/>
          <w:szCs w:val="18"/>
          <w:highlight w:val="none"/>
        </w:rPr>
        <w:t>培训费用</w:t>
      </w:r>
      <w:r>
        <w:rPr>
          <w:rFonts w:hint="eastAsia" w:ascii="宋体" w:hAnsi="宋体" w:eastAsia="宋体"/>
          <w:bCs/>
          <w:color w:val="auto"/>
          <w:sz w:val="24"/>
          <w:szCs w:val="18"/>
          <w:highlight w:val="none"/>
          <w:lang w:val="en-US" w:eastAsia="zh-CN"/>
        </w:rPr>
        <w:t>包含在投标报价内</w:t>
      </w:r>
      <w:r>
        <w:rPr>
          <w:rFonts w:ascii="宋体" w:hAnsi="宋体" w:eastAsia="宋体"/>
          <w:bCs/>
          <w:color w:val="auto"/>
          <w:sz w:val="24"/>
          <w:szCs w:val="18"/>
          <w:highlight w:val="none"/>
        </w:rPr>
        <w:t>。</w:t>
      </w:r>
      <w:bookmarkEnd w:id="42"/>
    </w:p>
    <w:p w14:paraId="7183CAF6">
      <w:pPr>
        <w:spacing w:line="360" w:lineRule="auto"/>
        <w:ind w:firstLine="437"/>
        <w:outlineLvl w:val="1"/>
        <w:rPr>
          <w:rFonts w:ascii="宋体" w:hAnsi="宋体" w:eastAsia="宋体"/>
          <w:bCs/>
          <w:color w:val="auto"/>
          <w:sz w:val="24"/>
          <w:szCs w:val="18"/>
          <w:highlight w:val="none"/>
        </w:rPr>
      </w:pPr>
      <w:bookmarkStart w:id="43" w:name="_Toc27731"/>
      <w:r>
        <w:rPr>
          <w:rFonts w:ascii="宋体" w:hAnsi="宋体" w:eastAsia="宋体"/>
          <w:bCs/>
          <w:color w:val="auto"/>
          <w:sz w:val="24"/>
          <w:szCs w:val="18"/>
          <w:highlight w:val="none"/>
        </w:rPr>
        <w:t>2、培训的时间、人数、地点等具体内容由买卖双方商定，内容至少包括：设备原理、使用、维护、运行操作、常见故障处理等。</w:t>
      </w:r>
      <w:bookmarkEnd w:id="43"/>
    </w:p>
    <w:p w14:paraId="016D8747">
      <w:pPr>
        <w:spacing w:line="360" w:lineRule="auto"/>
        <w:ind w:firstLine="437"/>
        <w:outlineLvl w:val="1"/>
        <w:rPr>
          <w:rFonts w:hint="eastAsia" w:ascii="宋体" w:hAnsi="宋体" w:eastAsia="宋体"/>
          <w:b/>
          <w:bCs/>
          <w:color w:val="auto"/>
          <w:sz w:val="24"/>
          <w:szCs w:val="18"/>
          <w:highlight w:val="none"/>
        </w:rPr>
      </w:pPr>
      <w:bookmarkStart w:id="44" w:name="_Toc30668"/>
      <w:bookmarkStart w:id="45" w:name="_Toc532199628"/>
      <w:r>
        <w:rPr>
          <w:rFonts w:hint="eastAsia" w:ascii="宋体" w:hAnsi="宋体" w:eastAsia="宋体"/>
          <w:b/>
          <w:bCs/>
          <w:color w:val="auto"/>
          <w:sz w:val="24"/>
          <w:szCs w:val="18"/>
          <w:highlight w:val="none"/>
          <w:lang w:eastAsia="zh-CN"/>
        </w:rPr>
        <w:t>八</w:t>
      </w:r>
      <w:r>
        <w:rPr>
          <w:rFonts w:hint="eastAsia" w:ascii="宋体" w:hAnsi="宋体" w:eastAsia="宋体"/>
          <w:b/>
          <w:bCs/>
          <w:color w:val="auto"/>
          <w:sz w:val="24"/>
          <w:szCs w:val="18"/>
          <w:highlight w:val="none"/>
        </w:rPr>
        <w:t>、质保及售后服务</w:t>
      </w:r>
      <w:bookmarkEnd w:id="44"/>
    </w:p>
    <w:p w14:paraId="5827F99F">
      <w:pPr>
        <w:spacing w:line="360" w:lineRule="auto"/>
        <w:ind w:firstLine="437"/>
        <w:outlineLvl w:val="1"/>
        <w:rPr>
          <w:rFonts w:ascii="宋体" w:hAnsi="宋体" w:eastAsia="宋体"/>
          <w:bCs/>
          <w:color w:val="auto"/>
          <w:sz w:val="24"/>
          <w:szCs w:val="18"/>
          <w:highlight w:val="none"/>
        </w:rPr>
      </w:pPr>
      <w:bookmarkStart w:id="46" w:name="_Toc7714"/>
      <w:r>
        <w:rPr>
          <w:rFonts w:ascii="宋体" w:hAnsi="宋体" w:eastAsia="宋体"/>
          <w:bCs/>
          <w:color w:val="auto"/>
          <w:sz w:val="24"/>
          <w:szCs w:val="18"/>
          <w:highlight w:val="none"/>
        </w:rPr>
        <w:t>1、自双方签订《验收报告》起进入质保期。</w:t>
      </w:r>
      <w:bookmarkEnd w:id="46"/>
    </w:p>
    <w:p w14:paraId="04DF5FFF">
      <w:pPr>
        <w:spacing w:line="360" w:lineRule="auto"/>
        <w:ind w:firstLine="437"/>
        <w:outlineLvl w:val="1"/>
        <w:rPr>
          <w:rFonts w:ascii="宋体" w:hAnsi="宋体" w:eastAsia="宋体"/>
          <w:bCs/>
          <w:color w:val="auto"/>
          <w:sz w:val="24"/>
          <w:szCs w:val="18"/>
          <w:highlight w:val="none"/>
        </w:rPr>
      </w:pPr>
      <w:bookmarkStart w:id="47" w:name="_Toc1996"/>
      <w:r>
        <w:rPr>
          <w:rFonts w:ascii="宋体" w:hAnsi="宋体" w:eastAsia="宋体"/>
          <w:bCs/>
          <w:color w:val="auto"/>
          <w:sz w:val="24"/>
          <w:szCs w:val="18"/>
          <w:highlight w:val="none"/>
        </w:rPr>
        <w:t>2、在质保期间内，非采购人过失和故意并且在正常使用的情况下发现商品有缺陷，中标人</w:t>
      </w:r>
      <w:r>
        <w:rPr>
          <w:rFonts w:hint="eastAsia" w:ascii="宋体" w:hAnsi="宋体" w:eastAsia="宋体"/>
          <w:bCs/>
          <w:color w:val="auto"/>
          <w:sz w:val="24"/>
          <w:szCs w:val="18"/>
          <w:highlight w:val="none"/>
          <w:lang w:val="en-US" w:eastAsia="zh-CN"/>
        </w:rPr>
        <w:t>应</w:t>
      </w:r>
      <w:r>
        <w:rPr>
          <w:rFonts w:ascii="宋体" w:hAnsi="宋体" w:eastAsia="宋体"/>
          <w:bCs/>
          <w:color w:val="auto"/>
          <w:sz w:val="24"/>
          <w:szCs w:val="18"/>
          <w:highlight w:val="none"/>
        </w:rPr>
        <w:t>修理或替换该设备；在质保期间内，非采购人过失和故意并且在正常使用的情况下设备发生故障，中标人应及时提供服务。</w:t>
      </w:r>
      <w:bookmarkEnd w:id="45"/>
      <w:bookmarkEnd w:id="47"/>
    </w:p>
    <w:p w14:paraId="212C79FE">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678DAF"/>
    <w:multiLevelType w:val="singleLevel"/>
    <w:tmpl w:val="97678DAF"/>
    <w:lvl w:ilvl="0" w:tentative="0">
      <w:start w:val="1"/>
      <w:numFmt w:val="decimal"/>
      <w:suff w:val="nothing"/>
      <w:lvlText w:val="%1"/>
      <w:lvlJc w:val="left"/>
      <w:pPr>
        <w:tabs>
          <w:tab w:val="left" w:pos="0"/>
        </w:tabs>
        <w:ind w:left="454" w:leftChars="0" w:hanging="454" w:firstLineChars="0"/>
      </w:pPr>
      <w:rPr>
        <w:rFonts w:hint="default"/>
      </w:rPr>
    </w:lvl>
  </w:abstractNum>
  <w:abstractNum w:abstractNumId="1">
    <w:nsid w:val="B1E1BF6F"/>
    <w:multiLevelType w:val="singleLevel"/>
    <w:tmpl w:val="B1E1BF6F"/>
    <w:lvl w:ilvl="0" w:tentative="0">
      <w:start w:val="1"/>
      <w:numFmt w:val="decimal"/>
      <w:lvlText w:val="%1."/>
      <w:lvlJc w:val="left"/>
      <w:pPr>
        <w:tabs>
          <w:tab w:val="left" w:pos="312"/>
        </w:tabs>
      </w:pPr>
    </w:lvl>
  </w:abstractNum>
  <w:abstractNum w:abstractNumId="2">
    <w:nsid w:val="11681DA1"/>
    <w:multiLevelType w:val="singleLevel"/>
    <w:tmpl w:val="11681DA1"/>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3813A5"/>
    <w:rsid w:val="213813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D&amp;L"/>
    <w:basedOn w:val="2"/>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2026-09-09T07:32:00Z</dcterms:created>
  <dc:creator>省招</dc:creator>
  <cp:lastModifiedBy>省招</cp:lastModifiedBy>
  <dcterms:modified xsi:type="dcterms:W3CDTF">2026-09-09T07:33:07Z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6FCCD6DFBF0449F8965C7CCBFFCE429A_11</vt:lpwstr>
  </property>
  <property fmtid="{D5CDD505-2E9C-101B-9397-08002B2CF9AE}" pid="4" name="KSOTemplateDocerSaveRecord">
    <vt:lpwstr>eyJoZGlkIjoiMjFlNDcxMzhjZTVlNDBjMzBjMjM4MDQwMDM2MDcyZTEiLCJ1c2VySWQiOiI4ODgyMDUxMzUifQ==</vt:lpwstr>
  </property>
</Properties>
</file>