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07E82">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33FD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B7CDF95">
            <w:pPr>
              <w:spacing w:line="360" w:lineRule="auto"/>
              <w:jc w:val="center"/>
              <w:rPr>
                <w:rFonts w:hint="eastAsia" w:asciiTheme="minorEastAsia" w:hAnsiTheme="minorEastAsia" w:eastAsiaTheme="minorEastAsia" w:cstheme="minorEastAsia"/>
                <w:b/>
                <w:color w:val="auto"/>
                <w:kern w:val="2"/>
                <w:sz w:val="24"/>
                <w:szCs w:val="22"/>
                <w:highlight w:val="none"/>
              </w:rPr>
            </w:pPr>
            <w:r>
              <w:rPr>
                <w:rFonts w:hint="eastAsia" w:asciiTheme="minorEastAsia" w:hAnsiTheme="minorEastAsia" w:eastAsiaTheme="minorEastAsia" w:cstheme="minorEastAsia"/>
                <w:b/>
                <w:color w:val="auto"/>
                <w:kern w:val="2"/>
                <w:sz w:val="24"/>
                <w:szCs w:val="22"/>
                <w:highlight w:val="none"/>
              </w:rPr>
              <w:t>序号</w:t>
            </w:r>
          </w:p>
        </w:tc>
        <w:tc>
          <w:tcPr>
            <w:tcW w:w="1277" w:type="dxa"/>
            <w:vAlign w:val="center"/>
          </w:tcPr>
          <w:p w14:paraId="4D493684">
            <w:pPr>
              <w:spacing w:line="360" w:lineRule="auto"/>
              <w:ind w:firstLine="435"/>
              <w:jc w:val="center"/>
              <w:rPr>
                <w:rFonts w:hint="eastAsia" w:asciiTheme="minorEastAsia" w:hAnsiTheme="minorEastAsia" w:eastAsiaTheme="minorEastAsia" w:cstheme="minorEastAsia"/>
                <w:b/>
                <w:color w:val="auto"/>
                <w:kern w:val="2"/>
                <w:sz w:val="24"/>
                <w:szCs w:val="22"/>
                <w:highlight w:val="none"/>
              </w:rPr>
            </w:pPr>
            <w:r>
              <w:rPr>
                <w:rFonts w:hint="eastAsia" w:asciiTheme="minorEastAsia" w:hAnsiTheme="minorEastAsia" w:eastAsiaTheme="minorEastAsia" w:cstheme="minorEastAsia"/>
                <w:b/>
                <w:color w:val="auto"/>
                <w:kern w:val="2"/>
                <w:sz w:val="24"/>
                <w:szCs w:val="22"/>
                <w:highlight w:val="none"/>
              </w:rPr>
              <w:t>内容</w:t>
            </w:r>
          </w:p>
        </w:tc>
        <w:tc>
          <w:tcPr>
            <w:tcW w:w="6287" w:type="dxa"/>
            <w:vAlign w:val="center"/>
          </w:tcPr>
          <w:p w14:paraId="043D24ED">
            <w:pPr>
              <w:spacing w:line="360" w:lineRule="auto"/>
              <w:ind w:firstLine="435"/>
              <w:jc w:val="center"/>
              <w:rPr>
                <w:rFonts w:hint="eastAsia" w:asciiTheme="minorEastAsia" w:hAnsiTheme="minorEastAsia" w:eastAsiaTheme="minorEastAsia" w:cstheme="minorEastAsia"/>
                <w:b/>
                <w:color w:val="auto"/>
                <w:kern w:val="2"/>
                <w:sz w:val="24"/>
                <w:szCs w:val="22"/>
                <w:highlight w:val="none"/>
              </w:rPr>
            </w:pPr>
            <w:r>
              <w:rPr>
                <w:rFonts w:hint="eastAsia" w:asciiTheme="minorEastAsia" w:hAnsiTheme="minorEastAsia" w:eastAsiaTheme="minorEastAsia" w:cstheme="minorEastAsia"/>
                <w:b/>
                <w:color w:val="auto"/>
                <w:kern w:val="2"/>
                <w:sz w:val="24"/>
                <w:szCs w:val="22"/>
                <w:highlight w:val="none"/>
              </w:rPr>
              <w:t>说明和要求</w:t>
            </w:r>
          </w:p>
        </w:tc>
      </w:tr>
      <w:tr w14:paraId="6F6C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6ABDC5D">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1</w:t>
            </w:r>
          </w:p>
        </w:tc>
        <w:tc>
          <w:tcPr>
            <w:tcW w:w="1277" w:type="dxa"/>
            <w:vAlign w:val="center"/>
          </w:tcPr>
          <w:p w14:paraId="60B4544D">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人员到岗及履约要求</w:t>
            </w:r>
          </w:p>
        </w:tc>
        <w:tc>
          <w:tcPr>
            <w:tcW w:w="6287" w:type="dxa"/>
            <w:vAlign w:val="center"/>
          </w:tcPr>
          <w:p w14:paraId="02F6FFB9">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5F943141">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3F7CED3">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345F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21E0581">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2</w:t>
            </w:r>
          </w:p>
        </w:tc>
        <w:tc>
          <w:tcPr>
            <w:tcW w:w="1277" w:type="dxa"/>
            <w:vAlign w:val="center"/>
          </w:tcPr>
          <w:p w14:paraId="0E389E72">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材料要求</w:t>
            </w:r>
          </w:p>
        </w:tc>
        <w:tc>
          <w:tcPr>
            <w:tcW w:w="6287" w:type="dxa"/>
            <w:vAlign w:val="center"/>
          </w:tcPr>
          <w:p w14:paraId="186124F9">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4257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5E9B68B">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3</w:t>
            </w:r>
          </w:p>
        </w:tc>
        <w:tc>
          <w:tcPr>
            <w:tcW w:w="1277" w:type="dxa"/>
            <w:vAlign w:val="center"/>
          </w:tcPr>
          <w:p w14:paraId="34B0E27E">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工程施工重点难点</w:t>
            </w:r>
          </w:p>
        </w:tc>
        <w:tc>
          <w:tcPr>
            <w:tcW w:w="6287" w:type="dxa"/>
            <w:vAlign w:val="center"/>
          </w:tcPr>
          <w:p w14:paraId="01CC2C33">
            <w:pPr>
              <w:spacing w:line="360" w:lineRule="auto"/>
              <w:rPr>
                <w:rFonts w:hint="eastAsia" w:asciiTheme="minorEastAsia" w:hAnsiTheme="minorEastAsia" w:eastAsiaTheme="minorEastAsia" w:cstheme="minorEastAsia"/>
                <w:color w:val="auto"/>
                <w:kern w:val="2"/>
                <w:sz w:val="24"/>
                <w:szCs w:val="22"/>
                <w:highlight w:val="none"/>
                <w:lang w:eastAsia="zh-CN"/>
              </w:rPr>
            </w:pPr>
            <w:r>
              <w:rPr>
                <w:rFonts w:hint="eastAsia" w:asciiTheme="minorEastAsia" w:hAnsiTheme="minorEastAsia" w:eastAsiaTheme="minorEastAsia" w:cstheme="minorEastAsia"/>
                <w:color w:val="auto"/>
                <w:kern w:val="2"/>
                <w:sz w:val="24"/>
                <w:szCs w:val="22"/>
                <w:highlight w:val="none"/>
                <w:lang w:val="en-US" w:eastAsia="zh-CN"/>
              </w:rPr>
              <w:t>/</w:t>
            </w:r>
          </w:p>
        </w:tc>
      </w:tr>
      <w:tr w14:paraId="2E1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4C92B87">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4</w:t>
            </w:r>
          </w:p>
        </w:tc>
        <w:tc>
          <w:tcPr>
            <w:tcW w:w="1277" w:type="dxa"/>
            <w:vAlign w:val="center"/>
          </w:tcPr>
          <w:p w14:paraId="0029A062">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报价须知</w:t>
            </w:r>
          </w:p>
        </w:tc>
        <w:tc>
          <w:tcPr>
            <w:tcW w:w="6287" w:type="dxa"/>
            <w:vAlign w:val="center"/>
          </w:tcPr>
          <w:p w14:paraId="4861372A">
            <w:pPr>
              <w:spacing w:line="360" w:lineRule="auto"/>
              <w:rPr>
                <w:rFonts w:hint="eastAsia"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4"/>
                <w:szCs w:val="22"/>
                <w:highlight w:val="none"/>
              </w:rPr>
              <w:t>供应商最后报价均不得高于磋商文件（公告）列明的项目预算、最高限价，否则其响应文件将被认定为响应无效。</w:t>
            </w:r>
          </w:p>
        </w:tc>
      </w:tr>
      <w:tr w14:paraId="2097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B8E0172">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5</w:t>
            </w:r>
          </w:p>
        </w:tc>
        <w:tc>
          <w:tcPr>
            <w:tcW w:w="1277" w:type="dxa"/>
            <w:vAlign w:val="center"/>
          </w:tcPr>
          <w:p w14:paraId="12590B4B">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重要说明</w:t>
            </w:r>
          </w:p>
        </w:tc>
        <w:tc>
          <w:tcPr>
            <w:tcW w:w="6287" w:type="dxa"/>
            <w:vAlign w:val="center"/>
          </w:tcPr>
          <w:p w14:paraId="3D9DD173">
            <w:pPr>
              <w:spacing w:line="360" w:lineRule="auto"/>
              <w:rPr>
                <w:rFonts w:hint="eastAsia" w:asciiTheme="minorEastAsia" w:hAnsiTheme="minorEastAsia" w:eastAsiaTheme="minorEastAsia" w:cstheme="minorEastAsia"/>
                <w:color w:val="auto"/>
                <w:kern w:val="2"/>
                <w:sz w:val="24"/>
                <w:szCs w:val="18"/>
                <w:highlight w:val="none"/>
              </w:rPr>
            </w:pPr>
            <w:bookmarkStart w:id="0" w:name="OLE_LINK3"/>
            <w:r>
              <w:rPr>
                <w:rFonts w:hint="eastAsia" w:asciiTheme="minorEastAsia" w:hAnsiTheme="minorEastAsia" w:eastAsiaTheme="minorEastAsia" w:cstheme="minorEastAsia"/>
                <w:color w:val="auto"/>
                <w:kern w:val="2"/>
                <w:sz w:val="24"/>
                <w:szCs w:val="24"/>
                <w:highlight w:val="none"/>
              </w:rPr>
              <w:t>政府采购政策（包括但不限于下列具体政策要求）</w:t>
            </w:r>
            <w:r>
              <w:rPr>
                <w:rFonts w:hint="eastAsia" w:asciiTheme="minorEastAsia" w:hAnsiTheme="minorEastAsia" w:eastAsiaTheme="minorEastAsia" w:cstheme="minorEastAsia"/>
                <w:color w:val="auto"/>
                <w:kern w:val="2"/>
                <w:sz w:val="24"/>
                <w:szCs w:val="18"/>
                <w:highlight w:val="none"/>
              </w:rPr>
              <w:t>：</w:t>
            </w:r>
          </w:p>
          <w:p w14:paraId="6D0B3BA1">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3719926D">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4C3023C">
            <w:pPr>
              <w:spacing w:line="360" w:lineRule="auto"/>
              <w:rPr>
                <w:rFonts w:hint="eastAsia" w:asciiTheme="minorEastAsia" w:hAnsiTheme="minorEastAsia" w:eastAsiaTheme="minorEastAsia" w:cstheme="minorEastAsia"/>
                <w:color w:val="auto"/>
                <w:kern w:val="2"/>
                <w:sz w:val="24"/>
                <w:szCs w:val="22"/>
                <w:highlight w:val="none"/>
                <w:lang w:val="en-US" w:eastAsia="zh-CN"/>
              </w:rPr>
            </w:pPr>
            <w:bookmarkStart w:id="1" w:name="OLE_LINK5"/>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2"/>
                <w:highlight w:val="none"/>
                <w:lang w:val="en-US"/>
              </w:rPr>
              <w:t>根据《关于进一步做好政府采购支持绿色建材促进建筑品质提升相关工作的通知》（</w:t>
            </w:r>
            <w:r>
              <w:rPr>
                <w:rFonts w:hint="eastAsia" w:asciiTheme="minorEastAsia" w:hAnsiTheme="minorEastAsia" w:eastAsiaTheme="minorEastAsia" w:cstheme="minorEastAsia"/>
                <w:color w:val="auto"/>
                <w:kern w:val="2"/>
                <w:sz w:val="24"/>
                <w:szCs w:val="22"/>
                <w:highlight w:val="none"/>
              </w:rPr>
              <w:t>合财购〔2025〕167号</w:t>
            </w:r>
            <w:r>
              <w:rPr>
                <w:rFonts w:hint="eastAsia" w:asciiTheme="minorEastAsia" w:hAnsiTheme="minorEastAsia" w:eastAsiaTheme="minorEastAsia" w:cstheme="minorEastAsia"/>
                <w:color w:val="auto"/>
                <w:kern w:val="2"/>
                <w:sz w:val="24"/>
                <w:szCs w:val="22"/>
                <w:highlight w:val="none"/>
                <w:lang w:val="en-US"/>
              </w:rPr>
              <w:t>）、《</w:t>
            </w:r>
            <w:r>
              <w:rPr>
                <w:rFonts w:hint="eastAsia" w:asciiTheme="minorEastAsia" w:hAnsiTheme="minorEastAsia" w:eastAsiaTheme="minorEastAsia" w:cstheme="minorEastAsia"/>
                <w:color w:val="auto"/>
                <w:kern w:val="2"/>
                <w:sz w:val="24"/>
                <w:szCs w:val="22"/>
                <w:highlight w:val="none"/>
              </w:rPr>
              <w:t>合肥市政府采购支持绿色建材促进建筑品质提升试点实施方案</w:t>
            </w:r>
            <w:r>
              <w:rPr>
                <w:rFonts w:hint="eastAsia" w:asciiTheme="minorEastAsia" w:hAnsiTheme="minorEastAsia" w:eastAsiaTheme="minorEastAsia" w:cstheme="minorEastAsia"/>
                <w:color w:val="auto"/>
                <w:kern w:val="2"/>
                <w:sz w:val="24"/>
                <w:szCs w:val="22"/>
                <w:highlight w:val="none"/>
                <w:lang w:val="en-US"/>
              </w:rPr>
              <w:t>》，属于实施范围内的政府采购工程项目，</w:t>
            </w:r>
            <w:r>
              <w:rPr>
                <w:rFonts w:hint="eastAsia" w:asciiTheme="minorEastAsia" w:hAnsiTheme="minorEastAsia" w:eastAsiaTheme="minorEastAsia" w:cstheme="minorEastAsia"/>
                <w:color w:val="auto"/>
                <w:kern w:val="2"/>
                <w:sz w:val="24"/>
                <w:szCs w:val="22"/>
                <w:highlight w:val="none"/>
              </w:rPr>
              <w:t>应</w:t>
            </w:r>
            <w:r>
              <w:rPr>
                <w:rFonts w:hint="eastAsia" w:asciiTheme="minorEastAsia" w:hAnsiTheme="minorEastAsia" w:eastAsiaTheme="minorEastAsia" w:cstheme="minorEastAsia"/>
                <w:color w:val="auto"/>
                <w:kern w:val="2"/>
                <w:sz w:val="24"/>
                <w:szCs w:val="22"/>
                <w:highlight w:val="none"/>
                <w:lang w:val="en-US"/>
              </w:rPr>
              <w:t>按照</w:t>
            </w:r>
            <w:r>
              <w:rPr>
                <w:rFonts w:hint="eastAsia" w:asciiTheme="minorEastAsia" w:hAnsiTheme="minorEastAsia" w:eastAsiaTheme="minorEastAsia" w:cstheme="minorEastAsia"/>
                <w:color w:val="auto"/>
                <w:kern w:val="2"/>
                <w:sz w:val="24"/>
                <w:szCs w:val="22"/>
                <w:highlight w:val="none"/>
              </w:rPr>
              <w:t>财政部、住建部、工信部联合印发的《绿色建筑和绿色建材政府采购需求标准》</w:t>
            </w:r>
            <w:r>
              <w:rPr>
                <w:rFonts w:hint="eastAsia" w:asciiTheme="minorEastAsia" w:hAnsiTheme="minorEastAsia" w:eastAsiaTheme="minorEastAsia" w:cstheme="minorEastAsia"/>
                <w:color w:val="auto"/>
                <w:kern w:val="2"/>
                <w:sz w:val="24"/>
                <w:szCs w:val="22"/>
                <w:highlight w:val="none"/>
                <w:lang w:val="en-US"/>
              </w:rPr>
              <w:t>和</w:t>
            </w:r>
            <w:r>
              <w:rPr>
                <w:rFonts w:hint="eastAsia" w:asciiTheme="minorEastAsia" w:hAnsiTheme="minorEastAsia" w:eastAsiaTheme="minorEastAsia" w:cstheme="minorEastAsia"/>
                <w:color w:val="auto"/>
                <w:kern w:val="2"/>
                <w:sz w:val="24"/>
                <w:szCs w:val="22"/>
                <w:highlight w:val="none"/>
              </w:rPr>
              <w:t>《政府采购支持绿色建材促进建筑品质提升政策项目实施指南》</w:t>
            </w:r>
            <w:r>
              <w:rPr>
                <w:rFonts w:hint="eastAsia" w:asciiTheme="minorEastAsia" w:hAnsiTheme="minorEastAsia" w:eastAsiaTheme="minorEastAsia" w:cstheme="minorEastAsia"/>
                <w:color w:val="auto"/>
                <w:kern w:val="2"/>
                <w:sz w:val="24"/>
                <w:szCs w:val="22"/>
                <w:highlight w:val="none"/>
                <w:lang w:val="en-US"/>
              </w:rPr>
              <w:t>应</w:t>
            </w:r>
            <w:r>
              <w:rPr>
                <w:rFonts w:hint="eastAsia" w:asciiTheme="minorEastAsia" w:hAnsiTheme="minorEastAsia" w:eastAsiaTheme="minorEastAsia" w:cstheme="minorEastAsia"/>
                <w:color w:val="auto"/>
                <w:kern w:val="2"/>
                <w:sz w:val="24"/>
                <w:szCs w:val="22"/>
                <w:highlight w:val="none"/>
              </w:rPr>
              <w:t>用绿色建筑和绿色建材</w:t>
            </w:r>
            <w:r>
              <w:rPr>
                <w:rFonts w:hint="eastAsia" w:asciiTheme="minorEastAsia" w:hAnsiTheme="minorEastAsia" w:eastAsiaTheme="minorEastAsia" w:cstheme="minorEastAsia"/>
                <w:color w:val="auto"/>
                <w:kern w:val="2"/>
                <w:sz w:val="24"/>
                <w:szCs w:val="24"/>
                <w:highlight w:val="none"/>
                <w:lang w:val="en-US" w:eastAsia="zh-CN"/>
              </w:rPr>
              <w:t>。</w:t>
            </w:r>
            <w:bookmarkEnd w:id="0"/>
            <w:bookmarkEnd w:id="1"/>
          </w:p>
        </w:tc>
      </w:tr>
      <w:tr w14:paraId="6E3F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DF959A7">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6</w:t>
            </w:r>
          </w:p>
        </w:tc>
        <w:tc>
          <w:tcPr>
            <w:tcW w:w="1277" w:type="dxa"/>
            <w:vAlign w:val="center"/>
          </w:tcPr>
          <w:p w14:paraId="35F6393C">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项目经理</w:t>
            </w:r>
          </w:p>
        </w:tc>
        <w:tc>
          <w:tcPr>
            <w:tcW w:w="6287" w:type="dxa"/>
            <w:vAlign w:val="center"/>
          </w:tcPr>
          <w:p w14:paraId="03DCE825">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lang w:eastAsia="zh-CN"/>
              </w:rPr>
              <w:t>（</w:t>
            </w:r>
            <w:r>
              <w:rPr>
                <w:rFonts w:hint="eastAsia" w:asciiTheme="minorEastAsia" w:hAnsiTheme="minorEastAsia" w:eastAsiaTheme="minorEastAsia" w:cstheme="minorEastAsia"/>
                <w:color w:val="auto"/>
                <w:kern w:val="2"/>
                <w:sz w:val="24"/>
                <w:szCs w:val="22"/>
                <w:highlight w:val="none"/>
                <w:lang w:val="en-US" w:eastAsia="zh-CN"/>
              </w:rPr>
              <w:t>1</w:t>
            </w:r>
            <w:r>
              <w:rPr>
                <w:rFonts w:hint="eastAsia" w:asciiTheme="minorEastAsia" w:hAnsiTheme="minorEastAsia" w:eastAsiaTheme="minorEastAsia" w:cstheme="minorEastAsia"/>
                <w:color w:val="auto"/>
                <w:kern w:val="2"/>
                <w:sz w:val="24"/>
                <w:szCs w:val="22"/>
                <w:highlight w:val="none"/>
                <w:lang w:eastAsia="zh-CN"/>
              </w:rPr>
              <w:t>）</w:t>
            </w:r>
            <w:r>
              <w:rPr>
                <w:rFonts w:hint="eastAsia" w:asciiTheme="minorEastAsia" w:hAnsiTheme="minorEastAsia" w:eastAsiaTheme="minorEastAsia" w:cstheme="minorEastAsia"/>
                <w:color w:val="auto"/>
                <w:kern w:val="2"/>
                <w:sz w:val="24"/>
                <w:szCs w:val="22"/>
                <w:highlight w:val="none"/>
              </w:rPr>
              <w:t>符合竞争性磋商公告中“项目经理资格要求”</w:t>
            </w:r>
            <w:r>
              <w:rPr>
                <w:rFonts w:hint="eastAsia" w:asciiTheme="minorEastAsia" w:hAnsiTheme="minorEastAsia" w:eastAsiaTheme="minorEastAsia" w:cstheme="minorEastAsia"/>
                <w:color w:val="auto"/>
                <w:kern w:val="2"/>
                <w:sz w:val="24"/>
                <w:szCs w:val="22"/>
                <w:highlight w:val="none"/>
                <w:lang w:eastAsia="zh-CN"/>
              </w:rPr>
              <w:t>，</w:t>
            </w:r>
            <w:r>
              <w:rPr>
                <w:rFonts w:hint="eastAsia" w:ascii="Times New Roman" w:hAnsi="Times New Roman" w:cs="楷体"/>
                <w:bCs/>
                <w:snapToGrid w:val="0"/>
                <w:color w:val="auto"/>
                <w:kern w:val="0"/>
                <w:sz w:val="24"/>
                <w:szCs w:val="24"/>
                <w:highlight w:val="none"/>
              </w:rPr>
              <w:t>且必须是本单位人员（</w:t>
            </w:r>
            <w:r>
              <w:rPr>
                <w:rFonts w:hint="eastAsia" w:asciiTheme="minorEastAsia" w:hAnsiTheme="minorEastAsia" w:eastAsiaTheme="minorEastAsia" w:cstheme="minorEastAsia"/>
                <w:color w:val="auto"/>
                <w:kern w:val="2"/>
                <w:sz w:val="24"/>
                <w:szCs w:val="22"/>
                <w:highlight w:val="none"/>
              </w:rPr>
              <w:t>竞争性磋商公告</w:t>
            </w:r>
            <w:r>
              <w:rPr>
                <w:rFonts w:hint="eastAsia" w:ascii="Times New Roman" w:hAnsi="Times New Roman" w:cs="楷体"/>
                <w:bCs/>
                <w:snapToGrid w:val="0"/>
                <w:color w:val="auto"/>
                <w:kern w:val="0"/>
                <w:sz w:val="24"/>
                <w:szCs w:val="24"/>
                <w:highlight w:val="none"/>
              </w:rPr>
              <w:t>中要求的注册证书注册单位应当与</w:t>
            </w:r>
            <w:r>
              <w:rPr>
                <w:rFonts w:hint="eastAsia" w:ascii="Times New Roman" w:hAnsi="Times New Roman" w:cs="楷体"/>
                <w:bCs/>
                <w:snapToGrid w:val="0"/>
                <w:color w:val="auto"/>
                <w:kern w:val="0"/>
                <w:sz w:val="24"/>
                <w:szCs w:val="24"/>
                <w:highlight w:val="none"/>
                <w:lang w:val="en-US" w:eastAsia="zh-CN"/>
              </w:rPr>
              <w:t>供应商</w:t>
            </w:r>
            <w:r>
              <w:rPr>
                <w:rFonts w:hint="eastAsia" w:ascii="Times New Roman" w:hAnsi="Times New Roman" w:cs="楷体"/>
                <w:bCs/>
                <w:snapToGrid w:val="0"/>
                <w:color w:val="auto"/>
                <w:kern w:val="0"/>
                <w:sz w:val="24"/>
                <w:szCs w:val="24"/>
                <w:highlight w:val="none"/>
              </w:rPr>
              <w:t>名称一致）</w:t>
            </w:r>
            <w:r>
              <w:rPr>
                <w:rFonts w:hint="eastAsia" w:asciiTheme="minorEastAsia" w:hAnsiTheme="minorEastAsia" w:eastAsiaTheme="minorEastAsia" w:cstheme="minorEastAsia"/>
                <w:color w:val="auto"/>
                <w:kern w:val="2"/>
                <w:sz w:val="24"/>
                <w:szCs w:val="22"/>
                <w:highlight w:val="none"/>
              </w:rPr>
              <w:t>。</w:t>
            </w:r>
          </w:p>
          <w:p w14:paraId="1ECCC013">
            <w:pPr>
              <w:spacing w:line="360" w:lineRule="auto"/>
              <w:rPr>
                <w:rFonts w:hint="eastAsia" w:asciiTheme="minorEastAsia" w:hAnsiTheme="minorEastAsia" w:eastAsiaTheme="minorEastAsia" w:cstheme="minorEastAsia"/>
                <w:color w:val="auto"/>
                <w:kern w:val="2"/>
                <w:sz w:val="24"/>
                <w:szCs w:val="22"/>
                <w:highlight w:val="none"/>
              </w:rPr>
            </w:pPr>
            <w:bookmarkStart w:id="2" w:name="OLE_LINK9"/>
            <w:bookmarkStart w:id="3" w:name="OLE_LINK10"/>
            <w:r>
              <w:rPr>
                <w:rFonts w:hint="eastAsia" w:asciiTheme="minorEastAsia" w:hAnsiTheme="minorEastAsia" w:eastAsiaTheme="minorEastAsia" w:cstheme="minorEastAsia"/>
                <w:color w:val="auto"/>
                <w:kern w:val="2"/>
                <w:sz w:val="24"/>
                <w:szCs w:val="22"/>
                <w:highlight w:val="none"/>
                <w:lang w:eastAsia="zh-CN"/>
              </w:rPr>
              <w:t>（</w:t>
            </w:r>
            <w:r>
              <w:rPr>
                <w:rFonts w:hint="eastAsia" w:asciiTheme="minorEastAsia" w:hAnsiTheme="minorEastAsia" w:eastAsiaTheme="minorEastAsia" w:cstheme="minorEastAsia"/>
                <w:color w:val="auto"/>
                <w:kern w:val="2"/>
                <w:sz w:val="24"/>
                <w:szCs w:val="22"/>
                <w:highlight w:val="none"/>
                <w:lang w:val="en-US" w:eastAsia="zh-CN"/>
              </w:rPr>
              <w:t>2</w:t>
            </w:r>
            <w:r>
              <w:rPr>
                <w:rFonts w:hint="eastAsia" w:asciiTheme="minorEastAsia" w:hAnsiTheme="minorEastAsia" w:eastAsiaTheme="minorEastAsia" w:cstheme="minorEastAsia"/>
                <w:color w:val="auto"/>
                <w:kern w:val="2"/>
                <w:sz w:val="24"/>
                <w:szCs w:val="22"/>
                <w:highlight w:val="none"/>
                <w:lang w:eastAsia="zh-CN"/>
              </w:rPr>
              <w:t>）</w:t>
            </w:r>
            <w:r>
              <w:rPr>
                <w:rFonts w:hint="eastAsia" w:asciiTheme="minorEastAsia" w:hAnsiTheme="minorEastAsia" w:eastAsiaTheme="minorEastAsia" w:cstheme="minorEastAsia"/>
                <w:color w:val="auto"/>
                <w:kern w:val="2"/>
                <w:sz w:val="24"/>
                <w:szCs w:val="22"/>
                <w:highlight w:val="none"/>
              </w:rPr>
              <w:t>项目经理不得同时担任两个及以上建设工程施工项目经理，以下情形除外：</w:t>
            </w:r>
          </w:p>
          <w:p w14:paraId="7D65C8FA">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fldChar w:fldCharType="begin"/>
            </w:r>
            <w:r>
              <w:rPr>
                <w:rFonts w:hint="eastAsia" w:asciiTheme="minorEastAsia" w:hAnsiTheme="minorEastAsia" w:eastAsiaTheme="minorEastAsia" w:cstheme="minorEastAsia"/>
                <w:color w:val="auto"/>
                <w:kern w:val="2"/>
                <w:sz w:val="24"/>
                <w:szCs w:val="22"/>
                <w:highlight w:val="none"/>
              </w:rPr>
              <w:instrText xml:space="preserve"> = 1 \* GB3 \* MERGEFORMAT </w:instrText>
            </w:r>
            <w:r>
              <w:rPr>
                <w:rFonts w:hint="eastAsia" w:asciiTheme="minorEastAsia" w:hAnsiTheme="minorEastAsia" w:eastAsiaTheme="minorEastAsia" w:cstheme="minorEastAsia"/>
                <w:color w:val="auto"/>
                <w:kern w:val="2"/>
                <w:sz w:val="24"/>
                <w:szCs w:val="22"/>
                <w:highlight w:val="none"/>
              </w:rPr>
              <w:fldChar w:fldCharType="separate"/>
            </w:r>
            <w:r>
              <w:rPr>
                <w:rFonts w:hint="eastAsia" w:asciiTheme="minorEastAsia" w:hAnsiTheme="minorEastAsia" w:eastAsiaTheme="minorEastAsia" w:cstheme="minorEastAsia"/>
                <w:color w:val="auto"/>
                <w:kern w:val="2"/>
                <w:sz w:val="24"/>
                <w:szCs w:val="22"/>
                <w:highlight w:val="none"/>
              </w:rPr>
              <w:t>①</w:t>
            </w:r>
            <w:r>
              <w:rPr>
                <w:rFonts w:hint="eastAsia" w:asciiTheme="minorEastAsia" w:hAnsiTheme="minorEastAsia" w:eastAsiaTheme="minorEastAsia" w:cstheme="minorEastAsia"/>
                <w:color w:val="auto"/>
                <w:kern w:val="2"/>
                <w:sz w:val="24"/>
                <w:szCs w:val="22"/>
                <w:highlight w:val="none"/>
              </w:rPr>
              <w:fldChar w:fldCharType="end"/>
            </w:r>
            <w:r>
              <w:rPr>
                <w:rFonts w:hint="eastAsia" w:asciiTheme="minorEastAsia" w:hAnsiTheme="minorEastAsia" w:eastAsiaTheme="minorEastAsia" w:cstheme="minorEastAsia"/>
                <w:color w:val="auto"/>
                <w:kern w:val="2"/>
                <w:sz w:val="24"/>
                <w:szCs w:val="22"/>
                <w:highlight w:val="none"/>
              </w:rPr>
              <w:t>法定情形；</w:t>
            </w:r>
          </w:p>
          <w:p w14:paraId="31A51E01">
            <w:pPr>
              <w:spacing w:line="360" w:lineRule="auto"/>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fldChar w:fldCharType="begin"/>
            </w:r>
            <w:r>
              <w:rPr>
                <w:rFonts w:hint="eastAsia" w:asciiTheme="minorEastAsia" w:hAnsiTheme="minorEastAsia" w:eastAsiaTheme="minorEastAsia" w:cstheme="minorEastAsia"/>
                <w:color w:val="auto"/>
                <w:kern w:val="2"/>
                <w:sz w:val="24"/>
                <w:szCs w:val="22"/>
                <w:highlight w:val="none"/>
              </w:rPr>
              <w:instrText xml:space="preserve"> = 2 \* GB3 \* MERGEFORMAT </w:instrText>
            </w:r>
            <w:r>
              <w:rPr>
                <w:rFonts w:hint="eastAsia" w:asciiTheme="minorEastAsia" w:hAnsiTheme="minorEastAsia" w:eastAsiaTheme="minorEastAsia" w:cstheme="minorEastAsia"/>
                <w:color w:val="auto"/>
                <w:kern w:val="2"/>
                <w:sz w:val="24"/>
                <w:szCs w:val="22"/>
                <w:highlight w:val="none"/>
              </w:rPr>
              <w:fldChar w:fldCharType="separate"/>
            </w:r>
            <w:r>
              <w:rPr>
                <w:rFonts w:hint="eastAsia" w:asciiTheme="minorEastAsia" w:hAnsiTheme="minorEastAsia" w:eastAsiaTheme="minorEastAsia" w:cstheme="minorEastAsia"/>
                <w:color w:val="auto"/>
                <w:kern w:val="2"/>
                <w:sz w:val="24"/>
                <w:szCs w:val="22"/>
                <w:highlight w:val="none"/>
              </w:rPr>
              <w:t>②</w:t>
            </w:r>
            <w:r>
              <w:rPr>
                <w:rFonts w:hint="eastAsia" w:asciiTheme="minorEastAsia" w:hAnsiTheme="minorEastAsia" w:eastAsiaTheme="minorEastAsia" w:cstheme="minorEastAsia"/>
                <w:color w:val="auto"/>
                <w:kern w:val="2"/>
                <w:sz w:val="24"/>
                <w:szCs w:val="22"/>
                <w:highlight w:val="none"/>
              </w:rPr>
              <w:fldChar w:fldCharType="end"/>
            </w:r>
            <w:r>
              <w:rPr>
                <w:rFonts w:hint="eastAsia" w:asciiTheme="minorEastAsia" w:hAnsiTheme="minorEastAsia" w:eastAsiaTheme="minorEastAsia" w:cstheme="minorEastAsia"/>
                <w:color w:val="auto"/>
                <w:kern w:val="2"/>
                <w:sz w:val="24"/>
                <w:szCs w:val="22"/>
                <w:highlight w:val="none"/>
              </w:rPr>
              <w:t>虽在其他项目上担任项目经理岗位，但承诺在本项目成交后合同签订前能够从其他项目变更至本项目并全面履约。</w:t>
            </w:r>
            <w:bookmarkEnd w:id="2"/>
            <w:bookmarkEnd w:id="3"/>
          </w:p>
        </w:tc>
      </w:tr>
      <w:tr w14:paraId="3908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43EC430">
            <w:pPr>
              <w:spacing w:line="360" w:lineRule="auto"/>
              <w:jc w:val="cente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7</w:t>
            </w:r>
          </w:p>
        </w:tc>
        <w:tc>
          <w:tcPr>
            <w:tcW w:w="1277" w:type="dxa"/>
            <w:vAlign w:val="center"/>
          </w:tcPr>
          <w:p w14:paraId="36AD18DB">
            <w:pPr>
              <w:pStyle w:val="7"/>
              <w:widowControl w:val="0"/>
              <w:spacing w:before="0" w:beforeAutospacing="0" w:after="0" w:afterAutospacing="0" w:line="360" w:lineRule="auto"/>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b w:val="0"/>
                <w:color w:val="auto"/>
                <w:kern w:val="2"/>
                <w:sz w:val="24"/>
                <w:highlight w:val="none"/>
              </w:rPr>
              <w:t>本项目采购标的名称及所属行业</w:t>
            </w:r>
          </w:p>
        </w:tc>
        <w:tc>
          <w:tcPr>
            <w:tcW w:w="6287" w:type="dxa"/>
            <w:vAlign w:val="center"/>
          </w:tcPr>
          <w:p w14:paraId="476E9C3D">
            <w:pPr>
              <w:spacing w:line="360" w:lineRule="auto"/>
              <w:jc w:val="left"/>
              <w:rPr>
                <w:rFonts w:hint="eastAsia" w:asciiTheme="minorEastAsia" w:hAnsiTheme="minorEastAsia" w:eastAsiaTheme="minorEastAsia" w:cstheme="minorEastAsia"/>
                <w:color w:val="auto"/>
                <w:kern w:val="2"/>
                <w:sz w:val="24"/>
                <w:szCs w:val="22"/>
                <w:highlight w:val="none"/>
                <w:lang w:eastAsia="zh-CN"/>
              </w:rPr>
            </w:pPr>
            <w:r>
              <w:rPr>
                <w:rFonts w:hint="eastAsia" w:asciiTheme="minorEastAsia" w:hAnsiTheme="minorEastAsia" w:eastAsiaTheme="minorEastAsia" w:cstheme="minorEastAsia"/>
                <w:color w:val="auto"/>
                <w:kern w:val="2"/>
                <w:sz w:val="24"/>
                <w:szCs w:val="22"/>
                <w:highlight w:val="none"/>
              </w:rPr>
              <w:t>标的名称：</w:t>
            </w:r>
            <w:r>
              <w:rPr>
                <w:rFonts w:hint="eastAsia" w:asciiTheme="minorEastAsia" w:hAnsiTheme="minorEastAsia" w:eastAsiaTheme="minorEastAsia" w:cstheme="minorEastAsia"/>
                <w:color w:val="auto"/>
                <w:kern w:val="2"/>
                <w:sz w:val="24"/>
                <w:szCs w:val="18"/>
                <w:highlight w:val="none"/>
                <w:lang w:eastAsia="zh-CN"/>
              </w:rPr>
              <w:t>2026年安徽粮食工程职业学院教学区域厕所改造工程</w:t>
            </w:r>
          </w:p>
          <w:p w14:paraId="445F4627">
            <w:pPr>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4"/>
                <w:szCs w:val="22"/>
                <w:highlight w:val="none"/>
              </w:rPr>
              <w:t>所属行业：建筑业</w:t>
            </w:r>
          </w:p>
        </w:tc>
      </w:tr>
    </w:tbl>
    <w:p w14:paraId="4FAF3D59">
      <w:pPr>
        <w:pStyle w:val="2"/>
        <w:spacing w:before="0" w:after="0" w:line="360" w:lineRule="auto"/>
        <w:rPr>
          <w:rFonts w:asciiTheme="minorEastAsia" w:hAnsiTheme="minorEastAsia" w:eastAsiaTheme="minorEastAsia" w:cstheme="minorEastAsia"/>
          <w:color w:val="auto"/>
          <w:sz w:val="24"/>
          <w:szCs w:val="24"/>
          <w:highlight w:val="none"/>
        </w:rPr>
      </w:pPr>
      <w:bookmarkStart w:id="4" w:name="_Toc23730"/>
      <w:bookmarkStart w:id="5" w:name="_Toc15645"/>
      <w:r>
        <w:rPr>
          <w:rFonts w:hint="eastAsia" w:asciiTheme="minorEastAsia" w:hAnsiTheme="minorEastAsia" w:eastAsiaTheme="minorEastAsia" w:cstheme="minorEastAsia"/>
          <w:color w:val="auto"/>
          <w:sz w:val="24"/>
          <w:szCs w:val="24"/>
          <w:highlight w:val="none"/>
          <w:lang w:val="en-US"/>
        </w:rPr>
        <w:t>一、</w:t>
      </w:r>
      <w:r>
        <w:rPr>
          <w:rFonts w:hint="eastAsia" w:asciiTheme="minorEastAsia" w:hAnsiTheme="minorEastAsia" w:eastAsiaTheme="minorEastAsia" w:cstheme="minorEastAsia"/>
          <w:color w:val="auto"/>
          <w:sz w:val="24"/>
          <w:szCs w:val="24"/>
          <w:highlight w:val="none"/>
        </w:rPr>
        <w:t>项目概况及总体要求</w:t>
      </w:r>
      <w:bookmarkEnd w:id="4"/>
      <w:bookmarkEnd w:id="5"/>
    </w:p>
    <w:p w14:paraId="2DEBC793">
      <w:pPr>
        <w:spacing w:line="360" w:lineRule="auto"/>
        <w:ind w:firstLine="480"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教学主楼厕所改造内容包括给排水系统、卫生间瓷砖、洁具、墙面、顶面、防水拆除后提升，以及对饮水间、工具间布局结构优化。</w:t>
      </w:r>
    </w:p>
    <w:p w14:paraId="20DE228A">
      <w:pPr>
        <w:spacing w:line="360" w:lineRule="auto"/>
        <w:ind w:firstLine="480" w:firstLineChars="200"/>
        <w:textAlignment w:val="baseline"/>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图书馆及行政楼改造内容包括排水系统、卫生间瓷砖、洁具、墙面、顶面、防水拆除后提升，以及对电梯门厅、过道等公共区域改造提升。具体内容详见图纸及清单。</w:t>
      </w:r>
    </w:p>
    <w:p w14:paraId="329A476D">
      <w:pPr>
        <w:pStyle w:val="3"/>
        <w:widowControl/>
        <w:spacing w:line="360" w:lineRule="auto"/>
        <w:outlineLvl w:val="1"/>
        <w:rPr>
          <w:rStyle w:val="8"/>
          <w:rFonts w:asciiTheme="minorEastAsia" w:hAnsiTheme="minorEastAsia" w:eastAsiaTheme="minorEastAsia" w:cstheme="minorEastAsia"/>
          <w:color w:val="auto"/>
          <w:sz w:val="24"/>
          <w:szCs w:val="24"/>
          <w:highlight w:val="none"/>
        </w:rPr>
      </w:pPr>
      <w:bookmarkStart w:id="6" w:name="_Toc466024558"/>
      <w:bookmarkStart w:id="7" w:name="_Toc455587091"/>
      <w:bookmarkStart w:id="8" w:name="_Toc12271"/>
      <w:bookmarkStart w:id="9" w:name="_Toc445554749"/>
      <w:bookmarkStart w:id="10" w:name="_Toc18199"/>
      <w:bookmarkStart w:id="11" w:name="_Toc455587275"/>
      <w:r>
        <w:rPr>
          <w:rStyle w:val="8"/>
          <w:rFonts w:hint="eastAsia" w:asciiTheme="minorEastAsia" w:hAnsiTheme="minorEastAsia" w:cstheme="minorEastAsia"/>
          <w:color w:val="auto"/>
          <w:sz w:val="24"/>
          <w:szCs w:val="24"/>
          <w:highlight w:val="none"/>
        </w:rPr>
        <w:t>二、</w:t>
      </w:r>
      <w:r>
        <w:rPr>
          <w:rStyle w:val="8"/>
          <w:rFonts w:hint="eastAsia" w:asciiTheme="minorEastAsia" w:hAnsiTheme="minorEastAsia" w:eastAsiaTheme="minorEastAsia" w:cstheme="minorEastAsia"/>
          <w:color w:val="auto"/>
          <w:sz w:val="24"/>
          <w:szCs w:val="24"/>
          <w:highlight w:val="none"/>
        </w:rPr>
        <w:t>技术要求</w:t>
      </w:r>
      <w:bookmarkEnd w:id="6"/>
      <w:bookmarkEnd w:id="7"/>
      <w:bookmarkEnd w:id="8"/>
      <w:bookmarkEnd w:id="9"/>
      <w:bookmarkEnd w:id="10"/>
      <w:bookmarkEnd w:id="11"/>
    </w:p>
    <w:p w14:paraId="110507BC">
      <w:pPr>
        <w:pStyle w:val="3"/>
        <w:widowControl/>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按照图纸、工程量清单要求及最新国家相关标准、规范要求执行。</w:t>
      </w:r>
    </w:p>
    <w:p w14:paraId="34DFD185">
      <w:pPr>
        <w:pStyle w:val="2"/>
        <w:spacing w:before="0" w:after="0" w:line="360" w:lineRule="auto"/>
        <w:rPr>
          <w:rFonts w:asciiTheme="minorEastAsia" w:hAnsiTheme="minorEastAsia" w:eastAsiaTheme="minorEastAsia" w:cstheme="minorEastAsia"/>
          <w:color w:val="auto"/>
          <w:sz w:val="24"/>
          <w:szCs w:val="24"/>
          <w:highlight w:val="none"/>
        </w:rPr>
      </w:pPr>
      <w:bookmarkStart w:id="12" w:name="_Toc29071"/>
      <w:bookmarkStart w:id="13" w:name="_Toc8900"/>
      <w:bookmarkStart w:id="14" w:name="OLE_LINK7"/>
      <w:r>
        <w:rPr>
          <w:rFonts w:hint="eastAsia" w:asciiTheme="minorEastAsia" w:hAnsiTheme="minorEastAsia" w:eastAsiaTheme="minorEastAsia" w:cstheme="minorEastAsia"/>
          <w:color w:val="auto"/>
          <w:sz w:val="24"/>
          <w:szCs w:val="24"/>
          <w:highlight w:val="none"/>
          <w:lang w:val="en-US"/>
        </w:rPr>
        <w:t>三、</w:t>
      </w:r>
      <w:r>
        <w:rPr>
          <w:rFonts w:hint="eastAsia" w:asciiTheme="minorEastAsia" w:hAnsiTheme="minorEastAsia" w:eastAsiaTheme="minorEastAsia" w:cstheme="minorEastAsia"/>
          <w:color w:val="auto"/>
          <w:sz w:val="24"/>
          <w:szCs w:val="24"/>
          <w:highlight w:val="none"/>
        </w:rPr>
        <w:t>报价要求</w:t>
      </w:r>
      <w:bookmarkEnd w:id="12"/>
      <w:bookmarkEnd w:id="13"/>
    </w:p>
    <w:p w14:paraId="7C45A52A">
      <w:pPr>
        <w:keepNext/>
        <w:keepLines/>
        <w:spacing w:line="360" w:lineRule="auto"/>
        <w:outlineLvl w:val="9"/>
        <w:rPr>
          <w:rFonts w:asciiTheme="minorEastAsia" w:hAnsiTheme="minorEastAsia" w:eastAsiaTheme="minorEastAsia" w:cstheme="minorEastAsia"/>
          <w:b/>
          <w:bCs/>
          <w:color w:val="auto"/>
          <w:sz w:val="24"/>
          <w:szCs w:val="24"/>
          <w:highlight w:val="none"/>
        </w:rPr>
      </w:pPr>
      <w:bookmarkStart w:id="15" w:name="_Toc28825"/>
      <w:bookmarkStart w:id="16" w:name="_Toc11545"/>
      <w:bookmarkStart w:id="17" w:name="_Toc22767"/>
      <w:r>
        <w:rPr>
          <w:rFonts w:hint="eastAsia" w:asciiTheme="minorEastAsia" w:hAnsiTheme="minorEastAsia" w:eastAsiaTheme="minorEastAsia" w:cstheme="minorEastAsia"/>
          <w:b/>
          <w:bCs/>
          <w:color w:val="auto"/>
          <w:sz w:val="24"/>
          <w:szCs w:val="24"/>
          <w:highlight w:val="none"/>
        </w:rPr>
        <w:t>3.1计价依据</w:t>
      </w:r>
      <w:bookmarkEnd w:id="15"/>
      <w:bookmarkEnd w:id="16"/>
      <w:bookmarkEnd w:id="17"/>
    </w:p>
    <w:p w14:paraId="0794EC6C">
      <w:pPr>
        <w:spacing w:line="360" w:lineRule="auto"/>
        <w:ind w:firstLine="480" w:firstLineChars="20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 计价依据的确定符合国家法律法规、现行有关标准与规范，工程所在地的省、市工程定额和工程造价的规定以及工程造价信息要求。</w:t>
      </w:r>
    </w:p>
    <w:p w14:paraId="42FDEB24">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3.1.2 </w:t>
      </w:r>
      <w:bookmarkStart w:id="18" w:name="OLE_LINK6"/>
      <w:r>
        <w:rPr>
          <w:rFonts w:hint="eastAsia" w:asciiTheme="minorEastAsia" w:hAnsiTheme="minorEastAsia" w:eastAsiaTheme="minorEastAsia" w:cstheme="minorEastAsia"/>
          <w:color w:val="auto"/>
          <w:sz w:val="24"/>
          <w:szCs w:val="24"/>
          <w:highlight w:val="none"/>
        </w:rPr>
        <w:t>安全文明施工费</w:t>
      </w:r>
      <w:bookmarkEnd w:id="18"/>
      <w:r>
        <w:rPr>
          <w:rFonts w:hint="eastAsia" w:asciiTheme="minorEastAsia" w:hAnsiTheme="minorEastAsia" w:eastAsiaTheme="minorEastAsia" w:cstheme="minorEastAsia"/>
          <w:color w:val="auto"/>
          <w:sz w:val="24"/>
          <w:szCs w:val="24"/>
          <w:highlight w:val="none"/>
          <w:lang w:val="en-US" w:eastAsia="zh-CN"/>
        </w:rPr>
        <w:t>费率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详见最高限价中</w:t>
      </w:r>
      <w:r>
        <w:rPr>
          <w:rFonts w:hint="eastAsia" w:asciiTheme="minorEastAsia" w:hAnsiTheme="minorEastAsia" w:eastAsiaTheme="minorEastAsia" w:cstheme="minorEastAsia"/>
          <w:color w:val="auto"/>
          <w:sz w:val="24"/>
          <w:szCs w:val="24"/>
          <w:highlight w:val="none"/>
        </w:rPr>
        <w:t>安全文明施工费</w:t>
      </w:r>
      <w:r>
        <w:rPr>
          <w:rFonts w:hint="eastAsia" w:asciiTheme="minorEastAsia" w:hAnsiTheme="minorEastAsia" w:eastAsiaTheme="minorEastAsia" w:cstheme="minorEastAsia"/>
          <w:color w:val="auto"/>
          <w:sz w:val="24"/>
          <w:szCs w:val="24"/>
          <w:highlight w:val="none"/>
          <w:lang w:val="en-US" w:eastAsia="zh-CN"/>
        </w:rPr>
        <w:t>费率。</w:t>
      </w:r>
    </w:p>
    <w:p w14:paraId="02A419C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安全生产责任保险费</w:t>
      </w:r>
      <w:r>
        <w:rPr>
          <w:rFonts w:hint="eastAsia" w:asciiTheme="minorEastAsia" w:hAnsiTheme="minorEastAsia" w:eastAsiaTheme="minorEastAsia" w:cstheme="minorEastAsia"/>
          <w:color w:val="auto"/>
          <w:sz w:val="24"/>
          <w:szCs w:val="24"/>
          <w:highlight w:val="none"/>
          <w:lang w:val="en-US" w:eastAsia="zh-CN"/>
        </w:rPr>
        <w:t>费率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详见最高限价中</w:t>
      </w:r>
      <w:r>
        <w:rPr>
          <w:rFonts w:hint="eastAsia" w:asciiTheme="minorEastAsia" w:hAnsiTheme="minorEastAsia" w:eastAsiaTheme="minorEastAsia" w:cstheme="minorEastAsia"/>
          <w:color w:val="auto"/>
          <w:sz w:val="24"/>
          <w:szCs w:val="24"/>
          <w:highlight w:val="none"/>
          <w:lang w:eastAsia="zh-CN"/>
        </w:rPr>
        <w:t>安全生产责任保险费</w:t>
      </w:r>
      <w:r>
        <w:rPr>
          <w:rFonts w:hint="eastAsia" w:asciiTheme="minorEastAsia" w:hAnsiTheme="minorEastAsia" w:eastAsiaTheme="minorEastAsia" w:cstheme="minorEastAsia"/>
          <w:color w:val="auto"/>
          <w:sz w:val="24"/>
          <w:szCs w:val="24"/>
          <w:highlight w:val="none"/>
          <w:lang w:val="en-US" w:eastAsia="zh-CN"/>
        </w:rPr>
        <w:t>费率。</w:t>
      </w:r>
    </w:p>
    <w:p w14:paraId="2CBE5F89">
      <w:pPr>
        <w:keepNext/>
        <w:keepLines/>
        <w:spacing w:line="360" w:lineRule="auto"/>
        <w:outlineLvl w:val="9"/>
        <w:rPr>
          <w:rFonts w:asciiTheme="minorEastAsia" w:hAnsiTheme="minorEastAsia" w:eastAsiaTheme="minorEastAsia" w:cstheme="minorEastAsia"/>
          <w:b/>
          <w:bCs/>
          <w:color w:val="auto"/>
          <w:sz w:val="24"/>
          <w:szCs w:val="24"/>
          <w:highlight w:val="none"/>
        </w:rPr>
      </w:pPr>
      <w:bookmarkStart w:id="19" w:name="_Toc22414"/>
      <w:bookmarkStart w:id="20" w:name="_Toc4564"/>
      <w:bookmarkStart w:id="21" w:name="_Toc22790"/>
      <w:r>
        <w:rPr>
          <w:rFonts w:hint="eastAsia" w:asciiTheme="minorEastAsia" w:hAnsiTheme="minorEastAsia" w:eastAsiaTheme="minorEastAsia" w:cstheme="minorEastAsia"/>
          <w:b/>
          <w:bCs/>
          <w:color w:val="auto"/>
          <w:sz w:val="24"/>
          <w:szCs w:val="24"/>
          <w:highlight w:val="none"/>
        </w:rPr>
        <w:t>3.2响应报价参考编制要求</w:t>
      </w:r>
      <w:bookmarkEnd w:id="19"/>
      <w:bookmarkEnd w:id="20"/>
      <w:bookmarkEnd w:id="21"/>
    </w:p>
    <w:p w14:paraId="1895A60D">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响应报价编制参考依据：</w:t>
      </w:r>
      <w:r>
        <w:rPr>
          <w:rFonts w:hint="eastAsia" w:asciiTheme="minorEastAsia" w:hAnsiTheme="minorEastAsia" w:eastAsiaTheme="minorEastAsia" w:cstheme="minorEastAsia"/>
          <w:color w:val="auto"/>
          <w:sz w:val="24"/>
          <w:szCs w:val="24"/>
          <w:highlight w:val="none"/>
          <w:lang w:val="en-US" w:eastAsia="zh-CN"/>
        </w:rPr>
        <w:t>详见清单编制说明（如有）。</w:t>
      </w:r>
    </w:p>
    <w:p w14:paraId="7DB8D74F">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3.2.2供应商应仔细阅读采购文件，了解全部工程内容。供应商的响应报价应是采购文件所确定的采购范围内全部工程内容的价格体现，但其响应报价不得低于供应商个别成本价。</w:t>
      </w:r>
    </w:p>
    <w:p w14:paraId="1697B6A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3.2.3供应商应按采购人提供的工程量清单填报综合单价和合价，未填报的综合单价和合价，视为此项费用已合在工程量清单的其他综合单价和合价中。</w:t>
      </w:r>
    </w:p>
    <w:p w14:paraId="5DE970AC">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5A51E334">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3.2.5措施项目费依据第3.2.1项编制依据确定。</w:t>
      </w:r>
    </w:p>
    <w:p w14:paraId="6F43B67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3.2.6不可竞争费（含安全文明施工费、环境保护税</w:t>
      </w:r>
      <w:r>
        <w:rPr>
          <w:rFonts w:hint="eastAsia" w:asciiTheme="minorEastAsia" w:hAnsiTheme="minorEastAsia" w:eastAsiaTheme="minorEastAsia" w:cstheme="minorEastAsia"/>
          <w:color w:val="auto"/>
          <w:sz w:val="24"/>
          <w:szCs w:val="24"/>
          <w:highlight w:val="none"/>
          <w:lang w:eastAsia="zh-CN"/>
        </w:rPr>
        <w:t>、安全生产责任保险费</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）根据工程量清单不可竞争项目，结合第3.2.1项编制依据确定，安全文明施工费费率</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lang w:eastAsia="zh-CN"/>
        </w:rPr>
        <w:t>安全生产责任保险费</w:t>
      </w:r>
      <w:r>
        <w:rPr>
          <w:rFonts w:hint="eastAsia" w:asciiTheme="minorEastAsia" w:hAnsiTheme="minorEastAsia" w:eastAsiaTheme="minorEastAsia" w:cstheme="minorEastAsia"/>
          <w:color w:val="auto"/>
          <w:sz w:val="24"/>
          <w:szCs w:val="24"/>
          <w:highlight w:val="none"/>
          <w:lang w:val="en-US" w:eastAsia="zh-CN"/>
        </w:rPr>
        <w:t>费率</w:t>
      </w:r>
      <w:r>
        <w:rPr>
          <w:rFonts w:hint="eastAsia" w:asciiTheme="minorEastAsia" w:hAnsiTheme="minorEastAsia" w:eastAsiaTheme="minorEastAsia" w:cstheme="minorEastAsia"/>
          <w:color w:val="auto"/>
          <w:sz w:val="24"/>
          <w:szCs w:val="24"/>
          <w:highlight w:val="none"/>
        </w:rPr>
        <w:t>不得调整。</w:t>
      </w:r>
    </w:p>
    <w:p w14:paraId="5A4CEE3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3.2.7其他项目费用应按照下列规定计价：</w:t>
      </w:r>
    </w:p>
    <w:p w14:paraId="3851E6FA">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（1）暂列金额按工程量清单中列出的金额填写，不得更改；</w:t>
      </w:r>
    </w:p>
    <w:p w14:paraId="45D62EC1">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（2）专业工程暂估价按工程量清单中列出的金额填写，不得更改；</w:t>
      </w:r>
    </w:p>
    <w:p w14:paraId="5352503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（3）计日工按采购人列出项目和数量，结合第3.2.1项编制依据的要求确定综合单价并计算费用； </w:t>
      </w:r>
    </w:p>
    <w:p w14:paraId="055DF13C">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（4）总承包服务费根据采购文件列出的内容和要求计算。</w:t>
      </w:r>
    </w:p>
    <w:p w14:paraId="739A780A">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3.2.8税金（增值税）按税金项目清单，结合第3.2.1项编制依据的要求编制，不得调整。</w:t>
      </w:r>
    </w:p>
    <w:p w14:paraId="583F0BC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3.2.9 响应报价编制注意事项</w:t>
      </w:r>
    </w:p>
    <w:p w14:paraId="4478B244">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对于受施工现场场地限制，如需要另外寻找场地解决临时住宿、材料及设备堆放，由此所产生的费用应包含在响应报价范围内，采购人不再承担该费用</w:t>
      </w:r>
      <w:r>
        <w:rPr>
          <w:rFonts w:hint="eastAsia" w:asciiTheme="minorEastAsia" w:hAnsiTheme="minorEastAsia" w:eastAsiaTheme="minorEastAsia" w:cstheme="minorEastAsia"/>
          <w:bCs/>
          <w:color w:val="auto"/>
          <w:sz w:val="24"/>
          <w:szCs w:val="24"/>
          <w:highlight w:val="none"/>
        </w:rPr>
        <w:t>。</w:t>
      </w:r>
    </w:p>
    <w:bookmarkEnd w:id="14"/>
    <w:p w14:paraId="54BEF16C">
      <w:pPr>
        <w:pStyle w:val="2"/>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color w:val="auto"/>
          <w:sz w:val="24"/>
          <w:szCs w:val="24"/>
          <w:highlight w:val="none"/>
        </w:rPr>
      </w:pPr>
      <w:bookmarkStart w:id="22" w:name="_Toc26113"/>
      <w:bookmarkStart w:id="23" w:name="_Toc25124"/>
      <w:bookmarkStart w:id="24" w:name="_Toc527541657"/>
      <w:r>
        <w:rPr>
          <w:rFonts w:hint="eastAsia" w:asciiTheme="minorEastAsia" w:hAnsiTheme="minorEastAsia" w:eastAsiaTheme="minorEastAsia" w:cstheme="minorEastAsia"/>
          <w:color w:val="auto"/>
          <w:sz w:val="24"/>
          <w:szCs w:val="24"/>
          <w:highlight w:val="none"/>
          <w:lang w:val="en-US"/>
        </w:rPr>
        <w:t>四、</w:t>
      </w:r>
      <w:r>
        <w:rPr>
          <w:rFonts w:hint="eastAsia" w:asciiTheme="minorEastAsia" w:hAnsiTheme="minorEastAsia" w:eastAsiaTheme="minorEastAsia" w:cstheme="minorEastAsia"/>
          <w:color w:val="auto"/>
          <w:sz w:val="24"/>
          <w:szCs w:val="24"/>
          <w:highlight w:val="none"/>
        </w:rPr>
        <w:t>工程量清单</w:t>
      </w:r>
      <w:bookmarkEnd w:id="22"/>
      <w:bookmarkEnd w:id="23"/>
    </w:p>
    <w:bookmarkEnd w:id="24"/>
    <w:p w14:paraId="2C15D2AA">
      <w:pPr>
        <w:pStyle w:val="9"/>
        <w:pageBreakBefore w:val="0"/>
        <w:widowControl w:val="0"/>
        <w:kinsoku/>
        <w:wordWrap/>
        <w:overflowPunct/>
        <w:topLinePunct w:val="0"/>
        <w:autoSpaceDE/>
        <w:autoSpaceDN/>
        <w:bidi w:val="0"/>
        <w:adjustRightInd/>
        <w:snapToGrid/>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另行发放。如工程量清单中涉及证明材料，供应商无须提供。如工程量清单中出现特定性、唯一性品牌的表述，该品牌仅作为参考，施工过程中不具有限定性。</w:t>
      </w:r>
    </w:p>
    <w:p w14:paraId="1E0F18D6">
      <w:pPr>
        <w:pStyle w:val="2"/>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color w:val="auto"/>
          <w:sz w:val="24"/>
          <w:szCs w:val="24"/>
          <w:highlight w:val="none"/>
        </w:rPr>
      </w:pPr>
      <w:bookmarkStart w:id="25" w:name="_Toc527541659"/>
      <w:bookmarkStart w:id="26" w:name="_Hlk165186373"/>
      <w:bookmarkStart w:id="27" w:name="_Toc31135"/>
      <w:bookmarkStart w:id="28" w:name="_Toc4770"/>
      <w:r>
        <w:rPr>
          <w:rFonts w:hint="eastAsia" w:asciiTheme="minorEastAsia" w:hAnsiTheme="minorEastAsia" w:eastAsiaTheme="minorEastAsia" w:cstheme="minorEastAsia"/>
          <w:color w:val="auto"/>
          <w:sz w:val="24"/>
          <w:szCs w:val="24"/>
          <w:highlight w:val="none"/>
          <w:lang w:val="en-US"/>
        </w:rPr>
        <w:t>五、</w:t>
      </w:r>
      <w:r>
        <w:rPr>
          <w:rFonts w:hint="eastAsia" w:asciiTheme="minorEastAsia" w:hAnsiTheme="minorEastAsia" w:eastAsiaTheme="minorEastAsia" w:cstheme="minorEastAsia"/>
          <w:color w:val="auto"/>
          <w:sz w:val="24"/>
          <w:szCs w:val="24"/>
          <w:highlight w:val="none"/>
        </w:rPr>
        <w:t>图纸</w:t>
      </w:r>
      <w:bookmarkEnd w:id="25"/>
      <w:bookmarkEnd w:id="26"/>
      <w:r>
        <w:rPr>
          <w:rFonts w:hint="eastAsia" w:asciiTheme="minorEastAsia" w:hAnsiTheme="minorEastAsia" w:eastAsiaTheme="minorEastAsia" w:cstheme="minorEastAsia"/>
          <w:color w:val="auto"/>
          <w:sz w:val="24"/>
          <w:szCs w:val="24"/>
          <w:highlight w:val="none"/>
        </w:rPr>
        <w:t>（如有）</w:t>
      </w:r>
      <w:bookmarkEnd w:id="27"/>
      <w:bookmarkEnd w:id="28"/>
    </w:p>
    <w:p w14:paraId="6103089E">
      <w:pPr>
        <w:pageBreakBefore w:val="0"/>
        <w:widowControl w:val="0"/>
        <w:kinsoku/>
        <w:wordWrap/>
        <w:overflowPunct/>
        <w:topLinePunct w:val="0"/>
        <w:autoSpaceDE/>
        <w:autoSpaceDN/>
        <w:bidi w:val="0"/>
        <w:adjustRightInd/>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另行发放。如图纸中涉及证明材料，供应商无须提供。如图纸中出现特定性、唯一性品牌的表述，该品牌仅作为参考，施工过程中不具有限定性。</w:t>
      </w:r>
    </w:p>
    <w:p w14:paraId="75A499F7">
      <w:pPr>
        <w:pStyle w:val="2"/>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、人员到岗及履约要求</w:t>
      </w:r>
    </w:p>
    <w:p w14:paraId="3B71C7A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一旦成交，</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时所报的本项目的项目经理、施工现场技术负责人及项目部主要管理人员等在整个项目施工期内必须在位，否则采购人有权</w:t>
      </w:r>
      <w:r>
        <w:rPr>
          <w:rFonts w:hint="eastAsia" w:asciiTheme="minorEastAsia" w:hAnsiTheme="minorEastAsia" w:eastAsiaTheme="minorEastAsia" w:cstheme="minorEastAsia"/>
          <w:color w:val="auto"/>
          <w:sz w:val="24"/>
          <w:szCs w:val="24"/>
          <w:highlight w:val="none"/>
          <w:lang w:val="en-US" w:eastAsia="zh-CN"/>
        </w:rPr>
        <w:t>解除</w:t>
      </w:r>
      <w:r>
        <w:rPr>
          <w:rFonts w:hint="eastAsia" w:asciiTheme="minorEastAsia" w:hAnsiTheme="minorEastAsia" w:eastAsiaTheme="minorEastAsia" w:cstheme="minorEastAsia"/>
          <w:color w:val="auto"/>
          <w:sz w:val="24"/>
          <w:szCs w:val="24"/>
          <w:highlight w:val="none"/>
        </w:rPr>
        <w:t>合同。由此造成的损失，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自行承担并赔偿可能给采购人造成的损失。 </w:t>
      </w:r>
    </w:p>
    <w:p w14:paraId="5DC752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不得擅自更换磋商时所报项目经理及项目部主要管理人员。确需更换时，须报采购人同意，更换后人员不得低于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所报人员资质和技术水平。采购人如认为有必要，可要求对上述人员中的部分人员作出更好的调整。 </w:t>
      </w:r>
    </w:p>
    <w:p w14:paraId="65B604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未能按照承诺到岗尽职的，采购人将视情况严重程度对其作出相应处理，并发出整改通知。如仍未及时整改，采购人有权责令其停工整改、直至</w:t>
      </w:r>
      <w:r>
        <w:rPr>
          <w:rFonts w:hint="eastAsia" w:asciiTheme="minorEastAsia" w:hAnsiTheme="minorEastAsia" w:eastAsiaTheme="minorEastAsia" w:cstheme="minorEastAsia"/>
          <w:color w:val="auto"/>
          <w:sz w:val="24"/>
          <w:szCs w:val="24"/>
          <w:highlight w:val="none"/>
          <w:lang w:val="en-US" w:eastAsia="zh-CN"/>
        </w:rPr>
        <w:t>解除</w:t>
      </w:r>
      <w:r>
        <w:rPr>
          <w:rFonts w:hint="eastAsia" w:asciiTheme="minorEastAsia" w:hAnsiTheme="minorEastAsia" w:eastAsiaTheme="minorEastAsia" w:cstheme="minorEastAsia"/>
          <w:color w:val="auto"/>
          <w:sz w:val="24"/>
          <w:szCs w:val="24"/>
          <w:highlight w:val="none"/>
        </w:rPr>
        <w:t>合同。采购人还将停止支付工程款项，扣留任何未付的工程进度款项补偿建设单位的有关损失或工期延误的损失，并就此向</w:t>
      </w:r>
      <w:r>
        <w:rPr>
          <w:rFonts w:hint="eastAsia" w:asciiTheme="minorEastAsia" w:hAnsiTheme="minorEastAsia" w:eastAsiaTheme="minorEastAsia" w:cstheme="minorEastAsia"/>
          <w:color w:val="auto"/>
          <w:sz w:val="24"/>
          <w:szCs w:val="24"/>
          <w:highlight w:val="none"/>
          <w:lang w:eastAsia="zh-CN"/>
        </w:rPr>
        <w:t>成交供应商要求</w:t>
      </w:r>
      <w:r>
        <w:rPr>
          <w:rFonts w:hint="eastAsia" w:asciiTheme="minorEastAsia" w:hAnsiTheme="minorEastAsia" w:eastAsiaTheme="minorEastAsia" w:cstheme="minorEastAsia"/>
          <w:color w:val="auto"/>
          <w:sz w:val="24"/>
          <w:szCs w:val="24"/>
          <w:highlight w:val="none"/>
        </w:rPr>
        <w:t xml:space="preserve">索赔。 </w:t>
      </w:r>
    </w:p>
    <w:p w14:paraId="40900B1D">
      <w:pPr>
        <w:pStyle w:val="2"/>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、材料要求</w:t>
      </w:r>
    </w:p>
    <w:p w14:paraId="198809A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自行采购的材料应满足设计和规范要求的质量等级，并须按有关技术规范要求对材料质量进行检验。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选定的材料供应厂家和价格须经采购人和监理单位认可。如采购人和监理单位对某种或某些材料的质量有异议，有权提出停止使用的要求，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必须服从该要求。若该材料经</w:t>
      </w:r>
      <w:r>
        <w:rPr>
          <w:rFonts w:hint="eastAsia" w:asciiTheme="minorEastAsia" w:hAnsiTheme="minorEastAsia" w:eastAsiaTheme="minorEastAsia" w:cstheme="minorEastAsia"/>
          <w:color w:val="auto"/>
          <w:sz w:val="24"/>
          <w:szCs w:val="24"/>
          <w:highlight w:val="none"/>
          <w:lang w:val="en-US" w:eastAsia="zh-CN"/>
        </w:rPr>
        <w:t>第三方检测/</w:t>
      </w:r>
      <w:r>
        <w:rPr>
          <w:rFonts w:hint="eastAsia" w:asciiTheme="minorEastAsia" w:hAnsiTheme="minorEastAsia" w:eastAsiaTheme="minorEastAsia" w:cstheme="minorEastAsia"/>
          <w:color w:val="auto"/>
          <w:sz w:val="24"/>
          <w:szCs w:val="24"/>
          <w:highlight w:val="none"/>
        </w:rPr>
        <w:t>检验部门鉴定确有质量问题，由此而发生的一切费用由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自负。因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自行采购的材料质量引起的工程质量问题由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承担所造成的一切损失。 </w:t>
      </w:r>
    </w:p>
    <w:p w14:paraId="3531E1F1">
      <w:pPr>
        <w:spacing w:line="360" w:lineRule="auto"/>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2、材料参考品牌</w:t>
      </w:r>
    </w:p>
    <w:tbl>
      <w:tblPr>
        <w:tblStyle w:val="4"/>
        <w:tblW w:w="8198" w:type="dxa"/>
        <w:tblInd w:w="96" w:type="dxa"/>
        <w:tblLayout w:type="fixed"/>
        <w:tblCellMar>
          <w:top w:w="0" w:type="dxa"/>
          <w:left w:w="108" w:type="dxa"/>
          <w:bottom w:w="0" w:type="dxa"/>
          <w:right w:w="108" w:type="dxa"/>
        </w:tblCellMar>
      </w:tblPr>
      <w:tblGrid>
        <w:gridCol w:w="804"/>
        <w:gridCol w:w="2218"/>
        <w:gridCol w:w="4231"/>
        <w:gridCol w:w="945"/>
      </w:tblGrid>
      <w:tr w14:paraId="6566F5A7">
        <w:tblPrEx>
          <w:tblCellMar>
            <w:top w:w="0" w:type="dxa"/>
            <w:left w:w="108" w:type="dxa"/>
            <w:bottom w:w="0" w:type="dxa"/>
            <w:right w:w="108" w:type="dxa"/>
          </w:tblCellMar>
        </w:tblPrEx>
        <w:trPr>
          <w:trHeight w:val="446" w:hRule="atLeast"/>
        </w:trPr>
        <w:tc>
          <w:tcPr>
            <w:tcW w:w="804" w:type="dxa"/>
            <w:tcBorders>
              <w:top w:val="single" w:color="000000" w:sz="4" w:space="0"/>
              <w:left w:val="single" w:color="000000" w:sz="8" w:space="0"/>
              <w:bottom w:val="single" w:color="000000" w:sz="4" w:space="0"/>
              <w:right w:val="single" w:color="000000" w:sz="4" w:space="0"/>
            </w:tcBorders>
            <w:noWrap w:val="0"/>
            <w:vAlign w:val="center"/>
          </w:tcPr>
          <w:p w14:paraId="0F461DC1">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4CF001D">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材料、设备名称</w:t>
            </w:r>
          </w:p>
        </w:tc>
        <w:tc>
          <w:tcPr>
            <w:tcW w:w="4231" w:type="dxa"/>
            <w:tcBorders>
              <w:top w:val="single" w:color="000000" w:sz="4" w:space="0"/>
              <w:left w:val="single" w:color="000000" w:sz="4" w:space="0"/>
              <w:bottom w:val="single" w:color="000000" w:sz="4" w:space="0"/>
              <w:right w:val="single" w:color="000000" w:sz="4" w:space="0"/>
            </w:tcBorders>
            <w:noWrap/>
            <w:vAlign w:val="center"/>
          </w:tcPr>
          <w:p w14:paraId="395CD37D">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参考品牌</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3189A12">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1A108F88">
        <w:tblPrEx>
          <w:tblCellMar>
            <w:top w:w="0" w:type="dxa"/>
            <w:left w:w="108" w:type="dxa"/>
            <w:bottom w:w="0" w:type="dxa"/>
            <w:right w:w="108" w:type="dxa"/>
          </w:tblCellMar>
        </w:tblPrEx>
        <w:trPr>
          <w:trHeight w:val="446" w:hRule="atLeast"/>
        </w:trPr>
        <w:tc>
          <w:tcPr>
            <w:tcW w:w="804" w:type="dxa"/>
            <w:tcBorders>
              <w:top w:val="single" w:color="000000" w:sz="4" w:space="0"/>
              <w:left w:val="single" w:color="000000" w:sz="8" w:space="0"/>
              <w:bottom w:val="single" w:color="000000" w:sz="4" w:space="0"/>
              <w:right w:val="single" w:color="000000" w:sz="4" w:space="0"/>
            </w:tcBorders>
            <w:noWrap w:val="0"/>
            <w:vAlign w:val="center"/>
          </w:tcPr>
          <w:p w14:paraId="19189C64">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0584DE51">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瓷砖</w:t>
            </w:r>
          </w:p>
        </w:tc>
        <w:tc>
          <w:tcPr>
            <w:tcW w:w="4231" w:type="dxa"/>
            <w:tcBorders>
              <w:top w:val="single" w:color="000000" w:sz="4" w:space="0"/>
              <w:left w:val="single" w:color="000000" w:sz="4" w:space="0"/>
              <w:bottom w:val="single" w:color="000000" w:sz="4" w:space="0"/>
              <w:right w:val="single" w:color="000000" w:sz="4" w:space="0"/>
            </w:tcBorders>
            <w:noWrap/>
            <w:vAlign w:val="center"/>
          </w:tcPr>
          <w:p w14:paraId="5D43E949">
            <w:pPr>
              <w:widowControl/>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马可波罗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东鹏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蒙娜丽莎</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4877CA">
            <w:pPr>
              <w:widowControl/>
              <w:spacing w:line="360" w:lineRule="auto"/>
              <w:jc w:val="center"/>
              <w:rPr>
                <w:rFonts w:hint="eastAsia" w:ascii="仿宋" w:hAnsi="仿宋" w:eastAsia="仿宋" w:cs="仿宋"/>
                <w:b/>
                <w:bCs/>
                <w:color w:val="auto"/>
                <w:sz w:val="24"/>
                <w:szCs w:val="24"/>
                <w:highlight w:val="none"/>
              </w:rPr>
            </w:pPr>
          </w:p>
        </w:tc>
      </w:tr>
      <w:tr w14:paraId="68216616">
        <w:tblPrEx>
          <w:tblCellMar>
            <w:top w:w="0" w:type="dxa"/>
            <w:left w:w="108" w:type="dxa"/>
            <w:bottom w:w="0" w:type="dxa"/>
            <w:right w:w="108" w:type="dxa"/>
          </w:tblCellMar>
        </w:tblPrEx>
        <w:trPr>
          <w:trHeight w:val="446" w:hRule="atLeast"/>
        </w:trPr>
        <w:tc>
          <w:tcPr>
            <w:tcW w:w="804" w:type="dxa"/>
            <w:tcBorders>
              <w:top w:val="single" w:color="000000" w:sz="4" w:space="0"/>
              <w:left w:val="single" w:color="000000" w:sz="8" w:space="0"/>
              <w:bottom w:val="single" w:color="000000" w:sz="4" w:space="0"/>
              <w:right w:val="single" w:color="000000" w:sz="4" w:space="0"/>
            </w:tcBorders>
            <w:noWrap w:val="0"/>
            <w:vAlign w:val="center"/>
          </w:tcPr>
          <w:p w14:paraId="2BAD5069">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4FBD71F9">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洁具</w:t>
            </w:r>
          </w:p>
        </w:tc>
        <w:tc>
          <w:tcPr>
            <w:tcW w:w="4231" w:type="dxa"/>
            <w:tcBorders>
              <w:top w:val="single" w:color="000000" w:sz="4" w:space="0"/>
              <w:left w:val="single" w:color="000000" w:sz="4" w:space="0"/>
              <w:bottom w:val="single" w:color="000000" w:sz="4" w:space="0"/>
              <w:right w:val="single" w:color="000000" w:sz="4" w:space="0"/>
            </w:tcBorders>
            <w:noWrap/>
            <w:vAlign w:val="center"/>
          </w:tcPr>
          <w:p w14:paraId="0F426F22">
            <w:pPr>
              <w:widowControl/>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美标、九牧、箭牌、东鹏</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762D056">
            <w:pPr>
              <w:widowControl/>
              <w:spacing w:line="360" w:lineRule="auto"/>
              <w:jc w:val="center"/>
              <w:rPr>
                <w:rFonts w:hint="eastAsia" w:ascii="仿宋" w:hAnsi="仿宋" w:eastAsia="仿宋" w:cs="仿宋"/>
                <w:b/>
                <w:bCs/>
                <w:color w:val="auto"/>
                <w:sz w:val="24"/>
                <w:szCs w:val="24"/>
                <w:highlight w:val="none"/>
              </w:rPr>
            </w:pPr>
          </w:p>
        </w:tc>
      </w:tr>
      <w:tr w14:paraId="63B0F52F">
        <w:tblPrEx>
          <w:tblCellMar>
            <w:top w:w="0" w:type="dxa"/>
            <w:left w:w="108" w:type="dxa"/>
            <w:bottom w:w="0" w:type="dxa"/>
            <w:right w:w="108" w:type="dxa"/>
          </w:tblCellMar>
        </w:tblPrEx>
        <w:trPr>
          <w:trHeight w:val="455" w:hRule="atLeast"/>
        </w:trPr>
        <w:tc>
          <w:tcPr>
            <w:tcW w:w="804" w:type="dxa"/>
            <w:tcBorders>
              <w:top w:val="single" w:color="000000" w:sz="4" w:space="0"/>
              <w:left w:val="single" w:color="000000" w:sz="8" w:space="0"/>
              <w:bottom w:val="single" w:color="000000" w:sz="4" w:space="0"/>
              <w:right w:val="single" w:color="000000" w:sz="4" w:space="0"/>
            </w:tcBorders>
            <w:noWrap w:val="0"/>
            <w:vAlign w:val="center"/>
          </w:tcPr>
          <w:p w14:paraId="230D6421">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6F991BF4">
            <w:pPr>
              <w:widowControl/>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聚氨酯防水</w:t>
            </w:r>
          </w:p>
        </w:tc>
        <w:tc>
          <w:tcPr>
            <w:tcW w:w="4231" w:type="dxa"/>
            <w:tcBorders>
              <w:top w:val="single" w:color="000000" w:sz="4" w:space="0"/>
              <w:left w:val="single" w:color="000000" w:sz="4" w:space="0"/>
              <w:bottom w:val="single" w:color="000000" w:sz="4" w:space="0"/>
              <w:right w:val="single" w:color="000000" w:sz="4" w:space="0"/>
            </w:tcBorders>
            <w:noWrap/>
            <w:vAlign w:val="center"/>
          </w:tcPr>
          <w:p w14:paraId="408B3B9E">
            <w:pPr>
              <w:widowControl/>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东方雨虹、科顺、德高、西卡</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9B52A5A">
            <w:pPr>
              <w:widowControl/>
              <w:spacing w:line="360" w:lineRule="auto"/>
              <w:jc w:val="center"/>
              <w:rPr>
                <w:rFonts w:hint="eastAsia" w:ascii="仿宋" w:hAnsi="仿宋" w:eastAsia="仿宋" w:cs="仿宋"/>
                <w:b/>
                <w:bCs/>
                <w:color w:val="auto"/>
                <w:sz w:val="24"/>
                <w:szCs w:val="24"/>
                <w:highlight w:val="none"/>
              </w:rPr>
            </w:pPr>
          </w:p>
        </w:tc>
      </w:tr>
    </w:tbl>
    <w:p w14:paraId="0D27EB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如本项目采购人对工程质量有特殊需求的，对主要设备及材料提供不少于三个品牌，对于</w:t>
      </w:r>
      <w:r>
        <w:rPr>
          <w:rFonts w:hint="eastAsia" w:asciiTheme="minorEastAsia" w:hAnsiTheme="minorEastAsia" w:eastAsiaTheme="minorEastAsia" w:cstheme="minorEastAsia"/>
          <w:color w:val="auto"/>
          <w:sz w:val="24"/>
          <w:szCs w:val="24"/>
          <w:highlight w:val="none"/>
          <w:lang w:val="en-US" w:eastAsia="zh-CN"/>
        </w:rPr>
        <w:t>如</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参考品牌的材料，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可选用参考品牌或不低于参考品牌质量标准的其它品牌；采用其它品牌的应在响应文件中提供相关技术参数证明材料供</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评审，未提供相关技术参数证明材料或经</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评审未通过的，成交后只能从采购人参考品牌中进行选择，价格不予调整。</w:t>
      </w:r>
    </w:p>
    <w:p w14:paraId="3760E541">
      <w:pPr>
        <w:pStyle w:val="2"/>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、重要说明</w:t>
      </w:r>
    </w:p>
    <w:p w14:paraId="48286C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承包人在工程实施过程中用工行为，必须严格执行国家及地方政府的有关规定，依法签订劳动合同，并按规定及时足额支付工资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并按照相关规定为相关人员缴纳保险及必要的人身意外险。</w:t>
      </w:r>
    </w:p>
    <w:p w14:paraId="50175764">
      <w:pPr>
        <w:pStyle w:val="2"/>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施工要求</w:t>
      </w:r>
    </w:p>
    <w:p w14:paraId="758DE05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每个施工工序须经采购人及监理验收合格后方可进行下一阶段施工环节。卫生间及</w:t>
      </w:r>
      <w:r>
        <w:rPr>
          <w:rFonts w:hint="eastAsia" w:asciiTheme="minorEastAsia" w:hAnsiTheme="minorEastAsia" w:eastAsiaTheme="minorEastAsia" w:cstheme="minorEastAsia"/>
          <w:color w:val="auto"/>
          <w:sz w:val="24"/>
          <w:szCs w:val="24"/>
          <w:highlight w:val="none"/>
          <w:lang w:eastAsia="zh-CN"/>
        </w:rPr>
        <w:t>公共卫生间</w:t>
      </w:r>
      <w:r>
        <w:rPr>
          <w:rFonts w:hint="eastAsia" w:asciiTheme="minorEastAsia" w:hAnsiTheme="minorEastAsia" w:eastAsiaTheme="minorEastAsia" w:cstheme="minorEastAsia"/>
          <w:color w:val="auto"/>
          <w:sz w:val="24"/>
          <w:szCs w:val="24"/>
          <w:highlight w:val="none"/>
        </w:rPr>
        <w:t>施工后须进行闭水试验，经采购人及监理验收合格后方可进行下一阶段施工环节。</w:t>
      </w:r>
    </w:p>
    <w:p w14:paraId="0EA80E85">
      <w:pPr>
        <w:pStyle w:val="2"/>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十、其他要求</w:t>
      </w:r>
    </w:p>
    <w:p w14:paraId="10895D6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本工程最高限价已按规定的措施项目、费率和单价列出招标工程施工扬尘污染防治费用和建筑工人实名制管理费用清单，</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应承诺报价中已包含</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公布的施工扬尘污染防治费用和建筑工人实名制管理费用。</w:t>
      </w:r>
    </w:p>
    <w:p w14:paraId="5B24413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须根据采购方要求和施工图纸进行施工，如有疑问，须在中标后3日内与采购人沟通确认。</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必须注意现场已有建筑及设备保护，如有损坏</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须在竣工验收前自行维修恢复至原状，后期不再另行计算，并保证在规定工期内完成本项工程。</w:t>
      </w:r>
    </w:p>
    <w:p w14:paraId="56C5B0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eastAsia="zh-CN"/>
        </w:rPr>
        <w:t>成交价</w:t>
      </w:r>
      <w:r>
        <w:rPr>
          <w:rFonts w:hint="eastAsia" w:asciiTheme="minorEastAsia" w:hAnsiTheme="minorEastAsia" w:eastAsiaTheme="minorEastAsia" w:cstheme="minorEastAsia"/>
          <w:color w:val="auto"/>
          <w:sz w:val="24"/>
          <w:szCs w:val="24"/>
          <w:highlight w:val="none"/>
        </w:rPr>
        <w:t>为合同签约价，实际结算价以结算审计核定价为准，项目实施过程中经采购人确认同意后如产生签证，所有签证结算核定总价不得超过合同价的10%，且单个项目签证总价如超过10万元，须提前7个工作日向采购人报备，经采购人同意确认后方可实施，未经采购人确认同意的签证不予认可，其他签证按《</w:t>
      </w:r>
      <w:r>
        <w:rPr>
          <w:rFonts w:hint="eastAsia" w:asciiTheme="minorEastAsia" w:hAnsiTheme="minorEastAsia" w:eastAsiaTheme="minorEastAsia" w:cstheme="minorEastAsia"/>
          <w:color w:val="auto"/>
          <w:sz w:val="24"/>
          <w:szCs w:val="24"/>
          <w:highlight w:val="none"/>
          <w:lang w:eastAsia="zh-CN"/>
        </w:rPr>
        <w:t>安徽粮食工程职业学院</w:t>
      </w:r>
      <w:r>
        <w:rPr>
          <w:rFonts w:hint="eastAsia" w:asciiTheme="minorEastAsia" w:hAnsiTheme="minorEastAsia" w:eastAsiaTheme="minorEastAsia" w:cstheme="minorEastAsia"/>
          <w:color w:val="auto"/>
          <w:sz w:val="24"/>
          <w:szCs w:val="24"/>
          <w:highlight w:val="none"/>
        </w:rPr>
        <w:t>基建工程变更、签证管理办法》执行。</w:t>
      </w:r>
    </w:p>
    <w:p w14:paraId="5A904A0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、因受校园场地限制，</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施工期间相关人员的住宿由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自行考虑，根据项目实际情况涉及住宿地点调整，</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要无条件配合，后期不再另行计费。</w:t>
      </w:r>
    </w:p>
    <w:p w14:paraId="15C71DA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响应报价</w:t>
      </w:r>
      <w:r>
        <w:rPr>
          <w:rFonts w:hint="eastAsia" w:asciiTheme="minorEastAsia" w:hAnsiTheme="minorEastAsia" w:eastAsiaTheme="minorEastAsia" w:cstheme="minorEastAsia"/>
          <w:color w:val="auto"/>
          <w:sz w:val="24"/>
          <w:szCs w:val="24"/>
          <w:highlight w:val="none"/>
        </w:rPr>
        <w:t>应考虑临时设施的拆除、及其拆除后建筑垃圾外运等费用，做到工程竣工时“工完、料尽、场地清”。</w:t>
      </w:r>
      <w:r>
        <w:rPr>
          <w:rFonts w:hint="eastAsia" w:asciiTheme="minorEastAsia" w:hAnsiTheme="minorEastAsia" w:eastAsiaTheme="minorEastAsia" w:cstheme="minorEastAsia"/>
          <w:color w:val="auto"/>
          <w:sz w:val="24"/>
          <w:szCs w:val="24"/>
          <w:highlight w:val="none"/>
          <w:lang w:val="en-US" w:eastAsia="zh-CN"/>
        </w:rPr>
        <w:t>建议供应商</w:t>
      </w:r>
      <w:r>
        <w:rPr>
          <w:rFonts w:hint="eastAsia" w:asciiTheme="minorEastAsia" w:hAnsiTheme="minorEastAsia" w:eastAsiaTheme="minorEastAsia" w:cstheme="minorEastAsia"/>
          <w:color w:val="auto"/>
          <w:sz w:val="24"/>
          <w:szCs w:val="24"/>
          <w:highlight w:val="none"/>
        </w:rPr>
        <w:t>认真详细</w:t>
      </w:r>
      <w:r>
        <w:rPr>
          <w:rFonts w:hint="eastAsia" w:asciiTheme="minorEastAsia" w:hAnsiTheme="minorEastAsia" w:eastAsiaTheme="minorEastAsia" w:cstheme="minorEastAsia"/>
          <w:color w:val="auto"/>
          <w:sz w:val="24"/>
          <w:szCs w:val="24"/>
          <w:highlight w:val="none"/>
          <w:lang w:val="en-US" w:eastAsia="zh-CN"/>
        </w:rPr>
        <w:t>踏勘</w:t>
      </w:r>
      <w:r>
        <w:rPr>
          <w:rFonts w:hint="eastAsia" w:asciiTheme="minorEastAsia" w:hAnsiTheme="minorEastAsia" w:eastAsiaTheme="minorEastAsia" w:cstheme="minorEastAsia"/>
          <w:color w:val="auto"/>
          <w:sz w:val="24"/>
          <w:szCs w:val="24"/>
          <w:highlight w:val="none"/>
        </w:rPr>
        <w:t>现场，因场地限制，不具备材料堆场、搭设加工区、搭设办公区、搭设生活区的，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响应报价</w:t>
      </w:r>
      <w:r>
        <w:rPr>
          <w:rFonts w:hint="eastAsia" w:asciiTheme="minorEastAsia" w:hAnsiTheme="minorEastAsia" w:eastAsiaTheme="minorEastAsia" w:cstheme="minorEastAsia"/>
          <w:color w:val="auto"/>
          <w:sz w:val="24"/>
          <w:szCs w:val="24"/>
          <w:highlight w:val="none"/>
        </w:rPr>
        <w:t>中充分考虑，中标以后不再调整。</w:t>
      </w:r>
    </w:p>
    <w:p w14:paraId="75701B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、本项目若由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自身原因导致工程延期，每延期目标工期1天，每日扣除合同价款的千分之五违约金，并承担由此导致学生未能按时入住而产生的相应住宿、交通等费用及延误工期造成监理增加费用。</w:t>
      </w:r>
    </w:p>
    <w:p w14:paraId="37F17C86">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02F79"/>
    <w:rsid w:val="1350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Ansi="Courier New" w:eastAsiaTheme="minorEastAsia"/>
      <w:szCs w:val="22"/>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2026-06-05T07:15:00Z</dcterms:created>
  <dc:creator>早川</dc:creator>
  <cp:lastModifiedBy>早川</cp:lastModifiedBy>
  <dcterms:modified xsi:type="dcterms:W3CDTF">2026-06-05T07:16:15Z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0821D93A0A63437F88357DEB41B2A727_11</vt:lpwstr>
  </property>
  <property fmtid="{D5CDD505-2E9C-101B-9397-08002B2CF9AE}" pid="4" name="KSOTemplateDocerSaveRecord">
    <vt:lpwstr>eyJoZGlkIjoiMjkxZTE2NGE4YTFkYjA2ZDQ2ZWIzNWU4MDNhOGEyODciLCJ1c2VySWQiOiI2ODEyNDY0NzEifQ==</vt:lpwstr>
  </property>
</Properties>
</file>