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5AB55">
      <w:pPr>
        <w:spacing w:line="360" w:lineRule="auto"/>
        <w:jc w:val="center"/>
        <w:outlineLvl w:val="0"/>
        <w:rPr>
          <w:b/>
          <w:sz w:val="28"/>
        </w:rPr>
      </w:pPr>
      <w:r>
        <w:rPr>
          <w:rFonts w:hint="eastAsia"/>
          <w:b/>
          <w:sz w:val="28"/>
        </w:rPr>
        <w:t>采购需求</w:t>
      </w:r>
    </w:p>
    <w:tbl>
      <w:tblPr>
        <w:tblStyle w:val="2"/>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276"/>
        <w:gridCol w:w="6480"/>
      </w:tblGrid>
      <w:tr w14:paraId="012C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45AEFF1F">
            <w:pPr>
              <w:adjustRightInd w:val="0"/>
              <w:snapToGrid w:val="0"/>
              <w:spacing w:line="360" w:lineRule="auto"/>
              <w:jc w:val="center"/>
              <w:rPr>
                <w:rFonts w:cs="@仿宋_GB2312"/>
                <w:b/>
                <w:kern w:val="2"/>
                <w:sz w:val="24"/>
                <w:szCs w:val="22"/>
              </w:rPr>
            </w:pPr>
            <w:r>
              <w:rPr>
                <w:rFonts w:hint="eastAsia" w:cs="@仿宋_GB2312"/>
                <w:b/>
                <w:kern w:val="2"/>
                <w:sz w:val="24"/>
                <w:szCs w:val="22"/>
              </w:rPr>
              <w:t>序号</w:t>
            </w:r>
          </w:p>
        </w:tc>
        <w:tc>
          <w:tcPr>
            <w:tcW w:w="732" w:type="pct"/>
            <w:noWrap w:val="0"/>
            <w:vAlign w:val="center"/>
          </w:tcPr>
          <w:p w14:paraId="05FE888D">
            <w:pPr>
              <w:adjustRightInd w:val="0"/>
              <w:snapToGrid w:val="0"/>
              <w:spacing w:line="360" w:lineRule="auto"/>
              <w:jc w:val="center"/>
              <w:rPr>
                <w:rFonts w:cs="@仿宋_GB2312"/>
                <w:b/>
                <w:kern w:val="2"/>
                <w:sz w:val="24"/>
                <w:szCs w:val="22"/>
              </w:rPr>
            </w:pPr>
            <w:r>
              <w:rPr>
                <w:rFonts w:hint="eastAsia" w:cs="@仿宋_GB2312"/>
                <w:b/>
                <w:kern w:val="2"/>
                <w:sz w:val="24"/>
                <w:szCs w:val="22"/>
              </w:rPr>
              <w:t>内容</w:t>
            </w:r>
          </w:p>
        </w:tc>
        <w:tc>
          <w:tcPr>
            <w:tcW w:w="3717" w:type="pct"/>
            <w:noWrap w:val="0"/>
            <w:vAlign w:val="center"/>
          </w:tcPr>
          <w:p w14:paraId="6CFBC406">
            <w:pPr>
              <w:adjustRightInd w:val="0"/>
              <w:snapToGrid w:val="0"/>
              <w:spacing w:line="360" w:lineRule="auto"/>
              <w:jc w:val="center"/>
              <w:rPr>
                <w:rFonts w:cs="@仿宋_GB2312"/>
                <w:b/>
                <w:kern w:val="2"/>
                <w:sz w:val="24"/>
                <w:szCs w:val="22"/>
              </w:rPr>
            </w:pPr>
            <w:r>
              <w:rPr>
                <w:rFonts w:hint="eastAsia" w:cs="@仿宋_GB2312"/>
                <w:b/>
                <w:kern w:val="2"/>
                <w:sz w:val="24"/>
                <w:szCs w:val="22"/>
              </w:rPr>
              <w:t>说明和要求</w:t>
            </w:r>
          </w:p>
        </w:tc>
      </w:tr>
      <w:tr w14:paraId="72E9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0326D71C">
            <w:pPr>
              <w:spacing w:line="360" w:lineRule="auto"/>
              <w:jc w:val="center"/>
              <w:rPr>
                <w:rFonts w:cs="@仿宋_GB2312"/>
                <w:kern w:val="2"/>
                <w:sz w:val="24"/>
                <w:szCs w:val="22"/>
              </w:rPr>
            </w:pPr>
            <w:r>
              <w:rPr>
                <w:rFonts w:hint="eastAsia" w:cs="@仿宋_GB2312"/>
                <w:kern w:val="2"/>
                <w:sz w:val="24"/>
                <w:szCs w:val="22"/>
              </w:rPr>
              <w:t>1</w:t>
            </w:r>
          </w:p>
        </w:tc>
        <w:tc>
          <w:tcPr>
            <w:tcW w:w="732" w:type="pct"/>
            <w:noWrap w:val="0"/>
            <w:vAlign w:val="center"/>
          </w:tcPr>
          <w:p w14:paraId="2D623437">
            <w:pPr>
              <w:spacing w:line="360" w:lineRule="auto"/>
              <w:rPr>
                <w:rFonts w:cs="@仿宋_GB2312"/>
                <w:kern w:val="2"/>
                <w:sz w:val="24"/>
                <w:szCs w:val="22"/>
              </w:rPr>
            </w:pPr>
            <w:r>
              <w:rPr>
                <w:rFonts w:hint="eastAsia" w:cs="@仿宋_GB2312"/>
                <w:kern w:val="2"/>
                <w:sz w:val="24"/>
                <w:szCs w:val="22"/>
              </w:rPr>
              <w:t>人员到岗及履约要求</w:t>
            </w:r>
          </w:p>
        </w:tc>
        <w:tc>
          <w:tcPr>
            <w:tcW w:w="3717" w:type="pct"/>
            <w:noWrap w:val="0"/>
            <w:vAlign w:val="center"/>
          </w:tcPr>
          <w:p w14:paraId="3CBCD931">
            <w:pPr>
              <w:spacing w:line="360" w:lineRule="auto"/>
              <w:rPr>
                <w:rFonts w:cs="@仿宋_GB2312"/>
                <w:kern w:val="2"/>
                <w:sz w:val="24"/>
                <w:szCs w:val="22"/>
              </w:rPr>
            </w:pPr>
            <w:r>
              <w:rPr>
                <w:rFonts w:hint="eastAsia" w:cs="@仿宋_GB2312"/>
                <w:kern w:val="2"/>
                <w:sz w:val="24"/>
                <w:szCs w:val="22"/>
              </w:rPr>
              <w:t>（</w:t>
            </w:r>
            <w:r>
              <w:rPr>
                <w:rFonts w:cs="@仿宋_GB2312"/>
                <w:kern w:val="2"/>
                <w:sz w:val="24"/>
                <w:szCs w:val="22"/>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3）成交供应商未能按照承诺到岗尽职的，采购人将视情况严重程度对其作出相应处理</w:t>
            </w:r>
            <w:r>
              <w:rPr>
                <w:rFonts w:hint="eastAsia" w:cs="@仿宋_GB2312"/>
                <w:kern w:val="2"/>
                <w:sz w:val="24"/>
                <w:szCs w:val="22"/>
              </w:rPr>
              <w:t>，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4）进场施工人员需满足采购人相关要求。</w:t>
            </w:r>
          </w:p>
        </w:tc>
      </w:tr>
      <w:tr w14:paraId="7B68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25AC57B3">
            <w:pPr>
              <w:spacing w:line="360" w:lineRule="auto"/>
              <w:jc w:val="center"/>
              <w:rPr>
                <w:rFonts w:cs="@仿宋_GB2312"/>
                <w:kern w:val="2"/>
                <w:sz w:val="24"/>
                <w:szCs w:val="22"/>
              </w:rPr>
            </w:pPr>
            <w:r>
              <w:rPr>
                <w:rFonts w:hint="eastAsia" w:cs="@仿宋_GB2312"/>
                <w:kern w:val="2"/>
                <w:sz w:val="24"/>
                <w:szCs w:val="22"/>
              </w:rPr>
              <w:t>2</w:t>
            </w:r>
          </w:p>
        </w:tc>
        <w:tc>
          <w:tcPr>
            <w:tcW w:w="732" w:type="pct"/>
            <w:noWrap w:val="0"/>
            <w:vAlign w:val="center"/>
          </w:tcPr>
          <w:p w14:paraId="44CA4364">
            <w:pPr>
              <w:spacing w:line="360" w:lineRule="auto"/>
              <w:rPr>
                <w:rFonts w:cs="@仿宋_GB2312"/>
                <w:kern w:val="2"/>
                <w:sz w:val="24"/>
                <w:szCs w:val="22"/>
              </w:rPr>
            </w:pPr>
            <w:r>
              <w:rPr>
                <w:rFonts w:hint="eastAsia" w:cs="@仿宋_GB2312"/>
                <w:kern w:val="2"/>
                <w:sz w:val="24"/>
                <w:szCs w:val="22"/>
              </w:rPr>
              <w:t>材料要求</w:t>
            </w:r>
          </w:p>
        </w:tc>
        <w:tc>
          <w:tcPr>
            <w:tcW w:w="3717" w:type="pct"/>
            <w:noWrap w:val="0"/>
            <w:vAlign w:val="center"/>
          </w:tcPr>
          <w:p w14:paraId="36EABF48">
            <w:pPr>
              <w:spacing w:line="360" w:lineRule="auto"/>
              <w:rPr>
                <w:rFonts w:cs="@仿宋_GB2312"/>
                <w:kern w:val="2"/>
                <w:sz w:val="24"/>
                <w:szCs w:val="22"/>
              </w:rPr>
            </w:pPr>
            <w:r>
              <w:rPr>
                <w:rFonts w:cs="@仿宋_GB2312"/>
                <w:kern w:val="2"/>
                <w:sz w:val="24"/>
                <w:szCs w:val="22"/>
              </w:rPr>
              <w:t>成交供应商自行采购的材料应满足设计和规范要求的质量等级，并须按有关技术规范要求对材料质量进行检验。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3B07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708C4838">
            <w:pPr>
              <w:spacing w:line="360" w:lineRule="auto"/>
              <w:jc w:val="center"/>
              <w:rPr>
                <w:rFonts w:cs="@仿宋_GB2312"/>
                <w:kern w:val="2"/>
                <w:sz w:val="24"/>
                <w:szCs w:val="22"/>
              </w:rPr>
            </w:pPr>
            <w:r>
              <w:rPr>
                <w:rFonts w:hint="eastAsia" w:cs="@仿宋_GB2312"/>
                <w:kern w:val="2"/>
                <w:sz w:val="24"/>
                <w:szCs w:val="22"/>
              </w:rPr>
              <w:t>3</w:t>
            </w:r>
          </w:p>
        </w:tc>
        <w:tc>
          <w:tcPr>
            <w:tcW w:w="732" w:type="pct"/>
            <w:noWrap w:val="0"/>
            <w:vAlign w:val="center"/>
          </w:tcPr>
          <w:p w14:paraId="13BA52B9">
            <w:pPr>
              <w:spacing w:line="360" w:lineRule="auto"/>
              <w:rPr>
                <w:rFonts w:cs="@仿宋_GB2312"/>
                <w:kern w:val="2"/>
                <w:sz w:val="24"/>
                <w:szCs w:val="22"/>
              </w:rPr>
            </w:pPr>
            <w:r>
              <w:rPr>
                <w:rFonts w:hint="eastAsia" w:cs="@仿宋_GB2312"/>
                <w:kern w:val="2"/>
                <w:sz w:val="24"/>
                <w:szCs w:val="22"/>
              </w:rPr>
              <w:t>工程施工重点难点</w:t>
            </w:r>
          </w:p>
        </w:tc>
        <w:tc>
          <w:tcPr>
            <w:tcW w:w="3717" w:type="pct"/>
            <w:noWrap w:val="0"/>
            <w:vAlign w:val="center"/>
          </w:tcPr>
          <w:p w14:paraId="4A6D9E2F">
            <w:pPr>
              <w:spacing w:line="360" w:lineRule="auto"/>
              <w:rPr>
                <w:rFonts w:hint="eastAsia" w:cs="@仿宋_GB2312"/>
                <w:kern w:val="2"/>
                <w:sz w:val="24"/>
                <w:szCs w:val="22"/>
              </w:rPr>
            </w:pPr>
            <w:r>
              <w:rPr>
                <w:rFonts w:hint="eastAsia" w:cs="@仿宋_GB2312"/>
                <w:kern w:val="2"/>
                <w:sz w:val="24"/>
                <w:szCs w:val="22"/>
              </w:rPr>
              <w:t>针对采购人单位施工的特殊性，如何确保工期及安全。</w:t>
            </w:r>
          </w:p>
        </w:tc>
      </w:tr>
      <w:tr w14:paraId="1E67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257D9640">
            <w:pPr>
              <w:spacing w:line="360" w:lineRule="auto"/>
              <w:jc w:val="center"/>
              <w:rPr>
                <w:rFonts w:cs="@仿宋_GB2312"/>
                <w:kern w:val="2"/>
                <w:sz w:val="24"/>
                <w:szCs w:val="22"/>
              </w:rPr>
            </w:pPr>
            <w:r>
              <w:rPr>
                <w:rFonts w:hint="eastAsia" w:cs="@仿宋_GB2312"/>
                <w:kern w:val="2"/>
                <w:sz w:val="24"/>
                <w:szCs w:val="22"/>
              </w:rPr>
              <w:t>4</w:t>
            </w:r>
          </w:p>
        </w:tc>
        <w:tc>
          <w:tcPr>
            <w:tcW w:w="732" w:type="pct"/>
            <w:noWrap w:val="0"/>
            <w:vAlign w:val="center"/>
          </w:tcPr>
          <w:p w14:paraId="53BF3773">
            <w:pPr>
              <w:spacing w:line="360" w:lineRule="auto"/>
              <w:rPr>
                <w:rFonts w:cs="@仿宋_GB2312"/>
                <w:kern w:val="2"/>
                <w:sz w:val="24"/>
                <w:szCs w:val="22"/>
              </w:rPr>
            </w:pPr>
            <w:r>
              <w:rPr>
                <w:rFonts w:hint="eastAsia" w:cs="@仿宋_GB2312"/>
                <w:kern w:val="2"/>
                <w:sz w:val="24"/>
                <w:szCs w:val="22"/>
              </w:rPr>
              <w:t>报价须知</w:t>
            </w:r>
          </w:p>
        </w:tc>
        <w:tc>
          <w:tcPr>
            <w:tcW w:w="3717" w:type="pct"/>
            <w:noWrap w:val="0"/>
            <w:vAlign w:val="center"/>
          </w:tcPr>
          <w:p w14:paraId="2D228D88">
            <w:pPr>
              <w:spacing w:line="360" w:lineRule="auto"/>
              <w:rPr>
                <w:rFonts w:cs="@仿宋_GB2312"/>
                <w:kern w:val="2"/>
                <w:sz w:val="24"/>
                <w:szCs w:val="22"/>
              </w:rPr>
            </w:pPr>
            <w:r>
              <w:rPr>
                <w:rFonts w:cs="@仿宋_GB2312"/>
                <w:bCs/>
                <w:kern w:val="2"/>
                <w:sz w:val="24"/>
                <w:szCs w:val="28"/>
              </w:rPr>
              <w:t>供应商最后报价均不得高于磋商文件（公告）列明的项目</w:t>
            </w:r>
            <w:r>
              <w:rPr>
                <w:rFonts w:hint="eastAsia" w:cs="@仿宋_GB2312"/>
                <w:bCs/>
                <w:kern w:val="2"/>
                <w:sz w:val="24"/>
                <w:szCs w:val="28"/>
              </w:rPr>
              <w:t>最高限价</w:t>
            </w:r>
            <w:r>
              <w:rPr>
                <w:rFonts w:cs="@仿宋_GB2312"/>
                <w:bCs/>
                <w:kern w:val="2"/>
                <w:sz w:val="24"/>
                <w:szCs w:val="28"/>
              </w:rPr>
              <w:t>，否则其响应文件将被认定为响应无效</w:t>
            </w:r>
            <w:r>
              <w:rPr>
                <w:rFonts w:hint="eastAsia" w:cs="@仿宋_GB2312"/>
                <w:bCs/>
                <w:kern w:val="2"/>
                <w:sz w:val="24"/>
                <w:szCs w:val="22"/>
              </w:rPr>
              <w:t>。</w:t>
            </w:r>
          </w:p>
        </w:tc>
      </w:tr>
      <w:tr w14:paraId="64C2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49C7BB7C">
            <w:pPr>
              <w:spacing w:line="360" w:lineRule="auto"/>
              <w:jc w:val="center"/>
              <w:rPr>
                <w:rFonts w:cs="@仿宋_GB2312"/>
                <w:kern w:val="2"/>
                <w:sz w:val="24"/>
                <w:szCs w:val="22"/>
              </w:rPr>
            </w:pPr>
            <w:r>
              <w:rPr>
                <w:rFonts w:hint="eastAsia" w:cs="@仿宋_GB2312"/>
                <w:kern w:val="2"/>
                <w:sz w:val="24"/>
                <w:szCs w:val="22"/>
              </w:rPr>
              <w:t>5</w:t>
            </w:r>
          </w:p>
        </w:tc>
        <w:tc>
          <w:tcPr>
            <w:tcW w:w="732" w:type="pct"/>
            <w:noWrap w:val="0"/>
            <w:vAlign w:val="center"/>
          </w:tcPr>
          <w:p w14:paraId="060B2041">
            <w:pPr>
              <w:spacing w:line="360" w:lineRule="auto"/>
              <w:rPr>
                <w:rFonts w:cs="@仿宋_GB2312"/>
                <w:kern w:val="2"/>
                <w:sz w:val="24"/>
                <w:szCs w:val="22"/>
              </w:rPr>
            </w:pPr>
            <w:r>
              <w:rPr>
                <w:rFonts w:hint="eastAsia" w:cs="@仿宋_GB2312"/>
                <w:kern w:val="2"/>
                <w:sz w:val="24"/>
                <w:szCs w:val="22"/>
              </w:rPr>
              <w:t>重要说明</w:t>
            </w:r>
          </w:p>
        </w:tc>
        <w:tc>
          <w:tcPr>
            <w:tcW w:w="3717" w:type="pct"/>
            <w:noWrap w:val="0"/>
            <w:vAlign w:val="center"/>
          </w:tcPr>
          <w:p w14:paraId="56D0E8E6">
            <w:pPr>
              <w:spacing w:line="360" w:lineRule="auto"/>
              <w:rPr>
                <w:rFonts w:cs="@仿宋_GB2312"/>
                <w:kern w:val="2"/>
                <w:sz w:val="24"/>
                <w:szCs w:val="22"/>
              </w:rPr>
            </w:pPr>
            <w:r>
              <w:rPr>
                <w:rFonts w:hint="eastAsia" w:cs="@仿宋_GB2312"/>
                <w:kern w:val="2"/>
                <w:sz w:val="24"/>
                <w:szCs w:val="22"/>
              </w:rPr>
              <w:t>（1）本项目的磋商文件、工程量清单、最高限价、澄清、修改、补充等相关资料均通过电子服务系统发布，请供应商自行从网上下载，供应商应当及时查看有无相关澄清、修改、补充等内容。</w:t>
            </w:r>
          </w:p>
          <w:p w14:paraId="69B6ED9A">
            <w:pPr>
              <w:spacing w:line="360" w:lineRule="auto"/>
              <w:rPr>
                <w:rFonts w:cs="@仿宋_GB2312"/>
                <w:kern w:val="2"/>
                <w:sz w:val="24"/>
                <w:szCs w:val="22"/>
              </w:rPr>
            </w:pPr>
            <w:r>
              <w:rPr>
                <w:rFonts w:hint="eastAsia" w:cs="@仿宋_GB2312"/>
                <w:kern w:val="2"/>
                <w:sz w:val="24"/>
                <w:szCs w:val="22"/>
              </w:rPr>
              <w:t>（2）应按照国家税务总局规定，在建筑服务发生地及时足额预缴增值税。</w:t>
            </w:r>
          </w:p>
          <w:p w14:paraId="79D0E09C">
            <w:pPr>
              <w:spacing w:line="360" w:lineRule="auto"/>
              <w:rPr>
                <w:rFonts w:cs="@仿宋_GB2312"/>
                <w:kern w:val="2"/>
                <w:sz w:val="24"/>
                <w:szCs w:val="22"/>
              </w:rPr>
            </w:pPr>
            <w:r>
              <w:rPr>
                <w:rFonts w:hint="eastAsia" w:cs="@仿宋_GB2312"/>
                <w:kern w:val="2"/>
                <w:sz w:val="24"/>
                <w:szCs w:val="22"/>
              </w:rPr>
              <w:t>（3）供应商在工程实施过程中用工行为，必须严格执行国家及地方政府的有关规定，依法签订劳动合同，并按规定及时足额支付工资。</w:t>
            </w:r>
          </w:p>
          <w:p w14:paraId="7ED82368">
            <w:pPr>
              <w:spacing w:line="360" w:lineRule="auto"/>
              <w:rPr>
                <w:rFonts w:cs="@仿宋_GB2312"/>
                <w:kern w:val="2"/>
                <w:sz w:val="24"/>
                <w:szCs w:val="22"/>
              </w:rPr>
            </w:pPr>
            <w:r>
              <w:rPr>
                <w:rFonts w:hint="eastAsia" w:cs="@仿宋_GB2312"/>
                <w:kern w:val="2"/>
                <w:sz w:val="24"/>
                <w:szCs w:val="22"/>
              </w:rPr>
              <w:t>（4）采购需求中：</w:t>
            </w:r>
          </w:p>
          <w:p w14:paraId="4FBA3F6F">
            <w:pPr>
              <w:spacing w:line="360" w:lineRule="auto"/>
              <w:rPr>
                <w:rFonts w:cs="@仿宋_GB2312"/>
                <w:kern w:val="2"/>
                <w:sz w:val="24"/>
                <w:szCs w:val="22"/>
              </w:rPr>
            </w:pPr>
            <w:r>
              <w:rPr>
                <w:rFonts w:hint="eastAsia" w:cs="@仿宋_GB2312"/>
                <w:kern w:val="2"/>
                <w:sz w:val="24"/>
                <w:szCs w:val="22"/>
              </w:rPr>
              <w:t>（4.1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5E8F146">
            <w:pPr>
              <w:spacing w:line="360" w:lineRule="auto"/>
              <w:rPr>
                <w:kern w:val="2"/>
                <w:sz w:val="21"/>
                <w:szCs w:val="22"/>
              </w:rPr>
            </w:pPr>
            <w:r>
              <w:rPr>
                <w:rFonts w:hint="eastAsia" w:cs="@仿宋_GB2312"/>
                <w:kern w:val="2"/>
                <w:sz w:val="24"/>
                <w:szCs w:val="22"/>
              </w:rPr>
              <w:t>（4.2）如涉及商品包装和快递包装，供应商应当执行《关于印发〈商品包装政府采购需求标准（试行）〉、〈快递包装政府采购需求标准（试行）〉的通知》（财办库〔2020〕123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E7BBAEB">
            <w:pPr>
              <w:spacing w:line="360" w:lineRule="auto"/>
              <w:rPr>
                <w:rFonts w:cs="@仿宋_GB2312"/>
                <w:kern w:val="2"/>
                <w:sz w:val="24"/>
                <w:szCs w:val="22"/>
              </w:rPr>
            </w:pPr>
            <w:r>
              <w:rPr>
                <w:rFonts w:hint="eastAsia" w:cs="@仿宋_GB2312"/>
                <w:kern w:val="2"/>
                <w:sz w:val="24"/>
                <w:szCs w:val="22"/>
              </w:rPr>
              <w:t>（5）</w:t>
            </w:r>
            <w:r>
              <w:rPr>
                <w:rFonts w:hint="eastAsia" w:ascii="Calibri" w:hAnsi="Calibri" w:cs="@仿宋_GB2312"/>
                <w:kern w:val="2"/>
                <w:sz w:val="24"/>
                <w:szCs w:val="22"/>
              </w:rPr>
              <w:t>建设工程不可竞争费构成及计费标准按相关规定执行（详见工程量清单编制说明），本工程最高限价已按规定的措施项目、费率和单价列出采购工程施工扬尘污染防治费用和建筑工人实名制管理费用清单，供应商应承诺报价中已包含采购文件公布的施工扬尘污染防治费用和建筑工人实名制管理费用。工程竣工结算时，未落实的施工扬尘污染防治和建筑工人实名制管理措施项目，应按清单所列金额从工程结算价款中扣除。</w:t>
            </w:r>
          </w:p>
        </w:tc>
      </w:tr>
      <w:tr w14:paraId="7E0D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2468DB33">
            <w:pPr>
              <w:spacing w:line="360" w:lineRule="auto"/>
              <w:jc w:val="center"/>
              <w:rPr>
                <w:rFonts w:cs="@仿宋_GB2312"/>
                <w:kern w:val="2"/>
                <w:sz w:val="24"/>
                <w:szCs w:val="22"/>
              </w:rPr>
            </w:pPr>
            <w:r>
              <w:rPr>
                <w:rFonts w:cs="@仿宋_GB2312"/>
                <w:kern w:val="2"/>
                <w:sz w:val="24"/>
                <w:szCs w:val="22"/>
              </w:rPr>
              <w:t>6</w:t>
            </w:r>
          </w:p>
        </w:tc>
        <w:tc>
          <w:tcPr>
            <w:tcW w:w="732" w:type="pct"/>
            <w:noWrap w:val="0"/>
            <w:vAlign w:val="center"/>
          </w:tcPr>
          <w:p w14:paraId="61A47D2C">
            <w:pPr>
              <w:spacing w:line="360" w:lineRule="auto"/>
              <w:rPr>
                <w:rFonts w:cs="@仿宋_GB2312"/>
                <w:kern w:val="2"/>
                <w:sz w:val="24"/>
                <w:szCs w:val="22"/>
              </w:rPr>
            </w:pPr>
            <w:r>
              <w:rPr>
                <w:rFonts w:hint="eastAsia" w:cs="@仿宋_GB2312"/>
                <w:kern w:val="2"/>
                <w:sz w:val="24"/>
                <w:szCs w:val="22"/>
              </w:rPr>
              <w:t>项目经理</w:t>
            </w:r>
          </w:p>
        </w:tc>
        <w:tc>
          <w:tcPr>
            <w:tcW w:w="3717" w:type="pct"/>
            <w:noWrap w:val="0"/>
            <w:vAlign w:val="center"/>
          </w:tcPr>
          <w:p w14:paraId="3FD5CEFA">
            <w:pPr>
              <w:spacing w:line="360" w:lineRule="auto"/>
              <w:rPr>
                <w:rFonts w:hint="eastAsia" w:cs="@仿宋_GB2312"/>
                <w:b/>
                <w:kern w:val="2"/>
                <w:sz w:val="24"/>
                <w:szCs w:val="22"/>
              </w:rPr>
            </w:pPr>
            <w:r>
              <w:rPr>
                <w:rFonts w:hint="eastAsia" w:cs="@仿宋_GB2312"/>
                <w:b/>
                <w:kern w:val="2"/>
                <w:sz w:val="24"/>
                <w:szCs w:val="22"/>
              </w:rPr>
              <w:t>拟委任项目经理须具备建筑工程专业二级及以上注册建造师资格，具备有效的安全生产考核合格证书(B证)，且目前未在其他项目上任职或虽在其他项目上任职但本项目成交后能够从该项目撤离，需提供拟委任的项目经理2025年1月1日以来不少于1个月的社保缴费证明材料。</w:t>
            </w:r>
          </w:p>
        </w:tc>
      </w:tr>
      <w:tr w14:paraId="7BEB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325E349A">
            <w:pPr>
              <w:spacing w:line="360" w:lineRule="auto"/>
              <w:jc w:val="center"/>
              <w:rPr>
                <w:rFonts w:cs="@仿宋_GB2312"/>
                <w:kern w:val="2"/>
                <w:sz w:val="24"/>
                <w:szCs w:val="22"/>
              </w:rPr>
            </w:pPr>
            <w:r>
              <w:rPr>
                <w:rFonts w:cs="@仿宋_GB2312"/>
                <w:kern w:val="2"/>
                <w:sz w:val="24"/>
                <w:szCs w:val="22"/>
              </w:rPr>
              <w:t>7</w:t>
            </w:r>
          </w:p>
        </w:tc>
        <w:tc>
          <w:tcPr>
            <w:tcW w:w="732" w:type="pct"/>
            <w:noWrap w:val="0"/>
            <w:vAlign w:val="center"/>
          </w:tcPr>
          <w:p w14:paraId="1EA305DC">
            <w:pPr>
              <w:spacing w:line="360" w:lineRule="auto"/>
              <w:jc w:val="center"/>
              <w:rPr>
                <w:rFonts w:cs="@仿宋_GB2312"/>
                <w:bCs/>
                <w:kern w:val="2"/>
                <w:sz w:val="24"/>
                <w:szCs w:val="28"/>
              </w:rPr>
            </w:pPr>
            <w:r>
              <w:rPr>
                <w:rFonts w:hint="eastAsia" w:cs="@仿宋_GB2312"/>
                <w:bCs/>
                <w:kern w:val="2"/>
                <w:sz w:val="24"/>
                <w:szCs w:val="28"/>
              </w:rPr>
              <w:t>初审业绩</w:t>
            </w:r>
          </w:p>
        </w:tc>
        <w:tc>
          <w:tcPr>
            <w:tcW w:w="3717" w:type="pct"/>
            <w:noWrap w:val="0"/>
            <w:vAlign w:val="center"/>
          </w:tcPr>
          <w:p w14:paraId="55B5E50E">
            <w:pPr>
              <w:spacing w:line="360" w:lineRule="auto"/>
              <w:jc w:val="left"/>
              <w:rPr>
                <w:rFonts w:cs="@仿宋_GB2312"/>
                <w:b/>
                <w:bCs/>
                <w:kern w:val="2"/>
                <w:sz w:val="24"/>
                <w:szCs w:val="22"/>
              </w:rPr>
            </w:pPr>
            <w:r>
              <w:rPr>
                <w:rFonts w:hint="eastAsia" w:cs="@仿宋_GB2312"/>
                <w:b/>
                <w:bCs/>
                <w:kern w:val="2"/>
                <w:sz w:val="24"/>
                <w:szCs w:val="22"/>
              </w:rPr>
              <w:t>无</w:t>
            </w:r>
          </w:p>
        </w:tc>
      </w:tr>
      <w:tr w14:paraId="7878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3E306265">
            <w:pPr>
              <w:spacing w:line="360" w:lineRule="auto"/>
              <w:jc w:val="center"/>
              <w:rPr>
                <w:rFonts w:cs="@仿宋_GB2312"/>
                <w:kern w:val="2"/>
                <w:sz w:val="24"/>
                <w:szCs w:val="22"/>
              </w:rPr>
            </w:pPr>
            <w:r>
              <w:rPr>
                <w:rFonts w:cs="@仿宋_GB2312"/>
                <w:kern w:val="2"/>
                <w:sz w:val="24"/>
                <w:szCs w:val="22"/>
              </w:rPr>
              <w:t>8</w:t>
            </w:r>
          </w:p>
        </w:tc>
        <w:tc>
          <w:tcPr>
            <w:tcW w:w="732" w:type="pct"/>
            <w:noWrap w:val="0"/>
            <w:vAlign w:val="center"/>
          </w:tcPr>
          <w:p w14:paraId="3052C6CC">
            <w:pPr>
              <w:pStyle w:val="4"/>
              <w:widowControl w:val="0"/>
              <w:spacing w:before="0" w:beforeAutospacing="0" w:after="0" w:afterAutospacing="0" w:line="360" w:lineRule="auto"/>
              <w:rPr>
                <w:rFonts w:cs="@仿宋_GB2312"/>
                <w:kern w:val="2"/>
                <w:sz w:val="24"/>
              </w:rPr>
            </w:pPr>
            <w:r>
              <w:rPr>
                <w:rFonts w:hint="eastAsia"/>
                <w:b w:val="0"/>
                <w:kern w:val="2"/>
                <w:sz w:val="24"/>
              </w:rPr>
              <w:t>本项目采购标的名称及所属行业</w:t>
            </w:r>
          </w:p>
        </w:tc>
        <w:tc>
          <w:tcPr>
            <w:tcW w:w="3717" w:type="pct"/>
            <w:noWrap w:val="0"/>
            <w:vAlign w:val="center"/>
          </w:tcPr>
          <w:p w14:paraId="36A7D4DB">
            <w:pPr>
              <w:spacing w:line="360" w:lineRule="auto"/>
              <w:jc w:val="left"/>
              <w:rPr>
                <w:rFonts w:hint="eastAsia"/>
                <w:kern w:val="2"/>
                <w:sz w:val="24"/>
                <w:szCs w:val="22"/>
              </w:rPr>
            </w:pPr>
            <w:r>
              <w:rPr>
                <w:rFonts w:hint="eastAsia"/>
                <w:kern w:val="2"/>
                <w:sz w:val="24"/>
                <w:szCs w:val="22"/>
              </w:rPr>
              <w:t>标的名称：安徽省滨湖强制隔离戒毒所基础设施改造项目</w:t>
            </w:r>
          </w:p>
          <w:p w14:paraId="55D22DE8">
            <w:pPr>
              <w:rPr>
                <w:b/>
                <w:kern w:val="2"/>
                <w:sz w:val="24"/>
                <w:szCs w:val="22"/>
              </w:rPr>
            </w:pPr>
            <w:r>
              <w:rPr>
                <w:rFonts w:hint="eastAsia"/>
                <w:kern w:val="2"/>
                <w:sz w:val="24"/>
                <w:szCs w:val="22"/>
              </w:rPr>
              <w:t>所属行业：建筑业</w:t>
            </w:r>
          </w:p>
        </w:tc>
      </w:tr>
      <w:tr w14:paraId="7FB6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9" w:type="pct"/>
            <w:noWrap w:val="0"/>
            <w:vAlign w:val="center"/>
          </w:tcPr>
          <w:p w14:paraId="3F75DD55">
            <w:pPr>
              <w:spacing w:line="360" w:lineRule="auto"/>
              <w:jc w:val="center"/>
              <w:rPr>
                <w:rFonts w:cs="@仿宋_GB2312"/>
                <w:kern w:val="2"/>
                <w:sz w:val="24"/>
                <w:szCs w:val="22"/>
              </w:rPr>
            </w:pPr>
            <w:r>
              <w:rPr>
                <w:rFonts w:cs="@仿宋_GB2312"/>
                <w:kern w:val="2"/>
                <w:sz w:val="24"/>
                <w:szCs w:val="22"/>
              </w:rPr>
              <w:t>9</w:t>
            </w:r>
          </w:p>
        </w:tc>
        <w:tc>
          <w:tcPr>
            <w:tcW w:w="732" w:type="pct"/>
            <w:noWrap w:val="0"/>
            <w:vAlign w:val="center"/>
          </w:tcPr>
          <w:p w14:paraId="5FC0A016">
            <w:pPr>
              <w:spacing w:line="360" w:lineRule="auto"/>
              <w:ind w:firstLine="240" w:firstLineChars="100"/>
              <w:rPr>
                <w:rFonts w:cs="@仿宋_GB2312"/>
                <w:kern w:val="2"/>
                <w:sz w:val="24"/>
                <w:szCs w:val="22"/>
              </w:rPr>
            </w:pPr>
            <w:r>
              <w:rPr>
                <w:rFonts w:hint="eastAsia" w:cs="@仿宋_GB2312"/>
                <w:kern w:val="2"/>
                <w:sz w:val="24"/>
                <w:szCs w:val="22"/>
              </w:rPr>
              <w:t>其他</w:t>
            </w:r>
          </w:p>
        </w:tc>
        <w:tc>
          <w:tcPr>
            <w:tcW w:w="3717" w:type="pct"/>
            <w:noWrap w:val="0"/>
            <w:vAlign w:val="center"/>
          </w:tcPr>
          <w:p w14:paraId="6D658A7C">
            <w:pPr>
              <w:spacing w:line="360" w:lineRule="auto"/>
              <w:rPr>
                <w:rFonts w:cs="@仿宋_GB2312"/>
                <w:kern w:val="2"/>
                <w:sz w:val="24"/>
                <w:szCs w:val="22"/>
              </w:rPr>
            </w:pPr>
            <w:r>
              <w:rPr>
                <w:rFonts w:hint="eastAsia" w:cs="@仿宋_GB2312"/>
                <w:kern w:val="2"/>
                <w:sz w:val="24"/>
                <w:szCs w:val="22"/>
              </w:rPr>
              <w:t>符合法律、行政法规规定的其他条件或磋商文件列明的其他要求</w:t>
            </w:r>
          </w:p>
        </w:tc>
      </w:tr>
    </w:tbl>
    <w:p w14:paraId="4B9E4B0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B4735"/>
    <w:rsid w:val="58AB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xl31"/>
    <w:basedOn w:val="1"/>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2025-06-09T05:16:00Z</dcterms:created>
  <dc:creator>hhd</dc:creator>
  <cp:lastModifiedBy>hhd</cp:lastModifiedBy>
  <dcterms:modified xsi:type="dcterms:W3CDTF">2025-06-09T05:17:03Z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36817FD317B841BF99746EAACF573B09_11</vt:lpwstr>
  </property>
  <property fmtid="{D5CDD505-2E9C-101B-9397-08002B2CF9AE}" pid="4" name="KSOTemplateDocerSaveRecord">
    <vt:lpwstr>eyJoZGlkIjoiNTUzNjY0NWRkYzIzOTUxOWM1NTFlNGUwOTkzNDA1ZTciLCJ1c2VySWQiOiIxNDMyODk3MjMzIn0=</vt:lpwstr>
  </property>
</Properties>
</file>