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7A49B">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5B06CDEE">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770F8CBC">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5D231FB">
      <w:pPr>
        <w:pStyle w:val="17"/>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0EF265D0">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14"/>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07D4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49B35B85">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30DEC7E7">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1E6A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58E55FBE">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32F6F5A9">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E5962E1">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投标人为制造商的，须具有相应的医疗器械生产备案获取的备案编号（属于一类时）。</w:t>
            </w:r>
          </w:p>
        </w:tc>
      </w:tr>
      <w:tr w14:paraId="3D87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1333B02D">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25D2BCA7">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0D87692C">
            <w:pPr>
              <w:pStyle w:val="20"/>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0D3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4580263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5FA0CD11">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29B2E484">
            <w:pPr>
              <w:pStyle w:val="13"/>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371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F8AEFE0">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4359C57D">
            <w:pPr>
              <w:pStyle w:val="13"/>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07A01408">
            <w:pPr>
              <w:pStyle w:val="13"/>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2D45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2B58340">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p w14:paraId="322E1F57">
            <w:pPr>
              <w:pStyle w:val="13"/>
              <w:spacing w:before="0" w:beforeAutospacing="0" w:after="0" w:afterAutospacing="0" w:line="360" w:lineRule="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配置要求：</w:t>
            </w:r>
          </w:p>
          <w:p w14:paraId="79BA91CD">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1图像处理装置1个</w:t>
            </w:r>
          </w:p>
          <w:p w14:paraId="3F3BD3F6">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2冷光源1个</w:t>
            </w:r>
          </w:p>
          <w:p w14:paraId="0CEB59D7">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3医用显示器1个</w:t>
            </w:r>
          </w:p>
          <w:p w14:paraId="50001D64">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4内窥镜送水泵1个</w:t>
            </w:r>
          </w:p>
          <w:p w14:paraId="37A9A541">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5二氧化碳送气装置1个</w:t>
            </w:r>
          </w:p>
          <w:p w14:paraId="34C01547">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default" w:ascii="仿宋" w:hAnsi="仿宋" w:eastAsia="仿宋" w:cs="仿宋"/>
                <w:b/>
                <w:bCs/>
                <w:color w:val="auto"/>
                <w:highlight w:val="none"/>
                <w:lang w:val="en-US" w:eastAsia="zh-CN"/>
              </w:rPr>
              <w:t>6超细胃镜1个</w:t>
            </w:r>
          </w:p>
          <w:p w14:paraId="06B844B3">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7</w:t>
            </w:r>
            <w:r>
              <w:rPr>
                <w:rFonts w:hint="default" w:ascii="仿宋" w:hAnsi="仿宋" w:eastAsia="仿宋" w:cs="仿宋"/>
                <w:b/>
                <w:bCs/>
                <w:color w:val="auto"/>
                <w:highlight w:val="none"/>
                <w:lang w:val="en-US" w:eastAsia="zh-CN"/>
              </w:rPr>
              <w:t>医用台车1个</w:t>
            </w:r>
          </w:p>
          <w:p w14:paraId="6DE7A8B4">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8</w:t>
            </w:r>
            <w:r>
              <w:rPr>
                <w:rFonts w:hint="default" w:ascii="仿宋" w:hAnsi="仿宋" w:eastAsia="仿宋" w:cs="仿宋"/>
                <w:b/>
                <w:bCs/>
                <w:color w:val="auto"/>
                <w:highlight w:val="none"/>
                <w:lang w:val="en-US" w:eastAsia="zh-CN"/>
              </w:rPr>
              <w:t>图文工作站1个</w:t>
            </w:r>
          </w:p>
          <w:p w14:paraId="73F7474D">
            <w:pPr>
              <w:pStyle w:val="13"/>
              <w:spacing w:before="0" w:beforeAutospacing="0" w:after="0" w:afterAutospacing="0" w:line="360" w:lineRule="auto"/>
              <w:rPr>
                <w:rFonts w:hint="default"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9</w:t>
            </w:r>
            <w:r>
              <w:rPr>
                <w:rFonts w:hint="default" w:ascii="仿宋" w:hAnsi="仿宋" w:eastAsia="仿宋" w:cs="仿宋"/>
                <w:b/>
                <w:bCs/>
                <w:color w:val="auto"/>
                <w:highlight w:val="none"/>
                <w:lang w:val="en-US" w:eastAsia="zh-CN"/>
              </w:rPr>
              <w:t>清洗工作站1个</w:t>
            </w:r>
          </w:p>
        </w:tc>
      </w:tr>
    </w:tbl>
    <w:p w14:paraId="4C3B1EAC">
      <w:pPr>
        <w:spacing w:line="360" w:lineRule="auto"/>
        <w:rPr>
          <w:rFonts w:hint="eastAsia" w:ascii="仿宋" w:hAnsi="仿宋" w:eastAsia="仿宋" w:cs="仿宋"/>
          <w:b/>
          <w:color w:val="000000"/>
          <w:sz w:val="24"/>
          <w:highlight w:val="none"/>
        </w:rPr>
      </w:pPr>
    </w:p>
    <w:p w14:paraId="4E821FE1">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03B745EC">
      <w:pPr>
        <w:pStyle w:val="6"/>
        <w:ind w:left="0" w:leftChars="0" w:firstLine="0" w:firstLineChars="0"/>
        <w:rPr>
          <w:rFonts w:hint="eastAsia" w:ascii="仿宋" w:hAnsi="仿宋" w:eastAsia="仿宋" w:cs="仿宋"/>
          <w:b/>
          <w:sz w:val="24"/>
          <w:highlight w:val="none"/>
        </w:rPr>
      </w:pPr>
    </w:p>
    <w:p w14:paraId="5AA62C82">
      <w:pPr>
        <w:pStyle w:val="5"/>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6F8AB125">
      <w:pPr>
        <w:pStyle w:val="5"/>
        <w:ind w:firstLine="0" w:firstLineChars="0"/>
        <w:rPr>
          <w:b/>
          <w:bCs/>
          <w:highlight w:val="none"/>
          <w:lang w:val="zh-CN"/>
        </w:rPr>
      </w:pPr>
    </w:p>
    <w:p w14:paraId="78E48B6A">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A9A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6142F71C">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5669CC8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023167B9">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540C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DBE5588">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07EC8DAE">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787EED42">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6FEF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7CCF3194">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1E729A72">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7F0EB109">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2B83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2BB1A98D">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568030AC">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34CFFFEB">
      <w:pPr>
        <w:widowControl/>
        <w:spacing w:line="360" w:lineRule="auto"/>
        <w:jc w:val="left"/>
        <w:rPr>
          <w:rFonts w:hint="eastAsia" w:ascii="仿宋" w:hAnsi="仿宋" w:eastAsia="仿宋" w:cs="仿宋"/>
          <w:b w:val="0"/>
          <w:bCs w:val="0"/>
          <w:color w:val="000000"/>
          <w:kern w:val="0"/>
          <w:sz w:val="24"/>
          <w:highlight w:val="none"/>
          <w:lang w:bidi="ar"/>
        </w:rPr>
      </w:pPr>
      <w:r>
        <w:rPr>
          <w:rFonts w:hint="eastAsia" w:ascii="仿宋" w:hAnsi="仿宋" w:eastAsia="仿宋" w:cs="仿宋"/>
          <w:b/>
          <w:bCs/>
          <w:color w:val="000000"/>
          <w:kern w:val="0"/>
          <w:sz w:val="24"/>
          <w:highlight w:val="none"/>
          <w:lang w:bidi="ar"/>
        </w:rPr>
        <w:t>★总体要求：可兼容消化科电子胃肠镜、呼吸科电子支气管镜、耳鼻喉科电子鼻咽喉镜、 泌尿科电子膀胱镜、肝胆科电子胆道镜及电子肾盂镜等不同科室内镜应用</w:t>
      </w:r>
    </w:p>
    <w:p w14:paraId="2BE48D5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1、图像处理装置</w:t>
      </w:r>
    </w:p>
    <w:p w14:paraId="0F37C1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1.1、分体式内镜设计：主机光源采用分体式设计，图像处理性能强、运行稳定；</w:t>
      </w:r>
    </w:p>
    <w:p w14:paraId="48E7A98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1.2、图像输出：支持超高清≥3840*2160数字输出图像</w:t>
      </w:r>
    </w:p>
    <w:p w14:paraId="0CE294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1.3、高清输出信号接口：具有高清输出端口＞4个,SDI、DVI接口</w:t>
      </w:r>
    </w:p>
    <w:p w14:paraId="4B3BB3A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1.4、输入信号接口：具有外部视频输入信号接口≥2个；</w:t>
      </w:r>
    </w:p>
    <w:p w14:paraId="077B252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1.5、USB 端口：具有实时存储视频、图片、键盘连接等功能；</w:t>
      </w:r>
    </w:p>
    <w:p w14:paraId="04E0707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1.6、图像传输方式：采用高速激光光学传输内镜图像，无线传输/高速率传输</w:t>
      </w:r>
    </w:p>
    <w:p w14:paraId="5B580CE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1.7、图像处理系统模式：封闭式FPGA硬件处理系统，信息安全性能稳定；</w:t>
      </w:r>
    </w:p>
    <w:p w14:paraId="57C6309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★1.8、放大功能：具备电子放大≥4倍，六档可调，配合光学放大胃镜可以实现放大倍率≥140倍</w:t>
      </w:r>
    </w:p>
    <w:p w14:paraId="1EF766B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1.9、测光模式：具有平均测光/峰值测光/混合（自动)测光</w:t>
      </w:r>
    </w:p>
    <w:p w14:paraId="2D8B3DD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★1.10、具有窄带成像光学或分光染色功能，具备CBI染色模式或DSI染色模式或MSI染色模式，非光电复合染色或非电子染色模式，用于癌前病变的诊断和观察。</w:t>
      </w:r>
      <w:r>
        <w:rPr>
          <w:rFonts w:hint="eastAsia" w:ascii="仿宋" w:hAnsi="仿宋" w:eastAsia="仿宋" w:cs="仿宋"/>
          <w:b/>
          <w:bCs/>
          <w:color w:val="000000"/>
          <w:kern w:val="0"/>
          <w:sz w:val="24"/>
          <w:highlight w:val="none"/>
          <w:lang w:bidi="ar"/>
        </w:rPr>
        <w:br w:type="textWrapping"/>
      </w:r>
      <w:r>
        <w:rPr>
          <w:rFonts w:hint="eastAsia" w:ascii="仿宋" w:hAnsi="仿宋" w:eastAsia="仿宋" w:cs="仿宋"/>
          <w:color w:val="000000"/>
          <w:kern w:val="0"/>
          <w:sz w:val="24"/>
          <w:highlight w:val="none"/>
          <w:lang w:bidi="ar"/>
        </w:rPr>
        <w:t>1.11、色彩定制功能：红色、蓝色、色度饱和度调节；可自定义模式后存储个人模式；</w:t>
      </w:r>
    </w:p>
    <w:p w14:paraId="1ECE3CB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1.12、血液强化功能：对内窥镜图像进行图像处理，强化显示血管组织，增强对比。</w:t>
      </w:r>
    </w:p>
    <w:p w14:paraId="2FF7F9F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1.13、降噪功能：可降低图像的噪点，更好保证临床图像效果。</w:t>
      </w:r>
    </w:p>
    <w:p w14:paraId="61D802C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1.14、自动增益控制（AGC）：可自动进行电子增益，使图像明亮，并且可手动调节 AGC 亮度目标级别；</w:t>
      </w:r>
    </w:p>
    <w:p w14:paraId="3DAD5F5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1.15、白平衡：具有白平衡功能，调试有显示信息反馈，携带白平衡帽并可360°旋转。</w:t>
      </w:r>
    </w:p>
    <w:p w14:paraId="1170AE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1.16、防抖功能：图像处理器可自行选择冻结前图像中最清晰的图像显示；</w:t>
      </w:r>
    </w:p>
    <w:p w14:paraId="6372557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1.17、图像冻结：图像可冻结，图像处理器系统，具有内镜按键、脚踏、图像处理器等至少3种冻结控制模式选择；在冻结时能并行显示冻结和实时图像。</w:t>
      </w:r>
    </w:p>
    <w:p w14:paraId="43A8729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1.18、冻结及回放：可冻结图片和回放可再编辑，并支持实时存储U盘；支持图像回放。</w:t>
      </w:r>
    </w:p>
    <w:p w14:paraId="706CB09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1.19、回放图像可以进行血红蛋白强调、结构强化、轮廓强化及数字放大等图像处理。</w:t>
      </w:r>
    </w:p>
    <w:p w14:paraId="3A26B96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1.20、用户/自定义模式设置：支持用户自定义模式，用户数量至少10个；用户管理存储默认使用的图像输出颜色设置、强化参数、测光模式以及测光目标值设置、气泵等级、放大参数、默认的手柄按钮快捷功能等。医生操控简单无需日常调节参数性能。</w:t>
      </w:r>
    </w:p>
    <w:p w14:paraId="73C6D1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1.21、双光/双画面模式：可动态实时同步显示白光与染色图像于同一画面同步实时显示，直观对比黏膜细节病灶；</w:t>
      </w:r>
    </w:p>
    <w:p w14:paraId="73EDDF8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1.22、画中画视频输入：PIP按键，可切换画中画输入接口，便于科室大超、小超等内镜视频的接入。有“VIDEO”和“Y/C”等视频信号输入选项。</w:t>
      </w:r>
    </w:p>
    <w:p w14:paraId="3E36081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1.23、使用便捷：更换镜体无需开关机，内镜更换支持热插拔；</w:t>
      </w:r>
    </w:p>
    <w:p w14:paraId="5A73E2F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★1.24、设备兼容性：兼容电子胃肠镜 ，插入管外径≤2.8mm电子鼻咽喉镜，插入管外径≤2.8mm电子支气管镜 ，电子胆道镜 ，电子膀胱镜 ，十二指肠镜， 放大电子胃肠镜，5.4mm超细电子胃镜用于儿童胃镜检查。</w:t>
      </w:r>
    </w:p>
    <w:p w14:paraId="0261FE2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2、内窥镜冷光源设备</w:t>
      </w:r>
    </w:p>
    <w:p w14:paraId="370A3FE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2.1、光源：独立LED光源设备；</w:t>
      </w:r>
    </w:p>
    <w:p w14:paraId="257C6FF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★2.2、多路LED光源：≥5 LED光源；</w:t>
      </w:r>
    </w:p>
    <w:p w14:paraId="7B56796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★2.3、照明模式：冷光源具备＞4种照明成像模式，1种白光≥4种及以上的染色照明模式；</w:t>
      </w:r>
    </w:p>
    <w:p w14:paraId="03357263">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2.4、光照强度/亮度：光照强度可调节，自动/手动调光，调光级别≥18级；</w:t>
      </w:r>
    </w:p>
    <w:p w14:paraId="6554575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2.5、透光功能：具备透光闪光功能，可实现体外透视定位；</w:t>
      </w:r>
    </w:p>
    <w:p w14:paraId="60D9DB8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2.6、气泵压力：气泵压力范围40-90kPa；</w:t>
      </w:r>
    </w:p>
    <w:p w14:paraId="74AE4CE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2.7、气体大小选择：气泵流量：气泵流量具有OFF\ L\M\H（关闭、低、中、高）档可选；</w:t>
      </w:r>
    </w:p>
    <w:p w14:paraId="568D1A8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2.8、气泵流量：流量范围：≥4L/min，≤7L/min；</w:t>
      </w:r>
    </w:p>
    <w:p w14:paraId="324393B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2.9、内镜连接：内镜连接采用无线供电模式，无辅助电缆接头，且支持内镜热插拔。</w:t>
      </w:r>
    </w:p>
    <w:p w14:paraId="61ADC03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三、超细电子胃镜（1根）</w:t>
      </w:r>
    </w:p>
    <w:p w14:paraId="0DC7C2F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1.有效工作长度≥1100mm；</w:t>
      </w:r>
    </w:p>
    <w:p w14:paraId="6A2538D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2.导光部一键式拔插设计，支持内镜热插拔，全密封设计，无需防水帽，可直接浸泡消毒</w:t>
      </w:r>
    </w:p>
    <w:p w14:paraId="66EF78F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3.视野角≥140°；</w:t>
      </w:r>
    </w:p>
    <w:p w14:paraId="07CB53F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4.景深：2-100mm；</w:t>
      </w:r>
    </w:p>
    <w:p w14:paraId="78AEC11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5.头端部外径≤5.4mm；</w:t>
      </w:r>
    </w:p>
    <w:p w14:paraId="0C66A8C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6.插入部主软管外径≤5.8mm；</w:t>
      </w:r>
    </w:p>
    <w:p w14:paraId="4CCF38C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w:t>
      </w:r>
      <w:r>
        <w:rPr>
          <w:rFonts w:hint="eastAsia" w:ascii="仿宋" w:hAnsi="仿宋" w:eastAsia="仿宋" w:cs="仿宋"/>
          <w:b/>
          <w:bCs/>
          <w:color w:val="000000"/>
          <w:kern w:val="0"/>
          <w:sz w:val="24"/>
          <w:highlight w:val="none"/>
          <w:lang w:val="en-US" w:eastAsia="zh-CN" w:bidi="ar"/>
        </w:rPr>
        <w:t>3.</w:t>
      </w:r>
      <w:r>
        <w:rPr>
          <w:rFonts w:hint="eastAsia" w:ascii="仿宋" w:hAnsi="仿宋" w:eastAsia="仿宋" w:cs="仿宋"/>
          <w:b/>
          <w:bCs/>
          <w:color w:val="000000"/>
          <w:kern w:val="0"/>
          <w:sz w:val="24"/>
          <w:highlight w:val="none"/>
          <w:lang w:bidi="ar"/>
        </w:rPr>
        <w:t>7.钳道孔内径≥2.4mm；</w:t>
      </w:r>
    </w:p>
    <w:p w14:paraId="0DB81B1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8.弯曲角度：上≥210°，下≥120°，左右各≥100°；</w:t>
      </w:r>
    </w:p>
    <w:p w14:paraId="75A7EC7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9.智能按键：操作手柄具有快捷按键，可自定义功能按键，且≥4个。</w:t>
      </w:r>
    </w:p>
    <w:p w14:paraId="326BBF9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四</w:t>
      </w:r>
      <w:r>
        <w:rPr>
          <w:rFonts w:hint="eastAsia" w:ascii="仿宋" w:hAnsi="仿宋" w:eastAsia="仿宋" w:cs="仿宋"/>
          <w:color w:val="000000"/>
          <w:kern w:val="0"/>
          <w:sz w:val="24"/>
          <w:highlight w:val="none"/>
          <w:lang w:bidi="ar"/>
        </w:rPr>
        <w:t>、医用专业液晶显示器</w:t>
      </w:r>
    </w:p>
    <w:p w14:paraId="10333C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1.尺寸≥32英寸；</w:t>
      </w:r>
    </w:p>
    <w:p w14:paraId="2E06E77C">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2.分辨率：≥3840 x 2160；</w:t>
      </w:r>
    </w:p>
    <w:p w14:paraId="3952EAEF">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3.支持PIP模式：具有画中画/双屏模式/关；</w:t>
      </w:r>
    </w:p>
    <w:p w14:paraId="441DAC6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4.屏幕工艺：彩色，液晶显示屏，防眩，硬涂层；</w:t>
      </w:r>
    </w:p>
    <w:p w14:paraId="0748225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5.图像可调：具有亮度、对比度、饱和度、清晰度、比例缩放等调节功能。</w:t>
      </w:r>
    </w:p>
    <w:p w14:paraId="71369ACD">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仿宋" w:hAnsi="仿宋" w:eastAsia="仿宋" w:cs="仿宋"/>
          <w:b/>
          <w:bCs/>
          <w:kern w:val="44"/>
          <w:sz w:val="24"/>
          <w:szCs w:val="24"/>
          <w:highlight w:val="none"/>
          <w:lang w:val="en-US" w:eastAsia="zh-CN" w:bidi="ar-SA"/>
        </w:rPr>
        <w:t>其他配套要求：</w:t>
      </w:r>
    </w:p>
    <w:p w14:paraId="228F2C9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5C74911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19F129E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49DD715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0EAF6AD4">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2CD2CD5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18FA8FD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41BE2BD7">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21871F2A">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400D79F1">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542610B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2B6A933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381DD5E">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668DC7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03D814E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72892BE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1FA6789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6BB704F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3BF6198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43B5063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74EA8D7C">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5609240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543AE5B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23918FE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0C6F4C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20DED862">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18E3D6C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4B7AE8E5">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52C74A90">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DE30">
    <w:pPr>
      <w:pStyle w:val="10"/>
      <w:framePr w:wrap="around" w:vAnchor="text" w:hAnchor="margin" w:xAlign="outside" w:y="1"/>
      <w:rPr>
        <w:rStyle w:val="16"/>
        <w:rFonts w:hint="eastAsia"/>
      </w:rPr>
    </w:pPr>
    <w:r>
      <w:fldChar w:fldCharType="begin"/>
    </w:r>
    <w:r>
      <w:rPr>
        <w:rStyle w:val="16"/>
      </w:rPr>
      <w:instrText xml:space="preserve"> PAGE </w:instrText>
    </w:r>
    <w:r>
      <w:fldChar w:fldCharType="separate"/>
    </w:r>
    <w:r>
      <w:rPr>
        <w:rStyle w:val="16"/>
      </w:rPr>
      <w:t>69</w:t>
    </w:r>
    <w:r>
      <w:fldChar w:fldCharType="end"/>
    </w:r>
  </w:p>
  <w:p w14:paraId="379B4C99">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748A4">
    <w:pPr>
      <w:pStyle w:val="12"/>
      <w:rPr>
        <w:rFonts w:hint="eastAsia"/>
        <w:szCs w:val="21"/>
      </w:rPr>
    </w:pPr>
    <w:r>
      <w:rPr>
        <w:rFonts w:hint="eastAsia"/>
        <w:b/>
        <w:sz w:val="21"/>
        <w:szCs w:val="21"/>
      </w:rPr>
      <w:t xml:space="preserve">                                             </w:t>
    </w:r>
  </w:p>
  <w:p w14:paraId="65FE215D">
    <w:pPr>
      <w:pStyle w:val="1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D0135"/>
    <w:rsid w:val="25AB6143"/>
    <w:rsid w:val="43AC26EF"/>
    <w:rsid w:val="59DC7C28"/>
    <w:rsid w:val="6CE04C74"/>
    <w:rsid w:val="768C7682"/>
    <w:rsid w:val="7E665763"/>
    <w:rsid w:val="7FBA3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style>
  <w:style w:type="paragraph" w:styleId="6">
    <w:name w:val="Body Text First Indent 2"/>
    <w:basedOn w:val="7"/>
    <w:qFormat/>
    <w:uiPriority w:val="0"/>
    <w:pPr>
      <w:spacing w:after="120"/>
      <w:ind w:left="420" w:leftChars="200" w:firstLine="420"/>
    </w:pPr>
    <w:rPr>
      <w:sz w:val="21"/>
      <w:szCs w:val="24"/>
    </w:rPr>
  </w:style>
  <w:style w:type="paragraph" w:styleId="7">
    <w:name w:val="Body Text Indent"/>
    <w:basedOn w:val="1"/>
    <w:qFormat/>
    <w:uiPriority w:val="0"/>
    <w:pPr>
      <w:ind w:firstLine="560" w:firstLineChars="200"/>
    </w:pPr>
    <w:rPr>
      <w:rFonts w:ascii="宋体" w:hAnsi="宋体"/>
      <w:bCs/>
      <w:sz w:val="28"/>
      <w:szCs w:val="32"/>
    </w:rPr>
  </w:style>
  <w:style w:type="paragraph" w:styleId="8">
    <w:name w:val="Body Text"/>
    <w:basedOn w:val="1"/>
    <w:next w:val="9"/>
    <w:qFormat/>
    <w:uiPriority w:val="0"/>
    <w:pPr>
      <w:spacing w:after="120"/>
    </w:p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styleId="16">
    <w:name w:val="page number"/>
    <w:qFormat/>
    <w:uiPriority w:val="0"/>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Table Paragraph"/>
    <w:basedOn w:val="1"/>
    <w:qFormat/>
    <w:uiPriority w:val="1"/>
    <w:pPr>
      <w:jc w:val="left"/>
    </w:pPr>
    <w:rPr>
      <w:rFonts w:ascii="Calibri" w:hAnsi="Calibri"/>
      <w:kern w:val="0"/>
      <w:sz w:val="22"/>
      <w:szCs w:val="22"/>
      <w:lang w:eastAsia="en-US"/>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3531</Words>
  <Characters>3722</Characters>
  <Lines>0</Lines>
  <Paragraphs>0</Paragraphs>
  <TotalTime>0</TotalTime>
  <ScaleCrop>false</ScaleCrop>
  <LinksUpToDate>false</LinksUpToDate>
  <CharactersWithSpaces>3749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2026-01-05T09:36:00Z</dcterms:created>
  <dc:creator>admin</dc:creator>
  <cp:lastModifiedBy>豆奶是个小胖子</cp:lastModifiedBy>
  <dcterms:modified xsi:type="dcterms:W3CDTF">2026-01-07T08:44:59Z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D8F6A4E6A9BB4120AA09AF5716D7B356_12</vt:lpwstr>
  </property>
</Properties>
</file>