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29A06">
      <w:pPr>
        <w:pStyle w:val="4"/>
        <w:widowControl/>
        <w:snapToGrid w:val="0"/>
        <w:spacing w:before="0" w:after="0" w:line="360" w:lineRule="auto"/>
        <w:jc w:val="center"/>
        <w:rPr>
          <w:rFonts w:hint="eastAsia" w:ascii="宋体" w:hAnsi="宋体" w:eastAsia="仿宋"/>
        </w:rPr>
      </w:pPr>
      <w:bookmarkStart w:id="0" w:name="_Toc466024555"/>
      <w:bookmarkStart w:id="1" w:name="_Toc445554746"/>
      <w:bookmarkStart w:id="2" w:name="_Toc24366"/>
      <w:bookmarkStart w:id="11" w:name="_GoBack"/>
      <w:bookmarkEnd w:id="11"/>
      <w:r>
        <w:rPr>
          <w:rFonts w:hint="eastAsia" w:ascii="宋体" w:hAnsi="宋体" w:eastAsia="仿宋"/>
        </w:rPr>
        <w:t>采购需求</w:t>
      </w:r>
      <w:bookmarkEnd w:id="0"/>
      <w:bookmarkEnd w:id="1"/>
      <w:bookmarkEnd w:id="2"/>
    </w:p>
    <w:p w14:paraId="7B56B329">
      <w:pPr>
        <w:pStyle w:val="5"/>
        <w:rPr>
          <w:rStyle w:val="10"/>
          <w:rFonts w:ascii="宋体" w:hAnsi="宋体" w:eastAsia="仿宋"/>
          <w:b/>
          <w:bCs/>
          <w:sz w:val="24"/>
          <w:szCs w:val="24"/>
        </w:rPr>
      </w:pPr>
      <w:bookmarkStart w:id="3" w:name="_Toc455587273"/>
      <w:bookmarkStart w:id="4" w:name="_Toc466024556"/>
      <w:bookmarkStart w:id="5" w:name="_Toc455587089"/>
      <w:bookmarkStart w:id="6" w:name="_Toc445554747"/>
      <w:r>
        <w:rPr>
          <w:rStyle w:val="10"/>
          <w:rFonts w:hint="eastAsia" w:ascii="宋体" w:hAnsi="宋体" w:eastAsia="仿宋"/>
          <w:b/>
          <w:bCs/>
          <w:sz w:val="24"/>
          <w:szCs w:val="24"/>
        </w:rPr>
        <w:t>1.</w:t>
      </w:r>
      <w:bookmarkEnd w:id="3"/>
      <w:bookmarkEnd w:id="4"/>
      <w:bookmarkEnd w:id="5"/>
      <w:r>
        <w:rPr>
          <w:rStyle w:val="10"/>
          <w:rFonts w:hint="eastAsia" w:ascii="宋体" w:hAnsi="宋体" w:eastAsia="仿宋"/>
          <w:b/>
          <w:bCs/>
          <w:sz w:val="24"/>
          <w:szCs w:val="24"/>
        </w:rPr>
        <w:t>总体说明</w:t>
      </w:r>
    </w:p>
    <w:p w14:paraId="427DD18E">
      <w:pPr>
        <w:widowControl/>
        <w:tabs>
          <w:tab w:val="left" w:pos="1406"/>
        </w:tabs>
        <w:snapToGrid w:val="0"/>
        <w:spacing w:line="360" w:lineRule="auto"/>
        <w:ind w:firstLine="480" w:firstLineChars="200"/>
        <w:rPr>
          <w:rFonts w:hint="eastAsia" w:ascii="宋体" w:hAnsi="宋体" w:eastAsia="仿宋"/>
          <w:color w:val="FF0000"/>
          <w:sz w:val="24"/>
        </w:rPr>
      </w:pPr>
      <w:r>
        <w:rPr>
          <w:rFonts w:hint="eastAsia" w:ascii="宋体" w:hAnsi="宋体" w:eastAsia="仿宋"/>
          <w:sz w:val="24"/>
        </w:rPr>
        <w:t>1.1 本章所提出的技术要求是对本次招标服务的基本要求，并未涉及所有技术细节，也未充分引述有关标准、规范的全部条款。投标人应保证其提供的服务除了满足本技术要求外，还应符合中国国家、行业、地方或</w:t>
      </w:r>
      <w:r>
        <w:rPr>
          <w:rFonts w:hint="eastAsia" w:ascii="仿宋" w:hAnsi="仿宋" w:eastAsia="仿宋" w:cs="仿宋"/>
          <w:sz w:val="24"/>
        </w:rPr>
        <w:t>服务提供商</w:t>
      </w:r>
      <w:r>
        <w:rPr>
          <w:rFonts w:hint="eastAsia" w:ascii="宋体" w:hAnsi="宋体" w:eastAsia="仿宋"/>
          <w:sz w:val="24"/>
        </w:rPr>
        <w:t>所在国的有关强制性标准、规范。当上述标准、规范的有关规定之间存在差异时，应以要求高的为准。</w:t>
      </w:r>
    </w:p>
    <w:p w14:paraId="4D3A35AA">
      <w:pPr>
        <w:widowControl/>
        <w:tabs>
          <w:tab w:val="left" w:pos="1406"/>
        </w:tabs>
        <w:snapToGrid w:val="0"/>
        <w:spacing w:line="360" w:lineRule="auto"/>
        <w:ind w:firstLine="480" w:firstLineChars="200"/>
        <w:rPr>
          <w:rFonts w:hint="eastAsia" w:ascii="宋体" w:hAnsi="宋体" w:eastAsia="仿宋"/>
          <w:sz w:val="24"/>
        </w:rPr>
      </w:pPr>
      <w:r>
        <w:rPr>
          <w:rFonts w:hint="eastAsia" w:ascii="宋体" w:hAnsi="宋体" w:eastAsia="仿宋"/>
          <w:sz w:val="24"/>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389C4FB5">
      <w:pPr>
        <w:widowControl/>
        <w:tabs>
          <w:tab w:val="left" w:pos="1406"/>
        </w:tabs>
        <w:snapToGrid w:val="0"/>
        <w:spacing w:line="360" w:lineRule="auto"/>
        <w:ind w:firstLine="480" w:firstLineChars="200"/>
        <w:rPr>
          <w:rFonts w:hint="eastAsia" w:ascii="宋体" w:hAnsi="宋体" w:eastAsia="仿宋"/>
          <w:sz w:val="24"/>
        </w:rPr>
      </w:pPr>
      <w:r>
        <w:rPr>
          <w:rFonts w:hint="eastAsia" w:ascii="宋体" w:hAnsi="宋体" w:eastAsia="仿宋"/>
          <w:sz w:val="24"/>
        </w:rPr>
        <w:t>1.3 除非有特别说明，本章中所列的具体技术要求或参数范围，均理解为采购人可接受的最低要求。</w:t>
      </w:r>
    </w:p>
    <w:p w14:paraId="72FE75AB">
      <w:pPr>
        <w:pStyle w:val="5"/>
        <w:rPr>
          <w:rFonts w:hint="eastAsia" w:ascii="宋体" w:hAnsi="宋体" w:eastAsia="仿宋"/>
          <w:sz w:val="24"/>
          <w:szCs w:val="24"/>
        </w:rPr>
      </w:pPr>
      <w:r>
        <w:rPr>
          <w:rFonts w:ascii="宋体" w:hAnsi="宋体" w:eastAsia="仿宋"/>
          <w:sz w:val="24"/>
        </w:rPr>
        <w:t>2.</w:t>
      </w:r>
      <w:r>
        <w:rPr>
          <w:rFonts w:hint="eastAsia" w:ascii="宋体" w:hAnsi="宋体" w:eastAsia="仿宋"/>
          <w:sz w:val="24"/>
          <w:szCs w:val="24"/>
        </w:rPr>
        <w:t>项目概况</w:t>
      </w:r>
    </w:p>
    <w:p w14:paraId="3619C990">
      <w:pPr>
        <w:adjustRightInd w:val="0"/>
        <w:snapToGrid w:val="0"/>
        <w:spacing w:line="360" w:lineRule="auto"/>
        <w:ind w:firstLine="480" w:firstLineChars="200"/>
        <w:rPr>
          <w:rFonts w:hint="eastAsia" w:ascii="宋体" w:hAnsi="宋体" w:eastAsia="仿宋"/>
          <w:sz w:val="24"/>
        </w:rPr>
      </w:pPr>
      <w:r>
        <w:rPr>
          <w:rFonts w:hint="eastAsia" w:ascii="宋体" w:hAnsi="宋体" w:eastAsia="仿宋"/>
          <w:sz w:val="24"/>
        </w:rPr>
        <w:t>为进一步深入落实立德树人根本任务，结合现代职业教育体系建设改革重点任务和提升学校关键办学能力需求，项目计划围绕新能源汽车技术专业核心课程《驱动电机及控制系统》、《新能源汽车试验技术》2门课程建设数字化资源。旨在提升专业课程质量，推进数字化转型。每门课程资源对标安徽省级金课建设要求，内容包括PPT课件、视频、动画、题库、仿真资源、数字教材等数字资源。</w:t>
      </w:r>
    </w:p>
    <w:bookmarkEnd w:id="6"/>
    <w:p w14:paraId="237A4A3A">
      <w:pPr>
        <w:pStyle w:val="5"/>
        <w:numPr>
          <w:ilvl w:val="0"/>
          <w:numId w:val="1"/>
        </w:numPr>
        <w:rPr>
          <w:rFonts w:hint="eastAsia" w:ascii="宋体" w:hAnsi="宋体" w:eastAsia="仿宋"/>
          <w:sz w:val="24"/>
        </w:rPr>
      </w:pPr>
      <w:r>
        <w:rPr>
          <w:rFonts w:hint="eastAsia" w:ascii="宋体" w:hAnsi="宋体" w:eastAsia="仿宋"/>
          <w:sz w:val="24"/>
        </w:rPr>
        <w:t>技术要求</w:t>
      </w:r>
    </w:p>
    <w:p w14:paraId="7F1477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3.1 技术要求前附表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296"/>
        <w:gridCol w:w="5433"/>
      </w:tblGrid>
      <w:tr w14:paraId="1F8B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793" w:type="dxa"/>
            <w:noWrap w:val="0"/>
            <w:vAlign w:val="top"/>
          </w:tcPr>
          <w:p w14:paraId="578B6CD8">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b/>
                <w:bCs/>
                <w:sz w:val="24"/>
              </w:rPr>
              <w:t>标识重要性</w:t>
            </w:r>
          </w:p>
        </w:tc>
        <w:tc>
          <w:tcPr>
            <w:tcW w:w="1296" w:type="dxa"/>
            <w:noWrap w:val="0"/>
            <w:vAlign w:val="top"/>
          </w:tcPr>
          <w:p w14:paraId="563A4E55">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b/>
                <w:bCs/>
                <w:sz w:val="24"/>
              </w:rPr>
              <w:t>标识符号</w:t>
            </w:r>
          </w:p>
        </w:tc>
        <w:tc>
          <w:tcPr>
            <w:tcW w:w="5433" w:type="dxa"/>
            <w:noWrap w:val="0"/>
            <w:vAlign w:val="top"/>
          </w:tcPr>
          <w:p w14:paraId="34D12F31">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b/>
                <w:bCs/>
                <w:sz w:val="24"/>
              </w:rPr>
              <w:t>代表意思</w:t>
            </w:r>
          </w:p>
        </w:tc>
      </w:tr>
      <w:tr w14:paraId="1290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793" w:type="dxa"/>
            <w:noWrap w:val="0"/>
            <w:vAlign w:val="top"/>
          </w:tcPr>
          <w:p w14:paraId="1132F46D">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sz w:val="24"/>
              </w:rPr>
              <w:t>重要指标项</w:t>
            </w:r>
          </w:p>
        </w:tc>
        <w:tc>
          <w:tcPr>
            <w:tcW w:w="1296" w:type="dxa"/>
            <w:noWrap w:val="0"/>
            <w:vAlign w:val="top"/>
          </w:tcPr>
          <w:p w14:paraId="6C2D8F9A">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sz w:val="24"/>
              </w:rPr>
            </w:pPr>
            <w:r>
              <w:rPr>
                <w:rFonts w:hint="eastAsia" w:ascii="宋体" w:hAnsi="宋体" w:cs="宋体"/>
                <w:sz w:val="24"/>
                <w:szCs w:val="24"/>
                <w:lang w:val="en-US" w:eastAsia="zh-CN"/>
              </w:rPr>
              <w:t>●</w:t>
            </w:r>
          </w:p>
        </w:tc>
        <w:tc>
          <w:tcPr>
            <w:tcW w:w="5433" w:type="dxa"/>
            <w:noWrap w:val="0"/>
            <w:vAlign w:val="top"/>
          </w:tcPr>
          <w:p w14:paraId="2F950AEA">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sz w:val="24"/>
              </w:rPr>
              <w:t>评分项，详见评分标准</w:t>
            </w:r>
          </w:p>
        </w:tc>
      </w:tr>
      <w:tr w14:paraId="22D9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93" w:type="dxa"/>
            <w:noWrap w:val="0"/>
            <w:vAlign w:val="center"/>
          </w:tcPr>
          <w:p w14:paraId="0F9ABD91">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sz w:val="24"/>
              </w:rPr>
              <w:t>无标识项</w:t>
            </w:r>
          </w:p>
        </w:tc>
        <w:tc>
          <w:tcPr>
            <w:tcW w:w="1296" w:type="dxa"/>
            <w:noWrap w:val="0"/>
            <w:vAlign w:val="top"/>
          </w:tcPr>
          <w:p w14:paraId="3EEC9294">
            <w:pPr>
              <w:pStyle w:val="2"/>
              <w:keepNext w:val="0"/>
              <w:keepLines w:val="0"/>
              <w:suppressLineNumbers w:val="0"/>
              <w:spacing w:before="0" w:beforeAutospacing="0" w:afterAutospacing="0"/>
              <w:ind w:left="0" w:leftChars="0" w:right="0" w:firstLine="0" w:firstLineChars="0"/>
              <w:rPr>
                <w:rFonts w:hint="eastAsia" w:ascii="Calibri" w:hAnsi="Calibri" w:cs="Times New Roman"/>
              </w:rPr>
            </w:pPr>
          </w:p>
        </w:tc>
        <w:tc>
          <w:tcPr>
            <w:tcW w:w="5433" w:type="dxa"/>
            <w:noWrap w:val="0"/>
            <w:vAlign w:val="top"/>
          </w:tcPr>
          <w:p w14:paraId="47D53FE4">
            <w:pPr>
              <w:keepNext w:val="0"/>
              <w:keepLines w:val="0"/>
              <w:suppressLineNumbers w:val="0"/>
              <w:spacing w:before="0" w:beforeAutospacing="0" w:after="0" w:afterAutospacing="0" w:line="360" w:lineRule="auto"/>
              <w:ind w:left="0" w:right="0"/>
              <w:jc w:val="left"/>
              <w:outlineLvl w:val="1"/>
              <w:rPr>
                <w:rFonts w:hint="eastAsia" w:ascii="仿宋" w:hAnsi="仿宋" w:eastAsia="仿宋" w:cs="仿宋"/>
                <w:b/>
                <w:bCs/>
                <w:sz w:val="24"/>
              </w:rPr>
            </w:pPr>
            <w:r>
              <w:rPr>
                <w:rFonts w:hint="eastAsia" w:ascii="仿宋" w:hAnsi="仿宋" w:eastAsia="仿宋" w:cs="仿宋"/>
                <w:sz w:val="24"/>
              </w:rPr>
              <w:t>无标识项的技术参数及要求5条及以上未响应或负偏离，将导致投标无效。</w:t>
            </w:r>
          </w:p>
        </w:tc>
      </w:tr>
      <w:tr w14:paraId="7B2F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522" w:type="dxa"/>
            <w:gridSpan w:val="3"/>
            <w:noWrap w:val="0"/>
            <w:vAlign w:val="top"/>
          </w:tcPr>
          <w:p w14:paraId="28EC4328">
            <w:pPr>
              <w:keepNext w:val="0"/>
              <w:keepLines w:val="0"/>
              <w:suppressLineNumbers w:val="0"/>
              <w:spacing w:before="0" w:beforeAutospacing="0" w:after="0" w:afterAutospacing="0" w:line="360" w:lineRule="auto"/>
              <w:ind w:left="0" w:right="0"/>
              <w:outlineLvl w:val="1"/>
              <w:rPr>
                <w:rFonts w:hint="eastAsia" w:ascii="仿宋" w:hAnsi="仿宋" w:eastAsia="仿宋" w:cs="仿宋"/>
                <w:b/>
                <w:bCs/>
                <w:sz w:val="24"/>
              </w:rPr>
            </w:pPr>
            <w:r>
              <w:rPr>
                <w:rFonts w:hint="eastAsia" w:ascii="仿宋" w:hAnsi="仿宋" w:eastAsia="仿宋" w:cs="仿宋"/>
                <w:sz w:val="24"/>
              </w:rPr>
              <w:t>注：重要指标项以第三章 采购需求“</w:t>
            </w:r>
            <w:r>
              <w:rPr>
                <w:rFonts w:hint="eastAsia" w:ascii="仿宋" w:hAnsi="仿宋" w:eastAsia="仿宋" w:cs="仿宋"/>
                <w:sz w:val="24"/>
                <w:lang w:val="en-US" w:eastAsia="zh-CN"/>
              </w:rPr>
              <w:t>2.技术要求</w:t>
            </w:r>
            <w:r>
              <w:rPr>
                <w:rFonts w:hint="eastAsia" w:ascii="仿宋" w:hAnsi="仿宋" w:eastAsia="仿宋" w:cs="仿宋"/>
                <w:sz w:val="24"/>
              </w:rPr>
              <w:t>”中要求提供的证明材料（如有要求）及第六章 投标文件格式中“技术要求偏离表”响应情况信息为评审依据。如某项标识中包含多条技术参数或要求，则该项标识所含内容均需满足或优于招标文件要求，否则不予认可。</w:t>
            </w:r>
          </w:p>
        </w:tc>
      </w:tr>
    </w:tbl>
    <w:p w14:paraId="29FE727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3.2 技术要求内容及参数</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427"/>
        <w:gridCol w:w="5611"/>
        <w:gridCol w:w="762"/>
      </w:tblGrid>
      <w:tr w14:paraId="2F8E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noWrap w:val="0"/>
            <w:vAlign w:val="top"/>
          </w:tcPr>
          <w:p w14:paraId="754A6C1F">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837" w:type="pct"/>
            <w:noWrap w:val="0"/>
            <w:vAlign w:val="top"/>
          </w:tcPr>
          <w:p w14:paraId="45AF82DB">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标的名称</w:t>
            </w:r>
          </w:p>
        </w:tc>
        <w:tc>
          <w:tcPr>
            <w:tcW w:w="3292" w:type="pct"/>
            <w:noWrap w:val="0"/>
            <w:vAlign w:val="top"/>
          </w:tcPr>
          <w:p w14:paraId="679DE1E4">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技术参数要求</w:t>
            </w:r>
          </w:p>
        </w:tc>
        <w:tc>
          <w:tcPr>
            <w:tcW w:w="447" w:type="pct"/>
            <w:noWrap w:val="0"/>
            <w:vAlign w:val="top"/>
          </w:tcPr>
          <w:p w14:paraId="71E2F426">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数量</w:t>
            </w:r>
          </w:p>
        </w:tc>
      </w:tr>
      <w:tr w14:paraId="1F1D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noWrap w:val="0"/>
            <w:vAlign w:val="center"/>
          </w:tcPr>
          <w:p w14:paraId="0A1A39C9">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
                <w:b/>
                <w:bCs/>
                <w:sz w:val="24"/>
                <w:szCs w:val="24"/>
              </w:rPr>
            </w:pPr>
            <w:r>
              <w:rPr>
                <w:rFonts w:hint="eastAsia" w:ascii="仿宋" w:hAnsi="仿宋" w:eastAsia="仿宋" w:cs="仿宋"/>
                <w:sz w:val="24"/>
                <w:szCs w:val="24"/>
              </w:rPr>
              <w:t>1</w:t>
            </w:r>
          </w:p>
        </w:tc>
        <w:tc>
          <w:tcPr>
            <w:tcW w:w="837" w:type="pct"/>
            <w:noWrap w:val="0"/>
            <w:vAlign w:val="center"/>
          </w:tcPr>
          <w:p w14:paraId="3C597F60">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color w:val="000000"/>
                <w:kern w:val="0"/>
                <w:sz w:val="24"/>
                <w:szCs w:val="24"/>
                <w:lang w:bidi="ar"/>
              </w:rPr>
              <w:t>《驱动电机及控制系统》课程</w:t>
            </w:r>
          </w:p>
        </w:tc>
        <w:tc>
          <w:tcPr>
            <w:tcW w:w="3292" w:type="pct"/>
            <w:noWrap w:val="0"/>
            <w:vAlign w:val="top"/>
          </w:tcPr>
          <w:p w14:paraId="218B30C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一、总体建设要求</w:t>
            </w:r>
          </w:p>
          <w:p w14:paraId="6311936D">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color w:val="000000"/>
                <w:kern w:val="0"/>
                <w:sz w:val="24"/>
                <w:szCs w:val="24"/>
                <w:lang w:bidi="ar"/>
              </w:rPr>
              <w:t>《驱动电机及控制系统》课程建设内容包含1本数字教材、1套PPT教学课件、42个教学视频（理论/技能）、10个二维动画、8个课程思政视频、1个课程概述视频、1套学习工作页、1套题库、1套新能源汽车电机虚拟结构原理展示系统、1套新能源汽车电机虚拟拆装实训系统。</w:t>
            </w:r>
          </w:p>
          <w:p w14:paraId="69961CB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二、技术要求</w:t>
            </w:r>
          </w:p>
          <w:p w14:paraId="083617D0">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1、数字教材</w:t>
            </w:r>
          </w:p>
          <w:p w14:paraId="09D14AA9">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bookmarkStart w:id="7" w:name="OLE_LINK2"/>
            <w:r>
              <w:rPr>
                <w:rFonts w:hint="eastAsia" w:ascii="仿宋" w:hAnsi="仿宋" w:eastAsia="仿宋" w:cs="仿宋"/>
                <w:sz w:val="24"/>
                <w:szCs w:val="24"/>
              </w:rPr>
              <w:t>（1）根据课程教学内容要求，编写团队完成教材大纲梳理、样章设计、内容编写并根据审核意见完成修改；</w:t>
            </w:r>
            <w:r>
              <w:rPr>
                <w:rFonts w:hint="eastAsia" w:ascii="仿宋" w:hAnsi="仿宋" w:eastAsia="仿宋" w:cs="仿宋"/>
                <w:sz w:val="24"/>
                <w:szCs w:val="24"/>
                <w:lang w:eastAsia="zh-CN"/>
              </w:rPr>
              <w:t>供应商</w:t>
            </w:r>
            <w:r>
              <w:rPr>
                <w:rFonts w:hint="eastAsia" w:ascii="仿宋" w:hAnsi="仿宋" w:eastAsia="仿宋" w:cs="仿宋"/>
                <w:sz w:val="24"/>
                <w:szCs w:val="24"/>
              </w:rPr>
              <w:t>教材文本、图片、表格等进行排版美化，并协助进行数字教材</w:t>
            </w:r>
            <w:r>
              <w:rPr>
                <w:rFonts w:hint="eastAsia" w:ascii="仿宋" w:hAnsi="仿宋" w:eastAsia="仿宋" w:cs="仿宋"/>
                <w:sz w:val="24"/>
                <w:szCs w:val="24"/>
                <w:lang w:val="en-US" w:eastAsia="zh-CN"/>
              </w:rPr>
              <w:t>开发</w:t>
            </w:r>
            <w:r>
              <w:rPr>
                <w:rFonts w:hint="eastAsia" w:ascii="仿宋" w:hAnsi="仿宋" w:eastAsia="仿宋" w:cs="仿宋"/>
                <w:sz w:val="24"/>
                <w:szCs w:val="24"/>
              </w:rPr>
              <w:t>。</w:t>
            </w:r>
          </w:p>
          <w:p w14:paraId="2FA25D0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（2）图形图像：正文中的图像、图形应清晰，图形要符合国家相关绘制标准；尽量不要使用Word绘制插图</w:t>
            </w:r>
            <w:r>
              <w:rPr>
                <w:rFonts w:hint="eastAsia" w:ascii="仿宋" w:hAnsi="仿宋" w:eastAsia="仿宋" w:cs="仿宋"/>
                <w:sz w:val="24"/>
                <w:szCs w:val="24"/>
                <w:lang w:eastAsia="zh-CN"/>
              </w:rPr>
              <w:t>，</w:t>
            </w:r>
            <w:r>
              <w:rPr>
                <w:rFonts w:hint="eastAsia" w:ascii="仿宋" w:hAnsi="仿宋" w:eastAsia="仿宋" w:cs="仿宋"/>
                <w:sz w:val="24"/>
                <w:szCs w:val="24"/>
              </w:rPr>
              <w:t>而采用插入已保存的图片的方式；图文混排的方式选择嵌入式。</w:t>
            </w:r>
          </w:p>
          <w:p w14:paraId="6F62B146">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（3）标题：文本正文应设定文章标题，文章标题放在正文内第一行居中的位置；各级标题应设置正确，同一级标题使用同样的样式，文本结构清晰。</w:t>
            </w:r>
          </w:p>
          <w:p w14:paraId="4320CEE5">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（4）字号页码：正文字体、字号、颜色、行间距等要美观、统一；文本超过10页应插入页码；超过15页应插入目录。</w:t>
            </w:r>
          </w:p>
          <w:p w14:paraId="17A23E0D">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（5）表格：表格不应超出页面，且要求使用软件的插入表格或绘制表格等功能生成表格，并使用相应功能加工处理，不要用在文本上描绘直线等绘图方式制作表格。</w:t>
            </w:r>
          </w:p>
          <w:p w14:paraId="32F6942A">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（6）文件命名：文件名应反映主题内容，尽量与文内标题保持一致，不要使用“1.doc”这类含义不明的标题。</w:t>
            </w:r>
          </w:p>
          <w:p w14:paraId="7863572B">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（7）文中所用计量单位、字母符号、公式等应符合国家相关标准。</w:t>
            </w:r>
          </w:p>
          <w:p w14:paraId="2B027CA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（8）文件格式：*.doc、*.docx、*.pdf。</w:t>
            </w:r>
          </w:p>
          <w:p w14:paraId="454768CC">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（9）教材大纲参考如下，实际开发中可根据具体需求进行调整：</w:t>
            </w:r>
          </w:p>
          <w:bookmarkEnd w:id="7"/>
          <w:tbl>
            <w:tblPr>
              <w:tblStyle w:val="7"/>
              <w:tblW w:w="4985" w:type="dxa"/>
              <w:jc w:val="center"/>
              <w:tblLayout w:type="autofit"/>
              <w:tblCellMar>
                <w:top w:w="0" w:type="dxa"/>
                <w:left w:w="108" w:type="dxa"/>
                <w:bottom w:w="0" w:type="dxa"/>
                <w:right w:w="108" w:type="dxa"/>
              </w:tblCellMar>
            </w:tblPr>
            <w:tblGrid>
              <w:gridCol w:w="1682"/>
              <w:gridCol w:w="3303"/>
            </w:tblGrid>
            <w:tr w14:paraId="20E0362E">
              <w:tblPrEx>
                <w:tblCellMar>
                  <w:top w:w="0" w:type="dxa"/>
                  <w:left w:w="108" w:type="dxa"/>
                  <w:bottom w:w="0" w:type="dxa"/>
                  <w:right w:w="108" w:type="dxa"/>
                </w:tblCellMar>
              </w:tblPrEx>
              <w:trPr>
                <w:trHeight w:val="309" w:hRule="atLeast"/>
                <w:jc w:val="center"/>
              </w:trPr>
              <w:tc>
                <w:tcPr>
                  <w:tcW w:w="1682" w:type="dxa"/>
                  <w:tcBorders>
                    <w:top w:val="single" w:color="000000" w:sz="4" w:space="0"/>
                    <w:left w:val="single" w:color="000000" w:sz="4" w:space="0"/>
                    <w:bottom w:val="single" w:color="000000" w:sz="4" w:space="0"/>
                    <w:right w:val="single" w:color="000000" w:sz="4" w:space="0"/>
                  </w:tcBorders>
                  <w:noWrap/>
                  <w:vAlign w:val="center"/>
                </w:tcPr>
                <w:p w14:paraId="42023F5D">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项目</w:t>
                  </w:r>
                </w:p>
              </w:tc>
              <w:tc>
                <w:tcPr>
                  <w:tcW w:w="3303" w:type="dxa"/>
                  <w:tcBorders>
                    <w:top w:val="single" w:color="000000" w:sz="4" w:space="0"/>
                    <w:left w:val="single" w:color="000000" w:sz="4" w:space="0"/>
                    <w:bottom w:val="single" w:color="000000" w:sz="4" w:space="0"/>
                    <w:right w:val="single" w:color="000000" w:sz="4" w:space="0"/>
                  </w:tcBorders>
                  <w:noWrap/>
                  <w:vAlign w:val="center"/>
                </w:tcPr>
                <w:p w14:paraId="1F88E417">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任务</w:t>
                  </w:r>
                </w:p>
              </w:tc>
            </w:tr>
            <w:tr w14:paraId="6487F66E">
              <w:tblPrEx>
                <w:tblCellMar>
                  <w:top w:w="0" w:type="dxa"/>
                  <w:left w:w="108" w:type="dxa"/>
                  <w:bottom w:w="0" w:type="dxa"/>
                  <w:right w:w="108" w:type="dxa"/>
                </w:tblCellMar>
              </w:tblPrEx>
              <w:trPr>
                <w:trHeight w:val="297" w:hRule="atLeast"/>
                <w:jc w:val="center"/>
              </w:trPr>
              <w:tc>
                <w:tcPr>
                  <w:tcW w:w="1682" w:type="dxa"/>
                  <w:vMerge w:val="restart"/>
                  <w:tcBorders>
                    <w:top w:val="single" w:color="000000" w:sz="4" w:space="0"/>
                    <w:left w:val="single" w:color="000000" w:sz="4" w:space="0"/>
                    <w:bottom w:val="single" w:color="000000" w:sz="4" w:space="0"/>
                    <w:right w:val="single" w:color="000000" w:sz="4" w:space="0"/>
                  </w:tcBorders>
                  <w:noWrap/>
                  <w:vAlign w:val="center"/>
                </w:tcPr>
                <w:p w14:paraId="2B21AF0A">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项目一 驱动电机及控制系统认知</w:t>
                  </w:r>
                </w:p>
              </w:tc>
              <w:tc>
                <w:tcPr>
                  <w:tcW w:w="3303" w:type="dxa"/>
                  <w:tcBorders>
                    <w:top w:val="single" w:color="000000" w:sz="4" w:space="0"/>
                    <w:left w:val="single" w:color="000000" w:sz="4" w:space="0"/>
                    <w:bottom w:val="single" w:color="000000" w:sz="4" w:space="0"/>
                    <w:right w:val="single" w:color="000000" w:sz="4" w:space="0"/>
                  </w:tcBorders>
                  <w:noWrap/>
                  <w:vAlign w:val="center"/>
                </w:tcPr>
                <w:p w14:paraId="35C43093">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任务1 驱动电机及控制系统发展现状与趋势</w:t>
                  </w:r>
                </w:p>
              </w:tc>
            </w:tr>
            <w:tr w14:paraId="5CB0A65D">
              <w:tblPrEx>
                <w:tblCellMar>
                  <w:top w:w="0" w:type="dxa"/>
                  <w:left w:w="108" w:type="dxa"/>
                  <w:bottom w:w="0" w:type="dxa"/>
                  <w:right w:w="108" w:type="dxa"/>
                </w:tblCellMar>
              </w:tblPrEx>
              <w:trPr>
                <w:trHeight w:val="297" w:hRule="atLeast"/>
                <w:jc w:val="center"/>
              </w:trPr>
              <w:tc>
                <w:tcPr>
                  <w:tcW w:w="1682" w:type="dxa"/>
                  <w:vMerge w:val="continue"/>
                  <w:tcBorders>
                    <w:top w:val="single" w:color="000000" w:sz="4" w:space="0"/>
                    <w:left w:val="single" w:color="000000" w:sz="4" w:space="0"/>
                    <w:bottom w:val="single" w:color="000000" w:sz="4" w:space="0"/>
                    <w:right w:val="single" w:color="000000" w:sz="4" w:space="0"/>
                  </w:tcBorders>
                  <w:noWrap/>
                  <w:vAlign w:val="center"/>
                </w:tcPr>
                <w:p w14:paraId="2C38EC6F">
                  <w:pPr>
                    <w:keepNext w:val="0"/>
                    <w:keepLines w:val="0"/>
                    <w:widowControl/>
                    <w:suppressLineNumbers w:val="0"/>
                    <w:adjustRightInd w:val="0"/>
                    <w:snapToGrid w:val="0"/>
                    <w:spacing w:before="0" w:beforeAutospacing="0" w:after="0" w:afterAutospacing="0" w:line="300" w:lineRule="auto"/>
                    <w:ind w:left="0" w:right="0"/>
                    <w:jc w:val="left"/>
                    <w:rPr>
                      <w:rFonts w:hint="eastAsia" w:ascii="仿宋" w:hAnsi="仿宋" w:eastAsia="仿宋" w:cs="仿宋"/>
                      <w:color w:val="000000"/>
                      <w:sz w:val="24"/>
                      <w:szCs w:val="24"/>
                    </w:rPr>
                  </w:pPr>
                </w:p>
              </w:tc>
              <w:tc>
                <w:tcPr>
                  <w:tcW w:w="3303" w:type="dxa"/>
                  <w:tcBorders>
                    <w:top w:val="single" w:color="000000" w:sz="4" w:space="0"/>
                    <w:left w:val="single" w:color="000000" w:sz="4" w:space="0"/>
                    <w:bottom w:val="nil"/>
                    <w:right w:val="single" w:color="000000" w:sz="4" w:space="0"/>
                  </w:tcBorders>
                  <w:noWrap/>
                  <w:vAlign w:val="center"/>
                </w:tcPr>
                <w:p w14:paraId="7D07759F">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任务2 驱动电机及控制系统组成及关键技术</w:t>
                  </w:r>
                </w:p>
              </w:tc>
            </w:tr>
            <w:tr w14:paraId="1A7AB1A1">
              <w:tblPrEx>
                <w:tblCellMar>
                  <w:top w:w="0" w:type="dxa"/>
                  <w:left w:w="108" w:type="dxa"/>
                  <w:bottom w:w="0" w:type="dxa"/>
                  <w:right w:w="108" w:type="dxa"/>
                </w:tblCellMar>
              </w:tblPrEx>
              <w:trPr>
                <w:trHeight w:val="297" w:hRule="atLeast"/>
                <w:jc w:val="center"/>
              </w:trPr>
              <w:tc>
                <w:tcPr>
                  <w:tcW w:w="1682" w:type="dxa"/>
                  <w:vMerge w:val="continue"/>
                  <w:tcBorders>
                    <w:top w:val="single" w:color="000000" w:sz="4" w:space="0"/>
                    <w:left w:val="single" w:color="000000" w:sz="4" w:space="0"/>
                    <w:bottom w:val="single" w:color="000000" w:sz="4" w:space="0"/>
                    <w:right w:val="single" w:color="000000" w:sz="4" w:space="0"/>
                  </w:tcBorders>
                  <w:noWrap/>
                  <w:vAlign w:val="center"/>
                </w:tcPr>
                <w:p w14:paraId="698C869C">
                  <w:pPr>
                    <w:keepNext w:val="0"/>
                    <w:keepLines w:val="0"/>
                    <w:widowControl/>
                    <w:suppressLineNumbers w:val="0"/>
                    <w:adjustRightInd w:val="0"/>
                    <w:snapToGrid w:val="0"/>
                    <w:spacing w:before="0" w:beforeAutospacing="0" w:after="0" w:afterAutospacing="0" w:line="300" w:lineRule="auto"/>
                    <w:ind w:left="0" w:right="0"/>
                    <w:jc w:val="left"/>
                    <w:rPr>
                      <w:rFonts w:hint="eastAsia" w:ascii="仿宋" w:hAnsi="仿宋" w:eastAsia="仿宋" w:cs="仿宋"/>
                      <w:color w:val="000000"/>
                      <w:sz w:val="24"/>
                      <w:szCs w:val="24"/>
                    </w:rPr>
                  </w:pPr>
                </w:p>
              </w:tc>
              <w:tc>
                <w:tcPr>
                  <w:tcW w:w="3303" w:type="dxa"/>
                  <w:tcBorders>
                    <w:top w:val="single" w:color="000000" w:sz="4" w:space="0"/>
                    <w:left w:val="single" w:color="000000" w:sz="4" w:space="0"/>
                    <w:bottom w:val="single" w:color="000000" w:sz="4" w:space="0"/>
                    <w:right w:val="single" w:color="000000" w:sz="4" w:space="0"/>
                  </w:tcBorders>
                  <w:noWrap/>
                  <w:vAlign w:val="center"/>
                </w:tcPr>
                <w:p w14:paraId="7E808911">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任务3 驱动电机的类型及选用</w:t>
                  </w:r>
                </w:p>
              </w:tc>
            </w:tr>
            <w:tr w14:paraId="7E9ADF66">
              <w:tblPrEx>
                <w:tblCellMar>
                  <w:top w:w="0" w:type="dxa"/>
                  <w:left w:w="108" w:type="dxa"/>
                  <w:bottom w:w="0" w:type="dxa"/>
                  <w:right w:w="108" w:type="dxa"/>
                </w:tblCellMar>
              </w:tblPrEx>
              <w:trPr>
                <w:trHeight w:val="297" w:hRule="atLeast"/>
                <w:jc w:val="center"/>
              </w:trPr>
              <w:tc>
                <w:tcPr>
                  <w:tcW w:w="1682" w:type="dxa"/>
                  <w:vMerge w:val="restart"/>
                  <w:tcBorders>
                    <w:top w:val="nil"/>
                    <w:left w:val="single" w:color="000000" w:sz="4" w:space="0"/>
                    <w:bottom w:val="single" w:color="000000" w:sz="4" w:space="0"/>
                    <w:right w:val="single" w:color="000000" w:sz="4" w:space="0"/>
                  </w:tcBorders>
                  <w:noWrap/>
                  <w:vAlign w:val="center"/>
                </w:tcPr>
                <w:p w14:paraId="633BAA44">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项目二 直流电机及控制系统装调与测试</w:t>
                  </w:r>
                </w:p>
              </w:tc>
              <w:tc>
                <w:tcPr>
                  <w:tcW w:w="3303" w:type="dxa"/>
                  <w:tcBorders>
                    <w:top w:val="single" w:color="000000" w:sz="4" w:space="0"/>
                    <w:left w:val="single" w:color="000000" w:sz="4" w:space="0"/>
                    <w:bottom w:val="nil"/>
                    <w:right w:val="single" w:color="000000" w:sz="4" w:space="0"/>
                  </w:tcBorders>
                  <w:noWrap/>
                  <w:vAlign w:val="center"/>
                </w:tcPr>
                <w:p w14:paraId="7F8C70F7">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任务1 直流电机及控制系统总成装调</w:t>
                  </w:r>
                </w:p>
              </w:tc>
            </w:tr>
            <w:tr w14:paraId="15B08DD1">
              <w:tblPrEx>
                <w:tblCellMar>
                  <w:top w:w="0" w:type="dxa"/>
                  <w:left w:w="108" w:type="dxa"/>
                  <w:bottom w:w="0" w:type="dxa"/>
                  <w:right w:w="108" w:type="dxa"/>
                </w:tblCellMar>
              </w:tblPrEx>
              <w:trPr>
                <w:trHeight w:val="297" w:hRule="atLeast"/>
                <w:jc w:val="center"/>
              </w:trPr>
              <w:tc>
                <w:tcPr>
                  <w:tcW w:w="1682" w:type="dxa"/>
                  <w:vMerge w:val="continue"/>
                  <w:tcBorders>
                    <w:top w:val="nil"/>
                    <w:left w:val="single" w:color="000000" w:sz="4" w:space="0"/>
                    <w:bottom w:val="single" w:color="000000" w:sz="4" w:space="0"/>
                    <w:right w:val="single" w:color="000000" w:sz="4" w:space="0"/>
                  </w:tcBorders>
                  <w:noWrap/>
                  <w:vAlign w:val="center"/>
                </w:tcPr>
                <w:p w14:paraId="22E01859">
                  <w:pPr>
                    <w:keepNext w:val="0"/>
                    <w:keepLines w:val="0"/>
                    <w:widowControl/>
                    <w:suppressLineNumbers w:val="0"/>
                    <w:adjustRightInd w:val="0"/>
                    <w:snapToGrid w:val="0"/>
                    <w:spacing w:before="0" w:beforeAutospacing="0" w:after="0" w:afterAutospacing="0" w:line="300" w:lineRule="auto"/>
                    <w:ind w:left="0" w:right="0"/>
                    <w:jc w:val="left"/>
                    <w:rPr>
                      <w:rFonts w:hint="eastAsia" w:ascii="仿宋" w:hAnsi="仿宋" w:eastAsia="仿宋" w:cs="仿宋"/>
                      <w:color w:val="000000"/>
                      <w:sz w:val="24"/>
                      <w:szCs w:val="24"/>
                    </w:rPr>
                  </w:pPr>
                </w:p>
              </w:tc>
              <w:tc>
                <w:tcPr>
                  <w:tcW w:w="3303" w:type="dxa"/>
                  <w:tcBorders>
                    <w:top w:val="single" w:color="000000" w:sz="4" w:space="0"/>
                    <w:left w:val="single" w:color="000000" w:sz="4" w:space="0"/>
                    <w:bottom w:val="single" w:color="000000" w:sz="4" w:space="0"/>
                    <w:right w:val="single" w:color="000000" w:sz="4" w:space="0"/>
                  </w:tcBorders>
                  <w:noWrap/>
                  <w:vAlign w:val="center"/>
                </w:tcPr>
                <w:p w14:paraId="7E033D86">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任务2 直流电机及控制系统性能测试</w:t>
                  </w:r>
                </w:p>
              </w:tc>
            </w:tr>
            <w:tr w14:paraId="5C37C499">
              <w:tblPrEx>
                <w:tblCellMar>
                  <w:top w:w="0" w:type="dxa"/>
                  <w:left w:w="108" w:type="dxa"/>
                  <w:bottom w:w="0" w:type="dxa"/>
                  <w:right w:w="108" w:type="dxa"/>
                </w:tblCellMar>
              </w:tblPrEx>
              <w:trPr>
                <w:trHeight w:val="297" w:hRule="atLeast"/>
                <w:jc w:val="center"/>
              </w:trPr>
              <w:tc>
                <w:tcPr>
                  <w:tcW w:w="1682" w:type="dxa"/>
                  <w:vMerge w:val="restart"/>
                  <w:tcBorders>
                    <w:top w:val="single" w:color="000000" w:sz="4" w:space="0"/>
                    <w:left w:val="single" w:color="000000" w:sz="4" w:space="0"/>
                    <w:bottom w:val="single" w:color="000000" w:sz="4" w:space="0"/>
                    <w:right w:val="single" w:color="000000" w:sz="4" w:space="0"/>
                  </w:tcBorders>
                  <w:noWrap/>
                  <w:vAlign w:val="center"/>
                </w:tcPr>
                <w:p w14:paraId="76260596">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项目三 交流异步电机及控制系统装调与测试</w:t>
                  </w:r>
                </w:p>
              </w:tc>
              <w:tc>
                <w:tcPr>
                  <w:tcW w:w="3303" w:type="dxa"/>
                  <w:tcBorders>
                    <w:top w:val="single" w:color="000000" w:sz="4" w:space="0"/>
                    <w:left w:val="single" w:color="000000" w:sz="4" w:space="0"/>
                    <w:bottom w:val="nil"/>
                    <w:right w:val="single" w:color="000000" w:sz="4" w:space="0"/>
                  </w:tcBorders>
                  <w:noWrap/>
                  <w:vAlign w:val="center"/>
                </w:tcPr>
                <w:p w14:paraId="275CB933">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任务1 交流异步电机及控制系统总成装调</w:t>
                  </w:r>
                </w:p>
              </w:tc>
            </w:tr>
            <w:tr w14:paraId="71A16350">
              <w:tblPrEx>
                <w:tblCellMar>
                  <w:top w:w="0" w:type="dxa"/>
                  <w:left w:w="108" w:type="dxa"/>
                  <w:bottom w:w="0" w:type="dxa"/>
                  <w:right w:w="108" w:type="dxa"/>
                </w:tblCellMar>
              </w:tblPrEx>
              <w:trPr>
                <w:trHeight w:val="297" w:hRule="atLeast"/>
                <w:jc w:val="center"/>
              </w:trPr>
              <w:tc>
                <w:tcPr>
                  <w:tcW w:w="1682" w:type="dxa"/>
                  <w:vMerge w:val="continue"/>
                  <w:tcBorders>
                    <w:top w:val="single" w:color="000000" w:sz="4" w:space="0"/>
                    <w:left w:val="single" w:color="000000" w:sz="4" w:space="0"/>
                    <w:bottom w:val="single" w:color="000000" w:sz="4" w:space="0"/>
                    <w:right w:val="single" w:color="000000" w:sz="4" w:space="0"/>
                  </w:tcBorders>
                  <w:noWrap/>
                  <w:vAlign w:val="center"/>
                </w:tcPr>
                <w:p w14:paraId="229FAC1B">
                  <w:pPr>
                    <w:keepNext w:val="0"/>
                    <w:keepLines w:val="0"/>
                    <w:widowControl/>
                    <w:suppressLineNumbers w:val="0"/>
                    <w:adjustRightInd w:val="0"/>
                    <w:snapToGrid w:val="0"/>
                    <w:spacing w:before="0" w:beforeAutospacing="0" w:after="0" w:afterAutospacing="0" w:line="300" w:lineRule="auto"/>
                    <w:ind w:left="0" w:right="0"/>
                    <w:jc w:val="left"/>
                    <w:rPr>
                      <w:rFonts w:hint="eastAsia" w:ascii="仿宋" w:hAnsi="仿宋" w:eastAsia="仿宋" w:cs="仿宋"/>
                      <w:color w:val="000000"/>
                      <w:sz w:val="24"/>
                      <w:szCs w:val="24"/>
                    </w:rPr>
                  </w:pPr>
                </w:p>
              </w:tc>
              <w:tc>
                <w:tcPr>
                  <w:tcW w:w="3303" w:type="dxa"/>
                  <w:tcBorders>
                    <w:top w:val="single" w:color="000000" w:sz="4" w:space="0"/>
                    <w:left w:val="single" w:color="000000" w:sz="4" w:space="0"/>
                    <w:bottom w:val="single" w:color="000000" w:sz="4" w:space="0"/>
                    <w:right w:val="single" w:color="000000" w:sz="4" w:space="0"/>
                  </w:tcBorders>
                  <w:noWrap/>
                  <w:vAlign w:val="center"/>
                </w:tcPr>
                <w:p w14:paraId="77AE1268">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任务2 交流异步电机及控制系统性能测试</w:t>
                  </w:r>
                </w:p>
              </w:tc>
            </w:tr>
            <w:tr w14:paraId="30B8FE00">
              <w:tblPrEx>
                <w:tblCellMar>
                  <w:top w:w="0" w:type="dxa"/>
                  <w:left w:w="108" w:type="dxa"/>
                  <w:bottom w:w="0" w:type="dxa"/>
                  <w:right w:w="108" w:type="dxa"/>
                </w:tblCellMar>
              </w:tblPrEx>
              <w:trPr>
                <w:trHeight w:val="297" w:hRule="atLeast"/>
                <w:jc w:val="center"/>
              </w:trPr>
              <w:tc>
                <w:tcPr>
                  <w:tcW w:w="1682" w:type="dxa"/>
                  <w:vMerge w:val="restart"/>
                  <w:tcBorders>
                    <w:top w:val="single" w:color="000000" w:sz="4" w:space="0"/>
                    <w:left w:val="single" w:color="000000" w:sz="4" w:space="0"/>
                    <w:bottom w:val="single" w:color="000000" w:sz="4" w:space="0"/>
                    <w:right w:val="single" w:color="000000" w:sz="4" w:space="0"/>
                  </w:tcBorders>
                  <w:noWrap/>
                  <w:vAlign w:val="center"/>
                </w:tcPr>
                <w:p w14:paraId="0D557051">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项目四 永磁同步电机及控制系统装调与测试</w:t>
                  </w:r>
                </w:p>
              </w:tc>
              <w:tc>
                <w:tcPr>
                  <w:tcW w:w="3303" w:type="dxa"/>
                  <w:tcBorders>
                    <w:top w:val="single" w:color="000000" w:sz="4" w:space="0"/>
                    <w:left w:val="single" w:color="000000" w:sz="4" w:space="0"/>
                    <w:bottom w:val="nil"/>
                    <w:right w:val="single" w:color="000000" w:sz="4" w:space="0"/>
                  </w:tcBorders>
                  <w:noWrap/>
                  <w:vAlign w:val="center"/>
                </w:tcPr>
                <w:p w14:paraId="5C9D9F96">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任务1 永磁同步电机及控制系统总成装调</w:t>
                  </w:r>
                </w:p>
              </w:tc>
            </w:tr>
            <w:tr w14:paraId="39C03BE7">
              <w:tblPrEx>
                <w:tblCellMar>
                  <w:top w:w="0" w:type="dxa"/>
                  <w:left w:w="108" w:type="dxa"/>
                  <w:bottom w:w="0" w:type="dxa"/>
                  <w:right w:w="108" w:type="dxa"/>
                </w:tblCellMar>
              </w:tblPrEx>
              <w:trPr>
                <w:trHeight w:val="297" w:hRule="atLeast"/>
                <w:jc w:val="center"/>
              </w:trPr>
              <w:tc>
                <w:tcPr>
                  <w:tcW w:w="1682" w:type="dxa"/>
                  <w:vMerge w:val="continue"/>
                  <w:tcBorders>
                    <w:top w:val="single" w:color="000000" w:sz="4" w:space="0"/>
                    <w:left w:val="single" w:color="000000" w:sz="4" w:space="0"/>
                    <w:bottom w:val="single" w:color="000000" w:sz="4" w:space="0"/>
                    <w:right w:val="single" w:color="000000" w:sz="4" w:space="0"/>
                  </w:tcBorders>
                  <w:noWrap/>
                  <w:vAlign w:val="center"/>
                </w:tcPr>
                <w:p w14:paraId="03BEF89F">
                  <w:pPr>
                    <w:keepNext w:val="0"/>
                    <w:keepLines w:val="0"/>
                    <w:widowControl/>
                    <w:suppressLineNumbers w:val="0"/>
                    <w:adjustRightInd w:val="0"/>
                    <w:snapToGrid w:val="0"/>
                    <w:spacing w:before="0" w:beforeAutospacing="0" w:after="0" w:afterAutospacing="0" w:line="300" w:lineRule="auto"/>
                    <w:ind w:left="0" w:right="0"/>
                    <w:jc w:val="left"/>
                    <w:rPr>
                      <w:rFonts w:hint="eastAsia" w:ascii="仿宋" w:hAnsi="仿宋" w:eastAsia="仿宋" w:cs="仿宋"/>
                      <w:color w:val="000000"/>
                      <w:sz w:val="24"/>
                      <w:szCs w:val="24"/>
                    </w:rPr>
                  </w:pPr>
                </w:p>
              </w:tc>
              <w:tc>
                <w:tcPr>
                  <w:tcW w:w="3303" w:type="dxa"/>
                  <w:tcBorders>
                    <w:top w:val="single" w:color="000000" w:sz="4" w:space="0"/>
                    <w:left w:val="single" w:color="000000" w:sz="4" w:space="0"/>
                    <w:bottom w:val="single" w:color="000000" w:sz="4" w:space="0"/>
                    <w:right w:val="single" w:color="000000" w:sz="4" w:space="0"/>
                  </w:tcBorders>
                  <w:noWrap/>
                  <w:vAlign w:val="center"/>
                </w:tcPr>
                <w:p w14:paraId="2FA7898D">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任务2 永磁同步电机及控制系统性能测试</w:t>
                  </w:r>
                </w:p>
              </w:tc>
            </w:tr>
            <w:tr w14:paraId="2419EB84">
              <w:tblPrEx>
                <w:tblCellMar>
                  <w:top w:w="0" w:type="dxa"/>
                  <w:left w:w="108" w:type="dxa"/>
                  <w:bottom w:w="0" w:type="dxa"/>
                  <w:right w:w="108" w:type="dxa"/>
                </w:tblCellMar>
              </w:tblPrEx>
              <w:trPr>
                <w:trHeight w:val="297" w:hRule="atLeast"/>
                <w:jc w:val="center"/>
              </w:trPr>
              <w:tc>
                <w:tcPr>
                  <w:tcW w:w="1682" w:type="dxa"/>
                  <w:vMerge w:val="restart"/>
                  <w:tcBorders>
                    <w:top w:val="single" w:color="000000" w:sz="4" w:space="0"/>
                    <w:left w:val="single" w:color="000000" w:sz="4" w:space="0"/>
                    <w:bottom w:val="single" w:color="000000" w:sz="4" w:space="0"/>
                    <w:right w:val="single" w:color="000000" w:sz="4" w:space="0"/>
                  </w:tcBorders>
                  <w:noWrap/>
                  <w:vAlign w:val="center"/>
                </w:tcPr>
                <w:p w14:paraId="6276C296">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项目五 开关磁阻电机及控制系统装调与测试</w:t>
                  </w:r>
                </w:p>
              </w:tc>
              <w:tc>
                <w:tcPr>
                  <w:tcW w:w="3303" w:type="dxa"/>
                  <w:tcBorders>
                    <w:top w:val="single" w:color="000000" w:sz="4" w:space="0"/>
                    <w:left w:val="single" w:color="000000" w:sz="4" w:space="0"/>
                    <w:bottom w:val="nil"/>
                    <w:right w:val="single" w:color="000000" w:sz="4" w:space="0"/>
                  </w:tcBorders>
                  <w:noWrap/>
                  <w:vAlign w:val="center"/>
                </w:tcPr>
                <w:p w14:paraId="49877A59">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任务1 开关磁阻电机及控制系统总成装调</w:t>
                  </w:r>
                </w:p>
              </w:tc>
            </w:tr>
            <w:tr w14:paraId="011C3C7B">
              <w:tblPrEx>
                <w:tblCellMar>
                  <w:top w:w="0" w:type="dxa"/>
                  <w:left w:w="108" w:type="dxa"/>
                  <w:bottom w:w="0" w:type="dxa"/>
                  <w:right w:w="108" w:type="dxa"/>
                </w:tblCellMar>
              </w:tblPrEx>
              <w:trPr>
                <w:trHeight w:val="297" w:hRule="atLeast"/>
                <w:jc w:val="center"/>
              </w:trPr>
              <w:tc>
                <w:tcPr>
                  <w:tcW w:w="1682" w:type="dxa"/>
                  <w:vMerge w:val="continue"/>
                  <w:tcBorders>
                    <w:top w:val="single" w:color="000000" w:sz="4" w:space="0"/>
                    <w:left w:val="single" w:color="000000" w:sz="4" w:space="0"/>
                    <w:bottom w:val="single" w:color="000000" w:sz="4" w:space="0"/>
                    <w:right w:val="single" w:color="000000" w:sz="4" w:space="0"/>
                  </w:tcBorders>
                  <w:noWrap/>
                  <w:vAlign w:val="center"/>
                </w:tcPr>
                <w:p w14:paraId="7ABCA52E">
                  <w:pPr>
                    <w:keepNext w:val="0"/>
                    <w:keepLines w:val="0"/>
                    <w:widowControl/>
                    <w:suppressLineNumbers w:val="0"/>
                    <w:adjustRightInd w:val="0"/>
                    <w:snapToGrid w:val="0"/>
                    <w:spacing w:before="0" w:beforeAutospacing="0" w:after="0" w:afterAutospacing="0" w:line="300" w:lineRule="auto"/>
                    <w:ind w:left="0" w:right="0"/>
                    <w:jc w:val="left"/>
                    <w:rPr>
                      <w:rFonts w:hint="eastAsia" w:ascii="仿宋" w:hAnsi="仿宋" w:eastAsia="仿宋" w:cs="仿宋"/>
                      <w:color w:val="000000"/>
                      <w:sz w:val="24"/>
                      <w:szCs w:val="24"/>
                    </w:rPr>
                  </w:pPr>
                </w:p>
              </w:tc>
              <w:tc>
                <w:tcPr>
                  <w:tcW w:w="3303" w:type="dxa"/>
                  <w:tcBorders>
                    <w:top w:val="single" w:color="000000" w:sz="4" w:space="0"/>
                    <w:left w:val="single" w:color="000000" w:sz="4" w:space="0"/>
                    <w:bottom w:val="single" w:color="000000" w:sz="4" w:space="0"/>
                    <w:right w:val="single" w:color="000000" w:sz="4" w:space="0"/>
                  </w:tcBorders>
                  <w:noWrap/>
                  <w:vAlign w:val="center"/>
                </w:tcPr>
                <w:p w14:paraId="7C60ECA9">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任务2 开关磁阻电机及控制系统性能测试</w:t>
                  </w:r>
                </w:p>
              </w:tc>
            </w:tr>
            <w:tr w14:paraId="4B7CA4E5">
              <w:tblPrEx>
                <w:tblCellMar>
                  <w:top w:w="0" w:type="dxa"/>
                  <w:left w:w="108" w:type="dxa"/>
                  <w:bottom w:w="0" w:type="dxa"/>
                  <w:right w:w="108" w:type="dxa"/>
                </w:tblCellMar>
              </w:tblPrEx>
              <w:trPr>
                <w:trHeight w:val="297" w:hRule="atLeast"/>
                <w:jc w:val="center"/>
              </w:trPr>
              <w:tc>
                <w:tcPr>
                  <w:tcW w:w="1682" w:type="dxa"/>
                  <w:vMerge w:val="restart"/>
                  <w:tcBorders>
                    <w:top w:val="single" w:color="000000" w:sz="4" w:space="0"/>
                    <w:left w:val="single" w:color="000000" w:sz="4" w:space="0"/>
                    <w:bottom w:val="single" w:color="000000" w:sz="4" w:space="0"/>
                    <w:right w:val="single" w:color="000000" w:sz="4" w:space="0"/>
                  </w:tcBorders>
                  <w:noWrap/>
                  <w:vAlign w:val="center"/>
                </w:tcPr>
                <w:p w14:paraId="1FF6268D">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项目六 减速器总成装配与调试</w:t>
                  </w:r>
                </w:p>
              </w:tc>
              <w:tc>
                <w:tcPr>
                  <w:tcW w:w="3303" w:type="dxa"/>
                  <w:tcBorders>
                    <w:top w:val="single" w:color="000000" w:sz="4" w:space="0"/>
                    <w:left w:val="single" w:color="000000" w:sz="4" w:space="0"/>
                    <w:bottom w:val="nil"/>
                    <w:right w:val="single" w:color="000000" w:sz="4" w:space="0"/>
                  </w:tcBorders>
                  <w:noWrap/>
                  <w:vAlign w:val="center"/>
                </w:tcPr>
                <w:p w14:paraId="33A412A3">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任务1 减速器总成基本组成与原理</w:t>
                  </w:r>
                </w:p>
              </w:tc>
            </w:tr>
            <w:tr w14:paraId="5A160F24">
              <w:tblPrEx>
                <w:tblCellMar>
                  <w:top w:w="0" w:type="dxa"/>
                  <w:left w:w="108" w:type="dxa"/>
                  <w:bottom w:w="0" w:type="dxa"/>
                  <w:right w:w="108" w:type="dxa"/>
                </w:tblCellMar>
              </w:tblPrEx>
              <w:trPr>
                <w:trHeight w:val="297" w:hRule="atLeast"/>
                <w:jc w:val="center"/>
              </w:trPr>
              <w:tc>
                <w:tcPr>
                  <w:tcW w:w="1682" w:type="dxa"/>
                  <w:vMerge w:val="continue"/>
                  <w:tcBorders>
                    <w:top w:val="single" w:color="000000" w:sz="4" w:space="0"/>
                    <w:left w:val="single" w:color="000000" w:sz="4" w:space="0"/>
                    <w:bottom w:val="single" w:color="000000" w:sz="4" w:space="0"/>
                    <w:right w:val="single" w:color="000000" w:sz="4" w:space="0"/>
                  </w:tcBorders>
                  <w:noWrap/>
                  <w:vAlign w:val="center"/>
                </w:tcPr>
                <w:p w14:paraId="202179EE">
                  <w:pPr>
                    <w:keepNext w:val="0"/>
                    <w:keepLines w:val="0"/>
                    <w:widowControl/>
                    <w:suppressLineNumbers w:val="0"/>
                    <w:adjustRightInd w:val="0"/>
                    <w:snapToGrid w:val="0"/>
                    <w:spacing w:before="0" w:beforeAutospacing="0" w:after="0" w:afterAutospacing="0" w:line="300" w:lineRule="auto"/>
                    <w:ind w:left="0" w:right="0"/>
                    <w:jc w:val="left"/>
                    <w:rPr>
                      <w:rFonts w:hint="eastAsia" w:ascii="仿宋" w:hAnsi="仿宋" w:eastAsia="仿宋" w:cs="仿宋"/>
                      <w:color w:val="000000"/>
                      <w:sz w:val="24"/>
                      <w:szCs w:val="24"/>
                    </w:rPr>
                  </w:pPr>
                </w:p>
              </w:tc>
              <w:tc>
                <w:tcPr>
                  <w:tcW w:w="3303" w:type="dxa"/>
                  <w:tcBorders>
                    <w:top w:val="single" w:color="000000" w:sz="4" w:space="0"/>
                    <w:left w:val="single" w:color="000000" w:sz="4" w:space="0"/>
                    <w:bottom w:val="single" w:color="000000" w:sz="4" w:space="0"/>
                    <w:right w:val="single" w:color="000000" w:sz="4" w:space="0"/>
                  </w:tcBorders>
                  <w:noWrap/>
                  <w:vAlign w:val="center"/>
                </w:tcPr>
                <w:p w14:paraId="3CBC45A9">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任务2 减速器总成拆装与检测</w:t>
                  </w:r>
                </w:p>
              </w:tc>
            </w:tr>
            <w:tr w14:paraId="6DF76099">
              <w:tblPrEx>
                <w:tblCellMar>
                  <w:top w:w="0" w:type="dxa"/>
                  <w:left w:w="108" w:type="dxa"/>
                  <w:bottom w:w="0" w:type="dxa"/>
                  <w:right w:w="108" w:type="dxa"/>
                </w:tblCellMar>
              </w:tblPrEx>
              <w:trPr>
                <w:trHeight w:val="297" w:hRule="atLeast"/>
                <w:jc w:val="center"/>
              </w:trPr>
              <w:tc>
                <w:tcPr>
                  <w:tcW w:w="1682" w:type="dxa"/>
                  <w:vMerge w:val="restart"/>
                  <w:tcBorders>
                    <w:top w:val="single" w:color="000000" w:sz="4" w:space="0"/>
                    <w:left w:val="single" w:color="000000" w:sz="4" w:space="0"/>
                    <w:bottom w:val="single" w:color="000000" w:sz="4" w:space="0"/>
                    <w:right w:val="single" w:color="000000" w:sz="4" w:space="0"/>
                  </w:tcBorders>
                  <w:noWrap/>
                  <w:vAlign w:val="center"/>
                </w:tcPr>
                <w:p w14:paraId="7C7FE747">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项目七 驱动电机及控制系统整车装调</w:t>
                  </w:r>
                </w:p>
              </w:tc>
              <w:tc>
                <w:tcPr>
                  <w:tcW w:w="3303" w:type="dxa"/>
                  <w:tcBorders>
                    <w:top w:val="single" w:color="000000" w:sz="4" w:space="0"/>
                    <w:left w:val="single" w:color="000000" w:sz="4" w:space="0"/>
                    <w:bottom w:val="single" w:color="000000" w:sz="4" w:space="0"/>
                    <w:right w:val="single" w:color="000000" w:sz="4" w:space="0"/>
                  </w:tcBorders>
                  <w:noWrap/>
                  <w:vAlign w:val="center"/>
                </w:tcPr>
                <w:p w14:paraId="56881C94">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任务1 驱动电机及减速器总成整车装调</w:t>
                  </w:r>
                </w:p>
              </w:tc>
            </w:tr>
            <w:tr w14:paraId="57A96F18">
              <w:tblPrEx>
                <w:tblCellMar>
                  <w:top w:w="0" w:type="dxa"/>
                  <w:left w:w="108" w:type="dxa"/>
                  <w:bottom w:w="0" w:type="dxa"/>
                  <w:right w:w="108" w:type="dxa"/>
                </w:tblCellMar>
              </w:tblPrEx>
              <w:trPr>
                <w:trHeight w:val="297" w:hRule="atLeast"/>
                <w:jc w:val="center"/>
              </w:trPr>
              <w:tc>
                <w:tcPr>
                  <w:tcW w:w="1682" w:type="dxa"/>
                  <w:vMerge w:val="continue"/>
                  <w:tcBorders>
                    <w:top w:val="single" w:color="000000" w:sz="4" w:space="0"/>
                    <w:left w:val="single" w:color="000000" w:sz="4" w:space="0"/>
                    <w:bottom w:val="single" w:color="000000" w:sz="4" w:space="0"/>
                    <w:right w:val="single" w:color="000000" w:sz="4" w:space="0"/>
                  </w:tcBorders>
                  <w:noWrap/>
                  <w:vAlign w:val="center"/>
                </w:tcPr>
                <w:p w14:paraId="03FAA49C">
                  <w:pPr>
                    <w:keepNext w:val="0"/>
                    <w:keepLines w:val="0"/>
                    <w:widowControl/>
                    <w:suppressLineNumbers w:val="0"/>
                    <w:adjustRightInd w:val="0"/>
                    <w:snapToGrid w:val="0"/>
                    <w:spacing w:before="0" w:beforeAutospacing="0" w:after="0" w:afterAutospacing="0" w:line="300" w:lineRule="auto"/>
                    <w:ind w:left="0" w:right="0"/>
                    <w:jc w:val="left"/>
                    <w:rPr>
                      <w:rFonts w:hint="eastAsia" w:ascii="仿宋" w:hAnsi="仿宋" w:eastAsia="仿宋" w:cs="仿宋"/>
                      <w:color w:val="000000"/>
                      <w:sz w:val="24"/>
                      <w:szCs w:val="24"/>
                    </w:rPr>
                  </w:pPr>
                </w:p>
              </w:tc>
              <w:tc>
                <w:tcPr>
                  <w:tcW w:w="3303" w:type="dxa"/>
                  <w:tcBorders>
                    <w:top w:val="single" w:color="000000" w:sz="4" w:space="0"/>
                    <w:left w:val="single" w:color="000000" w:sz="4" w:space="0"/>
                    <w:bottom w:val="single" w:color="000000" w:sz="4" w:space="0"/>
                    <w:right w:val="single" w:color="000000" w:sz="4" w:space="0"/>
                  </w:tcBorders>
                  <w:noWrap/>
                  <w:vAlign w:val="center"/>
                </w:tcPr>
                <w:p w14:paraId="0411A9FD">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任务2 电机控制器总成整车装调</w:t>
                  </w:r>
                </w:p>
              </w:tc>
            </w:tr>
            <w:tr w14:paraId="270F4EDD">
              <w:tblPrEx>
                <w:tblCellMar>
                  <w:top w:w="0" w:type="dxa"/>
                  <w:left w:w="108" w:type="dxa"/>
                  <w:bottom w:w="0" w:type="dxa"/>
                  <w:right w:w="108" w:type="dxa"/>
                </w:tblCellMar>
              </w:tblPrEx>
              <w:trPr>
                <w:trHeight w:val="297" w:hRule="atLeast"/>
                <w:jc w:val="center"/>
              </w:trPr>
              <w:tc>
                <w:tcPr>
                  <w:tcW w:w="1682" w:type="dxa"/>
                  <w:vMerge w:val="continue"/>
                  <w:tcBorders>
                    <w:top w:val="single" w:color="000000" w:sz="4" w:space="0"/>
                    <w:left w:val="single" w:color="000000" w:sz="4" w:space="0"/>
                    <w:bottom w:val="single" w:color="000000" w:sz="4" w:space="0"/>
                    <w:right w:val="single" w:color="000000" w:sz="4" w:space="0"/>
                  </w:tcBorders>
                  <w:noWrap/>
                  <w:vAlign w:val="center"/>
                </w:tcPr>
                <w:p w14:paraId="7A85E8B0">
                  <w:pPr>
                    <w:keepNext w:val="0"/>
                    <w:keepLines w:val="0"/>
                    <w:widowControl/>
                    <w:suppressLineNumbers w:val="0"/>
                    <w:adjustRightInd w:val="0"/>
                    <w:snapToGrid w:val="0"/>
                    <w:spacing w:before="0" w:beforeAutospacing="0" w:after="0" w:afterAutospacing="0" w:line="300" w:lineRule="auto"/>
                    <w:ind w:left="0" w:right="0"/>
                    <w:jc w:val="left"/>
                    <w:rPr>
                      <w:rFonts w:hint="eastAsia" w:ascii="仿宋" w:hAnsi="仿宋" w:eastAsia="仿宋" w:cs="仿宋"/>
                      <w:color w:val="000000"/>
                      <w:sz w:val="24"/>
                      <w:szCs w:val="24"/>
                    </w:rPr>
                  </w:pPr>
                </w:p>
              </w:tc>
              <w:tc>
                <w:tcPr>
                  <w:tcW w:w="3303" w:type="dxa"/>
                  <w:tcBorders>
                    <w:top w:val="single" w:color="000000" w:sz="4" w:space="0"/>
                    <w:left w:val="single" w:color="000000" w:sz="4" w:space="0"/>
                    <w:bottom w:val="single" w:color="000000" w:sz="4" w:space="0"/>
                    <w:right w:val="single" w:color="000000" w:sz="4" w:space="0"/>
                  </w:tcBorders>
                  <w:noWrap/>
                  <w:vAlign w:val="center"/>
                </w:tcPr>
                <w:p w14:paraId="0C871786">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任务3 混合动力汽车动力耦合装置装调</w:t>
                  </w:r>
                </w:p>
              </w:tc>
            </w:tr>
            <w:tr w14:paraId="681ABDD6">
              <w:tblPrEx>
                <w:tblCellMar>
                  <w:top w:w="0" w:type="dxa"/>
                  <w:left w:w="108" w:type="dxa"/>
                  <w:bottom w:w="0" w:type="dxa"/>
                  <w:right w:w="108" w:type="dxa"/>
                </w:tblCellMar>
              </w:tblPrEx>
              <w:trPr>
                <w:trHeight w:val="297" w:hRule="atLeast"/>
                <w:jc w:val="center"/>
              </w:trPr>
              <w:tc>
                <w:tcPr>
                  <w:tcW w:w="1682" w:type="dxa"/>
                  <w:vMerge w:val="restart"/>
                  <w:tcBorders>
                    <w:top w:val="single" w:color="000000" w:sz="4" w:space="0"/>
                    <w:left w:val="single" w:color="000000" w:sz="4" w:space="0"/>
                    <w:bottom w:val="single" w:color="000000" w:sz="4" w:space="0"/>
                    <w:right w:val="single" w:color="000000" w:sz="4" w:space="0"/>
                  </w:tcBorders>
                  <w:noWrap/>
                  <w:vAlign w:val="center"/>
                </w:tcPr>
                <w:p w14:paraId="32E87975">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项目八 驱动电机及控制系统返修</w:t>
                  </w:r>
                </w:p>
              </w:tc>
              <w:tc>
                <w:tcPr>
                  <w:tcW w:w="3303" w:type="dxa"/>
                  <w:tcBorders>
                    <w:top w:val="single" w:color="000000" w:sz="4" w:space="0"/>
                    <w:left w:val="single" w:color="000000" w:sz="4" w:space="0"/>
                    <w:bottom w:val="single" w:color="000000" w:sz="4" w:space="0"/>
                    <w:right w:val="single" w:color="000000" w:sz="4" w:space="0"/>
                  </w:tcBorders>
                  <w:noWrap/>
                  <w:vAlign w:val="center"/>
                </w:tcPr>
                <w:p w14:paraId="160C1E79">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任务1 驱动电机常见故障诊断</w:t>
                  </w:r>
                </w:p>
              </w:tc>
            </w:tr>
            <w:tr w14:paraId="0375A2ED">
              <w:tblPrEx>
                <w:tblCellMar>
                  <w:top w:w="0" w:type="dxa"/>
                  <w:left w:w="108" w:type="dxa"/>
                  <w:bottom w:w="0" w:type="dxa"/>
                  <w:right w:w="108" w:type="dxa"/>
                </w:tblCellMar>
              </w:tblPrEx>
              <w:trPr>
                <w:trHeight w:val="297" w:hRule="atLeast"/>
                <w:jc w:val="center"/>
              </w:trPr>
              <w:tc>
                <w:tcPr>
                  <w:tcW w:w="1682" w:type="dxa"/>
                  <w:vMerge w:val="continue"/>
                  <w:tcBorders>
                    <w:top w:val="single" w:color="000000" w:sz="4" w:space="0"/>
                    <w:left w:val="single" w:color="000000" w:sz="4" w:space="0"/>
                    <w:bottom w:val="single" w:color="000000" w:sz="4" w:space="0"/>
                    <w:right w:val="single" w:color="000000" w:sz="4" w:space="0"/>
                  </w:tcBorders>
                  <w:noWrap/>
                  <w:vAlign w:val="center"/>
                </w:tcPr>
                <w:p w14:paraId="31866241">
                  <w:pPr>
                    <w:keepNext w:val="0"/>
                    <w:keepLines w:val="0"/>
                    <w:widowControl/>
                    <w:suppressLineNumbers w:val="0"/>
                    <w:adjustRightInd w:val="0"/>
                    <w:snapToGrid w:val="0"/>
                    <w:spacing w:before="0" w:beforeAutospacing="0" w:after="0" w:afterAutospacing="0" w:line="300" w:lineRule="auto"/>
                    <w:ind w:left="0" w:right="0"/>
                    <w:jc w:val="left"/>
                    <w:rPr>
                      <w:rFonts w:hint="eastAsia" w:ascii="仿宋" w:hAnsi="仿宋" w:eastAsia="仿宋" w:cs="仿宋"/>
                      <w:color w:val="000000"/>
                      <w:sz w:val="24"/>
                      <w:szCs w:val="24"/>
                    </w:rPr>
                  </w:pPr>
                </w:p>
              </w:tc>
              <w:tc>
                <w:tcPr>
                  <w:tcW w:w="3303" w:type="dxa"/>
                  <w:tcBorders>
                    <w:top w:val="single" w:color="000000" w:sz="4" w:space="0"/>
                    <w:left w:val="single" w:color="000000" w:sz="4" w:space="0"/>
                    <w:bottom w:val="single" w:color="000000" w:sz="4" w:space="0"/>
                    <w:right w:val="single" w:color="000000" w:sz="4" w:space="0"/>
                  </w:tcBorders>
                  <w:noWrap/>
                  <w:vAlign w:val="center"/>
                </w:tcPr>
                <w:p w14:paraId="38D36038">
                  <w:pPr>
                    <w:keepNext w:val="0"/>
                    <w:keepLines w:val="0"/>
                    <w:widowControl/>
                    <w:suppressLineNumbers w:val="0"/>
                    <w:adjustRightInd w:val="0"/>
                    <w:snapToGrid w:val="0"/>
                    <w:spacing w:before="0" w:beforeAutospacing="0" w:after="0" w:afterAutospacing="0" w:line="300" w:lineRule="auto"/>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任务2 电机控制器常见故障诊断</w:t>
                  </w:r>
                </w:p>
              </w:tc>
            </w:tr>
          </w:tbl>
          <w:p w14:paraId="6C02D3D1">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2、PPT教学课件</w:t>
            </w:r>
          </w:p>
          <w:p w14:paraId="0BE2EE04">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（1）以任务为单元开发配套的教学课件，课件应</w:t>
            </w:r>
            <w:r>
              <w:rPr>
                <w:rFonts w:hint="eastAsia" w:ascii="仿宋" w:hAnsi="仿宋" w:eastAsia="仿宋" w:cs="仿宋"/>
                <w:sz w:val="24"/>
                <w:szCs w:val="24"/>
                <w:lang w:eastAsia="zh-CN"/>
              </w:rPr>
              <w:t>图文并茂</w:t>
            </w:r>
            <w:r>
              <w:rPr>
                <w:rFonts w:hint="eastAsia" w:ascii="仿宋" w:hAnsi="仿宋" w:eastAsia="仿宋" w:cs="仿宋"/>
                <w:sz w:val="24"/>
                <w:szCs w:val="24"/>
              </w:rPr>
              <w:t>方便教师对知识点和技能点的深入讲解。尽可能使用统一开发软件，统一版本型号。</w:t>
            </w:r>
          </w:p>
          <w:p w14:paraId="7F879BF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（2）内容长度：每个不低于20页。</w:t>
            </w:r>
          </w:p>
          <w:p w14:paraId="010C4378">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（3）供应商提供的课件，</w:t>
            </w:r>
            <w:r>
              <w:rPr>
                <w:rFonts w:hint="eastAsia" w:ascii="仿宋" w:hAnsi="仿宋" w:eastAsia="仿宋" w:cs="仿宋"/>
                <w:sz w:val="24"/>
                <w:szCs w:val="24"/>
                <w:lang w:val="en-US" w:eastAsia="zh-CN"/>
              </w:rPr>
              <w:t>需</w:t>
            </w:r>
            <w:r>
              <w:rPr>
                <w:rFonts w:hint="eastAsia" w:ascii="仿宋" w:hAnsi="仿宋" w:eastAsia="仿宋" w:cs="仿宋"/>
                <w:sz w:val="24"/>
                <w:szCs w:val="24"/>
              </w:rPr>
              <w:t>设计统一的VI风格，并进行排版美化。</w:t>
            </w:r>
          </w:p>
          <w:p w14:paraId="1DF4C9C9">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（4）选用字体时尽量避免文字残损，字体大小根据文字多少进行调节。</w:t>
            </w:r>
          </w:p>
          <w:p w14:paraId="5D4C65DB">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（5）文字要醒目，避免使用与背景色相近的颜色。</w:t>
            </w:r>
          </w:p>
          <w:p w14:paraId="61A4D949">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（6）画面简洁清晰，动画效果简洁，避免过于复杂的动画效果、页面切换效果。</w:t>
            </w:r>
          </w:p>
          <w:p w14:paraId="08824F7F">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（7）课件整体要色调和谐，各元素搭配构图得当，背景和文字颜色有反差，文字修饰适度，字体、字号有层次。</w:t>
            </w:r>
          </w:p>
          <w:p w14:paraId="78443BE0">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（8）课件要明确教学目标、要突出重点难点、要有灵活新颖的教学形式、教学对象要有针对性，根据教学需要使用新颖的、多元化的表现形式，如动态图、视频、音频等。</w:t>
            </w:r>
          </w:p>
          <w:p w14:paraId="7C1FD264">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lang w:eastAsia="zh-CN"/>
              </w:rPr>
            </w:pPr>
            <w:r>
              <w:rPr>
                <w:rFonts w:hint="eastAsia" w:ascii="仿宋" w:hAnsi="仿宋" w:eastAsia="仿宋" w:cs="仿宋"/>
                <w:sz w:val="24"/>
                <w:szCs w:val="24"/>
              </w:rPr>
              <w:t>（9）课件内容生动，以图为主能吸引学生，调动学习兴趣</w:t>
            </w:r>
            <w:r>
              <w:rPr>
                <w:rFonts w:hint="eastAsia" w:ascii="仿宋" w:hAnsi="仿宋" w:eastAsia="仿宋" w:cs="仿宋"/>
                <w:sz w:val="24"/>
                <w:szCs w:val="24"/>
                <w:lang w:eastAsia="zh-CN"/>
              </w:rPr>
              <w:t>。</w:t>
            </w:r>
          </w:p>
          <w:p w14:paraId="796E0769">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（10）课件需保持前后风格一致，课件排版设计美观。</w:t>
            </w:r>
          </w:p>
          <w:p w14:paraId="69BFD2BA">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（11）文件格式：*.ppt或*.pptx。</w:t>
            </w:r>
          </w:p>
          <w:p w14:paraId="4250C94F">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3、教学视频（理论/技能）</w:t>
            </w:r>
          </w:p>
          <w:p w14:paraId="003A5D48">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针对一个独立的知识点形成完整教学视频资源，目的是能满足线上及线上线下混合教学要求，指导教师规范授课，便于学生自主学习；教学视频可以采用真人出镜讲解+PPT、动画微课、PPT+实操视频、技能视频等呈现方式进行制作；每个视频时长5-15分钟，总时长不少于480分钟。</w:t>
            </w:r>
          </w:p>
          <w:p w14:paraId="062BE22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（2）根据教师提供的专业教学内容脚本，</w:t>
            </w:r>
            <w:r>
              <w:rPr>
                <w:rFonts w:hint="eastAsia" w:ascii="仿宋" w:hAnsi="仿宋" w:eastAsia="仿宋" w:cs="仿宋"/>
                <w:sz w:val="24"/>
                <w:szCs w:val="24"/>
                <w:lang w:val="en-US" w:eastAsia="zh-CN"/>
              </w:rPr>
              <w:t>服务商</w:t>
            </w:r>
            <w:r>
              <w:rPr>
                <w:rFonts w:hint="eastAsia" w:ascii="仿宋" w:hAnsi="仿宋" w:eastAsia="仿宋" w:cs="仿宋"/>
                <w:sz w:val="24"/>
                <w:szCs w:val="24"/>
              </w:rPr>
              <w:t>提供脚本优化、拍摄、后期剪辑、包装等服务工作。</w:t>
            </w:r>
          </w:p>
          <w:p w14:paraId="350F908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（3）拍摄场地要求：能够提供就近拍摄场地，方便教师课程拍摄。拍摄方式要根据课程内容，采用1-2个机位拍摄，质量达到精品在线开放课程要求；</w:t>
            </w:r>
          </w:p>
          <w:p w14:paraId="0EE5500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（4）拍摄人员要求：拍摄及后期剪辑相关技术人员应具有相关项目多年从业经验；</w:t>
            </w:r>
          </w:p>
          <w:p w14:paraId="153043FA">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（5）拍摄准备要求</w:t>
            </w:r>
          </w:p>
          <w:p w14:paraId="1733B2AC">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a.视频技术主管根据教师课程设计帮助老师选择设定最合适的拍摄方案，并制定完善的拍摄计划。</w:t>
            </w:r>
          </w:p>
          <w:p w14:paraId="6E6C931F">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b.安排专人协助教师搜集各类课程资料和辅助资源，包括图片、视频、文档等。</w:t>
            </w:r>
          </w:p>
          <w:p w14:paraId="5F145FD0">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c.为教师提供形态仪表着装的建议和培训。</w:t>
            </w:r>
          </w:p>
          <w:p w14:paraId="5C654315">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 xml:space="preserve">（6）拍摄设备配备：配备一到二台专业级高清摄像机拍摄，高清分辨率1920*1080模式，采用专业一拖一或一拖二收音麦进行声音录制。 </w:t>
            </w:r>
          </w:p>
          <w:p w14:paraId="01AE3FD9">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（7）视频相关指标：</w:t>
            </w:r>
          </w:p>
          <w:p w14:paraId="3C71F044">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 xml:space="preserve">a.全片图像同步性能稳定，不出现空画面。画面无明显抖动跳跃、摇晃、倾斜、虚焦、噪点、色彩突变等现象，编辑点处图像稳定。 </w:t>
            </w:r>
          </w:p>
          <w:p w14:paraId="7999F569">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 xml:space="preserve">b.视频色调白平衡正确，无明显偏色，多机拍摄的镜头衔接处无明显色差。曝光适当，灯光运用合理，无阴影，无布光不均现象。 </w:t>
            </w:r>
          </w:p>
          <w:p w14:paraId="55763632">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c.视频图像信噪比不低于55dB，无明显杂波。</w:t>
            </w:r>
          </w:p>
          <w:p w14:paraId="38F92C50">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d.视频压缩采用H.264/AVC(MPEG-4Part10）编码，MP4格式，最低码率不得低于1024Kbps。</w:t>
            </w:r>
          </w:p>
          <w:p w14:paraId="63367CE6">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e.视频拍摄前期采用高清16:9，拍摄分辨率设定为1920*1080，在同一课程中，各讲的视频分辨率和画幅的宽高比应统一，不得混用。</w:t>
            </w:r>
          </w:p>
          <w:p w14:paraId="1F146E38">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f.视频画幅宽高比：视频画幅宽高比为16:9，分辨率设定不低于1280×720。</w:t>
            </w:r>
          </w:p>
          <w:p w14:paraId="1D8A64B1">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g.视频帧率不低于25帧/秒，扫描方式采用逐行扫描。</w:t>
            </w:r>
          </w:p>
          <w:p w14:paraId="0F354DFC">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h录像环境光线充足、安静，教师衣着得体，讲话清晰，板书清楚。</w:t>
            </w:r>
          </w:p>
          <w:p w14:paraId="54C8FF9B">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（8）音频相关指标</w:t>
            </w:r>
          </w:p>
          <w:p w14:paraId="2DDECBEC">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a.音频压缩采H.264/AAC(MPEG4Part3）格式编码，采样率不低于48KHz，音频码流率不低于128Kbps，音频信噪比不低于48db。双声道立体声。</w:t>
            </w:r>
          </w:p>
          <w:p w14:paraId="02E721FF">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b.声音和画面要求同步，无交流声或其他杂音等缺陷。</w:t>
            </w:r>
          </w:p>
          <w:p w14:paraId="4029977A">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c.伴音清晰、饱满、圆润，无失真、噪声杂音干扰、音量忽大忽小现象。解说声与现场声无明显比例失调，解说声与背景音乐无明显比例失调。</w:t>
            </w:r>
          </w:p>
          <w:p w14:paraId="144A1331">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 xml:space="preserve">（9）片头片尾字幕相关指标 </w:t>
            </w:r>
          </w:p>
          <w:p w14:paraId="4D08D400">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a.片头不超过10秒，应包括：学校LOGO、课程名称、讲次、主讲教师姓名、单位等信息。</w:t>
            </w:r>
          </w:p>
          <w:p w14:paraId="3E81F250">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b.根据要求在视频画面中添加LOGO角标，角标模板由采购人单位职能部门提供。</w:t>
            </w:r>
          </w:p>
          <w:p w14:paraId="1CBE0881">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c.内嵌字幕相关指标：要使用符合国家标准的规范字。</w:t>
            </w:r>
          </w:p>
          <w:p w14:paraId="2B9F2902">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（10）文件格式：*.mp4。</w:t>
            </w:r>
          </w:p>
          <w:p w14:paraId="03FD74A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（11）为考查供应商的技术实力，供应商需展示课程相关教学视频资源，供应商可参考下面内容准备:</w:t>
            </w:r>
          </w:p>
          <w:p w14:paraId="720733D1">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①认识交流异步电机：讲解交流异步电机的起源、交流异步电机的分类、交流异步电机的结构、交流异步电机的工作原理及交流异步电机的应用等教学内容。</w:t>
            </w:r>
            <w:r>
              <w:rPr>
                <w:rFonts w:hint="eastAsia" w:ascii="仿宋" w:hAnsi="仿宋" w:eastAsia="仿宋" w:cs="仿宋"/>
                <w:b/>
                <w:bCs/>
                <w:sz w:val="24"/>
                <w:szCs w:val="24"/>
              </w:rPr>
              <w:t>（投标文件中提供资源截图）</w:t>
            </w:r>
          </w:p>
          <w:p w14:paraId="5FCD630D">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②认识永磁同步电机：介绍永磁同步电机的组成、工作过程和特点等教学内容。</w:t>
            </w:r>
            <w:r>
              <w:rPr>
                <w:rFonts w:hint="eastAsia" w:ascii="仿宋" w:hAnsi="仿宋" w:eastAsia="仿宋" w:cs="仿宋"/>
                <w:b/>
                <w:bCs/>
                <w:sz w:val="24"/>
                <w:szCs w:val="24"/>
              </w:rPr>
              <w:t>（投标文件中提供资源截图）</w:t>
            </w:r>
          </w:p>
          <w:p w14:paraId="1D09D1E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③减速器总成分解：讲解减速器总成的分解过程，包括：差速器半轴、输入轴拆卸、减速器前后箱体分离、减速器齿轮传动机构拆卸等教学内容。</w:t>
            </w:r>
            <w:r>
              <w:rPr>
                <w:rFonts w:hint="eastAsia" w:ascii="仿宋" w:hAnsi="仿宋" w:eastAsia="仿宋" w:cs="仿宋"/>
                <w:b/>
                <w:bCs/>
                <w:sz w:val="24"/>
                <w:szCs w:val="24"/>
              </w:rPr>
              <w:t>（投标文件中提供资源截图）</w:t>
            </w:r>
          </w:p>
          <w:p w14:paraId="199ECCD5">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④驱动电机控制器及相关电路故障诊断：讲解故障现象确认、故障范围判定、故障分析、故障诊断、故障排除、故障复检等教学内容。</w:t>
            </w:r>
            <w:r>
              <w:rPr>
                <w:rFonts w:hint="eastAsia" w:ascii="仿宋" w:hAnsi="仿宋" w:eastAsia="仿宋" w:cs="仿宋"/>
                <w:b/>
                <w:bCs/>
                <w:sz w:val="24"/>
                <w:szCs w:val="24"/>
              </w:rPr>
              <w:t>（投标文件中提供资源截图）</w:t>
            </w:r>
          </w:p>
          <w:p w14:paraId="0E026AD0">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4、二维动画</w:t>
            </w:r>
          </w:p>
          <w:p w14:paraId="115F8C07">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（1）采用图、文、影、音等多媒体形式对零件的功用、类型、结构、原理等知识进行展示、深入解析，帮助学生对抽象、难懂的知识点理解、记忆。</w:t>
            </w:r>
          </w:p>
          <w:p w14:paraId="354F34E5">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 xml:space="preserve">（2）输出尺寸：1280×720及以上。 </w:t>
            </w:r>
          </w:p>
          <w:p w14:paraId="044419B7">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（3）时间长度：每个</w:t>
            </w:r>
            <w:r>
              <w:rPr>
                <w:rFonts w:hint="eastAsia" w:ascii="仿宋" w:hAnsi="仿宋" w:eastAsia="仿宋" w:cs="仿宋"/>
                <w:sz w:val="24"/>
                <w:szCs w:val="24"/>
                <w:lang w:val="en-US" w:eastAsia="zh-CN"/>
              </w:rPr>
              <w:t>60</w:t>
            </w:r>
            <w:r>
              <w:rPr>
                <w:rFonts w:hint="eastAsia" w:ascii="仿宋" w:hAnsi="仿宋" w:eastAsia="仿宋" w:cs="仿宋"/>
                <w:sz w:val="24"/>
                <w:szCs w:val="24"/>
              </w:rPr>
              <w:t>～</w:t>
            </w:r>
            <w:r>
              <w:rPr>
                <w:rFonts w:hint="eastAsia" w:ascii="仿宋" w:hAnsi="仿宋" w:eastAsia="仿宋" w:cs="仿宋"/>
                <w:sz w:val="24"/>
                <w:szCs w:val="24"/>
                <w:lang w:val="en-US" w:eastAsia="zh-CN"/>
              </w:rPr>
              <w:t>12</w:t>
            </w:r>
            <w:r>
              <w:rPr>
                <w:rFonts w:hint="eastAsia" w:ascii="仿宋" w:hAnsi="仿宋" w:eastAsia="仿宋" w:cs="仿宋"/>
                <w:sz w:val="24"/>
                <w:szCs w:val="24"/>
              </w:rPr>
              <w:t>0秒。</w:t>
            </w:r>
          </w:p>
          <w:p w14:paraId="4DE0B3E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（4）选用字体时尽量避免文字残损，字体大小根据文字多少进行调节。</w:t>
            </w:r>
          </w:p>
          <w:p w14:paraId="5D3DB4DF">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（5）文字要醒目，避免使用与背景色相近的颜色。</w:t>
            </w:r>
          </w:p>
          <w:p w14:paraId="30A560EB">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（6）根据动画的内容和使用对象的特点来确定整体色彩和色调。</w:t>
            </w:r>
          </w:p>
          <w:p w14:paraId="1DF9DCE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（7）画面简洁清晰。</w:t>
            </w:r>
          </w:p>
          <w:p w14:paraId="1C19920A">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（8）如果需要交互，尽量根据内容的实际需求，设计较强的交互功能，促进访问者参与互动，但交互要合理设计。</w:t>
            </w:r>
          </w:p>
          <w:p w14:paraId="3E15D749">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（9）动画演播过程要求流畅，尽量减少Shape形变的使用。</w:t>
            </w:r>
          </w:p>
          <w:p w14:paraId="55DB2A2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（10）动画连续，节奏合适，提供进度控制条。</w:t>
            </w:r>
          </w:p>
          <w:p w14:paraId="17CBC5C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（11）在动画中不同位置使用的导航按钮风格一致或使用相同的按钮。</w:t>
            </w:r>
          </w:p>
          <w:p w14:paraId="234FEC7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（12）帧速度：25～30帧/秒。</w:t>
            </w:r>
          </w:p>
          <w:p w14:paraId="6462B5F9">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（13）文件格式：*.swf或*.html或*.mp4。</w:t>
            </w:r>
          </w:p>
          <w:p w14:paraId="5ADE9D4B">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5、课程思政视频</w:t>
            </w:r>
          </w:p>
          <w:p w14:paraId="6DEAD9C6">
            <w:pPr>
              <w:keepNext w:val="0"/>
              <w:keepLines w:val="0"/>
              <w:suppressLineNumbers w:val="0"/>
              <w:adjustRightInd w:val="0"/>
              <w:snapToGrid w:val="0"/>
              <w:spacing w:before="0" w:beforeAutospacing="0" w:after="0" w:afterAutospacing="0" w:line="300" w:lineRule="auto"/>
              <w:ind w:left="0" w:right="0"/>
              <w:jc w:val="left"/>
              <w:rPr>
                <w:rFonts w:hint="eastAsia" w:ascii="仿宋" w:hAnsi="仿宋" w:eastAsia="仿宋" w:cs="仿宋"/>
                <w:sz w:val="24"/>
                <w:szCs w:val="24"/>
                <w:lang w:eastAsia="zh-CN"/>
              </w:rPr>
            </w:pPr>
            <w:r>
              <w:rPr>
                <w:rFonts w:hint="eastAsia" w:ascii="仿宋" w:hAnsi="仿宋" w:eastAsia="仿宋" w:cs="仿宋"/>
                <w:sz w:val="24"/>
                <w:szCs w:val="24"/>
              </w:rPr>
              <w:t>（1）从大国工匠、劳动教育、工匠精神、职业规范、安全意识等方面精选思政切入点，结合专业课程内容开发课程思政视频</w:t>
            </w:r>
            <w:r>
              <w:rPr>
                <w:rFonts w:hint="eastAsia" w:ascii="仿宋" w:hAnsi="仿宋" w:eastAsia="仿宋" w:cs="仿宋"/>
                <w:sz w:val="24"/>
                <w:szCs w:val="24"/>
                <w:lang w:eastAsia="zh-CN"/>
              </w:rPr>
              <w:t>；</w:t>
            </w:r>
          </w:p>
          <w:p w14:paraId="629BFC82">
            <w:pPr>
              <w:keepNext w:val="0"/>
              <w:keepLines w:val="0"/>
              <w:suppressLineNumbers w:val="0"/>
              <w:adjustRightInd w:val="0"/>
              <w:snapToGrid w:val="0"/>
              <w:spacing w:before="0" w:beforeAutospacing="0" w:after="0" w:afterAutospacing="0" w:line="300" w:lineRule="auto"/>
              <w:ind w:left="0" w:right="0"/>
              <w:jc w:val="left"/>
              <w:rPr>
                <w:rFonts w:hint="eastAsia" w:ascii="仿宋" w:hAnsi="仿宋" w:eastAsia="仿宋" w:cs="仿宋"/>
                <w:sz w:val="24"/>
                <w:szCs w:val="24"/>
              </w:rPr>
            </w:pPr>
            <w:r>
              <w:rPr>
                <w:rFonts w:hint="eastAsia" w:ascii="仿宋" w:hAnsi="仿宋" w:eastAsia="仿宋" w:cs="仿宋"/>
                <w:sz w:val="24"/>
                <w:szCs w:val="24"/>
              </w:rPr>
              <w:t>（2）根据教师提供的专业教学内容脚本，</w:t>
            </w:r>
            <w:r>
              <w:rPr>
                <w:rFonts w:hint="eastAsia" w:ascii="仿宋" w:hAnsi="仿宋" w:eastAsia="仿宋" w:cs="仿宋"/>
                <w:sz w:val="24"/>
                <w:szCs w:val="24"/>
                <w:lang w:eastAsia="zh-CN"/>
              </w:rPr>
              <w:t>服务商</w:t>
            </w:r>
            <w:r>
              <w:rPr>
                <w:rFonts w:hint="eastAsia" w:ascii="仿宋" w:hAnsi="仿宋" w:eastAsia="仿宋" w:cs="仿宋"/>
                <w:sz w:val="24"/>
                <w:szCs w:val="24"/>
              </w:rPr>
              <w:t>提供脚本优化、素材搜集、视频拍摄、后期制作、特效包装等服务工作；</w:t>
            </w:r>
          </w:p>
          <w:p w14:paraId="1F659697">
            <w:pPr>
              <w:keepNext w:val="0"/>
              <w:keepLines w:val="0"/>
              <w:suppressLineNumbers w:val="0"/>
              <w:adjustRightInd w:val="0"/>
              <w:snapToGrid w:val="0"/>
              <w:spacing w:before="0" w:beforeAutospacing="0" w:after="0" w:afterAutospacing="0" w:line="300" w:lineRule="auto"/>
              <w:ind w:left="0" w:right="0"/>
              <w:jc w:val="left"/>
              <w:rPr>
                <w:rFonts w:hint="eastAsia" w:ascii="仿宋" w:hAnsi="仿宋" w:eastAsia="仿宋" w:cs="仿宋"/>
                <w:sz w:val="24"/>
                <w:szCs w:val="24"/>
              </w:rPr>
            </w:pPr>
            <w:r>
              <w:rPr>
                <w:rFonts w:hint="eastAsia" w:ascii="仿宋" w:hAnsi="仿宋" w:eastAsia="仿宋" w:cs="仿宋"/>
                <w:sz w:val="24"/>
                <w:szCs w:val="24"/>
              </w:rPr>
              <w:t>（3）全片图像同步性能稳定，不出现空画面。画面无明显抖动跳跃、摇晃、倾斜、虚焦、噪点、色彩突变等现象，编辑点处图像稳定；</w:t>
            </w:r>
          </w:p>
          <w:p w14:paraId="6005AEB0">
            <w:pPr>
              <w:keepNext w:val="0"/>
              <w:keepLines w:val="0"/>
              <w:suppressLineNumbers w:val="0"/>
              <w:adjustRightInd w:val="0"/>
              <w:snapToGrid w:val="0"/>
              <w:spacing w:before="0" w:beforeAutospacing="0" w:after="0" w:afterAutospacing="0" w:line="300" w:lineRule="auto"/>
              <w:ind w:left="0" w:right="0"/>
              <w:jc w:val="left"/>
              <w:rPr>
                <w:rFonts w:hint="eastAsia" w:ascii="仿宋" w:hAnsi="仿宋" w:eastAsia="仿宋" w:cs="仿宋"/>
                <w:sz w:val="24"/>
                <w:szCs w:val="24"/>
              </w:rPr>
            </w:pPr>
            <w:r>
              <w:rPr>
                <w:rFonts w:hint="eastAsia" w:ascii="仿宋" w:hAnsi="仿宋" w:eastAsia="仿宋" w:cs="仿宋"/>
                <w:sz w:val="24"/>
                <w:szCs w:val="24"/>
              </w:rPr>
              <w:t>（4）视频压缩采用H.264/AVC（MPEG-4 Part10）编码，MP4格式，最低码率不得低于1024Kbps；</w:t>
            </w:r>
          </w:p>
          <w:p w14:paraId="633B89E7">
            <w:pPr>
              <w:keepNext w:val="0"/>
              <w:keepLines w:val="0"/>
              <w:suppressLineNumbers w:val="0"/>
              <w:adjustRightInd w:val="0"/>
              <w:snapToGrid w:val="0"/>
              <w:spacing w:before="0" w:beforeAutospacing="0" w:after="0" w:afterAutospacing="0" w:line="300" w:lineRule="auto"/>
              <w:ind w:left="0" w:right="0"/>
              <w:jc w:val="left"/>
              <w:rPr>
                <w:rFonts w:hint="eastAsia" w:ascii="仿宋" w:hAnsi="仿宋" w:eastAsia="仿宋" w:cs="仿宋"/>
                <w:sz w:val="24"/>
                <w:szCs w:val="24"/>
              </w:rPr>
            </w:pPr>
            <w:r>
              <w:rPr>
                <w:rFonts w:hint="eastAsia" w:ascii="仿宋" w:hAnsi="仿宋" w:eastAsia="仿宋" w:cs="仿宋"/>
                <w:sz w:val="24"/>
                <w:szCs w:val="24"/>
              </w:rPr>
              <w:t>（5）视频画幅宽高比：视频画幅宽高比为16:9，分辨率设定不低于1280×720；</w:t>
            </w:r>
          </w:p>
          <w:p w14:paraId="6E535040">
            <w:pPr>
              <w:keepNext w:val="0"/>
              <w:keepLines w:val="0"/>
              <w:suppressLineNumbers w:val="0"/>
              <w:adjustRightInd w:val="0"/>
              <w:snapToGrid w:val="0"/>
              <w:spacing w:before="0" w:beforeAutospacing="0" w:after="0" w:afterAutospacing="0" w:line="300" w:lineRule="auto"/>
              <w:ind w:left="0" w:right="0"/>
              <w:jc w:val="left"/>
              <w:rPr>
                <w:rFonts w:hint="eastAsia" w:ascii="仿宋" w:hAnsi="仿宋" w:eastAsia="仿宋" w:cs="仿宋"/>
                <w:sz w:val="24"/>
                <w:szCs w:val="24"/>
              </w:rPr>
            </w:pPr>
            <w:r>
              <w:rPr>
                <w:rFonts w:hint="eastAsia" w:ascii="仿宋" w:hAnsi="仿宋" w:eastAsia="仿宋" w:cs="仿宋"/>
                <w:sz w:val="24"/>
                <w:szCs w:val="24"/>
              </w:rPr>
              <w:t>（6）视频帧率不低于25帧/秒，扫描方式采用逐行扫描。</w:t>
            </w:r>
          </w:p>
          <w:p w14:paraId="3A40038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（7）文件格式：*.mp4。</w:t>
            </w:r>
          </w:p>
          <w:p w14:paraId="1AB6E53B">
            <w:pPr>
              <w:keepNext w:val="0"/>
              <w:keepLines w:val="0"/>
              <w:suppressLineNumbers w:val="0"/>
              <w:spacing w:before="0" w:beforeAutospacing="0" w:after="0" w:afterAutospacing="0"/>
              <w:ind w:left="0" w:right="0"/>
              <w:rPr>
                <w:rFonts w:hint="eastAsia" w:ascii="仿宋" w:hAnsi="仿宋" w:eastAsia="仿宋" w:cs="仿宋"/>
                <w:b/>
                <w:bCs/>
                <w:sz w:val="24"/>
                <w:szCs w:val="24"/>
              </w:rPr>
            </w:pPr>
            <w:r>
              <w:rPr>
                <w:rFonts w:hint="eastAsia" w:ascii="仿宋" w:hAnsi="仿宋" w:eastAsia="仿宋" w:cs="仿宋"/>
                <w:sz w:val="24"/>
                <w:szCs w:val="24"/>
              </w:rPr>
              <w:t>（8）文件时长：2-4分钟/个，</w:t>
            </w:r>
            <w:bookmarkStart w:id="8" w:name="OLE_LINK1"/>
            <w:r>
              <w:rPr>
                <w:rFonts w:hint="eastAsia" w:ascii="仿宋" w:hAnsi="仿宋" w:eastAsia="仿宋" w:cs="仿宋"/>
                <w:sz w:val="24"/>
                <w:szCs w:val="24"/>
              </w:rPr>
              <w:t>总时长不少于20分钟。</w:t>
            </w:r>
            <w:bookmarkEnd w:id="8"/>
          </w:p>
          <w:p w14:paraId="043D504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6、课程概述视频</w:t>
            </w:r>
          </w:p>
          <w:p w14:paraId="50C0A9EC">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（1）为达到更好地宣传推广目的，根据课程特色，制作片长5-10分钟的课程概述视频；</w:t>
            </w:r>
          </w:p>
          <w:p w14:paraId="35BB419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（2）课程概述视频包含的元素有：教师团队介绍、课程教学目标、内容简介、评价方式、课程特色等；</w:t>
            </w:r>
          </w:p>
          <w:p w14:paraId="6782826F">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（3）供应商需要根据教师提供的宣传片脚本，进行内容优化，辅助搜集视频素材，进行相关内容的拍摄录制，形成成品；</w:t>
            </w:r>
          </w:p>
          <w:p w14:paraId="4FC6F38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（4）视频压缩采用H.264/AVC (MPEG-4 Part10）编码，MP4格式，最低码率不得低于1024Kbps；</w:t>
            </w:r>
          </w:p>
          <w:p w14:paraId="681E1187">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（5）视频拍摄前期采用高清16:9，拍摄分辨率设定为1920*1080，在同一课程中，各讲的视频分辨率和画幅的宽高比应统一，不得混用。</w:t>
            </w:r>
          </w:p>
          <w:p w14:paraId="50F13ABA">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（6）视频帧率不低于25帧/秒，扫描方式采用逐行扫描；</w:t>
            </w:r>
          </w:p>
          <w:p w14:paraId="38BD435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（7）输出尺寸：1280×720及以上。</w:t>
            </w:r>
          </w:p>
          <w:p w14:paraId="45F8C58A">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（8）文件格式：*.mp4。</w:t>
            </w:r>
          </w:p>
          <w:p w14:paraId="185809E9">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7、学习工作页</w:t>
            </w:r>
          </w:p>
          <w:p w14:paraId="6DA70BD2">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（1）围绕教学任务开发配套学习工作页，用于引导、记录、评测学生的学习过程，培养学生的学习自觉性，辅助学生通过自主学习实现高效能的学习。</w:t>
            </w:r>
          </w:p>
          <w:p w14:paraId="3877F034">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（2）根据教师提供的专业知识文档以及教学需求，服务商进行实训工作页开发、排版美化的工作。</w:t>
            </w:r>
          </w:p>
          <w:p w14:paraId="6D9F2FE2">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（3）文件格式：*.doc、*.docx或*.pdf。</w:t>
            </w:r>
          </w:p>
          <w:p w14:paraId="3033FF4F">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8、题库</w:t>
            </w:r>
          </w:p>
          <w:p w14:paraId="0DFBFADF">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（1）围绕课程内容开发配套题库，包含单选题、多选题、问答题等多种类型，测试点明确、全面，作为教师对学生进行课前、课中或课后学习评价的依据。</w:t>
            </w:r>
          </w:p>
          <w:p w14:paraId="2ECF2E7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（2）每个知识点/技能点3～5道题，每门课程保证≥</w:t>
            </w:r>
            <w:r>
              <w:rPr>
                <w:rFonts w:hint="eastAsia" w:ascii="仿宋" w:hAnsi="仿宋" w:eastAsia="仿宋" w:cs="仿宋"/>
                <w:sz w:val="24"/>
                <w:szCs w:val="24"/>
                <w:lang w:val="en-US" w:eastAsia="zh-CN"/>
              </w:rPr>
              <w:t>4</w:t>
            </w:r>
            <w:r>
              <w:rPr>
                <w:rFonts w:hint="eastAsia" w:ascii="仿宋" w:hAnsi="仿宋" w:eastAsia="仿宋" w:cs="仿宋"/>
                <w:sz w:val="24"/>
                <w:szCs w:val="24"/>
              </w:rPr>
              <w:t>00道试题，并配套2套综合试卷，试题附带正确答案。</w:t>
            </w:r>
          </w:p>
          <w:p w14:paraId="75FFE18F">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（3）制作要求：形成word或excel文档，按统一的模板编辑。</w:t>
            </w:r>
          </w:p>
          <w:p w14:paraId="44888000">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9、新能源汽车电机虚拟结构原理展示系统</w:t>
            </w:r>
          </w:p>
          <w:p w14:paraId="64076D4E">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kern w:val="0"/>
                <w:sz w:val="24"/>
                <w:szCs w:val="24"/>
              </w:rPr>
            </w:pPr>
            <w:r>
              <w:rPr>
                <w:rFonts w:hint="eastAsia" w:ascii="仿宋" w:hAnsi="仿宋" w:eastAsia="仿宋" w:cs="仿宋"/>
                <w:b/>
                <w:sz w:val="24"/>
                <w:szCs w:val="24"/>
              </w:rPr>
              <w:t>9-1、功能要求</w:t>
            </w:r>
          </w:p>
          <w:p w14:paraId="559E1936">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kern w:val="0"/>
                <w:sz w:val="24"/>
                <w:szCs w:val="24"/>
              </w:rPr>
            </w:pPr>
            <w:r>
              <w:rPr>
                <w:rFonts w:hint="eastAsia" w:ascii="仿宋" w:hAnsi="仿宋" w:eastAsia="仿宋" w:cs="仿宋"/>
                <w:kern w:val="0"/>
                <w:sz w:val="24"/>
                <w:szCs w:val="24"/>
              </w:rPr>
              <w:t>（1）结构展示：以零部件爆炸的方式展示直流无刷电机、三相异步电机、永磁同步电机和开关磁阻电机的结构。</w:t>
            </w:r>
          </w:p>
          <w:p w14:paraId="5F6B2A49">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（2）原理演示：通过动画、特效方式模拟直流无刷电机、三相异步电机、永磁同步电机和开关磁阻电机的工作原理。</w:t>
            </w:r>
          </w:p>
          <w:p w14:paraId="4D897437">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
                <w:bCs/>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kern w:val="0"/>
                <w:sz w:val="24"/>
                <w:szCs w:val="24"/>
              </w:rPr>
              <w:t>展示特效：模拟直流无刷电机、三相异步电机、永磁同步电机和开关磁阻电机运行时的机械运动、电路传递和磁场状态特效。</w:t>
            </w:r>
            <w:r>
              <w:rPr>
                <w:rFonts w:hint="eastAsia" w:ascii="仿宋" w:hAnsi="仿宋" w:eastAsia="仿宋" w:cs="仿宋"/>
                <w:b/>
                <w:bCs/>
                <w:sz w:val="24"/>
                <w:szCs w:val="24"/>
              </w:rPr>
              <w:t>（投标文件中提供软件功能截图）</w:t>
            </w:r>
          </w:p>
          <w:p w14:paraId="3CE73EBD">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kern w:val="0"/>
                <w:sz w:val="24"/>
                <w:szCs w:val="24"/>
              </w:rPr>
            </w:pPr>
            <w:r>
              <w:rPr>
                <w:rFonts w:hint="eastAsia" w:ascii="仿宋" w:hAnsi="仿宋" w:eastAsia="仿宋" w:cs="仿宋"/>
                <w:sz w:val="24"/>
                <w:szCs w:val="24"/>
              </w:rPr>
              <w:t>（4）</w:t>
            </w:r>
            <w:r>
              <w:rPr>
                <w:rFonts w:hint="eastAsia" w:ascii="仿宋" w:hAnsi="仿宋" w:eastAsia="仿宋" w:cs="仿宋"/>
                <w:kern w:val="0"/>
                <w:sz w:val="24"/>
                <w:szCs w:val="24"/>
              </w:rPr>
              <w:t>零件独显：双击零件名称的标签，可进入零件独显模式，在独显模式中可通过旋转、缩放单独的查看零件的结构。</w:t>
            </w:r>
          </w:p>
          <w:p w14:paraId="0797D16E">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（5）原理介绍：通过文字和语音介绍原理的内容。</w:t>
            </w:r>
          </w:p>
          <w:p w14:paraId="2627B254">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（6）零部件名称显示：结构爆炸后的零件可显示或隐藏对应的零件名称。</w:t>
            </w:r>
          </w:p>
          <w:p w14:paraId="7AD73C9B">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（7）辅助功能：左右两侧均可显示结构原理的内容目录、有锁屏和关闭声音功能。</w:t>
            </w:r>
          </w:p>
          <w:p w14:paraId="68FBAD4C">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kern w:val="0"/>
                <w:sz w:val="24"/>
                <w:szCs w:val="24"/>
              </w:rPr>
            </w:pPr>
            <w:r>
              <w:rPr>
                <w:rFonts w:hint="eastAsia" w:ascii="仿宋" w:hAnsi="仿宋" w:eastAsia="仿宋" w:cs="仿宋"/>
                <w:b/>
                <w:sz w:val="24"/>
                <w:szCs w:val="24"/>
              </w:rPr>
              <w:t>9-2、教学项目</w:t>
            </w:r>
          </w:p>
          <w:p w14:paraId="4FE92754">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（1）能够完成直流无刷电机、三相异步电机、永磁同步电机和开关磁阻电机的结构和原理展示。</w:t>
            </w:r>
          </w:p>
          <w:p w14:paraId="268F960E">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
                <w:bCs/>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kern w:val="0"/>
                <w:sz w:val="24"/>
                <w:szCs w:val="24"/>
              </w:rPr>
              <w:t>结构展示：包含电机结构、直流无刷电机结构、开关磁阻电机结构、三相异步电机结构、永磁同步电机结构、直流无刷电机壳体总成结构、直流无刷电机定子总成结构、直流无刷电机转子总成结构、直流无刷电机运行信息反馈组件结构、开关磁阻电机壳体总成结构、开关磁阻电机定子总成结构、开关磁阻电机转子总成结构、开关磁阻电机运行信息反馈组件结构、三相异步电机壳体总成结构、三相异步电机定子总成结构、三相异步电机转子总成结构、三相异步电机运行信息反馈组件结构、永磁同步电机壳体总成结构、永磁同步电机定子总成结构、永磁同步电机转子总成结构、永磁同步电机运行信息反馈组件结构。</w:t>
            </w:r>
            <w:r>
              <w:rPr>
                <w:rFonts w:hint="eastAsia" w:ascii="仿宋" w:hAnsi="仿宋" w:eastAsia="仿宋" w:cs="仿宋"/>
                <w:b/>
                <w:bCs/>
                <w:sz w:val="24"/>
                <w:szCs w:val="24"/>
              </w:rPr>
              <w:t>（投标文件中提供软件功能截图）</w:t>
            </w:r>
          </w:p>
          <w:p w14:paraId="649349B0">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
                <w:bCs/>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kern w:val="0"/>
                <w:sz w:val="24"/>
                <w:szCs w:val="24"/>
              </w:rPr>
              <w:t>原理演示：包含电机原理、直流无刷电机原理、开关磁阻电机原理、三相异步电机原理、永磁同步电机原理、直流无刷电机定子总成原理、直流无刷电机转子总成原理、直流无刷电机运行信息反馈组件原理、开关磁阻电机定子总成原理、开关磁阻电机转子总成原理、开关磁阻电机运行信息反馈组件原理、三相异步电机定子总成原理、三相异步电机转子总成原理、三相异步电机运行信息反馈组件原理、永磁同步电机定子总成原理、永磁同步电机转子总成原理、永磁同步电机运行信息反馈组件原理。</w:t>
            </w:r>
            <w:r>
              <w:rPr>
                <w:rFonts w:hint="eastAsia" w:ascii="仿宋" w:hAnsi="仿宋" w:eastAsia="仿宋" w:cs="仿宋"/>
                <w:b/>
                <w:bCs/>
                <w:sz w:val="24"/>
                <w:szCs w:val="24"/>
              </w:rPr>
              <w:t>（投标文件中提供软件功能截图）</w:t>
            </w:r>
          </w:p>
          <w:p w14:paraId="3AB7C32F">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kern w:val="0"/>
                <w:sz w:val="24"/>
                <w:szCs w:val="24"/>
              </w:rPr>
            </w:pPr>
            <w:r>
              <w:rPr>
                <w:rFonts w:hint="eastAsia" w:ascii="仿宋" w:hAnsi="仿宋" w:eastAsia="仿宋" w:cs="仿宋"/>
                <w:b/>
                <w:sz w:val="24"/>
                <w:szCs w:val="24"/>
              </w:rPr>
              <w:t>9-3、技术要求</w:t>
            </w:r>
          </w:p>
          <w:p w14:paraId="428ABF7B">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（1）当软件有更新时，可支持在线更新虚拟实训内容。</w:t>
            </w:r>
          </w:p>
          <w:p w14:paraId="7F8DE292">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（2）采用Unity纯三维引擎交互技术，360度全方位展示，缩放大小以方便操作。</w:t>
            </w:r>
          </w:p>
          <w:p w14:paraId="49C1EB85">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kern w:val="0"/>
                <w:sz w:val="24"/>
                <w:szCs w:val="24"/>
              </w:rPr>
              <w:t>（3）支持运行在触摸交互的智能终端上，支持多点触摸操作方式加强用户交互体验舒适度。</w:t>
            </w:r>
          </w:p>
          <w:p w14:paraId="4D128566">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
                <w:bCs/>
                <w:sz w:val="24"/>
                <w:szCs w:val="24"/>
              </w:rPr>
            </w:pPr>
            <w:r>
              <w:rPr>
                <w:rFonts w:hint="eastAsia" w:ascii="仿宋" w:hAnsi="仿宋" w:eastAsia="仿宋" w:cs="仿宋"/>
                <w:sz w:val="24"/>
                <w:szCs w:val="24"/>
              </w:rPr>
              <w:t>（4）交付节点：1个。</w:t>
            </w:r>
          </w:p>
          <w:p w14:paraId="39972ED2">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10、新能源汽车电机虚拟拆装实训系统</w:t>
            </w:r>
          </w:p>
          <w:p w14:paraId="30614A39">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
                <w:sz w:val="24"/>
                <w:szCs w:val="24"/>
              </w:rPr>
            </w:pPr>
            <w:r>
              <w:rPr>
                <w:rFonts w:hint="eastAsia" w:ascii="仿宋" w:hAnsi="仿宋" w:eastAsia="仿宋" w:cs="仿宋"/>
                <w:b/>
                <w:sz w:val="24"/>
                <w:szCs w:val="24"/>
              </w:rPr>
              <w:t>10-1、功能要求</w:t>
            </w:r>
          </w:p>
          <w:p w14:paraId="1C52B0D6">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Cs/>
                <w:sz w:val="24"/>
                <w:szCs w:val="24"/>
              </w:rPr>
            </w:pPr>
            <w:r>
              <w:rPr>
                <w:rFonts w:hint="eastAsia" w:ascii="仿宋" w:hAnsi="仿宋" w:eastAsia="仿宋" w:cs="仿宋"/>
                <w:bCs/>
                <w:sz w:val="24"/>
                <w:szCs w:val="24"/>
              </w:rPr>
              <w:t>新能源汽车电机虚拟拆装台根据教学设计要求分为三种教学模式，分别为演示模式、训练模式、考核模式，其中演示模式主要是辅助教师进行实训任务示教使用，训练模式是学生完成实训任务的训练，考核模式是学生完成实训任务的考核。</w:t>
            </w:r>
          </w:p>
          <w:p w14:paraId="4C348934">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
                <w:sz w:val="24"/>
                <w:szCs w:val="24"/>
              </w:rPr>
            </w:pPr>
            <w:r>
              <w:rPr>
                <w:rFonts w:hint="eastAsia" w:ascii="仿宋" w:hAnsi="仿宋" w:eastAsia="仿宋" w:cs="仿宋"/>
                <w:b/>
                <w:sz w:val="24"/>
                <w:szCs w:val="24"/>
              </w:rPr>
              <w:t>（1）演示模式</w:t>
            </w:r>
          </w:p>
          <w:p w14:paraId="22C21A28">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①拆装步骤工单：依据维修手册，软件界面左侧会显示每个任务的拆装步骤。</w:t>
            </w:r>
          </w:p>
          <w:p w14:paraId="68E1A561">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②工具提示：提示该步骤中所需工具型号和名称。</w:t>
            </w:r>
          </w:p>
          <w:p w14:paraId="005AA160">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③步骤跳转：可以任意选择拆装工单中的步骤进行跳转。</w:t>
            </w:r>
          </w:p>
          <w:p w14:paraId="15F0C134">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④自动操作：使用自动操作功能，可自动操作当前选定步骤的实训内容。</w:t>
            </w:r>
          </w:p>
          <w:p w14:paraId="35F605E1">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⑤内容提示：针对拆装任务中的重点、难点内容，在软件中以注意事项的形式进行内容提示。</w:t>
            </w:r>
          </w:p>
          <w:p w14:paraId="5EB4CFC1">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
                <w:bCs/>
                <w:sz w:val="24"/>
                <w:szCs w:val="24"/>
              </w:rPr>
            </w:pPr>
            <w:r>
              <w:rPr>
                <w:rFonts w:hint="eastAsia" w:ascii="仿宋" w:hAnsi="仿宋" w:eastAsia="仿宋" w:cs="仿宋"/>
                <w:bCs/>
                <w:sz w:val="24"/>
                <w:szCs w:val="24"/>
              </w:rPr>
              <w:t>⑥</w:t>
            </w:r>
            <w:r>
              <w:rPr>
                <w:rFonts w:hint="eastAsia" w:ascii="仿宋" w:hAnsi="仿宋" w:eastAsia="仿宋" w:cs="仿宋"/>
                <w:sz w:val="24"/>
                <w:szCs w:val="24"/>
                <w:lang w:val="en-US" w:eastAsia="zh-CN"/>
              </w:rPr>
              <w:t>●</w:t>
            </w:r>
            <w:r>
              <w:rPr>
                <w:rFonts w:hint="eastAsia" w:ascii="仿宋" w:hAnsi="仿宋" w:eastAsia="仿宋" w:cs="仿宋"/>
                <w:bCs/>
                <w:sz w:val="24"/>
                <w:szCs w:val="24"/>
              </w:rPr>
              <w:t>零件独显：每个拆装任务的零部件，在完成拆卸操作后，在零件桌上可以选择任意零件进行单独显示，同时可以对零件进行缩放、旋转操作。</w:t>
            </w:r>
            <w:r>
              <w:rPr>
                <w:rFonts w:hint="eastAsia" w:ascii="仿宋" w:hAnsi="仿宋" w:eastAsia="仿宋" w:cs="仿宋"/>
                <w:b/>
                <w:bCs/>
                <w:sz w:val="24"/>
                <w:szCs w:val="24"/>
              </w:rPr>
              <w:t>（投标文件中提供软件功能截图）</w:t>
            </w:r>
          </w:p>
          <w:p w14:paraId="3B079183">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⑦部件提示：每一步骤中需拆装的零件和工具，通过高亮显示拆装零件和工具的外轮廓，进行提示。</w:t>
            </w:r>
          </w:p>
          <w:p w14:paraId="3F833F8E">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
                <w:sz w:val="24"/>
                <w:szCs w:val="24"/>
              </w:rPr>
            </w:pPr>
            <w:r>
              <w:rPr>
                <w:rFonts w:hint="eastAsia" w:ascii="仿宋" w:hAnsi="仿宋" w:eastAsia="仿宋" w:cs="仿宋"/>
                <w:b/>
                <w:sz w:val="24"/>
                <w:szCs w:val="24"/>
              </w:rPr>
              <w:t>（2）训练模式</w:t>
            </w:r>
          </w:p>
          <w:p w14:paraId="4954DD0E">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①拆装步骤工单：依据维修手册，软件界面左侧会显示每个任务的拆装步骤。</w:t>
            </w:r>
          </w:p>
          <w:p w14:paraId="03B201A2">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②部件提示：每一步骤中需拆装的零件和工具，通过高亮显示拆装零件和工具的外轮廓，进行提示。</w:t>
            </w:r>
          </w:p>
          <w:p w14:paraId="11C5D6F5">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③帮助提示：拆装任务中工具选择、螺栓拆装顺序这两个内容，在遇到不能正确选择时，学生可选择查看帮助完成当前步骤。</w:t>
            </w:r>
          </w:p>
          <w:p w14:paraId="72135AAA">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④操作评分：学生在完成拆装任务操作后，软件即时评价，方便学生知道自己的实训成绩。</w:t>
            </w:r>
          </w:p>
          <w:p w14:paraId="5ECCB889">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⑤螺栓拆装顺序：步骤中有拆装顺序的螺栓，需要正确选择拆装顺序。</w:t>
            </w:r>
          </w:p>
          <w:p w14:paraId="42F05E26">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
                <w:sz w:val="24"/>
                <w:szCs w:val="24"/>
              </w:rPr>
            </w:pPr>
            <w:r>
              <w:rPr>
                <w:rFonts w:hint="eastAsia" w:ascii="仿宋" w:hAnsi="仿宋" w:eastAsia="仿宋" w:cs="仿宋"/>
                <w:b/>
                <w:sz w:val="24"/>
                <w:szCs w:val="24"/>
              </w:rPr>
              <w:t>（3）考核模式</w:t>
            </w:r>
          </w:p>
          <w:p w14:paraId="72A87B7A">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①考核得分：完成拆装任务后，软件即时对学生的考核情况进行评分。</w:t>
            </w:r>
          </w:p>
          <w:p w14:paraId="6F7F5F83">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Cs/>
                <w:sz w:val="24"/>
                <w:szCs w:val="24"/>
              </w:rPr>
            </w:pPr>
            <w:r>
              <w:rPr>
                <w:rFonts w:hint="eastAsia" w:ascii="仿宋" w:hAnsi="仿宋" w:eastAsia="仿宋" w:cs="仿宋"/>
                <w:bCs/>
                <w:sz w:val="24"/>
                <w:szCs w:val="24"/>
              </w:rPr>
              <w:t>②考核倒计时：根据设置的考试时间进行计时，时间结束后，自动提交考核。</w:t>
            </w:r>
          </w:p>
          <w:p w14:paraId="6EB2956B">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
                <w:sz w:val="24"/>
                <w:szCs w:val="24"/>
              </w:rPr>
            </w:pPr>
            <w:r>
              <w:rPr>
                <w:rFonts w:hint="eastAsia" w:ascii="仿宋" w:hAnsi="仿宋" w:eastAsia="仿宋" w:cs="仿宋"/>
                <w:b/>
                <w:sz w:val="24"/>
                <w:szCs w:val="24"/>
              </w:rPr>
              <w:t>（4）通用功能内容</w:t>
            </w:r>
          </w:p>
          <w:p w14:paraId="57895825">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rPr>
            </w:pPr>
            <w:r>
              <w:rPr>
                <w:rFonts w:hint="eastAsia" w:ascii="仿宋" w:hAnsi="仿宋" w:eastAsia="仿宋" w:cs="仿宋"/>
                <w:bCs/>
                <w:sz w:val="24"/>
                <w:szCs w:val="24"/>
              </w:rPr>
              <w:t>①零件桌：提供一个放置拆卸下来的零部件的桌面工具。</w:t>
            </w:r>
          </w:p>
          <w:p w14:paraId="146FB167">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Cs/>
                <w:sz w:val="24"/>
                <w:szCs w:val="24"/>
              </w:rPr>
            </w:pPr>
            <w:r>
              <w:rPr>
                <w:rFonts w:hint="eastAsia" w:ascii="仿宋" w:hAnsi="仿宋" w:eastAsia="仿宋" w:cs="仿宋"/>
                <w:bCs/>
                <w:sz w:val="24"/>
                <w:szCs w:val="24"/>
              </w:rPr>
              <w:t>②音效模拟：模拟部分工具在使用中的音效。</w:t>
            </w:r>
          </w:p>
          <w:p w14:paraId="183111CB">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
                <w:sz w:val="24"/>
                <w:szCs w:val="24"/>
              </w:rPr>
            </w:pPr>
            <w:r>
              <w:rPr>
                <w:rFonts w:hint="eastAsia" w:ascii="仿宋" w:hAnsi="仿宋" w:eastAsia="仿宋" w:cs="仿宋"/>
                <w:b/>
                <w:sz w:val="24"/>
                <w:szCs w:val="24"/>
              </w:rPr>
              <w:t>10-2、教学项目</w:t>
            </w:r>
          </w:p>
          <w:p w14:paraId="30BB7BAC">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
                <w:bCs/>
                <w:sz w:val="24"/>
                <w:szCs w:val="24"/>
              </w:rPr>
            </w:pPr>
            <w:r>
              <w:rPr>
                <w:rFonts w:hint="eastAsia" w:ascii="仿宋" w:hAnsi="仿宋" w:eastAsia="仿宋" w:cs="仿宋"/>
                <w:sz w:val="24"/>
                <w:szCs w:val="24"/>
                <w:lang w:val="en-US" w:eastAsia="zh-CN"/>
              </w:rPr>
              <w:t>●</w:t>
            </w:r>
            <w:r>
              <w:rPr>
                <w:rFonts w:hint="eastAsia" w:ascii="仿宋" w:hAnsi="仿宋" w:eastAsia="仿宋" w:cs="仿宋"/>
                <w:bCs/>
                <w:sz w:val="24"/>
                <w:szCs w:val="24"/>
              </w:rPr>
              <w:t>根据课程内容要求，产品内容包含：起动机、无刷直流电机、交流发电机、永磁同步电机、交流异步电机共5个拆装教学任务。</w:t>
            </w:r>
            <w:r>
              <w:rPr>
                <w:rFonts w:hint="eastAsia" w:ascii="仿宋" w:hAnsi="仿宋" w:eastAsia="仿宋" w:cs="仿宋"/>
                <w:b/>
                <w:bCs/>
                <w:sz w:val="24"/>
                <w:szCs w:val="24"/>
              </w:rPr>
              <w:t>（投标文件中提供软件功能截图）</w:t>
            </w:r>
          </w:p>
          <w:p w14:paraId="5B5E1AEC">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
                <w:sz w:val="24"/>
                <w:szCs w:val="24"/>
              </w:rPr>
            </w:pPr>
            <w:r>
              <w:rPr>
                <w:rFonts w:hint="eastAsia" w:ascii="仿宋" w:hAnsi="仿宋" w:eastAsia="仿宋" w:cs="仿宋"/>
                <w:b/>
                <w:sz w:val="24"/>
                <w:szCs w:val="24"/>
              </w:rPr>
              <w:t>10-3、技术要求</w:t>
            </w:r>
          </w:p>
          <w:p w14:paraId="3486D5AC">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Cs/>
                <w:sz w:val="24"/>
                <w:szCs w:val="24"/>
              </w:rPr>
            </w:pPr>
            <w:r>
              <w:rPr>
                <w:rFonts w:hint="eastAsia" w:ascii="仿宋" w:hAnsi="仿宋" w:eastAsia="仿宋" w:cs="仿宋"/>
                <w:bCs/>
                <w:sz w:val="24"/>
                <w:szCs w:val="24"/>
              </w:rPr>
              <w:t>（1）当软件有更新时，可支持在线更新虚拟实训内容。</w:t>
            </w:r>
          </w:p>
          <w:p w14:paraId="1739C7B2">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Cs/>
                <w:sz w:val="24"/>
                <w:szCs w:val="24"/>
              </w:rPr>
            </w:pPr>
            <w:r>
              <w:rPr>
                <w:rFonts w:hint="eastAsia" w:ascii="仿宋" w:hAnsi="仿宋" w:eastAsia="仿宋" w:cs="仿宋"/>
                <w:bCs/>
                <w:sz w:val="24"/>
                <w:szCs w:val="24"/>
              </w:rPr>
              <w:t>（2）可通过Web网页进行实训任务管理和成绩查看。</w:t>
            </w:r>
          </w:p>
          <w:p w14:paraId="43839B3D">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Cs/>
                <w:sz w:val="24"/>
                <w:szCs w:val="24"/>
              </w:rPr>
            </w:pPr>
            <w:r>
              <w:rPr>
                <w:rFonts w:hint="eastAsia" w:ascii="仿宋" w:hAnsi="仿宋" w:eastAsia="仿宋" w:cs="仿宋"/>
                <w:bCs/>
                <w:sz w:val="24"/>
                <w:szCs w:val="24"/>
              </w:rPr>
              <w:t>（3）可根据实际的教学需求，发布实训练习和考核任务。</w:t>
            </w:r>
          </w:p>
          <w:p w14:paraId="2A1D353D">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Cs/>
                <w:sz w:val="24"/>
                <w:szCs w:val="24"/>
              </w:rPr>
            </w:pPr>
            <w:r>
              <w:rPr>
                <w:rFonts w:hint="eastAsia" w:ascii="仿宋" w:hAnsi="仿宋" w:eastAsia="仿宋" w:cs="仿宋"/>
                <w:bCs/>
                <w:sz w:val="24"/>
                <w:szCs w:val="24"/>
              </w:rPr>
              <w:t>（4）可对实训任务进行过程自动记录、自动评分，在Web端可导出实训成绩。</w:t>
            </w:r>
          </w:p>
          <w:p w14:paraId="46737FB7">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bCs/>
                <w:sz w:val="24"/>
                <w:szCs w:val="24"/>
              </w:rPr>
              <w:t>（5）可支持查看实训任务得分明细，并对实训失分项进行标注。</w:t>
            </w:r>
          </w:p>
          <w:p w14:paraId="6CEEDA4C">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
                <w:bCs/>
                <w:sz w:val="24"/>
                <w:szCs w:val="24"/>
              </w:rPr>
            </w:pPr>
            <w:r>
              <w:rPr>
                <w:rFonts w:hint="eastAsia" w:ascii="仿宋" w:hAnsi="仿宋" w:eastAsia="仿宋" w:cs="仿宋"/>
                <w:sz w:val="24"/>
                <w:szCs w:val="24"/>
              </w:rPr>
              <w:t>（6）交付节点：1个。</w:t>
            </w:r>
          </w:p>
        </w:tc>
        <w:tc>
          <w:tcPr>
            <w:tcW w:w="447" w:type="pct"/>
            <w:noWrap w:val="0"/>
            <w:vAlign w:val="center"/>
          </w:tcPr>
          <w:p w14:paraId="1CD82E6B">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
                <w:b/>
                <w:bCs/>
                <w:sz w:val="24"/>
                <w:szCs w:val="24"/>
              </w:rPr>
            </w:pPr>
            <w:r>
              <w:rPr>
                <w:rFonts w:hint="eastAsia" w:ascii="仿宋" w:hAnsi="仿宋" w:eastAsia="仿宋" w:cs="仿宋"/>
                <w:sz w:val="24"/>
                <w:szCs w:val="24"/>
              </w:rPr>
              <w:t>1套</w:t>
            </w:r>
          </w:p>
        </w:tc>
      </w:tr>
      <w:tr w14:paraId="2733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noWrap w:val="0"/>
            <w:vAlign w:val="center"/>
          </w:tcPr>
          <w:p w14:paraId="64B3D8CA">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
                <w:b/>
                <w:bCs/>
                <w:sz w:val="24"/>
                <w:szCs w:val="24"/>
              </w:rPr>
            </w:pPr>
            <w:r>
              <w:rPr>
                <w:rFonts w:hint="eastAsia" w:ascii="仿宋" w:hAnsi="仿宋" w:eastAsia="仿宋" w:cs="仿宋"/>
                <w:sz w:val="24"/>
                <w:szCs w:val="24"/>
              </w:rPr>
              <w:t>2</w:t>
            </w:r>
          </w:p>
        </w:tc>
        <w:tc>
          <w:tcPr>
            <w:tcW w:w="837" w:type="pct"/>
            <w:noWrap w:val="0"/>
            <w:vAlign w:val="center"/>
          </w:tcPr>
          <w:p w14:paraId="72033967">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color w:val="000000"/>
                <w:kern w:val="0"/>
                <w:sz w:val="24"/>
                <w:szCs w:val="24"/>
                <w:lang w:bidi="ar"/>
              </w:rPr>
              <w:t>《新能源汽车试验技术》课程</w:t>
            </w:r>
          </w:p>
        </w:tc>
        <w:tc>
          <w:tcPr>
            <w:tcW w:w="3292" w:type="pct"/>
            <w:noWrap w:val="0"/>
            <w:vAlign w:val="top"/>
          </w:tcPr>
          <w:p w14:paraId="24CE4F36">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一、总体建设要求</w:t>
            </w:r>
          </w:p>
          <w:p w14:paraId="60E1DB36">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新能源汽车试验技术》课程建设内容包含1本数字教材、1套PPT教学课件、45个教学视频（理论/技能）、10个二维动画、5个课程思政视频、1个课程概述视频、1套学习工作页、1套题库、1套新能源汽车驱动电机虚拟性能检测实训系统。</w:t>
            </w:r>
          </w:p>
          <w:p w14:paraId="7CB51C96">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二、技术要求</w:t>
            </w:r>
          </w:p>
          <w:p w14:paraId="73230E4F">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1、数字教材</w:t>
            </w:r>
          </w:p>
          <w:p w14:paraId="1AB04D8F">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（1）根据课程教学内容要求，编写团队完成教材大纲梳理、样章设计、内容编写并根据审核意见完成修改；</w:t>
            </w:r>
            <w:r>
              <w:rPr>
                <w:rFonts w:hint="eastAsia" w:ascii="仿宋" w:hAnsi="仿宋" w:eastAsia="仿宋" w:cs="仿宋"/>
                <w:sz w:val="24"/>
                <w:szCs w:val="24"/>
                <w:lang w:val="en-US" w:eastAsia="zh-CN"/>
              </w:rPr>
              <w:t>供应商</w:t>
            </w:r>
            <w:r>
              <w:rPr>
                <w:rFonts w:hint="eastAsia" w:ascii="仿宋" w:hAnsi="仿宋" w:eastAsia="仿宋" w:cs="仿宋"/>
                <w:sz w:val="24"/>
                <w:szCs w:val="24"/>
              </w:rPr>
              <w:t>对教材文本、图片、表格等进行排版美化，并协助进行数字教材</w:t>
            </w:r>
            <w:r>
              <w:rPr>
                <w:rFonts w:hint="eastAsia" w:ascii="仿宋" w:hAnsi="仿宋" w:eastAsia="仿宋" w:cs="仿宋"/>
                <w:sz w:val="24"/>
                <w:szCs w:val="24"/>
                <w:lang w:val="en-US" w:eastAsia="zh-CN"/>
              </w:rPr>
              <w:t>开发</w:t>
            </w:r>
            <w:r>
              <w:rPr>
                <w:rFonts w:hint="eastAsia" w:ascii="仿宋" w:hAnsi="仿宋" w:eastAsia="仿宋" w:cs="仿宋"/>
                <w:sz w:val="24"/>
                <w:szCs w:val="24"/>
              </w:rPr>
              <w:t>。</w:t>
            </w:r>
          </w:p>
          <w:p w14:paraId="0A452C70">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（2）图形图像：正文中的图像、图形应清晰，图形要符合国家相关绘制标准；尽量不要使用Word绘制插图，而采用插入已保存的图片的方式；图文混排的方式选择嵌入式。</w:t>
            </w:r>
          </w:p>
          <w:p w14:paraId="15D66569">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（3）标题：文本正文应设定文章标题，文章标题放在正文内第一行居中的位置；各级标题应设置正确，同一级标题使用同样的样式，文本结构清晰。</w:t>
            </w:r>
          </w:p>
          <w:p w14:paraId="5B07773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（4）字号页码：正文字体、字号、颜色、行间距等要美观、统一；文本超过10页应插入页码；超过15页应插入目录。</w:t>
            </w:r>
          </w:p>
          <w:p w14:paraId="2B39508C">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（5）表格：表格不应超出页面，且要求使用软件的插入表格或绘制表格等功能生成表格，并使用相应功能加工处理，不要用在文本上描绘直线等绘图方式制作表格。</w:t>
            </w:r>
          </w:p>
          <w:p w14:paraId="1D968941">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（6）文件命名：文件名应反映主题内容，尽量与文内标题保持一致，不要使用“1.doc”这类含义不明的标题。</w:t>
            </w:r>
          </w:p>
          <w:p w14:paraId="7B6E4D1B">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（7）文中所用计量单位、字母符号、公式等应符合国家相关标准。</w:t>
            </w:r>
          </w:p>
          <w:p w14:paraId="644A4888">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（8）文件格式：*.doc、*.docx、*.pdf。</w:t>
            </w:r>
          </w:p>
          <w:p w14:paraId="04B5BC74">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（9）教材大纲参考如下，实际开发中可根据具体需求进行调整：</w:t>
            </w:r>
          </w:p>
          <w:tbl>
            <w:tblPr>
              <w:tblStyle w:val="7"/>
              <w:tblW w:w="4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3119"/>
            </w:tblGrid>
            <w:tr w14:paraId="02DD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46" w:type="dxa"/>
                  <w:noWrap/>
                  <w:vAlign w:val="center"/>
                </w:tcPr>
                <w:p w14:paraId="74B52D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项目</w:t>
                  </w:r>
                </w:p>
              </w:tc>
              <w:tc>
                <w:tcPr>
                  <w:tcW w:w="3119" w:type="dxa"/>
                  <w:noWrap/>
                  <w:vAlign w:val="center"/>
                </w:tcPr>
                <w:p w14:paraId="50A129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任务</w:t>
                  </w:r>
                </w:p>
              </w:tc>
            </w:tr>
            <w:tr w14:paraId="1EA3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restart"/>
                  <w:noWrap/>
                  <w:vAlign w:val="center"/>
                </w:tcPr>
                <w:p w14:paraId="35706A7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项目一 新能源汽车试验基础</w:t>
                  </w:r>
                </w:p>
              </w:tc>
              <w:tc>
                <w:tcPr>
                  <w:tcW w:w="3119" w:type="dxa"/>
                  <w:noWrap/>
                  <w:vAlign w:val="center"/>
                </w:tcPr>
                <w:p w14:paraId="57CD351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任务1 新能源汽车试验概述及标准</w:t>
                  </w:r>
                </w:p>
              </w:tc>
            </w:tr>
            <w:tr w14:paraId="47A3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continue"/>
                  <w:noWrap/>
                  <w:vAlign w:val="center"/>
                </w:tcPr>
                <w:p w14:paraId="5B106688">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rPr>
                  </w:pPr>
                </w:p>
              </w:tc>
              <w:tc>
                <w:tcPr>
                  <w:tcW w:w="3119" w:type="dxa"/>
                  <w:noWrap/>
                  <w:vAlign w:val="center"/>
                </w:tcPr>
                <w:p w14:paraId="07047C2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任务2 测量新能源汽车基本参数</w:t>
                  </w:r>
                </w:p>
              </w:tc>
            </w:tr>
            <w:tr w14:paraId="1AAB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restart"/>
                  <w:noWrap/>
                  <w:vAlign w:val="center"/>
                </w:tcPr>
                <w:p w14:paraId="7226C8C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项目二 驱动电机系统试验</w:t>
                  </w:r>
                </w:p>
              </w:tc>
              <w:tc>
                <w:tcPr>
                  <w:tcW w:w="3119" w:type="dxa"/>
                  <w:noWrap/>
                  <w:vAlign w:val="center"/>
                </w:tcPr>
                <w:p w14:paraId="5334BE5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任务1 驱动电机系统技术要求</w:t>
                  </w:r>
                </w:p>
              </w:tc>
            </w:tr>
            <w:tr w14:paraId="5B89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continue"/>
                  <w:noWrap/>
                  <w:vAlign w:val="center"/>
                </w:tcPr>
                <w:p w14:paraId="6DE862CA">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rPr>
                  </w:pPr>
                </w:p>
              </w:tc>
              <w:tc>
                <w:tcPr>
                  <w:tcW w:w="3119" w:type="dxa"/>
                  <w:noWrap/>
                  <w:vAlign w:val="center"/>
                </w:tcPr>
                <w:p w14:paraId="2F40B1C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任务2 一般性项目试验</w:t>
                  </w:r>
                </w:p>
              </w:tc>
            </w:tr>
            <w:tr w14:paraId="507D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continue"/>
                  <w:noWrap/>
                  <w:vAlign w:val="center"/>
                </w:tcPr>
                <w:p w14:paraId="5C1F9926">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rPr>
                  </w:pPr>
                </w:p>
              </w:tc>
              <w:tc>
                <w:tcPr>
                  <w:tcW w:w="3119" w:type="dxa"/>
                  <w:noWrap/>
                  <w:vAlign w:val="center"/>
                </w:tcPr>
                <w:p w14:paraId="556B136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任务3 输入输出特性试验</w:t>
                  </w:r>
                </w:p>
              </w:tc>
            </w:tr>
            <w:tr w14:paraId="1DA3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continue"/>
                  <w:noWrap/>
                  <w:vAlign w:val="center"/>
                </w:tcPr>
                <w:p w14:paraId="1D90FBD9">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rPr>
                  </w:pPr>
                </w:p>
              </w:tc>
              <w:tc>
                <w:tcPr>
                  <w:tcW w:w="3119" w:type="dxa"/>
                  <w:noWrap/>
                  <w:vAlign w:val="center"/>
                </w:tcPr>
                <w:p w14:paraId="4F7BC9E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任务4 安全性试验</w:t>
                  </w:r>
                </w:p>
              </w:tc>
            </w:tr>
            <w:tr w14:paraId="2FE6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continue"/>
                  <w:noWrap/>
                  <w:vAlign w:val="center"/>
                </w:tcPr>
                <w:p w14:paraId="11D38A11">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rPr>
                  </w:pPr>
                </w:p>
              </w:tc>
              <w:tc>
                <w:tcPr>
                  <w:tcW w:w="3119" w:type="dxa"/>
                  <w:noWrap/>
                  <w:vAlign w:val="center"/>
                </w:tcPr>
                <w:p w14:paraId="200E629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任务5 环境适应性试验</w:t>
                  </w:r>
                </w:p>
              </w:tc>
            </w:tr>
            <w:tr w14:paraId="0E97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continue"/>
                  <w:noWrap/>
                  <w:vAlign w:val="center"/>
                </w:tcPr>
                <w:p w14:paraId="6A26C9F9">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rPr>
                  </w:pPr>
                </w:p>
              </w:tc>
              <w:tc>
                <w:tcPr>
                  <w:tcW w:w="3119" w:type="dxa"/>
                  <w:noWrap/>
                  <w:vAlign w:val="center"/>
                </w:tcPr>
                <w:p w14:paraId="39B75CD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任务6 电磁兼容性试验</w:t>
                  </w:r>
                </w:p>
              </w:tc>
            </w:tr>
            <w:tr w14:paraId="1084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continue"/>
                  <w:noWrap/>
                  <w:vAlign w:val="center"/>
                </w:tcPr>
                <w:p w14:paraId="33194390">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rPr>
                  </w:pPr>
                </w:p>
              </w:tc>
              <w:tc>
                <w:tcPr>
                  <w:tcW w:w="3119" w:type="dxa"/>
                  <w:noWrap/>
                  <w:vAlign w:val="center"/>
                </w:tcPr>
                <w:p w14:paraId="3E481BC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任务7 可靠性试验</w:t>
                  </w:r>
                </w:p>
              </w:tc>
            </w:tr>
            <w:tr w14:paraId="6DC3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restart"/>
                  <w:noWrap/>
                  <w:vAlign w:val="center"/>
                </w:tcPr>
                <w:p w14:paraId="26E8626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项目三 动力蓄电池系统试验</w:t>
                  </w:r>
                </w:p>
              </w:tc>
              <w:tc>
                <w:tcPr>
                  <w:tcW w:w="3119" w:type="dxa"/>
                  <w:noWrap/>
                  <w:vAlign w:val="center"/>
                </w:tcPr>
                <w:p w14:paraId="7A8E093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任务1 电性能试验</w:t>
                  </w:r>
                </w:p>
              </w:tc>
            </w:tr>
            <w:tr w14:paraId="1887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continue"/>
                  <w:noWrap/>
                  <w:vAlign w:val="center"/>
                </w:tcPr>
                <w:p w14:paraId="43224FB1">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rPr>
                  </w:pPr>
                </w:p>
              </w:tc>
              <w:tc>
                <w:tcPr>
                  <w:tcW w:w="3119" w:type="dxa"/>
                  <w:noWrap/>
                  <w:vAlign w:val="center"/>
                </w:tcPr>
                <w:p w14:paraId="679207C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任务2 循环寿命试验</w:t>
                  </w:r>
                </w:p>
              </w:tc>
            </w:tr>
            <w:tr w14:paraId="4CD5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continue"/>
                  <w:noWrap/>
                  <w:vAlign w:val="center"/>
                </w:tcPr>
                <w:p w14:paraId="356C58A8">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rPr>
                  </w:pPr>
                </w:p>
              </w:tc>
              <w:tc>
                <w:tcPr>
                  <w:tcW w:w="3119" w:type="dxa"/>
                  <w:noWrap/>
                  <w:vAlign w:val="center"/>
                </w:tcPr>
                <w:p w14:paraId="6414803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任务3 安全性试验</w:t>
                  </w:r>
                </w:p>
              </w:tc>
            </w:tr>
            <w:tr w14:paraId="016C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restart"/>
                  <w:noWrap/>
                  <w:vAlign w:val="center"/>
                </w:tcPr>
                <w:p w14:paraId="26E63A5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项目四 传导充电系统试验</w:t>
                  </w:r>
                </w:p>
              </w:tc>
              <w:tc>
                <w:tcPr>
                  <w:tcW w:w="3119" w:type="dxa"/>
                  <w:noWrap/>
                  <w:vAlign w:val="center"/>
                </w:tcPr>
                <w:p w14:paraId="7A3A73D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任务1 直流充电通信协议一致性试验</w:t>
                  </w:r>
                </w:p>
              </w:tc>
            </w:tr>
            <w:tr w14:paraId="79A1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continue"/>
                  <w:noWrap/>
                  <w:vAlign w:val="center"/>
                </w:tcPr>
                <w:p w14:paraId="36F27D37">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rPr>
                  </w:pPr>
                </w:p>
              </w:tc>
              <w:tc>
                <w:tcPr>
                  <w:tcW w:w="3119" w:type="dxa"/>
                  <w:noWrap/>
                  <w:vAlign w:val="center"/>
                </w:tcPr>
                <w:p w14:paraId="2456ACC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任务2 直流充电互操作性试验</w:t>
                  </w:r>
                </w:p>
              </w:tc>
            </w:tr>
            <w:tr w14:paraId="6CC5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continue"/>
                  <w:noWrap/>
                  <w:vAlign w:val="center"/>
                </w:tcPr>
                <w:p w14:paraId="26DFE896">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rPr>
                  </w:pPr>
                </w:p>
              </w:tc>
              <w:tc>
                <w:tcPr>
                  <w:tcW w:w="3119" w:type="dxa"/>
                  <w:noWrap/>
                  <w:vAlign w:val="center"/>
                </w:tcPr>
                <w:p w14:paraId="4BA17D3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任务3 交流充电互操作性试验</w:t>
                  </w:r>
                </w:p>
              </w:tc>
            </w:tr>
            <w:tr w14:paraId="10D2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restart"/>
                  <w:noWrap/>
                  <w:vAlign w:val="center"/>
                </w:tcPr>
                <w:p w14:paraId="34D53BD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项目五 整车性能试验</w:t>
                  </w:r>
                </w:p>
              </w:tc>
              <w:tc>
                <w:tcPr>
                  <w:tcW w:w="3119" w:type="dxa"/>
                  <w:noWrap/>
                  <w:vAlign w:val="center"/>
                </w:tcPr>
                <w:p w14:paraId="1BF496A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任务1 整车动力性试验</w:t>
                  </w:r>
                </w:p>
              </w:tc>
            </w:tr>
            <w:tr w14:paraId="5A45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continue"/>
                  <w:noWrap/>
                  <w:vAlign w:val="center"/>
                </w:tcPr>
                <w:p w14:paraId="7C4151DA">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rPr>
                  </w:pPr>
                </w:p>
              </w:tc>
              <w:tc>
                <w:tcPr>
                  <w:tcW w:w="3119" w:type="dxa"/>
                  <w:noWrap/>
                  <w:vAlign w:val="center"/>
                </w:tcPr>
                <w:p w14:paraId="311E44E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任务2 整车安全性试验</w:t>
                  </w:r>
                </w:p>
              </w:tc>
            </w:tr>
            <w:tr w14:paraId="6053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continue"/>
                  <w:noWrap/>
                  <w:vAlign w:val="center"/>
                </w:tcPr>
                <w:p w14:paraId="0DA81C3A">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rPr>
                  </w:pPr>
                </w:p>
              </w:tc>
              <w:tc>
                <w:tcPr>
                  <w:tcW w:w="3119" w:type="dxa"/>
                  <w:noWrap/>
                  <w:vAlign w:val="center"/>
                </w:tcPr>
                <w:p w14:paraId="2FFB6B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任务3 整车能耗和续航试验</w:t>
                  </w:r>
                </w:p>
              </w:tc>
            </w:tr>
            <w:tr w14:paraId="3227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6" w:type="dxa"/>
                  <w:vMerge w:val="continue"/>
                  <w:noWrap/>
                  <w:vAlign w:val="center"/>
                </w:tcPr>
                <w:p w14:paraId="2D26CB3A">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rPr>
                  </w:pPr>
                </w:p>
              </w:tc>
              <w:tc>
                <w:tcPr>
                  <w:tcW w:w="3119" w:type="dxa"/>
                  <w:noWrap/>
                  <w:vAlign w:val="center"/>
                </w:tcPr>
                <w:p w14:paraId="75C088C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任务4 整车电磁兼容性试验</w:t>
                  </w:r>
                </w:p>
              </w:tc>
            </w:tr>
          </w:tbl>
          <w:p w14:paraId="750CF8A4">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2、PPT教学课件</w:t>
            </w:r>
          </w:p>
          <w:p w14:paraId="583575E6">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（1）以任务为单元开发配套的教学课件，课件应</w:t>
            </w:r>
            <w:r>
              <w:rPr>
                <w:rFonts w:hint="eastAsia" w:ascii="仿宋" w:hAnsi="仿宋" w:eastAsia="仿宋" w:cs="仿宋"/>
                <w:sz w:val="24"/>
                <w:szCs w:val="24"/>
                <w:lang w:val="en-US" w:eastAsia="zh-CN"/>
              </w:rPr>
              <w:t>图文并茂，</w:t>
            </w:r>
            <w:r>
              <w:rPr>
                <w:rFonts w:hint="eastAsia" w:ascii="仿宋" w:hAnsi="仿宋" w:eastAsia="仿宋" w:cs="仿宋"/>
                <w:sz w:val="24"/>
                <w:szCs w:val="24"/>
              </w:rPr>
              <w:t>方便教师对知识点和技能点的深入讲解。尽可能使用统一开发软件，统一版本型号。</w:t>
            </w:r>
          </w:p>
          <w:p w14:paraId="147DF750">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（2）内容长度：每个不低于20页。</w:t>
            </w:r>
          </w:p>
          <w:p w14:paraId="1C91419B">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（3）供应商提供的课件，</w:t>
            </w:r>
            <w:r>
              <w:rPr>
                <w:rFonts w:hint="eastAsia" w:ascii="仿宋" w:hAnsi="仿宋" w:eastAsia="仿宋" w:cs="仿宋"/>
                <w:sz w:val="24"/>
                <w:szCs w:val="24"/>
                <w:lang w:val="en-US" w:eastAsia="zh-CN"/>
              </w:rPr>
              <w:t>需</w:t>
            </w:r>
            <w:r>
              <w:rPr>
                <w:rFonts w:hint="eastAsia" w:ascii="仿宋" w:hAnsi="仿宋" w:eastAsia="仿宋" w:cs="仿宋"/>
                <w:sz w:val="24"/>
                <w:szCs w:val="24"/>
              </w:rPr>
              <w:t>设计统一的VI风格，并进行排版美化。</w:t>
            </w:r>
          </w:p>
          <w:p w14:paraId="29BA132B">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（4）选用字体时尽量避免文字残损，字体大小根据文字多少进行调节。</w:t>
            </w:r>
          </w:p>
          <w:p w14:paraId="37B4393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（5）文字要醒目，避免使用与背景色相近的颜色。</w:t>
            </w:r>
          </w:p>
          <w:p w14:paraId="211C6ECD">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（6）画面简洁清晰，动画效果简洁，避免过于复杂的动画效果、页面切换效果。</w:t>
            </w:r>
          </w:p>
          <w:p w14:paraId="50ED6642">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（7）课件整体要色调和谐，各元素搭配构图得当，背景和文字颜色有反差，文字修饰适度，字体、字号有层次。</w:t>
            </w:r>
          </w:p>
          <w:p w14:paraId="614527A7">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（8）课件要明确教学目标、要突出重点难点、要有灵活新颖的教学形式、教学对象要有针对性，根据教学需要使用新颖的、多元化的表现形式，如动态图、视频、音频等。</w:t>
            </w:r>
          </w:p>
          <w:p w14:paraId="364EE89B">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lang w:eastAsia="zh-CN"/>
              </w:rPr>
            </w:pPr>
            <w:r>
              <w:rPr>
                <w:rFonts w:hint="eastAsia" w:ascii="仿宋" w:hAnsi="仿宋" w:eastAsia="仿宋" w:cs="仿宋"/>
                <w:sz w:val="24"/>
                <w:szCs w:val="24"/>
              </w:rPr>
              <w:t>（9）课件内容生动，以图为主能吸引学生，调动学习兴趣</w:t>
            </w:r>
            <w:r>
              <w:rPr>
                <w:rFonts w:hint="eastAsia" w:ascii="仿宋" w:hAnsi="仿宋" w:eastAsia="仿宋" w:cs="仿宋"/>
                <w:sz w:val="24"/>
                <w:szCs w:val="24"/>
                <w:lang w:eastAsia="zh-CN"/>
              </w:rPr>
              <w:t>。</w:t>
            </w:r>
          </w:p>
          <w:p w14:paraId="5F3D0E8B">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（10）课件需保持前后风格一致，课件排版设计美观。</w:t>
            </w:r>
          </w:p>
          <w:p w14:paraId="05B743C2">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（11）文件格式：*.ppt或*.pptx。</w:t>
            </w:r>
          </w:p>
          <w:p w14:paraId="45DA7B5F">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3、教学视频（理论/技能）</w:t>
            </w:r>
          </w:p>
          <w:p w14:paraId="70D7A340">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针对一个独立的知识点形成完整教学视频资源，目的是能满足线上及线上线下混合教学要求，指导教师规范授课，便于学生自主学习；教学视频可以采用真人出镜讲解+PPT、动画微课、PPT+实操视频、技能视频等呈现方式进行制作；每个视频时长5-15分钟，总时长不少于490分钟。</w:t>
            </w:r>
          </w:p>
          <w:p w14:paraId="73C25E64">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（2）根据教师提供的专业教学内容脚本，</w:t>
            </w:r>
            <w:r>
              <w:rPr>
                <w:rFonts w:hint="eastAsia" w:ascii="仿宋" w:hAnsi="仿宋" w:eastAsia="仿宋" w:cs="仿宋"/>
                <w:sz w:val="24"/>
                <w:szCs w:val="24"/>
                <w:lang w:val="en-US" w:eastAsia="zh-CN"/>
              </w:rPr>
              <w:t>供应商</w:t>
            </w:r>
            <w:r>
              <w:rPr>
                <w:rFonts w:hint="eastAsia" w:ascii="仿宋" w:hAnsi="仿宋" w:eastAsia="仿宋" w:cs="仿宋"/>
                <w:sz w:val="24"/>
                <w:szCs w:val="24"/>
              </w:rPr>
              <w:t>提供脚本优化、拍摄、后期剪辑、包装等服务工作。</w:t>
            </w:r>
          </w:p>
          <w:p w14:paraId="1C020025">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lang w:eastAsia="zh-CN"/>
              </w:rPr>
            </w:pPr>
            <w:r>
              <w:rPr>
                <w:rFonts w:hint="eastAsia" w:ascii="仿宋" w:hAnsi="仿宋" w:eastAsia="仿宋" w:cs="仿宋"/>
                <w:sz w:val="24"/>
                <w:szCs w:val="24"/>
              </w:rPr>
              <w:t>（3）拍摄场地要求：能够提供就近拍摄场地，方便教师课程拍摄。拍摄方式要根据课程内容，采用1-2个机位拍摄，质量达到精品在线开放课程要求</w:t>
            </w:r>
            <w:r>
              <w:rPr>
                <w:rFonts w:hint="eastAsia" w:ascii="仿宋" w:hAnsi="仿宋" w:eastAsia="仿宋" w:cs="仿宋"/>
                <w:sz w:val="24"/>
                <w:szCs w:val="24"/>
                <w:lang w:eastAsia="zh-CN"/>
              </w:rPr>
              <w:t>。</w:t>
            </w:r>
          </w:p>
          <w:p w14:paraId="0A02ADC0">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lang w:eastAsia="zh-CN"/>
              </w:rPr>
            </w:pPr>
            <w:r>
              <w:rPr>
                <w:rFonts w:hint="eastAsia" w:ascii="仿宋" w:hAnsi="仿宋" w:eastAsia="仿宋" w:cs="仿宋"/>
                <w:sz w:val="24"/>
                <w:szCs w:val="24"/>
              </w:rPr>
              <w:t>（4）拍摄人员要求：拍摄及后期剪辑相关技术人员应具有相关项目多年从业经验</w:t>
            </w:r>
            <w:r>
              <w:rPr>
                <w:rFonts w:hint="eastAsia" w:ascii="仿宋" w:hAnsi="仿宋" w:eastAsia="仿宋" w:cs="仿宋"/>
                <w:sz w:val="24"/>
                <w:szCs w:val="24"/>
                <w:lang w:eastAsia="zh-CN"/>
              </w:rPr>
              <w:t>。</w:t>
            </w:r>
          </w:p>
          <w:p w14:paraId="7F622808">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（5）拍摄准备要求</w:t>
            </w:r>
          </w:p>
          <w:p w14:paraId="17921AE4">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a.视频技术主管根据教师课程设计帮助老师选择设定最合适的拍摄方案，并制定完善的拍摄计划。</w:t>
            </w:r>
          </w:p>
          <w:p w14:paraId="38F42CD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b.安排专人协助教师搜集各类课程资料和辅助资源，包括图片、视频、文档等。</w:t>
            </w:r>
          </w:p>
          <w:p w14:paraId="4838287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c.为教师提供形态仪表着装的建议和培训。</w:t>
            </w:r>
          </w:p>
          <w:p w14:paraId="69563A31">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（6）拍摄设备配备：配备一到二台专业级高清摄像机拍摄，高清分辨率1920*1080模式，采用专业一拖一或一拖二收音麦进行声音录制。</w:t>
            </w:r>
          </w:p>
          <w:p w14:paraId="201CFBBC">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（7）视频相关指标：</w:t>
            </w:r>
          </w:p>
          <w:p w14:paraId="74FA9670">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a.全片图像同步性能稳定，不出现空画面。画面无明显抖动跳跃、摇晃、倾斜、虚焦、噪点、色彩突变等现象，编辑点处图像稳定。</w:t>
            </w:r>
          </w:p>
          <w:p w14:paraId="5311218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b.视频色调白平衡正确，无明显偏色，多机拍摄的镜头衔接处无明显色差。曝光适当，灯光运用合理，无阴影，无布光不均现象。</w:t>
            </w:r>
          </w:p>
          <w:p w14:paraId="67A38AFB">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c.视频图像信噪比不低于55dB，无明显杂波。</w:t>
            </w:r>
          </w:p>
          <w:p w14:paraId="79FD5CC4">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d.视频压缩采用H.264/AVC (MPEG-4 Part10）编码，MP4格式，最低码率不得低于1024Kbps。</w:t>
            </w:r>
          </w:p>
          <w:p w14:paraId="1627F671">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e.视频拍摄前期采用高清16:9，拍摄分辨率设定为1920*1080，在同一课程中，各讲的视频分辨率和画幅的宽高比应统一，不得混用。</w:t>
            </w:r>
          </w:p>
          <w:p w14:paraId="45850B1F">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f.视频画幅宽高比：视频画幅宽高比为16:9，分辨率设定不低于1280×720。</w:t>
            </w:r>
          </w:p>
          <w:p w14:paraId="6FDB1409">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g.视频帧率不低于25帧/秒，扫描方式采用逐行扫描。</w:t>
            </w:r>
          </w:p>
          <w:p w14:paraId="3A201BCD">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h录像环境光线充足、安静，教师衣着得体，讲话清晰，板书清楚。</w:t>
            </w:r>
          </w:p>
          <w:p w14:paraId="47F3339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（8）音频相关指标</w:t>
            </w:r>
          </w:p>
          <w:p w14:paraId="527E3B2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a.音频压缩采H.264/ AAC(MPEG4Part3）格式编码，采样率不低于48KHz，音频码流率不低于128Kbps，音频信噪比不低于48db。双声道立体声。</w:t>
            </w:r>
          </w:p>
          <w:p w14:paraId="2CD283D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b.声音和画面要求同步，无交流声或其他杂音等缺陷。</w:t>
            </w:r>
          </w:p>
          <w:p w14:paraId="606C1E4D">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c.伴音清晰、饱满、圆润，无失真、噪声杂音干扰、音量忽大忽小现象。解说声与现场声无明显比例失调，解说声与背景音乐无明显比例失调。</w:t>
            </w:r>
          </w:p>
          <w:p w14:paraId="40804B27">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（9）片头片尾字幕相关指标</w:t>
            </w:r>
          </w:p>
          <w:p w14:paraId="71D44235">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a.片头不超过10秒，应包括：学校LOGO、课程名称、讲次、主讲教师姓名、单位等信息。</w:t>
            </w:r>
          </w:p>
          <w:p w14:paraId="5BCDFC7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b.根据要求在视频画面中添加LOGO角标，角标模板由采购人单位职能部门提供。</w:t>
            </w:r>
          </w:p>
          <w:p w14:paraId="072133EE">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c.内嵌字幕相关指标：要使用符合国家标准的规范字。</w:t>
            </w:r>
          </w:p>
          <w:p w14:paraId="3A0CC07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（10）文件格式：*.mp4。</w:t>
            </w:r>
          </w:p>
          <w:p w14:paraId="2666BA79">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4、二维动画</w:t>
            </w:r>
          </w:p>
          <w:p w14:paraId="7130C04C">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（1）采用图、文、影、音等多媒体形式对零件的功用、类型、结构、原理等知识进行生动展示、深入解析，帮助学生对抽象、难懂的知识点理解、记忆。</w:t>
            </w:r>
          </w:p>
          <w:p w14:paraId="4EF72762">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（2）输出尺寸：1280×720及以上。</w:t>
            </w:r>
          </w:p>
          <w:p w14:paraId="4CF9F868">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（3）时间长度：每个</w:t>
            </w:r>
            <w:r>
              <w:rPr>
                <w:rFonts w:hint="eastAsia" w:ascii="仿宋" w:hAnsi="仿宋" w:eastAsia="仿宋" w:cs="仿宋"/>
                <w:sz w:val="24"/>
                <w:szCs w:val="24"/>
                <w:lang w:val="en-US" w:eastAsia="zh-CN"/>
              </w:rPr>
              <w:t>6</w:t>
            </w:r>
            <w:r>
              <w:rPr>
                <w:rFonts w:hint="eastAsia" w:ascii="仿宋" w:hAnsi="仿宋" w:eastAsia="仿宋" w:cs="仿宋"/>
                <w:sz w:val="24"/>
                <w:szCs w:val="24"/>
              </w:rPr>
              <w:t>0～</w:t>
            </w:r>
            <w:r>
              <w:rPr>
                <w:rFonts w:hint="eastAsia" w:ascii="仿宋" w:hAnsi="仿宋" w:eastAsia="仿宋" w:cs="仿宋"/>
                <w:sz w:val="24"/>
                <w:szCs w:val="24"/>
                <w:lang w:val="en-US" w:eastAsia="zh-CN"/>
              </w:rPr>
              <w:t>12</w:t>
            </w:r>
            <w:r>
              <w:rPr>
                <w:rFonts w:hint="eastAsia" w:ascii="仿宋" w:hAnsi="仿宋" w:eastAsia="仿宋" w:cs="仿宋"/>
                <w:sz w:val="24"/>
                <w:szCs w:val="24"/>
              </w:rPr>
              <w:t>0秒。</w:t>
            </w:r>
          </w:p>
          <w:p w14:paraId="431CAE11">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（4）选用字体时尽量避免文字残损，字体大小根据文字多少进行调节。</w:t>
            </w:r>
          </w:p>
          <w:p w14:paraId="731161FC">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（5）文字要醒目，避免使用与背景色相近的颜色。</w:t>
            </w:r>
          </w:p>
          <w:p w14:paraId="18382CDC">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（6）根据动画的内容和使用对象的特点来确定整体色彩和色调。</w:t>
            </w:r>
          </w:p>
          <w:p w14:paraId="05674175">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（7）画面简洁清晰。</w:t>
            </w:r>
          </w:p>
          <w:p w14:paraId="698EFDCD">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（8）如果需要交互，尽量根据内容的实际需求，设计较强的交互功能，促进访问者参与互动，但交互要合理设计。</w:t>
            </w:r>
          </w:p>
          <w:p w14:paraId="2A6E12A6">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（9）动画演播过程要求流畅，尽量减少Shape形变的使用。</w:t>
            </w:r>
          </w:p>
          <w:p w14:paraId="715A66B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（10）动画连续，节奏合适，提供进度控制条。</w:t>
            </w:r>
          </w:p>
          <w:p w14:paraId="5CBE4F87">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（11）在动画中不同位置使用的导航按钮风格一致或使用相同的按钮。</w:t>
            </w:r>
          </w:p>
          <w:p w14:paraId="6347DF88">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（12）帧速度：25～30帧/秒。</w:t>
            </w:r>
          </w:p>
          <w:p w14:paraId="329EF92C">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（13）文件格式：*.swf或*.html或*.mp4。</w:t>
            </w:r>
          </w:p>
          <w:p w14:paraId="2A7FE40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bookmarkStart w:id="9" w:name="OLE_LINK6"/>
            <w:r>
              <w:rPr>
                <w:rFonts w:hint="eastAsia" w:ascii="仿宋" w:hAnsi="仿宋" w:eastAsia="仿宋" w:cs="仿宋"/>
                <w:sz w:val="24"/>
                <w:szCs w:val="24"/>
              </w:rPr>
              <w:t>（14）为了考查供应商的技术实力，供应商需展示课程相关二维动画资源，供应商可参考下面内容准备:</w:t>
            </w:r>
          </w:p>
          <w:bookmarkEnd w:id="9"/>
          <w:p w14:paraId="4E2BCA36">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①电池容量：采用动画形式展示电池容量的概念。</w:t>
            </w:r>
            <w:r>
              <w:rPr>
                <w:rFonts w:hint="eastAsia" w:ascii="仿宋" w:hAnsi="仿宋" w:eastAsia="仿宋" w:cs="仿宋"/>
                <w:b/>
                <w:bCs/>
                <w:sz w:val="24"/>
                <w:szCs w:val="24"/>
              </w:rPr>
              <w:t>（投标文件中提供资源截图）</w:t>
            </w:r>
          </w:p>
          <w:p w14:paraId="6523370D">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②人员防触电措施：采用动画形式介绍人员防触电时的具体措施。</w:t>
            </w:r>
            <w:r>
              <w:rPr>
                <w:rFonts w:hint="eastAsia" w:ascii="仿宋" w:hAnsi="仿宋" w:eastAsia="仿宋" w:cs="仿宋"/>
                <w:b/>
                <w:bCs/>
                <w:sz w:val="24"/>
                <w:szCs w:val="24"/>
              </w:rPr>
              <w:t>（投标文件中提供资源截图）</w:t>
            </w:r>
          </w:p>
          <w:p w14:paraId="63F7BFAB">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③绝缘监测原理：采用动画形式介绍绝缘监测原理。</w:t>
            </w:r>
            <w:r>
              <w:rPr>
                <w:rFonts w:hint="eastAsia" w:ascii="仿宋" w:hAnsi="仿宋" w:eastAsia="仿宋" w:cs="仿宋"/>
                <w:b/>
                <w:bCs/>
                <w:sz w:val="24"/>
                <w:szCs w:val="24"/>
              </w:rPr>
              <w:t>（投标文件中提供资源截图）</w:t>
            </w:r>
          </w:p>
          <w:p w14:paraId="1DB0C95A">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④新能源汽车动力电池性能参数认知：</w:t>
            </w:r>
            <w:bookmarkStart w:id="10" w:name="OLE_LINK27"/>
            <w:r>
              <w:rPr>
                <w:rFonts w:hint="eastAsia" w:ascii="仿宋" w:hAnsi="仿宋" w:eastAsia="仿宋" w:cs="仿宋"/>
                <w:sz w:val="24"/>
                <w:szCs w:val="24"/>
              </w:rPr>
              <w:t>采用动画形式</w:t>
            </w:r>
            <w:bookmarkEnd w:id="10"/>
            <w:r>
              <w:rPr>
                <w:rFonts w:hint="eastAsia" w:ascii="仿宋" w:hAnsi="仿宋" w:eastAsia="仿宋" w:cs="仿宋"/>
                <w:sz w:val="24"/>
                <w:szCs w:val="24"/>
              </w:rPr>
              <w:t>展示新能源汽车动力电池的各项性能参数，包括电压、容量、能量与能量密度、内阻等内容。</w:t>
            </w:r>
            <w:r>
              <w:rPr>
                <w:rFonts w:hint="eastAsia" w:ascii="仿宋" w:hAnsi="仿宋" w:eastAsia="仿宋" w:cs="仿宋"/>
                <w:b/>
                <w:bCs/>
                <w:sz w:val="24"/>
                <w:szCs w:val="24"/>
              </w:rPr>
              <w:t>（投标文件中提供资源截图）</w:t>
            </w:r>
          </w:p>
          <w:p w14:paraId="24902BEB">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5、课程思政视频</w:t>
            </w:r>
          </w:p>
          <w:p w14:paraId="7428E671">
            <w:pPr>
              <w:keepNext w:val="0"/>
              <w:keepLines w:val="0"/>
              <w:suppressLineNumbers w:val="0"/>
              <w:adjustRightInd w:val="0"/>
              <w:snapToGrid w:val="0"/>
              <w:spacing w:before="0" w:beforeAutospacing="0" w:after="0" w:afterAutospacing="0" w:line="300" w:lineRule="auto"/>
              <w:ind w:left="0" w:right="0"/>
              <w:jc w:val="left"/>
              <w:rPr>
                <w:rFonts w:hint="eastAsia" w:ascii="仿宋" w:hAnsi="仿宋" w:eastAsia="仿宋" w:cs="仿宋"/>
                <w:sz w:val="24"/>
                <w:szCs w:val="24"/>
              </w:rPr>
            </w:pPr>
            <w:r>
              <w:rPr>
                <w:rFonts w:hint="eastAsia" w:ascii="仿宋" w:hAnsi="仿宋" w:eastAsia="仿宋" w:cs="仿宋"/>
                <w:sz w:val="24"/>
                <w:szCs w:val="24"/>
              </w:rPr>
              <w:t>（1）从大国工匠、劳动教育、工匠精神、职业规范、安全意识等方面精选思政切入点，结合专业课程内容开发课程思政视频。</w:t>
            </w:r>
          </w:p>
          <w:p w14:paraId="428E9B0D">
            <w:pPr>
              <w:keepNext w:val="0"/>
              <w:keepLines w:val="0"/>
              <w:suppressLineNumbers w:val="0"/>
              <w:adjustRightInd w:val="0"/>
              <w:snapToGrid w:val="0"/>
              <w:spacing w:before="0" w:beforeAutospacing="0" w:after="0" w:afterAutospacing="0" w:line="300" w:lineRule="auto"/>
              <w:ind w:left="0" w:right="0"/>
              <w:jc w:val="left"/>
              <w:rPr>
                <w:rFonts w:hint="eastAsia" w:ascii="仿宋" w:hAnsi="仿宋" w:eastAsia="仿宋" w:cs="仿宋"/>
                <w:sz w:val="24"/>
                <w:szCs w:val="24"/>
              </w:rPr>
            </w:pPr>
            <w:r>
              <w:rPr>
                <w:rFonts w:hint="eastAsia" w:ascii="仿宋" w:hAnsi="仿宋" w:eastAsia="仿宋" w:cs="仿宋"/>
                <w:sz w:val="24"/>
                <w:szCs w:val="24"/>
              </w:rPr>
              <w:t>（2）根据教师提供的专业教学内容脚本，服务商提供脚本优化、素材搜集、视频拍摄、后期制作、特效包装等服务工作；</w:t>
            </w:r>
          </w:p>
          <w:p w14:paraId="46A93764">
            <w:pPr>
              <w:keepNext w:val="0"/>
              <w:keepLines w:val="0"/>
              <w:suppressLineNumbers w:val="0"/>
              <w:adjustRightInd w:val="0"/>
              <w:snapToGrid w:val="0"/>
              <w:spacing w:before="0" w:beforeAutospacing="0" w:after="0" w:afterAutospacing="0" w:line="300" w:lineRule="auto"/>
              <w:ind w:left="0" w:right="0"/>
              <w:jc w:val="left"/>
              <w:rPr>
                <w:rFonts w:hint="eastAsia" w:ascii="仿宋" w:hAnsi="仿宋" w:eastAsia="仿宋" w:cs="仿宋"/>
                <w:sz w:val="24"/>
                <w:szCs w:val="24"/>
              </w:rPr>
            </w:pPr>
            <w:r>
              <w:rPr>
                <w:rFonts w:hint="eastAsia" w:ascii="仿宋" w:hAnsi="仿宋" w:eastAsia="仿宋" w:cs="仿宋"/>
                <w:sz w:val="24"/>
                <w:szCs w:val="24"/>
              </w:rPr>
              <w:t>（3）全片图像同步性能稳定，不出现空画面。画面无明显抖动跳跃、摇晃、倾斜、虚焦、噪点、色彩突变等现象，编辑点处图像稳定；</w:t>
            </w:r>
          </w:p>
          <w:p w14:paraId="648CB284">
            <w:pPr>
              <w:keepNext w:val="0"/>
              <w:keepLines w:val="0"/>
              <w:suppressLineNumbers w:val="0"/>
              <w:adjustRightInd w:val="0"/>
              <w:snapToGrid w:val="0"/>
              <w:spacing w:before="0" w:beforeAutospacing="0" w:after="0" w:afterAutospacing="0" w:line="300" w:lineRule="auto"/>
              <w:ind w:left="0" w:right="0"/>
              <w:jc w:val="left"/>
              <w:rPr>
                <w:rFonts w:hint="eastAsia" w:ascii="仿宋" w:hAnsi="仿宋" w:eastAsia="仿宋" w:cs="仿宋"/>
                <w:sz w:val="24"/>
                <w:szCs w:val="24"/>
              </w:rPr>
            </w:pPr>
            <w:r>
              <w:rPr>
                <w:rFonts w:hint="eastAsia" w:ascii="仿宋" w:hAnsi="仿宋" w:eastAsia="仿宋" w:cs="仿宋"/>
                <w:sz w:val="24"/>
                <w:szCs w:val="24"/>
              </w:rPr>
              <w:t>（4）视频压缩采用H.264/AVC （MPEG-4 Part10）编码，MP4 格式，最低码率不得低于1024Kbps；</w:t>
            </w:r>
          </w:p>
          <w:p w14:paraId="0680A0BD">
            <w:pPr>
              <w:keepNext w:val="0"/>
              <w:keepLines w:val="0"/>
              <w:suppressLineNumbers w:val="0"/>
              <w:adjustRightInd w:val="0"/>
              <w:snapToGrid w:val="0"/>
              <w:spacing w:before="0" w:beforeAutospacing="0" w:after="0" w:afterAutospacing="0" w:line="300" w:lineRule="auto"/>
              <w:ind w:left="0" w:right="0"/>
              <w:jc w:val="left"/>
              <w:rPr>
                <w:rFonts w:hint="eastAsia" w:ascii="仿宋" w:hAnsi="仿宋" w:eastAsia="仿宋" w:cs="仿宋"/>
                <w:sz w:val="24"/>
                <w:szCs w:val="24"/>
              </w:rPr>
            </w:pPr>
            <w:r>
              <w:rPr>
                <w:rFonts w:hint="eastAsia" w:ascii="仿宋" w:hAnsi="仿宋" w:eastAsia="仿宋" w:cs="仿宋"/>
                <w:sz w:val="24"/>
                <w:szCs w:val="24"/>
              </w:rPr>
              <w:t>（5）视频画幅宽高比：视频画幅宽高比为16:9，分辨率设定不低于1280×720；</w:t>
            </w:r>
          </w:p>
          <w:p w14:paraId="2A6B3A23">
            <w:pPr>
              <w:keepNext w:val="0"/>
              <w:keepLines w:val="0"/>
              <w:suppressLineNumbers w:val="0"/>
              <w:adjustRightInd w:val="0"/>
              <w:snapToGrid w:val="0"/>
              <w:spacing w:before="0" w:beforeAutospacing="0" w:after="0" w:afterAutospacing="0" w:line="300" w:lineRule="auto"/>
              <w:ind w:left="0" w:right="0"/>
              <w:jc w:val="left"/>
              <w:rPr>
                <w:rFonts w:hint="eastAsia" w:ascii="仿宋" w:hAnsi="仿宋" w:eastAsia="仿宋" w:cs="仿宋"/>
                <w:sz w:val="24"/>
                <w:szCs w:val="24"/>
              </w:rPr>
            </w:pPr>
            <w:r>
              <w:rPr>
                <w:rFonts w:hint="eastAsia" w:ascii="仿宋" w:hAnsi="仿宋" w:eastAsia="仿宋" w:cs="仿宋"/>
                <w:sz w:val="24"/>
                <w:szCs w:val="24"/>
              </w:rPr>
              <w:t>（6）视频帧率不低于25帧/秒，扫描方式采用逐行扫描。</w:t>
            </w:r>
          </w:p>
          <w:p w14:paraId="533E382B">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（7）文件格式：*.mp4。</w:t>
            </w:r>
          </w:p>
          <w:p w14:paraId="473CE2EB">
            <w:pPr>
              <w:keepNext w:val="0"/>
              <w:keepLines w:val="0"/>
              <w:suppressLineNumbers w:val="0"/>
              <w:spacing w:before="0" w:beforeAutospacing="0" w:after="0" w:afterAutospacing="0"/>
              <w:ind w:left="0" w:right="0"/>
              <w:rPr>
                <w:rFonts w:hint="eastAsia" w:ascii="仿宋" w:hAnsi="仿宋" w:eastAsia="仿宋" w:cs="仿宋"/>
                <w:b/>
                <w:bCs/>
                <w:sz w:val="24"/>
                <w:szCs w:val="24"/>
              </w:rPr>
            </w:pPr>
            <w:r>
              <w:rPr>
                <w:rFonts w:hint="eastAsia" w:ascii="仿宋" w:hAnsi="仿宋" w:eastAsia="仿宋" w:cs="仿宋"/>
                <w:sz w:val="24"/>
                <w:szCs w:val="24"/>
              </w:rPr>
              <w:t>（8）文件时长：2-4分钟/个，总时长不少于10分钟。</w:t>
            </w:r>
          </w:p>
          <w:p w14:paraId="6103AA91">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6、课程概述视频</w:t>
            </w:r>
          </w:p>
          <w:p w14:paraId="3391D4A7">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（1）为达到更好地宣传推广目的，根据课程特色，制作片长5-10分钟的课程概述视频；</w:t>
            </w:r>
          </w:p>
          <w:p w14:paraId="607E7FA0">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（2）课程概述视频包含的元素有：教师团队介绍、课程教学目标、内容简介、评价方式、课程特色等；</w:t>
            </w:r>
          </w:p>
          <w:p w14:paraId="22C540DD">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（3）供应商需要根据教师提供的宣传片脚本，进行内容优化，辅助搜集视频素材，进行相关内容的拍摄录制，形成成品；</w:t>
            </w:r>
          </w:p>
          <w:p w14:paraId="28E12CE7">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（4）视频压缩采用H.264/AVC (MPEG-4 Part10）编码，MP4格式，最低码率不得低于1024Kbps；</w:t>
            </w:r>
          </w:p>
          <w:p w14:paraId="29C2CA48">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（5）视频拍摄前期采用高清16:9，拍摄分辨率设定为1920*1080，在同一课程中，各讲的视频分辨率和画幅的宽高比应统一，不得混用。</w:t>
            </w:r>
          </w:p>
          <w:p w14:paraId="72B518CA">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（6）视频帧率不低于25帧/秒，扫描方式采用逐行扫描；</w:t>
            </w:r>
          </w:p>
          <w:p w14:paraId="06DD9341">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（7）输出尺寸：1280×720及以上。</w:t>
            </w:r>
          </w:p>
          <w:p w14:paraId="06EABEAF">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（8）文件格式：*.mp4。</w:t>
            </w:r>
          </w:p>
          <w:p w14:paraId="2DE0204C">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7、学习工作页</w:t>
            </w:r>
          </w:p>
          <w:p w14:paraId="300ECCD2">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（1）围绕教学任务开发配套学习工作页，用于引导、记录、评测学生的学习过程，培养学生的学习自觉性，辅助学生通过自主学习实现高效能的学习。</w:t>
            </w:r>
          </w:p>
          <w:p w14:paraId="3BAC5DD2">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（2）根据教师提供的专业知识文档以及教学需求，</w:t>
            </w:r>
            <w:r>
              <w:rPr>
                <w:rFonts w:hint="eastAsia" w:ascii="仿宋" w:hAnsi="仿宋" w:eastAsia="仿宋" w:cs="仿宋"/>
                <w:sz w:val="24"/>
                <w:szCs w:val="24"/>
                <w:lang w:val="en-US" w:eastAsia="zh-CN"/>
              </w:rPr>
              <w:t>供应商</w:t>
            </w:r>
            <w:r>
              <w:rPr>
                <w:rFonts w:hint="eastAsia" w:ascii="仿宋" w:hAnsi="仿宋" w:eastAsia="仿宋" w:cs="仿宋"/>
                <w:sz w:val="24"/>
                <w:szCs w:val="24"/>
              </w:rPr>
              <w:t>进行实训工作页开发、排版美化的工作。</w:t>
            </w:r>
          </w:p>
          <w:p w14:paraId="4E787EBD">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（3）文件格式：*.doc、*.docx或*.pdf。</w:t>
            </w:r>
          </w:p>
          <w:p w14:paraId="732F8546">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8、题库</w:t>
            </w:r>
          </w:p>
          <w:p w14:paraId="0CD2F364">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（1）围绕课程内容开发配套题库，包含单选题、多选题、问答题等多种类型，测试点明确、全面，作为教师对学生进行课前、课中或课后学习评价的依据。</w:t>
            </w:r>
          </w:p>
          <w:p w14:paraId="4FD2480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（2）每个知识点/技能点3～5道题，每门课程保证≥</w:t>
            </w:r>
            <w:r>
              <w:rPr>
                <w:rFonts w:hint="eastAsia" w:ascii="仿宋" w:hAnsi="仿宋" w:eastAsia="仿宋" w:cs="仿宋"/>
                <w:sz w:val="24"/>
                <w:szCs w:val="24"/>
                <w:lang w:val="en-US" w:eastAsia="zh-CN"/>
              </w:rPr>
              <w:t>4</w:t>
            </w:r>
            <w:r>
              <w:rPr>
                <w:rFonts w:hint="eastAsia" w:ascii="仿宋" w:hAnsi="仿宋" w:eastAsia="仿宋" w:cs="仿宋"/>
                <w:sz w:val="24"/>
                <w:szCs w:val="24"/>
              </w:rPr>
              <w:t>00道试题，并配套2套综合试卷，试题附带正确答案。</w:t>
            </w:r>
          </w:p>
          <w:p w14:paraId="65D408A6">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sz w:val="24"/>
                <w:szCs w:val="24"/>
              </w:rPr>
            </w:pPr>
            <w:r>
              <w:rPr>
                <w:rFonts w:hint="eastAsia" w:ascii="仿宋" w:hAnsi="仿宋" w:eastAsia="仿宋" w:cs="仿宋"/>
                <w:sz w:val="24"/>
                <w:szCs w:val="24"/>
              </w:rPr>
              <w:t>（3）制作要求：形成word或excel文档，按统一的模板编辑。</w:t>
            </w:r>
          </w:p>
          <w:p w14:paraId="03B94B03">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
                <w:b/>
                <w:bCs/>
                <w:sz w:val="24"/>
                <w:szCs w:val="24"/>
              </w:rPr>
            </w:pPr>
            <w:r>
              <w:rPr>
                <w:rFonts w:hint="eastAsia" w:ascii="仿宋" w:hAnsi="仿宋" w:eastAsia="仿宋" w:cs="仿宋"/>
                <w:b/>
                <w:bCs/>
                <w:sz w:val="24"/>
                <w:szCs w:val="24"/>
              </w:rPr>
              <w:t>9、新能源汽车驱动电机虚拟性能检测实训系统</w:t>
            </w:r>
          </w:p>
          <w:p w14:paraId="79C73979">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
                <w:sz w:val="24"/>
                <w:szCs w:val="24"/>
              </w:rPr>
            </w:pPr>
            <w:r>
              <w:rPr>
                <w:rFonts w:hint="eastAsia" w:ascii="仿宋" w:hAnsi="仿宋" w:eastAsia="仿宋" w:cs="仿宋"/>
                <w:b/>
                <w:sz w:val="24"/>
                <w:szCs w:val="24"/>
              </w:rPr>
              <w:t>9-1、功能要求</w:t>
            </w:r>
          </w:p>
          <w:p w14:paraId="686492F0">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新能源汽车驱动电机虚拟性能检测实训系统根据教学设计要求分为三种教学模式，分别为演示模式、训练模式、考核模式，其中演示模式主要是辅助教师进行实训任务示教使用，训练模式是学生完成实训任务的训练，考核模式是学生完成实训任务的考核。</w:t>
            </w:r>
          </w:p>
          <w:p w14:paraId="2BE93303">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（1）演示模式</w:t>
            </w:r>
          </w:p>
          <w:p w14:paraId="66F68539">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①教学任务选择：可选择准备工作、驱动电机性能检测两个任务。</w:t>
            </w:r>
          </w:p>
          <w:p w14:paraId="33D68780">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②操作步骤工单：依据维修手册，软件界面左侧会显示每个任务的操作步骤。</w:t>
            </w:r>
          </w:p>
          <w:p w14:paraId="702F3527">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③部件提示：每一步骤中需操作的部件，通过高亮显示操作部件的外轮廓，进行提示。</w:t>
            </w:r>
          </w:p>
          <w:p w14:paraId="4F75C0F7">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④自动操作：使用自动操作功能，可自动操作当前选定步骤的实训内容。</w:t>
            </w:r>
          </w:p>
          <w:p w14:paraId="4715D541">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⑤工量表：提供万用表、兆欧表检测工具。</w:t>
            </w:r>
          </w:p>
          <w:p w14:paraId="60B9219D">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⑥准备工作：对实训场地进行安全性布置，对工量具进行作业前的检查；主要包括设置隔离栏、设置警示牌、检查灭火器压力值、检查绝缘手套、检查防电池电解液酸碱性手套、检查护目镜、检查安全帽、检查数字绝缘测试仪、检查绝缘垫绝缘性、检查数字万用表、穿戴防护装备。</w:t>
            </w:r>
          </w:p>
          <w:p w14:paraId="58C11A60">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⑦驱动电机性能检测：对驱动电机实训台的性能进行检测，主要包括检查外观、检查标识、检查电机空转情况、检查电机冷却回路密封性、检查电机冷态绝缘电阻、检查电机绕组是否短路、检查电机绕组是否断路、检测旋变传感器绕组阻值、检测温度传感器阻值。</w:t>
            </w:r>
          </w:p>
          <w:p w14:paraId="6AC28CD1">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⑧检测工单：对部分部件检测的情况判定的数据填写和记录。</w:t>
            </w:r>
          </w:p>
          <w:p w14:paraId="6D929591">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（2）训练模式</w:t>
            </w:r>
          </w:p>
          <w:p w14:paraId="4B0EAF25">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①操作步骤工单：依据维修手册，软件界面左侧会显示每个任务的操作步骤。</w:t>
            </w:r>
          </w:p>
          <w:p w14:paraId="09974658">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②部件提示：每一步骤中需操作的部件，通过高亮显示操作部件的外轮廓，进行提示。</w:t>
            </w:r>
          </w:p>
          <w:p w14:paraId="3BE8EE08">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③工量表：提供万用表、兆欧表检测工具。</w:t>
            </w:r>
          </w:p>
          <w:p w14:paraId="439A1431">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④准备工作：对实训场地进行安全性布置，对工量具进行作业前的检查，检查内容同演示模式。</w:t>
            </w:r>
          </w:p>
          <w:p w14:paraId="3C261C5B">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⑤驱动电机性能检测：对驱动电机实训台的性能进行检测，检测内容同演示模式。</w:t>
            </w:r>
          </w:p>
          <w:p w14:paraId="7370BF69">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⑥检测工单：对部分部件检测的情况判定的数据填写和记录。</w:t>
            </w:r>
          </w:p>
          <w:p w14:paraId="4449AD8A">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⑦操作评分：学生在完成实训任务操作后，软件即时评价，方便学生知道自己的实训成绩。</w:t>
            </w:r>
          </w:p>
          <w:p w14:paraId="4FBF73B9">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（3）考核模式</w:t>
            </w:r>
          </w:p>
          <w:p w14:paraId="38AD7216">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①工量表：提供万用表、兆欧表检测工具。</w:t>
            </w:r>
          </w:p>
          <w:p w14:paraId="694BB8FD">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②准备工作：对实训场地进行安全性布置，对工量具进行作业前的检查，检查内容同演示模式。</w:t>
            </w:r>
          </w:p>
          <w:p w14:paraId="303C8FB5">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③驱动电机性能检测：对驱动电机实训台的性能进行检测，检测内容同演示模式。</w:t>
            </w:r>
          </w:p>
          <w:p w14:paraId="4F6D8A50">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④检测工单：对部分部件检测的情况判定的数据填写和记录。</w:t>
            </w:r>
          </w:p>
          <w:p w14:paraId="505D68EA">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⑤考核得分：完成实训任务后，软件即时对学生的考核情况进行评分。</w:t>
            </w:r>
          </w:p>
          <w:p w14:paraId="622EED96">
            <w:pPr>
              <w:pStyle w:val="12"/>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⑥考核倒计时：根据设置的考试时间进行倒计时，时间结束后，自动提交考核。</w:t>
            </w:r>
          </w:p>
          <w:p w14:paraId="71EC3A27">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
                <w:sz w:val="24"/>
                <w:szCs w:val="24"/>
              </w:rPr>
            </w:pPr>
            <w:r>
              <w:rPr>
                <w:rFonts w:hint="eastAsia" w:ascii="仿宋" w:hAnsi="仿宋" w:eastAsia="仿宋" w:cs="仿宋"/>
                <w:b/>
                <w:sz w:val="24"/>
                <w:szCs w:val="24"/>
              </w:rPr>
              <w:t>9-1、教学项目</w:t>
            </w:r>
          </w:p>
          <w:p w14:paraId="0F487A70">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sz w:val="24"/>
                <w:szCs w:val="24"/>
              </w:rPr>
            </w:pPr>
            <w:r>
              <w:rPr>
                <w:rFonts w:hint="eastAsia" w:ascii="仿宋" w:hAnsi="仿宋" w:eastAsia="仿宋" w:cs="仿宋"/>
                <w:sz w:val="24"/>
                <w:szCs w:val="24"/>
              </w:rPr>
              <w:t>（1）根据驱动电机性能检测的学习和实训要求，可设置故障点内容如下：</w:t>
            </w:r>
          </w:p>
          <w:p w14:paraId="6BCF60AB">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
                <w:bCs/>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准备工作：灭火器故障、数字绝缘测试仪校零不准、万用表校零不准、绝缘垫绝缘故障、安全帽有破损、护目镜有破损、安全帽有凹陷、绝缘手套有破损</w:t>
            </w:r>
            <w:r>
              <w:rPr>
                <w:rFonts w:hint="eastAsia" w:ascii="仿宋" w:hAnsi="仿宋" w:eastAsia="仿宋" w:cs="仿宋"/>
                <w:sz w:val="24"/>
                <w:szCs w:val="24"/>
                <w:lang w:eastAsia="zh-CN"/>
              </w:rPr>
              <w:t>。</w:t>
            </w:r>
            <w:r>
              <w:rPr>
                <w:rFonts w:hint="eastAsia" w:ascii="仿宋" w:hAnsi="仿宋" w:eastAsia="仿宋" w:cs="仿宋"/>
                <w:b/>
                <w:bCs/>
                <w:sz w:val="24"/>
                <w:szCs w:val="24"/>
              </w:rPr>
              <w:t>（投标文件中提供软件功能截图）</w:t>
            </w:r>
          </w:p>
          <w:p w14:paraId="64CCBFC3">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
                <w:bCs/>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驱动电机性能检测：温度传感器异常、旋转变压器励磁绕组阻值异常、旋转变压器余弦绕组阻值异常、旋转变压器正弦绕组阻值异常、电机W相-电机U相绕组断路、电机V相-电机W相绕组断路、电机U相-电机V相绕组断路、电机W相-电机U相绕组短路、电机V相-电机W相绕组短路、电机U相-电机V相绕组短路、电机W相-温度传感器绝缘故障、电机V相-温度传感器绝缘故障、电机U相-温度传感器绝缘故障、电机W相-电机壳体绝缘故障、电机V相-电机壳体绝缘故障、电机U相-电机壳体绝缘故障、电机冷却回路漏气、电机旋转异响、电机接线端有破损、电机涂覆层有剥落现象、电机紧固件连接不牢靠、电机外观有划痕、电机外观有碰伤、电机外观有锈蚀。</w:t>
            </w:r>
            <w:r>
              <w:rPr>
                <w:rFonts w:hint="eastAsia" w:ascii="仿宋" w:hAnsi="仿宋" w:eastAsia="仿宋" w:cs="仿宋"/>
                <w:b/>
                <w:bCs/>
                <w:sz w:val="24"/>
                <w:szCs w:val="24"/>
              </w:rPr>
              <w:t>（投标文件中提供</w:t>
            </w:r>
            <w:r>
              <w:rPr>
                <w:rFonts w:hint="eastAsia" w:ascii="仿宋" w:hAnsi="仿宋" w:eastAsia="仿宋" w:cs="仿宋"/>
                <w:b/>
                <w:bCs/>
                <w:sz w:val="24"/>
                <w:szCs w:val="24"/>
                <w:lang w:eastAsia="zh-CN"/>
              </w:rPr>
              <w:t>部分</w:t>
            </w:r>
            <w:r>
              <w:rPr>
                <w:rFonts w:hint="eastAsia" w:ascii="仿宋" w:hAnsi="仿宋" w:eastAsia="仿宋" w:cs="仿宋"/>
                <w:b/>
                <w:bCs/>
                <w:sz w:val="24"/>
                <w:szCs w:val="24"/>
              </w:rPr>
              <w:t>软件功能截图）</w:t>
            </w:r>
          </w:p>
          <w:p w14:paraId="773C13F4">
            <w:pPr>
              <w:pStyle w:val="11"/>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b/>
                <w:sz w:val="24"/>
                <w:szCs w:val="24"/>
              </w:rPr>
            </w:pPr>
            <w:r>
              <w:rPr>
                <w:rFonts w:hint="eastAsia" w:ascii="仿宋" w:hAnsi="仿宋" w:eastAsia="仿宋" w:cs="仿宋"/>
                <w:b/>
                <w:sz w:val="24"/>
                <w:szCs w:val="24"/>
              </w:rPr>
              <w:t>9-3、技术要求</w:t>
            </w:r>
          </w:p>
          <w:p w14:paraId="67DECA4D">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sz w:val="24"/>
                <w:szCs w:val="24"/>
              </w:rPr>
            </w:pPr>
            <w:r>
              <w:rPr>
                <w:rFonts w:hint="eastAsia" w:ascii="仿宋" w:hAnsi="仿宋" w:eastAsia="仿宋" w:cs="仿宋"/>
                <w:sz w:val="24"/>
                <w:szCs w:val="24"/>
              </w:rPr>
              <w:t>（1）当软件有更新时，可支持在线更新虚拟实训内容。</w:t>
            </w:r>
          </w:p>
          <w:p w14:paraId="46388343">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sz w:val="24"/>
                <w:szCs w:val="24"/>
              </w:rPr>
            </w:pPr>
            <w:r>
              <w:rPr>
                <w:rFonts w:hint="eastAsia" w:ascii="仿宋" w:hAnsi="仿宋" w:eastAsia="仿宋" w:cs="仿宋"/>
                <w:sz w:val="24"/>
                <w:szCs w:val="24"/>
              </w:rPr>
              <w:t>（2）可通过Web网页进行实训任务管理和成绩查看。</w:t>
            </w:r>
          </w:p>
          <w:p w14:paraId="5C4F574D">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sz w:val="24"/>
                <w:szCs w:val="24"/>
              </w:rPr>
            </w:pPr>
            <w:r>
              <w:rPr>
                <w:rFonts w:hint="eastAsia" w:ascii="仿宋" w:hAnsi="仿宋" w:eastAsia="仿宋" w:cs="仿宋"/>
                <w:sz w:val="24"/>
                <w:szCs w:val="24"/>
              </w:rPr>
              <w:t>（3）可根据实际的教学需求，发布实训练习和考核任务。</w:t>
            </w:r>
          </w:p>
          <w:p w14:paraId="7A3ACD35">
            <w:pPr>
              <w:pStyle w:val="12"/>
              <w:keepNext w:val="0"/>
              <w:keepLines w:val="0"/>
              <w:suppressLineNumbers w:val="0"/>
              <w:adjustRightInd w:val="0"/>
              <w:snapToGrid w:val="0"/>
              <w:spacing w:before="0" w:beforeAutospacing="0" w:after="0" w:afterAutospacing="0" w:line="360" w:lineRule="auto"/>
              <w:ind w:left="0" w:right="0" w:firstLine="0" w:firstLineChars="0"/>
              <w:rPr>
                <w:rFonts w:hint="eastAsia" w:ascii="仿宋" w:hAnsi="仿宋" w:eastAsia="仿宋" w:cs="仿宋"/>
                <w:sz w:val="24"/>
                <w:szCs w:val="24"/>
              </w:rPr>
            </w:pPr>
            <w:r>
              <w:rPr>
                <w:rFonts w:hint="eastAsia" w:ascii="仿宋" w:hAnsi="仿宋" w:eastAsia="仿宋" w:cs="仿宋"/>
                <w:sz w:val="24"/>
                <w:szCs w:val="24"/>
              </w:rPr>
              <w:t>（4）可对实训任务进行过程自动记录、自动评分，在Web端可导出实训成绩。</w:t>
            </w:r>
          </w:p>
          <w:p w14:paraId="07ECA68A">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（5）可支持查看实训任务得分明细，并对实训失分项进行标注。</w:t>
            </w:r>
          </w:p>
          <w:p w14:paraId="4867DE2F">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
                <w:bCs/>
                <w:sz w:val="24"/>
                <w:szCs w:val="24"/>
              </w:rPr>
            </w:pPr>
            <w:r>
              <w:rPr>
                <w:rFonts w:hint="eastAsia" w:ascii="仿宋" w:hAnsi="仿宋" w:eastAsia="仿宋" w:cs="仿宋"/>
                <w:sz w:val="24"/>
                <w:szCs w:val="24"/>
              </w:rPr>
              <w:t>（6）交付节点：1个。</w:t>
            </w:r>
          </w:p>
        </w:tc>
        <w:tc>
          <w:tcPr>
            <w:tcW w:w="447" w:type="pct"/>
            <w:noWrap w:val="0"/>
            <w:vAlign w:val="center"/>
          </w:tcPr>
          <w:p w14:paraId="1780359C">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
                <w:b/>
                <w:bCs/>
                <w:sz w:val="24"/>
                <w:szCs w:val="24"/>
              </w:rPr>
            </w:pPr>
            <w:r>
              <w:rPr>
                <w:rFonts w:hint="eastAsia" w:ascii="仿宋" w:hAnsi="仿宋" w:eastAsia="仿宋" w:cs="仿宋"/>
                <w:sz w:val="24"/>
                <w:szCs w:val="24"/>
              </w:rPr>
              <w:t>1套</w:t>
            </w:r>
          </w:p>
        </w:tc>
      </w:tr>
    </w:tbl>
    <w:p w14:paraId="46473212">
      <w:pPr>
        <w:pStyle w:val="5"/>
        <w:numPr>
          <w:ilvl w:val="0"/>
          <w:numId w:val="2"/>
        </w:numPr>
        <w:rPr>
          <w:rFonts w:hint="eastAsia" w:ascii="宋体" w:hAnsi="宋体" w:eastAsia="仿宋"/>
          <w:sz w:val="24"/>
        </w:rPr>
      </w:pPr>
      <w:r>
        <w:rPr>
          <w:rFonts w:hint="eastAsia" w:ascii="宋体" w:hAnsi="宋体" w:eastAsia="仿宋"/>
          <w:sz w:val="24"/>
          <w:lang w:val="en-US" w:eastAsia="zh-CN"/>
        </w:rPr>
        <w:t>其他</w:t>
      </w:r>
      <w:r>
        <w:rPr>
          <w:rFonts w:hint="eastAsia" w:ascii="宋体" w:hAnsi="宋体" w:eastAsia="仿宋"/>
          <w:sz w:val="24"/>
        </w:rPr>
        <w:t>要求</w:t>
      </w:r>
    </w:p>
    <w:p w14:paraId="1530E10B">
      <w:pPr>
        <w:adjustRightInd w:val="0"/>
        <w:snapToGrid w:val="0"/>
        <w:spacing w:line="360" w:lineRule="auto"/>
        <w:ind w:firstLine="480" w:firstLineChars="200"/>
        <w:rPr>
          <w:rFonts w:hint="eastAsia" w:ascii="宋体" w:hAnsi="宋体" w:eastAsia="仿宋" w:cs="Times New Roman"/>
          <w:sz w:val="24"/>
        </w:rPr>
      </w:pPr>
      <w:r>
        <w:rPr>
          <w:rFonts w:hint="eastAsia" w:ascii="宋体" w:hAnsi="宋体" w:eastAsia="仿宋" w:cs="Times New Roman"/>
          <w:sz w:val="24"/>
        </w:rPr>
        <w:t>1、课程建设服务。所有课程建设必须有</w:t>
      </w:r>
      <w:r>
        <w:rPr>
          <w:rFonts w:hint="eastAsia" w:ascii="宋体" w:hAnsi="宋体" w:eastAsia="仿宋" w:cs="Times New Roman"/>
          <w:sz w:val="24"/>
          <w:lang w:val="en-US" w:eastAsia="zh-CN"/>
        </w:rPr>
        <w:t>采购人</w:t>
      </w:r>
      <w:r>
        <w:rPr>
          <w:rFonts w:hint="eastAsia" w:ascii="宋体" w:hAnsi="宋体" w:eastAsia="仿宋" w:cs="Times New Roman"/>
          <w:sz w:val="24"/>
        </w:rPr>
        <w:t>教师参与，同时安排经验丰富的课程制作团队与教师进行深度沟通，提供咨询服务，协助进行课程设计、资源清单规划、资源上传组课；课程具体建设内容需严格按照课程知识大纲进行，具体内容与</w:t>
      </w:r>
      <w:r>
        <w:rPr>
          <w:rFonts w:hint="eastAsia" w:ascii="宋体" w:hAnsi="宋体" w:eastAsia="仿宋" w:cs="Times New Roman"/>
          <w:sz w:val="24"/>
          <w:lang w:val="en-US" w:eastAsia="zh-CN"/>
        </w:rPr>
        <w:t>采购人的</w:t>
      </w:r>
      <w:r>
        <w:rPr>
          <w:rFonts w:hint="eastAsia" w:ascii="宋体" w:hAnsi="宋体" w:eastAsia="仿宋" w:cs="Times New Roman"/>
          <w:sz w:val="24"/>
        </w:rPr>
        <w:t>项目负责人协商。</w:t>
      </w:r>
    </w:p>
    <w:p w14:paraId="3208A988">
      <w:pPr>
        <w:adjustRightInd w:val="0"/>
        <w:snapToGrid w:val="0"/>
        <w:spacing w:line="360" w:lineRule="auto"/>
        <w:ind w:firstLine="480" w:firstLineChars="200"/>
        <w:rPr>
          <w:rFonts w:hint="eastAsia" w:ascii="宋体" w:hAnsi="宋体" w:eastAsia="仿宋" w:cs="Times New Roman"/>
          <w:sz w:val="24"/>
        </w:rPr>
      </w:pPr>
      <w:r>
        <w:rPr>
          <w:rFonts w:hint="eastAsia" w:ascii="宋体" w:hAnsi="宋体" w:eastAsia="仿宋" w:cs="Times New Roman"/>
          <w:sz w:val="24"/>
        </w:rPr>
        <w:t>2、教学设计服务。根据典型工作任务，结合实训设备，按照校方人才培养需求定向开发教学项目与教学任务设计；通过校企合作，</w:t>
      </w:r>
      <w:r>
        <w:rPr>
          <w:rFonts w:hint="eastAsia" w:ascii="宋体" w:hAnsi="宋体" w:eastAsia="仿宋" w:cs="Times New Roman"/>
          <w:sz w:val="24"/>
          <w:lang w:val="en-US" w:eastAsia="zh-CN"/>
        </w:rPr>
        <w:t>供应商</w:t>
      </w:r>
      <w:r>
        <w:rPr>
          <w:rFonts w:hint="eastAsia" w:ascii="宋体" w:hAnsi="宋体" w:eastAsia="仿宋" w:cs="Times New Roman"/>
          <w:sz w:val="24"/>
        </w:rPr>
        <w:t>需要提供教材、PPT教学课件、学习工作页、题库等参考资料供</w:t>
      </w:r>
      <w:r>
        <w:rPr>
          <w:rFonts w:hint="eastAsia" w:ascii="宋体" w:hAnsi="宋体" w:eastAsia="仿宋" w:cs="Times New Roman"/>
          <w:sz w:val="24"/>
          <w:lang w:val="en-US" w:eastAsia="zh-CN"/>
        </w:rPr>
        <w:t>采购人</w:t>
      </w:r>
      <w:r>
        <w:rPr>
          <w:rFonts w:hint="eastAsia" w:ascii="宋体" w:hAnsi="宋体" w:eastAsia="仿宋" w:cs="Times New Roman"/>
          <w:sz w:val="24"/>
        </w:rPr>
        <w:t>参考开发，经</w:t>
      </w:r>
      <w:r>
        <w:rPr>
          <w:rFonts w:hint="eastAsia" w:ascii="宋体" w:hAnsi="宋体" w:eastAsia="仿宋" w:cs="Times New Roman"/>
          <w:sz w:val="24"/>
          <w:lang w:val="en-US" w:eastAsia="zh-CN"/>
        </w:rPr>
        <w:t>采购人</w:t>
      </w:r>
      <w:r>
        <w:rPr>
          <w:rFonts w:hint="eastAsia" w:ascii="宋体" w:hAnsi="宋体" w:eastAsia="仿宋" w:cs="Times New Roman"/>
          <w:sz w:val="24"/>
        </w:rPr>
        <w:t>审核合格以后作为课程制作的原始资料以及重要参考。</w:t>
      </w:r>
    </w:p>
    <w:p w14:paraId="6D7990BF">
      <w:pPr>
        <w:adjustRightInd w:val="0"/>
        <w:snapToGrid w:val="0"/>
        <w:spacing w:line="360" w:lineRule="auto"/>
        <w:ind w:firstLine="480" w:firstLineChars="200"/>
        <w:rPr>
          <w:rFonts w:hint="eastAsia" w:ascii="宋体" w:hAnsi="宋体" w:eastAsia="仿宋" w:cs="Times New Roman"/>
          <w:sz w:val="24"/>
        </w:rPr>
      </w:pPr>
      <w:r>
        <w:rPr>
          <w:rFonts w:hint="eastAsia" w:ascii="宋体" w:hAnsi="宋体" w:eastAsia="仿宋" w:cs="Times New Roman"/>
          <w:sz w:val="24"/>
        </w:rPr>
        <w:t>3、资源开发服务。每门课程资源开发内容和数量以项目实施过程中与学校最终沟通确认为准，但资源开发总数量</w:t>
      </w:r>
      <w:r>
        <w:rPr>
          <w:rFonts w:hint="eastAsia" w:ascii="宋体" w:hAnsi="宋体" w:eastAsia="仿宋" w:cs="Times New Roman"/>
          <w:sz w:val="24"/>
          <w:lang w:val="en-US" w:eastAsia="zh-CN"/>
        </w:rPr>
        <w:t>以</w:t>
      </w:r>
      <w:r>
        <w:rPr>
          <w:rFonts w:hint="eastAsia" w:ascii="宋体" w:hAnsi="宋体" w:eastAsia="仿宋" w:cs="Times New Roman"/>
          <w:sz w:val="24"/>
        </w:rPr>
        <w:t>“</w:t>
      </w:r>
      <w:r>
        <w:rPr>
          <w:rFonts w:hint="eastAsia" w:ascii="宋体" w:hAnsi="宋体" w:eastAsia="仿宋" w:cs="Times New Roman"/>
          <w:sz w:val="24"/>
          <w:lang w:val="en-US" w:eastAsia="zh-CN"/>
        </w:rPr>
        <w:t>3.技术要求</w:t>
      </w:r>
      <w:r>
        <w:rPr>
          <w:rFonts w:hint="eastAsia" w:ascii="宋体" w:hAnsi="宋体" w:eastAsia="仿宋" w:cs="Times New Roman"/>
          <w:sz w:val="24"/>
        </w:rPr>
        <w:t>”为准；</w:t>
      </w:r>
      <w:r>
        <w:rPr>
          <w:rFonts w:hint="eastAsia" w:ascii="宋体" w:hAnsi="宋体" w:eastAsia="仿宋" w:cs="Times New Roman"/>
          <w:sz w:val="24"/>
          <w:lang w:val="en-US" w:eastAsia="zh-CN"/>
        </w:rPr>
        <w:t>供应商</w:t>
      </w:r>
      <w:r>
        <w:rPr>
          <w:rFonts w:hint="eastAsia" w:ascii="宋体" w:hAnsi="宋体" w:eastAsia="仿宋" w:cs="Times New Roman"/>
          <w:sz w:val="24"/>
        </w:rPr>
        <w:t>需协助</w:t>
      </w:r>
      <w:r>
        <w:rPr>
          <w:rFonts w:hint="eastAsia" w:ascii="宋体" w:hAnsi="宋体" w:eastAsia="仿宋" w:cs="Times New Roman"/>
          <w:sz w:val="24"/>
          <w:lang w:val="en-US" w:eastAsia="zh-CN"/>
        </w:rPr>
        <w:t>采购人</w:t>
      </w:r>
      <w:r>
        <w:rPr>
          <w:rFonts w:hint="eastAsia" w:ascii="宋体" w:hAnsi="宋体" w:eastAsia="仿宋" w:cs="Times New Roman"/>
          <w:sz w:val="24"/>
        </w:rPr>
        <w:t>教师完成资源开发所需的脚本设计、素材收集等；</w:t>
      </w:r>
      <w:r>
        <w:rPr>
          <w:rFonts w:hint="eastAsia" w:ascii="宋体" w:hAnsi="宋体" w:eastAsia="仿宋" w:cs="Times New Roman"/>
          <w:sz w:val="24"/>
          <w:lang w:val="en-US" w:eastAsia="zh-CN"/>
        </w:rPr>
        <w:t>采购人对</w:t>
      </w:r>
      <w:r>
        <w:rPr>
          <w:rFonts w:hint="eastAsia" w:ascii="宋体" w:hAnsi="宋体" w:eastAsia="仿宋" w:cs="Times New Roman"/>
          <w:sz w:val="24"/>
        </w:rPr>
        <w:t>最终</w:t>
      </w:r>
      <w:r>
        <w:rPr>
          <w:rFonts w:hint="eastAsia" w:ascii="宋体" w:hAnsi="宋体" w:eastAsia="仿宋" w:cs="Times New Roman"/>
          <w:sz w:val="24"/>
          <w:lang w:val="en-US" w:eastAsia="zh-CN"/>
        </w:rPr>
        <w:t>交付的资源</w:t>
      </w:r>
      <w:r>
        <w:rPr>
          <w:rFonts w:hint="eastAsia" w:ascii="宋体" w:hAnsi="宋体" w:eastAsia="仿宋" w:cs="Times New Roman"/>
          <w:sz w:val="24"/>
        </w:rPr>
        <w:t>按照</w:t>
      </w:r>
      <w:r>
        <w:rPr>
          <w:rFonts w:hint="eastAsia" w:ascii="宋体" w:hAnsi="宋体" w:eastAsia="仿宋" w:cs="Times New Roman"/>
          <w:sz w:val="24"/>
          <w:lang w:val="en-US" w:eastAsia="zh-CN"/>
        </w:rPr>
        <w:t>招标</w:t>
      </w:r>
      <w:r>
        <w:rPr>
          <w:rFonts w:hint="eastAsia" w:ascii="宋体" w:hAnsi="宋体" w:eastAsia="仿宋" w:cs="Times New Roman"/>
          <w:sz w:val="24"/>
        </w:rPr>
        <w:t>文件要求并结合具体使用需求（</w:t>
      </w:r>
      <w:r>
        <w:rPr>
          <w:rFonts w:hint="eastAsia" w:ascii="宋体" w:hAnsi="宋体" w:eastAsia="仿宋" w:cs="Times New Roman"/>
          <w:sz w:val="24"/>
          <w:lang w:val="en-US" w:eastAsia="zh-CN"/>
        </w:rPr>
        <w:t>招标</w:t>
      </w:r>
      <w:r>
        <w:rPr>
          <w:rFonts w:hint="eastAsia" w:ascii="宋体" w:hAnsi="宋体" w:eastAsia="仿宋" w:cs="Times New Roman"/>
          <w:sz w:val="24"/>
        </w:rPr>
        <w:t>文件</w:t>
      </w:r>
      <w:r>
        <w:rPr>
          <w:rFonts w:hint="eastAsia" w:ascii="宋体" w:hAnsi="宋体" w:eastAsia="仿宋" w:cs="Times New Roman"/>
          <w:sz w:val="24"/>
          <w:lang w:val="en-US" w:eastAsia="zh-CN"/>
        </w:rPr>
        <w:t>未</w:t>
      </w:r>
      <w:r>
        <w:rPr>
          <w:rFonts w:hint="eastAsia" w:ascii="宋体" w:hAnsi="宋体" w:eastAsia="仿宋" w:cs="Times New Roman"/>
          <w:sz w:val="24"/>
        </w:rPr>
        <w:t>详尽描述的地方，具体执行不能与</w:t>
      </w:r>
      <w:r>
        <w:rPr>
          <w:rFonts w:hint="eastAsia" w:ascii="宋体" w:hAnsi="宋体" w:eastAsia="仿宋" w:cs="Times New Roman"/>
          <w:sz w:val="24"/>
          <w:lang w:val="en-US" w:eastAsia="zh-CN"/>
        </w:rPr>
        <w:t>采购需求</w:t>
      </w:r>
      <w:r>
        <w:rPr>
          <w:rFonts w:hint="eastAsia" w:ascii="宋体" w:hAnsi="宋体" w:eastAsia="仿宋" w:cs="Times New Roman"/>
          <w:sz w:val="24"/>
        </w:rPr>
        <w:t>要求相冲突，且不得降低</w:t>
      </w:r>
      <w:r>
        <w:rPr>
          <w:rFonts w:hint="eastAsia" w:ascii="宋体" w:hAnsi="宋体" w:eastAsia="仿宋" w:cs="Times New Roman"/>
          <w:sz w:val="24"/>
          <w:lang w:val="en-US" w:eastAsia="zh-CN"/>
        </w:rPr>
        <w:t>采购需求要求</w:t>
      </w:r>
      <w:r>
        <w:rPr>
          <w:rFonts w:hint="eastAsia" w:ascii="宋体" w:hAnsi="宋体" w:eastAsia="仿宋" w:cs="Times New Roman"/>
          <w:sz w:val="24"/>
        </w:rPr>
        <w:t>）进行验收。</w:t>
      </w:r>
    </w:p>
    <w:p w14:paraId="78228ADB">
      <w:pPr>
        <w:adjustRightInd w:val="0"/>
        <w:snapToGrid w:val="0"/>
        <w:spacing w:line="360" w:lineRule="auto"/>
        <w:ind w:firstLine="480" w:firstLineChars="200"/>
        <w:rPr>
          <w:rFonts w:hint="eastAsia" w:ascii="宋体" w:hAnsi="宋体" w:eastAsia="仿宋" w:cs="Times New Roman"/>
          <w:sz w:val="24"/>
        </w:rPr>
      </w:pPr>
      <w:r>
        <w:rPr>
          <w:rFonts w:hint="eastAsia" w:ascii="宋体" w:hAnsi="宋体" w:eastAsia="仿宋" w:cs="Times New Roman"/>
          <w:sz w:val="24"/>
        </w:rPr>
        <w:t>4、知识产权要求：课程资源建设中所使用的动画、视频等素材资源，不会侵犯第三方知识产权，供应商要对所提供产品有可能出现的知识产权，信息网络传播权等纠纷承担全部责任。采购人具有本</w:t>
      </w:r>
      <w:r>
        <w:rPr>
          <w:rFonts w:hint="eastAsia" w:ascii="宋体" w:hAnsi="宋体" w:eastAsia="仿宋" w:cs="Times New Roman"/>
          <w:sz w:val="24"/>
          <w:lang w:val="en-US" w:eastAsia="zh-CN"/>
        </w:rPr>
        <w:t>项目</w:t>
      </w:r>
      <w:r>
        <w:rPr>
          <w:rFonts w:hint="eastAsia" w:ascii="宋体" w:hAnsi="宋体" w:eastAsia="仿宋" w:cs="Times New Roman"/>
          <w:sz w:val="24"/>
        </w:rPr>
        <w:t>虚拟仿真软件产品使用权</w:t>
      </w:r>
      <w:r>
        <w:rPr>
          <w:rFonts w:hint="eastAsia" w:ascii="宋体" w:hAnsi="宋体" w:eastAsia="仿宋" w:cs="Times New Roman"/>
          <w:sz w:val="24"/>
          <w:lang w:val="en-US" w:eastAsia="zh-CN"/>
        </w:rPr>
        <w:t>以及</w:t>
      </w:r>
      <w:r>
        <w:rPr>
          <w:rFonts w:hint="eastAsia" w:ascii="宋体" w:hAnsi="宋体" w:eastAsia="仿宋" w:cs="Times New Roman"/>
          <w:sz w:val="24"/>
        </w:rPr>
        <w:t>其余开发成果的知识产权。</w:t>
      </w:r>
    </w:p>
    <w:p w14:paraId="7F43B68C">
      <w:pPr>
        <w:pStyle w:val="5"/>
        <w:numPr>
          <w:ilvl w:val="0"/>
          <w:numId w:val="2"/>
        </w:numPr>
        <w:rPr>
          <w:rFonts w:hint="eastAsia" w:ascii="宋体" w:hAnsi="宋体" w:eastAsia="仿宋"/>
          <w:sz w:val="24"/>
        </w:rPr>
      </w:pPr>
      <w:r>
        <w:rPr>
          <w:rFonts w:ascii="宋体" w:hAnsi="宋体" w:eastAsia="仿宋"/>
          <w:sz w:val="24"/>
        </w:rPr>
        <w:t>商务</w:t>
      </w:r>
      <w:r>
        <w:rPr>
          <w:rFonts w:hint="eastAsia" w:ascii="宋体" w:hAnsi="宋体" w:eastAsia="仿宋"/>
          <w:sz w:val="24"/>
        </w:rPr>
        <w:t>要求</w:t>
      </w:r>
    </w:p>
    <w:p w14:paraId="2CF6F960">
      <w:pPr>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2449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143C86F6">
            <w:pPr>
              <w:keepNext w:val="0"/>
              <w:keepLines w:val="0"/>
              <w:widowControl/>
              <w:suppressLineNumbers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sz w:val="24"/>
                <w:highlight w:val="none"/>
              </w:rPr>
              <w:t>交付（实施）的时间（期限）</w:t>
            </w:r>
          </w:p>
        </w:tc>
        <w:tc>
          <w:tcPr>
            <w:tcW w:w="7479" w:type="dxa"/>
            <w:noWrap w:val="0"/>
            <w:vAlign w:val="top"/>
          </w:tcPr>
          <w:p w14:paraId="2F5DE2EB">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sz w:val="24"/>
                <w:highlight w:val="none"/>
              </w:rPr>
            </w:pPr>
            <w:r>
              <w:rPr>
                <w:rFonts w:hint="eastAsia" w:ascii="楷体" w:hAnsi="楷体" w:eastAsia="仿宋" w:cs="Calibri"/>
                <w:sz w:val="24"/>
                <w:highlight w:val="none"/>
              </w:rPr>
              <w:t>合同签订生效</w:t>
            </w:r>
            <w:r>
              <w:rPr>
                <w:rFonts w:hint="eastAsia" w:ascii="仿宋" w:hAnsi="仿宋" w:eastAsia="仿宋" w:cs="仿宋"/>
                <w:sz w:val="24"/>
                <w:highlight w:val="none"/>
              </w:rPr>
              <w:t>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30</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日历天内完成课程资源交付</w:t>
            </w:r>
            <w:r>
              <w:rPr>
                <w:rFonts w:hint="eastAsia" w:ascii="楷体" w:hAnsi="楷体" w:eastAsia="仿宋" w:cs="Calibri"/>
                <w:sz w:val="24"/>
                <w:highlight w:val="none"/>
              </w:rPr>
              <w:t>。</w:t>
            </w:r>
          </w:p>
          <w:p w14:paraId="5475680E">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34BEE4A2">
            <w:pPr>
              <w:pStyle w:val="11"/>
              <w:keepNext w:val="0"/>
              <w:keepLines w:val="0"/>
              <w:suppressLineNumbers w:val="0"/>
              <w:spacing w:before="0" w:beforeAutospacing="0" w:after="0" w:afterAutospacing="0"/>
              <w:ind w:left="0" w:right="0"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4ED43A09">
            <w:pPr>
              <w:pStyle w:val="11"/>
              <w:keepNext w:val="0"/>
              <w:keepLines w:val="0"/>
              <w:suppressLineNumbers w:val="0"/>
              <w:spacing w:before="0" w:beforeAutospacing="0" w:after="0" w:afterAutospacing="0"/>
              <w:ind w:left="0" w:right="0" w:firstLine="2160" w:firstLineChars="900"/>
              <w:rPr>
                <w:rFonts w:hint="eastAsia" w:ascii="宋体" w:hAnsi="宋体" w:eastAsia="仿宋" w:cs="Times New Roman"/>
                <w:sz w:val="24"/>
                <w:highlight w:val="none"/>
              </w:rPr>
            </w:pPr>
            <w:r>
              <w:rPr>
                <w:rFonts w:hint="eastAsia" w:ascii="楷体" w:hAnsi="楷体" w:eastAsia="仿宋" w:cs="Calibri"/>
                <w:sz w:val="24"/>
                <w:highlight w:val="none"/>
              </w:rPr>
              <w:t>允许偏离的幅度：</w:t>
            </w:r>
          </w:p>
        </w:tc>
      </w:tr>
      <w:tr w14:paraId="3092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3D4407B9">
            <w:pPr>
              <w:keepNext w:val="0"/>
              <w:keepLines w:val="0"/>
              <w:widowControl/>
              <w:suppressLineNumbers w:val="0"/>
              <w:spacing w:before="0" w:beforeAutospacing="0" w:after="0" w:afterAutospacing="0"/>
              <w:ind w:left="0" w:right="0"/>
              <w:jc w:val="center"/>
              <w:rPr>
                <w:rFonts w:hint="eastAsia" w:ascii="宋体" w:hAnsi="宋体" w:eastAsia="仿宋" w:cs="Times New Roman"/>
                <w:sz w:val="24"/>
              </w:rPr>
            </w:pPr>
            <w:r>
              <w:rPr>
                <w:rFonts w:hint="eastAsia" w:ascii="宋体" w:hAnsi="宋体" w:eastAsia="仿宋" w:cs="Times New Roman"/>
                <w:sz w:val="24"/>
              </w:rPr>
              <w:t>交付（实施）的地点（范围）</w:t>
            </w:r>
          </w:p>
        </w:tc>
        <w:tc>
          <w:tcPr>
            <w:tcW w:w="7479" w:type="dxa"/>
            <w:noWrap w:val="0"/>
            <w:vAlign w:val="center"/>
          </w:tcPr>
          <w:p w14:paraId="1B50EF72">
            <w:pPr>
              <w:pStyle w:val="11"/>
              <w:keepNext w:val="0"/>
              <w:keepLines w:val="0"/>
              <w:suppressLineNumbers w:val="0"/>
              <w:spacing w:before="0" w:beforeAutospacing="0" w:after="0" w:afterAutospacing="0"/>
              <w:ind w:left="0" w:right="0" w:firstLine="0" w:firstLineChars="0"/>
              <w:rPr>
                <w:rFonts w:hint="eastAsia" w:ascii="宋体" w:hAnsi="宋体" w:eastAsia="仿宋" w:cs="Times New Roman"/>
                <w:sz w:val="24"/>
              </w:rPr>
            </w:pPr>
            <w:r>
              <w:rPr>
                <w:rFonts w:hint="eastAsia" w:ascii="宋体" w:hAnsi="宋体" w:eastAsia="仿宋" w:cs="Times New Roman"/>
                <w:sz w:val="24"/>
              </w:rPr>
              <w:t>安徽交通职业技术学院汽车工程学院，采购人指定地点。</w:t>
            </w:r>
          </w:p>
        </w:tc>
      </w:tr>
      <w:tr w14:paraId="36C3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3B111DB0">
            <w:pPr>
              <w:pStyle w:val="11"/>
              <w:keepNext w:val="0"/>
              <w:keepLines w:val="0"/>
              <w:suppressLineNumbers w:val="0"/>
              <w:spacing w:before="0" w:beforeAutospacing="0" w:after="0" w:afterAutospacing="0"/>
              <w:ind w:left="0" w:right="0" w:firstLine="0" w:firstLineChars="0"/>
              <w:jc w:val="center"/>
              <w:rPr>
                <w:rFonts w:hint="default" w:ascii="宋体" w:hAnsi="宋体" w:eastAsia="仿宋" w:cs="Times New Roman"/>
                <w:sz w:val="24"/>
                <w:highlight w:val="none"/>
              </w:rPr>
            </w:pPr>
            <w:r>
              <w:rPr>
                <w:rFonts w:hint="eastAsia" w:ascii="宋体" w:hAnsi="宋体" w:eastAsia="仿宋" w:cs="Times New Roman"/>
                <w:sz w:val="24"/>
                <w:highlight w:val="none"/>
              </w:rPr>
              <w:t>付款方式</w:t>
            </w:r>
          </w:p>
        </w:tc>
        <w:tc>
          <w:tcPr>
            <w:tcW w:w="7479" w:type="dxa"/>
            <w:noWrap w:val="0"/>
            <w:vAlign w:val="top"/>
          </w:tcPr>
          <w:p w14:paraId="5A4A05C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sz w:val="24"/>
                <w:highlight w:val="none"/>
              </w:rPr>
            </w:pPr>
            <w:r>
              <w:rPr>
                <w:rFonts w:hint="eastAsia" w:ascii="宋体" w:hAnsi="宋体" w:eastAsia="仿宋" w:cs="Calibri"/>
                <w:sz w:val="24"/>
                <w:highlight w:val="none"/>
              </w:rPr>
              <w:t>预付款支付方式：</w:t>
            </w:r>
          </w:p>
          <w:p w14:paraId="58C0C5D9">
            <w:pPr>
              <w:keepNext w:val="0"/>
              <w:keepLines w:val="0"/>
              <w:widowControl/>
              <w:suppressLineNumbers w:val="0"/>
              <w:adjustRightInd w:val="0"/>
              <w:snapToGrid w:val="0"/>
              <w:spacing w:before="0" w:beforeAutospacing="0" w:after="0" w:afterAutospacing="0" w:line="288" w:lineRule="auto"/>
              <w:ind w:left="0" w:right="0"/>
              <w:rPr>
                <w:rFonts w:hint="eastAsia" w:ascii="仿宋" w:hAnsi="仿宋" w:eastAsia="仿宋" w:cs="仿宋"/>
                <w:sz w:val="24"/>
                <w:highlight w:val="none"/>
              </w:rPr>
            </w:pPr>
            <w:r>
              <w:rPr>
                <w:rFonts w:hint="eastAsia" w:ascii="宋体" w:hAnsi="宋体" w:eastAsia="仿宋" w:cs="Calibri"/>
                <w:sz w:val="24"/>
                <w:highlight w:val="none"/>
              </w:rPr>
              <w:t>中标人为大型企</w:t>
            </w:r>
            <w:r>
              <w:rPr>
                <w:rFonts w:hint="eastAsia" w:ascii="仿宋" w:hAnsi="仿宋" w:eastAsia="仿宋" w:cs="仿宋"/>
                <w:sz w:val="24"/>
                <w:highlight w:val="none"/>
              </w:rPr>
              <w:t>业，预付款为合同金额的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5</w:t>
            </w:r>
            <w:r>
              <w:rPr>
                <w:rFonts w:hint="eastAsia" w:ascii="仿宋" w:hAnsi="仿宋" w:eastAsia="仿宋" w:cs="仿宋"/>
                <w:sz w:val="24"/>
                <w:highlight w:val="none"/>
                <w:u w:val="single"/>
              </w:rPr>
              <w:t xml:space="preserve">0% </w:t>
            </w:r>
            <w:r>
              <w:rPr>
                <w:rFonts w:hint="eastAsia" w:ascii="宋体" w:hAnsi="宋体" w:eastAsia="仿宋" w:cs="Calibri"/>
                <w:sz w:val="24"/>
                <w:highlight w:val="none"/>
                <w:u w:val="single"/>
              </w:rPr>
              <w:t xml:space="preserve"> </w:t>
            </w:r>
            <w:r>
              <w:rPr>
                <w:rFonts w:hint="eastAsia" w:ascii="仿宋" w:hAnsi="仿宋" w:eastAsia="仿宋" w:cs="仿宋"/>
                <w:sz w:val="24"/>
                <w:highlight w:val="none"/>
              </w:rPr>
              <w:t>；</w:t>
            </w:r>
          </w:p>
          <w:p w14:paraId="36B46D8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sz w:val="24"/>
                <w:highlight w:val="none"/>
              </w:rPr>
            </w:pPr>
            <w:r>
              <w:rPr>
                <w:rFonts w:hint="eastAsia" w:ascii="宋体" w:hAnsi="宋体" w:eastAsia="仿宋" w:cs="Calibri"/>
                <w:sz w:val="24"/>
                <w:highlight w:val="none"/>
              </w:rPr>
              <w:t>中标人</w:t>
            </w:r>
            <w:r>
              <w:rPr>
                <w:rFonts w:hint="eastAsia" w:ascii="仿宋" w:hAnsi="仿宋" w:eastAsia="仿宋" w:cs="仿宋"/>
                <w:sz w:val="24"/>
                <w:highlight w:val="none"/>
              </w:rPr>
              <w:t>为中小企业，预付款为合同金额的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5</w:t>
            </w:r>
            <w:r>
              <w:rPr>
                <w:rFonts w:hint="eastAsia" w:ascii="仿宋" w:hAnsi="仿宋" w:eastAsia="仿宋" w:cs="仿宋"/>
                <w:sz w:val="24"/>
                <w:highlight w:val="none"/>
                <w:u w:val="single"/>
              </w:rPr>
              <w:t xml:space="preserve">0%  </w:t>
            </w:r>
            <w:r>
              <w:rPr>
                <w:rFonts w:hint="eastAsia" w:ascii="宋体" w:hAnsi="宋体" w:eastAsia="仿宋" w:cs="Calibri"/>
                <w:sz w:val="24"/>
                <w:highlight w:val="none"/>
              </w:rPr>
              <w:t>。</w:t>
            </w:r>
          </w:p>
          <w:p w14:paraId="3B3A3262">
            <w:pPr>
              <w:keepNext w:val="0"/>
              <w:keepLines w:val="0"/>
              <w:widowControl/>
              <w:suppressLineNumbers w:val="0"/>
              <w:adjustRightInd w:val="0"/>
              <w:snapToGrid w:val="0"/>
              <w:spacing w:before="0" w:beforeAutospacing="0" w:after="0" w:afterAutospacing="0" w:line="288" w:lineRule="auto"/>
              <w:ind w:left="0" w:right="0"/>
              <w:rPr>
                <w:rFonts w:hint="default" w:ascii="Calibri" w:hAnsi="Calibri" w:cs="Times New Roman"/>
                <w:highlight w:val="none"/>
              </w:rPr>
            </w:pPr>
            <w:r>
              <w:rPr>
                <w:rFonts w:hint="eastAsia" w:ascii="宋体" w:hAnsi="宋体" w:eastAsia="仿宋" w:cs="Calibri"/>
                <w:sz w:val="24"/>
                <w:highlight w:val="none"/>
              </w:rPr>
              <w:t>支付方式：</w:t>
            </w:r>
            <w:r>
              <w:rPr>
                <w:rFonts w:hint="eastAsia" w:ascii="仿宋" w:hAnsi="仿宋" w:eastAsia="仿宋" w:cs="仿宋"/>
                <w:iCs/>
                <w:sz w:val="24"/>
                <w:highlight w:val="none"/>
                <w:lang w:val="en-US" w:eastAsia="zh-CN"/>
              </w:rPr>
              <w:t>项目交付且</w:t>
            </w:r>
            <w:r>
              <w:rPr>
                <w:rFonts w:hint="eastAsia" w:ascii="仿宋" w:hAnsi="仿宋" w:eastAsia="仿宋" w:cs="仿宋"/>
                <w:iCs/>
                <w:sz w:val="24"/>
                <w:highlight w:val="none"/>
              </w:rPr>
              <w:t>验收合格后，在收到经</w:t>
            </w:r>
            <w:r>
              <w:rPr>
                <w:rFonts w:hint="eastAsia" w:ascii="仿宋" w:hAnsi="仿宋" w:eastAsia="仿宋" w:cs="仿宋"/>
                <w:iCs/>
                <w:sz w:val="24"/>
                <w:highlight w:val="none"/>
                <w:lang w:val="en-US" w:eastAsia="zh-CN"/>
              </w:rPr>
              <w:t>采购人</w:t>
            </w:r>
            <w:r>
              <w:rPr>
                <w:rFonts w:hint="eastAsia" w:ascii="仿宋" w:hAnsi="仿宋" w:eastAsia="仿宋" w:cs="仿宋"/>
                <w:iCs/>
                <w:sz w:val="24"/>
                <w:highlight w:val="none"/>
              </w:rPr>
              <w:t>确认的合法有效且购销单位相符、金额相符的增值税发票后7个工作日内支付</w:t>
            </w:r>
            <w:r>
              <w:rPr>
                <w:rFonts w:hint="eastAsia" w:ascii="仿宋" w:hAnsi="仿宋" w:eastAsia="仿宋" w:cs="仿宋"/>
                <w:iCs/>
                <w:sz w:val="24"/>
                <w:highlight w:val="none"/>
                <w:lang w:val="en-US" w:eastAsia="zh-CN"/>
              </w:rPr>
              <w:t>至</w:t>
            </w:r>
            <w:r>
              <w:rPr>
                <w:rFonts w:hint="eastAsia" w:ascii="仿宋" w:hAnsi="仿宋" w:eastAsia="仿宋" w:cs="仿宋"/>
                <w:iCs/>
                <w:sz w:val="24"/>
                <w:highlight w:val="none"/>
              </w:rPr>
              <w:t>合同金额的100%到合同约定的</w:t>
            </w:r>
            <w:r>
              <w:rPr>
                <w:rFonts w:hint="eastAsia" w:ascii="仿宋" w:hAnsi="仿宋" w:eastAsia="仿宋" w:cs="仿宋"/>
                <w:iCs/>
                <w:sz w:val="24"/>
                <w:highlight w:val="none"/>
                <w:lang w:val="en-US" w:eastAsia="zh-CN"/>
              </w:rPr>
              <w:t>供应商</w:t>
            </w:r>
            <w:r>
              <w:rPr>
                <w:rFonts w:hint="eastAsia" w:ascii="仿宋" w:hAnsi="仿宋" w:eastAsia="仿宋" w:cs="仿宋"/>
                <w:iCs/>
                <w:sz w:val="24"/>
                <w:highlight w:val="none"/>
              </w:rPr>
              <w:t>账户。</w:t>
            </w:r>
          </w:p>
          <w:p w14:paraId="781B6CD0">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45209E17">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593CF16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sz w:val="24"/>
                <w:highlight w:val="none"/>
              </w:rPr>
            </w:pPr>
            <w:r>
              <w:rPr>
                <w:rFonts w:hint="eastAsia" w:ascii="楷体" w:hAnsi="楷体" w:eastAsia="仿宋" w:cs="Calibri"/>
                <w:sz w:val="24"/>
                <w:highlight w:val="none"/>
              </w:rPr>
              <w:t>允许偏离的幅度：</w:t>
            </w:r>
          </w:p>
        </w:tc>
      </w:tr>
    </w:tbl>
    <w:p w14:paraId="2DD807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1585A"/>
    <w:multiLevelType w:val="singleLevel"/>
    <w:tmpl w:val="2DD1585A"/>
    <w:lvl w:ilvl="0" w:tentative="0">
      <w:start w:val="4"/>
      <w:numFmt w:val="decimal"/>
      <w:lvlText w:val="%1."/>
      <w:lvlJc w:val="left"/>
      <w:pPr>
        <w:tabs>
          <w:tab w:val="left" w:pos="312"/>
        </w:tabs>
      </w:pPr>
    </w:lvl>
  </w:abstractNum>
  <w:abstractNum w:abstractNumId="1">
    <w:nsid w:val="34D5FEA5"/>
    <w:multiLevelType w:val="singleLevel"/>
    <w:tmpl w:val="34D5FEA5"/>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B7761"/>
    <w:rsid w:val="1E0B7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5">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宋体"/>
      <w:color w:val="000000"/>
      <w:szCs w:val="20"/>
    </w:rPr>
  </w:style>
  <w:style w:type="paragraph" w:styleId="3">
    <w:name w:val="Body Text Indent"/>
    <w:basedOn w:val="1"/>
    <w:qFormat/>
    <w:uiPriority w:val="0"/>
    <w:pPr>
      <w:spacing w:after="120" w:afterLines="0"/>
      <w:ind w:left="420" w:leftChars="200"/>
    </w:p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Char"/>
    <w:qFormat/>
    <w:uiPriority w:val="0"/>
    <w:rPr>
      <w:rFonts w:ascii="Arial" w:hAnsi="Arial" w:eastAsia="黑体" w:cs="Times New Roman"/>
      <w:b/>
      <w:bCs/>
      <w:kern w:val="2"/>
      <w:sz w:val="32"/>
      <w:szCs w:val="32"/>
      <w:lang w:val="en-US" w:eastAsia="zh-CN" w:bidi="ar-SA"/>
    </w:rPr>
  </w:style>
  <w:style w:type="paragraph" w:customStyle="1" w:styleId="11">
    <w:name w:val="列出段落1"/>
    <w:basedOn w:val="1"/>
    <w:qFormat/>
    <w:uiPriority w:val="0"/>
    <w:pPr>
      <w:ind w:firstLine="420" w:firstLineChars="200"/>
    </w:pPr>
  </w:style>
  <w:style w:type="paragraph" w:customStyle="1" w:styleId="12">
    <w:name w:val="列出段落3"/>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2025-11-07T12:41:00Z</dcterms:created>
  <dc:creator>初审-徐怀珍</dc:creator>
  <cp:lastModifiedBy>初审-徐怀珍</cp:lastModifiedBy>
  <dcterms:modified xsi:type="dcterms:W3CDTF">2025-11-07T12:41:21Z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15DA88BF31D84333A6D2F88B920CF0B4_11</vt:lpwstr>
  </property>
  <property fmtid="{D5CDD505-2E9C-101B-9397-08002B2CF9AE}" pid="4" name="KSOTemplateDocerSaveRecord">
    <vt:lpwstr>eyJoZGlkIjoiMTNkOTgwYzRiMTU0NDFjYzdlMGY4NDI2MTRmM2NjMTUiLCJ1c2VySWQiOiIzOTY0MDU5NzUifQ==</vt:lpwstr>
  </property>
</Properties>
</file>