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bookmarkStart w:id="19" w:name="_GoBack"/>
      <w:bookmarkEnd w:id="19"/>
    </w:p>
    <w:p w14:paraId="30B0ED33">
      <w:pPr>
        <w:spacing w:line="360" w:lineRule="auto"/>
        <w:ind w:firstLine="437"/>
        <w:outlineLvl w:val="1"/>
        <w:rPr>
          <w:rFonts w:ascii="宋体" w:hAnsi="宋体" w:eastAsia="宋体"/>
          <w:b/>
          <w:color w:val="auto"/>
          <w:sz w:val="24"/>
          <w:szCs w:val="18"/>
          <w:highlight w:val="none"/>
        </w:rPr>
      </w:pPr>
      <w:bookmarkStart w:id="0" w:name="_Toc32151"/>
      <w:bookmarkStart w:id="1" w:name="_Toc2554"/>
      <w:r>
        <w:rPr>
          <w:rFonts w:hint="eastAsia" w:ascii="宋体" w:hAnsi="宋体" w:eastAsia="宋体"/>
          <w:b/>
          <w:color w:val="auto"/>
          <w:sz w:val="24"/>
          <w:szCs w:val="18"/>
          <w:highlight w:val="none"/>
        </w:rPr>
        <w:t>一、采购需求前附表</w:t>
      </w:r>
      <w:bookmarkEnd w:id="0"/>
      <w:bookmarkEnd w:id="1"/>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2DF1EF3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合同生效后，采购人付至合同价的70%（中标人须提供等额预付款担保），项目经验收合格且相关资料齐备己移交后，一次性付清合同价款。</w:t>
            </w:r>
          </w:p>
          <w:p w14:paraId="4D51ABD4">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注：</w:t>
            </w:r>
          </w:p>
          <w:p w14:paraId="2FCB0F9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（1）中标人未按规定提供预付款担保的，视为放弃预付款；</w:t>
            </w:r>
          </w:p>
          <w:p w14:paraId="62B8C4E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（2）预付款担保要求：如采用银行保函、担保机构出具的保函（担保机构担保）均须满足无条件见索即付条件。             </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安徽省农业科学院水产研究所，具体按采购人指定地点。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合同生效之日起，30个日历日内完成供货、安装、调试、培训等所有工作内容。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自验收合格之日起，1年。             </w:t>
            </w:r>
          </w:p>
        </w:tc>
      </w:tr>
    </w:tbl>
    <w:p w14:paraId="608ADC2B">
      <w:pPr>
        <w:spacing w:line="360" w:lineRule="auto"/>
        <w:ind w:firstLine="437"/>
        <w:outlineLvl w:val="1"/>
        <w:rPr>
          <w:rFonts w:hint="eastAsia" w:ascii="宋体" w:hAnsi="宋体" w:eastAsia="宋体"/>
          <w:b/>
          <w:bCs/>
          <w:color w:val="auto"/>
          <w:sz w:val="24"/>
          <w:szCs w:val="18"/>
          <w:highlight w:val="none"/>
        </w:rPr>
      </w:pPr>
      <w:bookmarkStart w:id="2" w:name="_Toc5944"/>
      <w:bookmarkStart w:id="3" w:name="_Toc7671"/>
    </w:p>
    <w:p w14:paraId="3E806DB2">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
      <w:bookmarkEnd w:id="3"/>
    </w:p>
    <w:p w14:paraId="6C3D332C">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核心指标</w:t>
            </w:r>
            <w:r>
              <w:rPr>
                <w:rFonts w:hint="eastAsia" w:ascii="宋体" w:hAnsi="宋体" w:eastAsia="宋体" w:cs="宋体"/>
                <w:color w:val="auto"/>
                <w:sz w:val="24"/>
                <w:szCs w:val="24"/>
                <w:highlight w:val="none"/>
              </w:rPr>
              <w:t>项</w:t>
            </w:r>
          </w:p>
        </w:tc>
        <w:tc>
          <w:tcPr>
            <w:tcW w:w="1365" w:type="dxa"/>
            <w:noWrap w:val="0"/>
            <w:vAlign w:val="center"/>
          </w:tcPr>
          <w:p w14:paraId="64C4671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tc>
        <w:tc>
          <w:tcPr>
            <w:tcW w:w="5363" w:type="dxa"/>
            <w:noWrap w:val="0"/>
            <w:vAlign w:val="center"/>
          </w:tcPr>
          <w:p w14:paraId="33E2403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符合性审查项，该指标项负偏离或未响应的，</w:t>
            </w:r>
            <w:r>
              <w:rPr>
                <w:rFonts w:hint="eastAsia" w:ascii="宋体" w:hAnsi="宋体" w:eastAsia="宋体" w:cs="宋体"/>
                <w:b/>
                <w:bCs w:val="0"/>
                <w:color w:val="auto"/>
                <w:sz w:val="24"/>
                <w:szCs w:val="24"/>
                <w:highlight w:val="none"/>
                <w:lang w:val="en-US" w:eastAsia="zh-CN"/>
              </w:rPr>
              <w:t>投标无效</w:t>
            </w:r>
            <w:r>
              <w:rPr>
                <w:rFonts w:hint="eastAsia" w:ascii="宋体" w:hAnsi="宋体" w:eastAsia="宋体" w:cs="宋体"/>
                <w:bCs/>
                <w:color w:val="auto"/>
                <w:sz w:val="24"/>
                <w:szCs w:val="24"/>
                <w:highlight w:val="none"/>
                <w:lang w:val="en-US" w:eastAsia="zh-CN"/>
              </w:rPr>
              <w:t>。</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761D9B8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363" w:type="dxa"/>
            <w:shd w:val="clear" w:color="auto" w:fill="auto"/>
            <w:noWrap w:val="0"/>
            <w:vAlign w:val="center"/>
          </w:tcPr>
          <w:p w14:paraId="4EF10B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31CD4D0C">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5</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7DC5753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3250606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2）所属行业中标注“/”的品目，无须在《中小企业声明函》中列明。</w:t>
            </w:r>
          </w:p>
        </w:tc>
      </w:tr>
    </w:tbl>
    <w:p w14:paraId="4DA11626">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3"/>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783"/>
        <w:gridCol w:w="5370"/>
        <w:gridCol w:w="815"/>
        <w:gridCol w:w="813"/>
      </w:tblGrid>
      <w:tr w14:paraId="7B2A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545EECF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457" w:type="pct"/>
            <w:vAlign w:val="center"/>
          </w:tcPr>
          <w:p w14:paraId="69DCB03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3139" w:type="pct"/>
            <w:vAlign w:val="center"/>
          </w:tcPr>
          <w:p w14:paraId="01D3AE0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476" w:type="pct"/>
            <w:vAlign w:val="center"/>
          </w:tcPr>
          <w:p w14:paraId="4B7F62B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550139A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台/套</w:t>
            </w:r>
            <w:r>
              <w:rPr>
                <w:rFonts w:hint="eastAsia" w:ascii="宋体" w:hAnsi="宋体" w:eastAsia="宋体" w:cs="宋体"/>
                <w:b/>
                <w:bCs/>
                <w:color w:val="auto"/>
                <w:sz w:val="21"/>
                <w:szCs w:val="21"/>
                <w:highlight w:val="none"/>
              </w:rPr>
              <w:t>）</w:t>
            </w:r>
          </w:p>
        </w:tc>
        <w:tc>
          <w:tcPr>
            <w:tcW w:w="475" w:type="pct"/>
            <w:vAlign w:val="center"/>
          </w:tcPr>
          <w:p w14:paraId="3DC60D6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6CA3FB0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r>
      <w:tr w14:paraId="78CE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shd w:val="clear" w:color="auto" w:fill="auto"/>
            <w:vAlign w:val="center"/>
          </w:tcPr>
          <w:p w14:paraId="3EA8FE50">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457" w:type="pct"/>
            <w:shd w:val="clear" w:color="auto" w:fill="auto"/>
            <w:vAlign w:val="center"/>
          </w:tcPr>
          <w:p w14:paraId="2679ECA5">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UPS不间断电源</w:t>
            </w:r>
          </w:p>
        </w:tc>
        <w:tc>
          <w:tcPr>
            <w:tcW w:w="3139" w:type="pct"/>
            <w:shd w:val="clear" w:color="auto" w:fill="auto"/>
            <w:vAlign w:val="center"/>
          </w:tcPr>
          <w:p w14:paraId="5158CD9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1.容量：6000VA/4800W</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4D9D7A6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2.输入电压：110-300VAC；</w:t>
            </w:r>
          </w:p>
          <w:p w14:paraId="3FD5B28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3.延时范围：外置电池2小时后备供电；</w:t>
            </w:r>
          </w:p>
          <w:p w14:paraId="0D9926F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4.输出失真度：THD&lt;2%；</w:t>
            </w:r>
          </w:p>
          <w:p w14:paraId="1AD65F4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输出电压：220VAC±1%</w:t>
            </w:r>
            <w:r>
              <w:rPr>
                <w:rFonts w:hint="eastAsia" w:ascii="宋体" w:hAnsi="宋体" w:eastAsia="宋体" w:cs="宋体"/>
                <w:color w:val="auto"/>
                <w:sz w:val="21"/>
                <w:szCs w:val="21"/>
                <w:lang w:eastAsia="zh-CN"/>
              </w:rPr>
              <w:t>；</w:t>
            </w:r>
          </w:p>
          <w:p w14:paraId="04E3AA1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输入功率因数：＞0.99</w:t>
            </w:r>
            <w:r>
              <w:rPr>
                <w:rFonts w:hint="eastAsia" w:ascii="宋体" w:hAnsi="宋体" w:eastAsia="宋体" w:cs="宋体"/>
                <w:color w:val="auto"/>
                <w:sz w:val="21"/>
                <w:szCs w:val="21"/>
                <w:lang w:eastAsia="zh-CN"/>
              </w:rPr>
              <w:t>。</w:t>
            </w:r>
          </w:p>
        </w:tc>
        <w:tc>
          <w:tcPr>
            <w:tcW w:w="476" w:type="pct"/>
            <w:vAlign w:val="center"/>
          </w:tcPr>
          <w:p w14:paraId="5D59057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11E9AC6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工业</w:t>
            </w:r>
          </w:p>
        </w:tc>
      </w:tr>
      <w:tr w14:paraId="1667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1C9EF2E">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3B21274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纯水仪</w:t>
            </w:r>
          </w:p>
        </w:tc>
        <w:tc>
          <w:tcPr>
            <w:tcW w:w="3139" w:type="pct"/>
            <w:shd w:val="clear" w:color="auto" w:fill="auto"/>
            <w:vAlign w:val="center"/>
          </w:tcPr>
          <w:p w14:paraId="3F9D610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1.出水水质：可同时制取RO纯水和UP超纯水；</w:t>
            </w:r>
          </w:p>
          <w:p w14:paraId="027B463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2.制水量: ≥20升/小时（水温25℃时）；</w:t>
            </w:r>
          </w:p>
          <w:p w14:paraId="7CDD61F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3.第一出水(RO纯水) (在线监测)电导率:≤5 µS/cm（符合国标GB/T6682-2008 三级水）</w:t>
            </w:r>
            <w:r>
              <w:rPr>
                <w:rFonts w:hint="eastAsia" w:ascii="宋体" w:hAnsi="宋体" w:eastAsia="宋体" w:cs="宋体"/>
                <w:color w:val="auto"/>
                <w:sz w:val="21"/>
                <w:szCs w:val="21"/>
                <w:lang w:eastAsia="zh-CN"/>
              </w:rPr>
              <w:t>。</w:t>
            </w:r>
          </w:p>
          <w:p w14:paraId="5AA9EFD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4.第二出水(UP超纯水)(在线监测)电阻率：≥18.2MΩ.cm（符合国标GB/T6682-2008 一级水）。</w:t>
            </w:r>
          </w:p>
          <w:p w14:paraId="11A52F1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5.取水流速： RO水≥1L/Min；UP水≥1.0L/Min。</w:t>
            </w:r>
          </w:p>
          <w:p w14:paraId="295F0D3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6.系统开机自检RO反渗透膜自动冲洗。</w:t>
            </w:r>
          </w:p>
        </w:tc>
        <w:tc>
          <w:tcPr>
            <w:tcW w:w="476" w:type="pct"/>
            <w:vAlign w:val="center"/>
          </w:tcPr>
          <w:p w14:paraId="3B2B50E3">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2D2EBE93">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0457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3F0B29D">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0" w:type="auto"/>
            <w:shd w:val="clear" w:color="auto" w:fill="auto"/>
            <w:vAlign w:val="center"/>
          </w:tcPr>
          <w:p w14:paraId="3207FE6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▲便携式水质测定仪</w:t>
            </w:r>
          </w:p>
        </w:tc>
        <w:tc>
          <w:tcPr>
            <w:tcW w:w="3139" w:type="pct"/>
            <w:shd w:val="clear" w:color="auto" w:fill="auto"/>
            <w:vAlign w:val="center"/>
          </w:tcPr>
          <w:p w14:paraId="2C009F8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1.配备温度、溶解氧、pH、电导率、氧化还原电位探头，</w:t>
            </w:r>
            <w:r>
              <w:rPr>
                <w:rFonts w:hint="eastAsia" w:ascii="宋体" w:hAnsi="宋体" w:eastAsia="宋体" w:cs="宋体"/>
                <w:color w:val="auto"/>
                <w:sz w:val="21"/>
                <w:szCs w:val="21"/>
                <w:highlight w:val="none"/>
              </w:rPr>
              <w:t>连接线缆不低于4米，主机安全防护</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IP67防水等级</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highlight w:val="none"/>
              </w:rPr>
              <w:t>。</w:t>
            </w:r>
          </w:p>
          <w:p w14:paraId="0DA63A2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2.主机、电缆、探头三体分离：同一主机可配备不同长度、不同参数接口的电缆；</w:t>
            </w:r>
          </w:p>
          <w:p w14:paraId="03077DA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3.电池仓与仪器电路仓各自独立分隔并密封；</w:t>
            </w:r>
          </w:p>
          <w:p w14:paraId="56995A9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4.溶解氧（极谱法或原电池法，毫克/升）</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106BC94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4.1测量范围不低于：0~30 mg/L；</w:t>
            </w:r>
          </w:p>
          <w:p w14:paraId="15F4680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4.2准确度：0~20mg/L: 读数值±0.2 mg/L或2% (以较大值为准)，20~30mg/L: 读数值±6% 。</w:t>
            </w:r>
          </w:p>
          <w:p w14:paraId="4835801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5.温度测量范围不低于：0~50℃；</w:t>
            </w:r>
          </w:p>
          <w:p w14:paraId="4ED15D6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5.1准确度：±0.2℃；</w:t>
            </w:r>
          </w:p>
          <w:p w14:paraId="733D0A2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5.2分辨率：0.1℃ 。</w:t>
            </w:r>
          </w:p>
          <w:p w14:paraId="51E17CC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6.电导率测量范围不低于：0~200mS/cm，准确度：读数的±0.5%或0.001mS/cm, 以较大值为准；分辨率：0.001~0.1mS/cm</w:t>
            </w:r>
          </w:p>
          <w:p w14:paraId="429845C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 pH测量范围不低于：0~14；</w:t>
            </w:r>
            <w:r>
              <w:rPr>
                <w:rFonts w:hint="eastAsia" w:ascii="宋体" w:hAnsi="宋体" w:eastAsia="宋体" w:cs="宋体"/>
                <w:color w:val="auto"/>
                <w:sz w:val="21"/>
                <w:szCs w:val="21"/>
                <w:vertAlign w:val="baseline"/>
                <w:lang w:val="en-US" w:eastAsia="zh-CN"/>
              </w:rPr>
              <w:t>[</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2CD1174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8.1准确度：±0.2；</w:t>
            </w:r>
          </w:p>
          <w:p w14:paraId="4649118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8.2分辨率：0.01 。</w:t>
            </w:r>
          </w:p>
          <w:p w14:paraId="2616009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9.氧化还原电位测量范围不低于：-1999~1999mV；</w:t>
            </w:r>
          </w:p>
          <w:p w14:paraId="509C70A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9.1准确度：±0.2 mV；</w:t>
            </w:r>
          </w:p>
          <w:p w14:paraId="2DBB984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9.2分辨率：0.1mV。</w:t>
            </w:r>
          </w:p>
        </w:tc>
        <w:tc>
          <w:tcPr>
            <w:tcW w:w="476" w:type="pct"/>
            <w:vAlign w:val="center"/>
          </w:tcPr>
          <w:p w14:paraId="7F35D1B4">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7F0FDB5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7209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1574B6B">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74512A8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生物安全柜</w:t>
            </w:r>
          </w:p>
        </w:tc>
        <w:tc>
          <w:tcPr>
            <w:tcW w:w="3139" w:type="pct"/>
            <w:shd w:val="clear" w:color="auto" w:fill="auto"/>
            <w:vAlign w:val="center"/>
          </w:tcPr>
          <w:p w14:paraId="41D9A90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1.气流模式：30%外排，70%循环，流入气流平均风速≥0.5m/s，下降气流平均风速≥0.3m/s；</w:t>
            </w:r>
          </w:p>
          <w:p w14:paraId="61386C6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 HEPA或ULPA超高效空气过滤器，针对颗粒直径≥0.12um，过滤效率≥99.9%；</w:t>
            </w:r>
          </w:p>
          <w:p w14:paraId="00241D8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 前窗具有安全高度限位声光报警功能；</w:t>
            </w:r>
          </w:p>
          <w:p w14:paraId="1E6A0BD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4.安全性能保障：具备紫外系统、荧光灯、前窗的连锁系统</w:t>
            </w:r>
          </w:p>
          <w:p w14:paraId="29E3D14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5.移动可调支架，工作区内部工作尺寸宽度要求≥1300mm</w:t>
            </w:r>
            <w:r>
              <w:rPr>
                <w:rFonts w:hint="eastAsia" w:ascii="宋体" w:hAnsi="宋体" w:eastAsia="宋体" w:cs="宋体"/>
                <w:color w:val="auto"/>
                <w:sz w:val="21"/>
                <w:szCs w:val="21"/>
                <w:vertAlign w:val="baseline"/>
                <w:lang w:val="en-US" w:eastAsia="zh-CN"/>
              </w:rPr>
              <w:t>[</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z w:val="21"/>
                <w:szCs w:val="21"/>
                <w:lang w:val="en-US" w:eastAsia="zh-CN"/>
              </w:rPr>
              <w:t>。</w:t>
            </w:r>
          </w:p>
        </w:tc>
        <w:tc>
          <w:tcPr>
            <w:tcW w:w="476" w:type="pct"/>
            <w:vAlign w:val="center"/>
          </w:tcPr>
          <w:p w14:paraId="227009A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0C5811C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A38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restart"/>
            <w:shd w:val="clear" w:color="auto" w:fill="auto"/>
            <w:vAlign w:val="center"/>
          </w:tcPr>
          <w:p w14:paraId="16150428">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1C59022">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普通生物显微镜（1）</w:t>
            </w:r>
          </w:p>
        </w:tc>
        <w:tc>
          <w:tcPr>
            <w:tcW w:w="3139" w:type="pct"/>
            <w:shd w:val="clear" w:color="auto" w:fill="auto"/>
            <w:vAlign w:val="center"/>
          </w:tcPr>
          <w:p w14:paraId="6E5CDE6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1、目镜参数：</w:t>
            </w:r>
          </w:p>
          <w:p w14:paraId="6D2BB12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 30°倾斜，铰链式三目观察头，可360度旋转；</w:t>
            </w:r>
          </w:p>
          <w:p w14:paraId="26B7DA7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 瞳距调节：50mm-75mm；</w:t>
            </w:r>
          </w:p>
          <w:p w14:paraId="4DF7041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 大视野平场目镜不小于PL10X/18mm。</w:t>
            </w:r>
          </w:p>
          <w:p w14:paraId="433F5D2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2、配备平场消色差物镜 4X 10X 40X 100X ；</w:t>
            </w:r>
          </w:p>
          <w:p w14:paraId="52AEB5F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3、光学校正：无限远色差校正系统物镜；</w:t>
            </w:r>
          </w:p>
          <w:p w14:paraId="029F761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4、观察方式：具备试样在透射情况下的明场观察方式；</w:t>
            </w:r>
          </w:p>
          <w:p w14:paraId="2A47740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5、含拍照和显示屏，显示屏≥10英寸，有效像素不低于1600万。</w:t>
            </w:r>
          </w:p>
        </w:tc>
        <w:tc>
          <w:tcPr>
            <w:tcW w:w="476" w:type="pct"/>
            <w:vAlign w:val="center"/>
          </w:tcPr>
          <w:p w14:paraId="0EA20DE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2BE169D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1512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continue"/>
          </w:tcPr>
          <w:p w14:paraId="1498A4DF">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p>
        </w:tc>
        <w:tc>
          <w:tcPr>
            <w:tcW w:w="0" w:type="auto"/>
            <w:shd w:val="clear" w:color="auto" w:fill="auto"/>
            <w:vAlign w:val="center"/>
          </w:tcPr>
          <w:p w14:paraId="4FC3F00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普通生物显微镜（2）</w:t>
            </w:r>
          </w:p>
        </w:tc>
        <w:tc>
          <w:tcPr>
            <w:tcW w:w="3139" w:type="pct"/>
            <w:shd w:val="clear" w:color="auto" w:fill="auto"/>
            <w:vAlign w:val="center"/>
          </w:tcPr>
          <w:p w14:paraId="6B5B0B83">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无限远平场消色差物镜</w:t>
            </w:r>
          </w:p>
          <w:p w14:paraId="4EB5B9F5">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lang w:val="en-US" w:eastAsia="zh-CN"/>
              </w:rPr>
              <w:t>放大倍数：4X 、10X 、40X 、100X（油）：</w:t>
            </w:r>
            <w:r>
              <w:rPr>
                <w:rFonts w:hint="eastAsia" w:ascii="宋体" w:hAnsi="宋体" w:eastAsia="宋体" w:cs="宋体"/>
                <w:color w:val="auto"/>
                <w:sz w:val="21"/>
                <w:szCs w:val="21"/>
              </w:rPr>
              <w:t>各1只</w:t>
            </w:r>
          </w:p>
          <w:p w14:paraId="49761B4A">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三目筒目镜管</w:t>
            </w:r>
            <w:r>
              <w:rPr>
                <w:rFonts w:hint="eastAsia" w:ascii="宋体" w:hAnsi="宋体" w:eastAsia="宋体" w:cs="宋体"/>
                <w:color w:val="auto"/>
                <w:sz w:val="21"/>
                <w:szCs w:val="21"/>
                <w:lang w:val="en-US" w:eastAsia="zh-CN"/>
              </w:rPr>
              <w:t>1只，配备10X 目镜、16X 目镜各 1 对</w:t>
            </w:r>
          </w:p>
          <w:p w14:paraId="7093DD5A">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lang w:val="en-US" w:eastAsia="zh-CN"/>
              </w:rPr>
              <w:t>总放大倍数：40X-1600X</w:t>
            </w:r>
          </w:p>
          <w:p w14:paraId="7B4EFF9B">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lang w:val="en-US" w:eastAsia="zh-CN"/>
              </w:rPr>
              <w:t>内置式</w:t>
            </w:r>
            <w:r>
              <w:rPr>
                <w:rFonts w:hint="eastAsia" w:ascii="宋体" w:hAnsi="宋体" w:eastAsia="宋体" w:cs="宋体"/>
                <w:color w:val="auto"/>
                <w:sz w:val="21"/>
                <w:szCs w:val="21"/>
              </w:rPr>
              <w:t>LED</w:t>
            </w:r>
            <w:r>
              <w:rPr>
                <w:rFonts w:hint="eastAsia" w:ascii="宋体" w:hAnsi="宋体" w:eastAsia="宋体" w:cs="宋体"/>
                <w:color w:val="auto"/>
                <w:sz w:val="21"/>
                <w:szCs w:val="21"/>
                <w:lang w:val="en-US" w:eastAsia="zh-CN"/>
              </w:rPr>
              <w:t>可调光源</w:t>
            </w:r>
          </w:p>
          <w:p w14:paraId="437FB588">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lang w:val="en-US" w:eastAsia="zh-CN"/>
              </w:rPr>
              <w:t>物镜用浸油（合成油）1瓶</w:t>
            </w:r>
          </w:p>
          <w:p w14:paraId="792470C3">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滤色片（蓝、黄、绿）：各 1 片</w:t>
            </w:r>
          </w:p>
        </w:tc>
        <w:tc>
          <w:tcPr>
            <w:tcW w:w="476" w:type="pct"/>
            <w:vAlign w:val="center"/>
          </w:tcPr>
          <w:p w14:paraId="72CA838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6A88CE8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F80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5523618">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0B017A4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高质量生物显微镜</w:t>
            </w:r>
          </w:p>
        </w:tc>
        <w:tc>
          <w:tcPr>
            <w:tcW w:w="3139" w:type="pct"/>
            <w:shd w:val="clear" w:color="auto" w:fill="auto"/>
            <w:vAlign w:val="center"/>
          </w:tcPr>
          <w:p w14:paraId="5200194C">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lang w:val="en-US" w:eastAsia="zh-CN"/>
              </w:rPr>
              <w:t>镜筒：30°倾斜，铰链式三目观察头，可360度旋转；</w:t>
            </w:r>
          </w:p>
          <w:p w14:paraId="7DDE416B">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2.大视野平场目镜不小于PL10X/20mm；</w:t>
            </w:r>
          </w:p>
          <w:p w14:paraId="2F8A1C6B">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3.无限远平场消色差物镜:4×、10×、40×、100×(S)Oi；</w:t>
            </w:r>
          </w:p>
          <w:p w14:paraId="15F75703">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4.总放大倍率：40×～1000×；</w:t>
            </w:r>
          </w:p>
          <w:p w14:paraId="36FA686E">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lang w:val="en-US" w:eastAsia="zh-CN"/>
              </w:rPr>
              <w:t>载物台：内置式双层机构机械载物台，双切片设计；</w:t>
            </w:r>
          </w:p>
          <w:p w14:paraId="420B973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6.调焦机构：粗调行程≥25mm，微调精度≤2μm，带有防止下滑的调节松紧装置和随机上限位装置；</w:t>
            </w:r>
          </w:p>
          <w:p w14:paraId="1DE6FA7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7.内置式LED可调冷光源；</w:t>
            </w:r>
          </w:p>
          <w:p w14:paraId="724A8CC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9.标准配置：</w:t>
            </w:r>
          </w:p>
          <w:p w14:paraId="2540FCA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9.1.生物显微镜/台；</w:t>
            </w:r>
          </w:p>
          <w:p w14:paraId="3AC21D6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9.2.观察镜筒/1只（在主机上）；</w:t>
            </w:r>
          </w:p>
          <w:p w14:paraId="6D6B3AD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9.3.平场目镜 10X /对；</w:t>
            </w:r>
          </w:p>
          <w:p w14:paraId="606BBA3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9.4.无穷远平场物镜 4 ×、 10×、40× (S)、 100× (S) Oil/各 1 只；</w:t>
            </w:r>
          </w:p>
          <w:p w14:paraId="6340836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9.5.移动工作台/1只（在主机上）；</w:t>
            </w:r>
          </w:p>
          <w:p w14:paraId="3E027F1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9.6.滤色片/1 片；</w:t>
            </w:r>
          </w:p>
          <w:p w14:paraId="0EA489B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9.7.拍照处理终端1套</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配备专业拍摄系统，不低于5核，16G DDR4/512G SSD</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，输出设备1台。</w:t>
            </w:r>
          </w:p>
        </w:tc>
        <w:tc>
          <w:tcPr>
            <w:tcW w:w="476" w:type="pct"/>
            <w:vAlign w:val="center"/>
          </w:tcPr>
          <w:p w14:paraId="73C3EF8F">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5F6B1F7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B1F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795BFBA">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22EEB8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冰箱</w:t>
            </w:r>
          </w:p>
        </w:tc>
        <w:tc>
          <w:tcPr>
            <w:tcW w:w="3139" w:type="pct"/>
            <w:shd w:val="clear" w:color="auto" w:fill="auto"/>
            <w:vAlign w:val="center"/>
          </w:tcPr>
          <w:p w14:paraId="1D44C37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1.总容积≥400L，冷冻室容积≥120L；</w:t>
            </w:r>
          </w:p>
          <w:p w14:paraId="5D36B2B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2.一级效能；</w:t>
            </w:r>
          </w:p>
          <w:p w14:paraId="200F7C3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3.额定电压220V；</w:t>
            </w:r>
          </w:p>
          <w:p w14:paraId="795E200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4.十字门，冷冻室冷冻能力≥5kg/12h。</w:t>
            </w:r>
          </w:p>
        </w:tc>
        <w:tc>
          <w:tcPr>
            <w:tcW w:w="476" w:type="pct"/>
            <w:vAlign w:val="center"/>
          </w:tcPr>
          <w:p w14:paraId="6CEFB908">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487EC90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501B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DCA8824">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14DF733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冰柜</w:t>
            </w:r>
          </w:p>
        </w:tc>
        <w:tc>
          <w:tcPr>
            <w:tcW w:w="3139" w:type="pct"/>
            <w:shd w:val="clear" w:color="auto" w:fill="auto"/>
            <w:vAlign w:val="center"/>
          </w:tcPr>
          <w:p w14:paraId="25F0FDC8">
            <w:pPr>
              <w:keepNext w:val="0"/>
              <w:keepLines w:val="0"/>
              <w:pageBreakBefore w:val="0"/>
              <w:widowControl w:val="0"/>
              <w:numPr>
                <w:ilvl w:val="0"/>
                <w:numId w:val="2"/>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容积≥600L；</w:t>
            </w:r>
          </w:p>
          <w:p w14:paraId="3FAC1798">
            <w:pPr>
              <w:keepNext w:val="0"/>
              <w:keepLines w:val="0"/>
              <w:pageBreakBefore w:val="0"/>
              <w:widowControl w:val="0"/>
              <w:numPr>
                <w:ilvl w:val="0"/>
                <w:numId w:val="2"/>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最低制冷≤-18℃；</w:t>
            </w:r>
          </w:p>
          <w:p w14:paraId="37E6960E">
            <w:pPr>
              <w:keepNext w:val="0"/>
              <w:keepLines w:val="0"/>
              <w:pageBreakBefore w:val="0"/>
              <w:widowControl w:val="0"/>
              <w:numPr>
                <w:ilvl w:val="0"/>
                <w:numId w:val="2"/>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冷冻能力≥25kg/12h，额定电压220V。</w:t>
            </w:r>
          </w:p>
        </w:tc>
        <w:tc>
          <w:tcPr>
            <w:tcW w:w="476" w:type="pct"/>
            <w:vAlign w:val="center"/>
          </w:tcPr>
          <w:p w14:paraId="2CCFB16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5934F82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765F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990C43D">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A4B7A28">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立式冷藏柜</w:t>
            </w:r>
          </w:p>
        </w:tc>
        <w:tc>
          <w:tcPr>
            <w:tcW w:w="3139" w:type="pct"/>
            <w:shd w:val="clear" w:color="auto" w:fill="auto"/>
            <w:vAlign w:val="center"/>
          </w:tcPr>
          <w:p w14:paraId="3667540B">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容积≥500L，温度范围</w:t>
            </w:r>
            <w:r>
              <w:rPr>
                <w:rFonts w:hint="eastAsia" w:ascii="宋体" w:hAnsi="宋体" w:eastAsia="宋体" w:cs="宋体"/>
                <w:color w:val="auto"/>
                <w:sz w:val="21"/>
                <w:szCs w:val="21"/>
              </w:rPr>
              <w:t>2～8℃</w:t>
            </w:r>
            <w:r>
              <w:rPr>
                <w:rFonts w:hint="eastAsia" w:ascii="宋体" w:hAnsi="宋体" w:eastAsia="宋体" w:cs="宋体"/>
                <w:color w:val="auto"/>
                <w:sz w:val="21"/>
                <w:szCs w:val="21"/>
                <w:lang w:eastAsia="zh-CN"/>
              </w:rPr>
              <w:t>；</w:t>
            </w:r>
          </w:p>
          <w:p w14:paraId="22B8B95C">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一级效能，侧开门，风冷制冷，多层送风，均匀制冷，带</w:t>
            </w:r>
            <w:r>
              <w:rPr>
                <w:rFonts w:hint="eastAsia" w:ascii="宋体" w:hAnsi="宋体" w:eastAsia="宋体" w:cs="宋体"/>
                <w:color w:val="auto"/>
                <w:sz w:val="21"/>
                <w:szCs w:val="21"/>
              </w:rPr>
              <w:t>万向</w:t>
            </w:r>
            <w:r>
              <w:rPr>
                <w:rFonts w:hint="eastAsia" w:ascii="宋体" w:hAnsi="宋体" w:eastAsia="宋体" w:cs="宋体"/>
                <w:color w:val="auto"/>
                <w:sz w:val="21"/>
                <w:szCs w:val="21"/>
                <w:lang w:val="en-US" w:eastAsia="zh-CN"/>
              </w:rPr>
              <w:t>脚轮；</w:t>
            </w:r>
          </w:p>
          <w:p w14:paraId="772D95CE">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门体采用钢化玻璃门设计</w:t>
            </w:r>
            <w:r>
              <w:rPr>
                <w:rFonts w:hint="eastAsia" w:ascii="宋体" w:hAnsi="宋体" w:eastAsia="宋体" w:cs="宋体"/>
                <w:color w:val="auto"/>
                <w:sz w:val="21"/>
                <w:szCs w:val="21"/>
                <w:lang w:eastAsia="zh-CN"/>
              </w:rPr>
              <w:t>；</w:t>
            </w:r>
          </w:p>
          <w:p w14:paraId="513C5E39">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灯光：</w:t>
            </w:r>
            <w:r>
              <w:rPr>
                <w:rFonts w:hint="eastAsia" w:ascii="宋体" w:hAnsi="宋体" w:eastAsia="宋体" w:cs="宋体"/>
                <w:color w:val="auto"/>
                <w:sz w:val="21"/>
                <w:szCs w:val="21"/>
              </w:rPr>
              <w:t>箱内配置LED照明灯</w:t>
            </w:r>
            <w:r>
              <w:rPr>
                <w:rFonts w:hint="eastAsia" w:ascii="宋体" w:hAnsi="宋体" w:eastAsia="宋体" w:cs="宋体"/>
                <w:color w:val="auto"/>
                <w:sz w:val="21"/>
                <w:szCs w:val="21"/>
                <w:lang w:eastAsia="zh-CN"/>
              </w:rPr>
              <w:t>；</w:t>
            </w:r>
          </w:p>
          <w:p w14:paraId="777D82A8">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配置不少于</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个搁架</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2个筐篮</w:t>
            </w:r>
            <w:r>
              <w:rPr>
                <w:rFonts w:hint="eastAsia" w:ascii="宋体" w:hAnsi="宋体" w:eastAsia="宋体" w:cs="宋体"/>
                <w:color w:val="auto"/>
                <w:sz w:val="21"/>
                <w:szCs w:val="21"/>
                <w:lang w:eastAsia="zh-CN"/>
              </w:rPr>
              <w:t>。</w:t>
            </w:r>
          </w:p>
        </w:tc>
        <w:tc>
          <w:tcPr>
            <w:tcW w:w="476" w:type="pct"/>
            <w:vAlign w:val="center"/>
          </w:tcPr>
          <w:p w14:paraId="59EFDEA4">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0AFDF7CF">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6598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E537D03">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1B90E2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分析天平1</w:t>
            </w:r>
          </w:p>
        </w:tc>
        <w:tc>
          <w:tcPr>
            <w:tcW w:w="3139" w:type="pct"/>
            <w:shd w:val="clear" w:color="auto" w:fill="auto"/>
            <w:vAlign w:val="center"/>
          </w:tcPr>
          <w:p w14:paraId="0C6090A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1.最大称量值：≥100g；</w:t>
            </w:r>
          </w:p>
          <w:p w14:paraId="291245F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2.可读性：0.1mg；</w:t>
            </w:r>
          </w:p>
          <w:p w14:paraId="7034154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3.重复性：≤0.08mg；</w:t>
            </w:r>
          </w:p>
          <w:p w14:paraId="0B46FA7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4.线性误差：≤0.2mg</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highlight w:val="none"/>
                <w:lang w:val="en-US" w:eastAsia="zh-CN"/>
              </w:rPr>
              <w:t>；</w:t>
            </w:r>
          </w:p>
          <w:p w14:paraId="00F4332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5.灵敏度偏移（标称加载下）: 0.8mg；</w:t>
            </w:r>
          </w:p>
          <w:p w14:paraId="3DE47A7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6.最小称量值（USP，允差 = 0.10%）：160mg；</w:t>
            </w:r>
          </w:p>
          <w:p w14:paraId="5C00014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7.金属底座和具有耐化学及酸碱腐蚀性外壳材料；</w:t>
            </w:r>
          </w:p>
          <w:p w14:paraId="553E3F36">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8.具备内部校正功能，内置砝码校正功能。</w:t>
            </w:r>
          </w:p>
        </w:tc>
        <w:tc>
          <w:tcPr>
            <w:tcW w:w="476" w:type="pct"/>
            <w:vAlign w:val="center"/>
          </w:tcPr>
          <w:p w14:paraId="338C557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56A92480">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6E49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0EBC8C6">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79011295">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分析天平2</w:t>
            </w:r>
          </w:p>
        </w:tc>
        <w:tc>
          <w:tcPr>
            <w:tcW w:w="3139" w:type="pct"/>
            <w:shd w:val="clear" w:color="auto" w:fill="auto"/>
            <w:vAlign w:val="center"/>
          </w:tcPr>
          <w:p w14:paraId="41C0501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1.最大称量值：≥50g；</w:t>
            </w:r>
          </w:p>
          <w:p w14:paraId="4A306EB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2.可读性：0.01mg</w:t>
            </w:r>
            <w:r>
              <w:rPr>
                <w:rFonts w:hint="eastAsia" w:ascii="宋体" w:hAnsi="宋体" w:eastAsia="宋体" w:cs="宋体"/>
                <w:color w:val="auto"/>
                <w:sz w:val="21"/>
                <w:szCs w:val="21"/>
                <w:vertAlign w:val="baseline"/>
                <w:lang w:val="en-US" w:eastAsia="zh-CN"/>
              </w:rPr>
              <w:t>[</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62E040A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3.重复性：≤0.03mg；</w:t>
            </w:r>
          </w:p>
          <w:p w14:paraId="01DEB72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4.线性误差:≤0.1mg；</w:t>
            </w:r>
          </w:p>
          <w:p w14:paraId="3580C53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5.灵敏度偏移（标称加载下）: 0.4mg；</w:t>
            </w:r>
          </w:p>
          <w:p w14:paraId="772B0B4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6.最小称量值（USP，允差 = 0.10%）：30mg；</w:t>
            </w:r>
          </w:p>
          <w:p w14:paraId="1A5592B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7.金属底座和具有耐化学及酸碱腐蚀性外壳材料；</w:t>
            </w:r>
          </w:p>
          <w:p w14:paraId="4B5BE0F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8.具备内部校正功能，内置砝码校正功能。</w:t>
            </w:r>
          </w:p>
        </w:tc>
        <w:tc>
          <w:tcPr>
            <w:tcW w:w="476" w:type="pct"/>
            <w:vAlign w:val="center"/>
          </w:tcPr>
          <w:p w14:paraId="0D0F96C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4578E2D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57F4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D300E00">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9A5B2B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电子天平</w:t>
            </w:r>
          </w:p>
        </w:tc>
        <w:tc>
          <w:tcPr>
            <w:tcW w:w="3139" w:type="pct"/>
            <w:shd w:val="clear" w:color="auto" w:fill="auto"/>
            <w:vAlign w:val="center"/>
          </w:tcPr>
          <w:p w14:paraId="6B9E570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1.最大称量值：≥600g；，最小称量值：≤0.2g；</w:t>
            </w:r>
          </w:p>
          <w:p w14:paraId="57CACA1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2.精确度：≤0.01g；</w:t>
            </w:r>
          </w:p>
          <w:p w14:paraId="6DF1A63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3.可充电。</w:t>
            </w:r>
          </w:p>
        </w:tc>
        <w:tc>
          <w:tcPr>
            <w:tcW w:w="476" w:type="pct"/>
            <w:vAlign w:val="center"/>
          </w:tcPr>
          <w:p w14:paraId="5E1BE24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4B24B88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0732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018B686">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29BD45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紫外可见光分光光度计</w:t>
            </w:r>
          </w:p>
        </w:tc>
        <w:tc>
          <w:tcPr>
            <w:tcW w:w="3139" w:type="pct"/>
            <w:shd w:val="clear" w:color="auto" w:fill="auto"/>
            <w:vAlign w:val="center"/>
          </w:tcPr>
          <w:p w14:paraId="0BB94CD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1、仪器特点和功能 </w:t>
            </w:r>
          </w:p>
          <w:p w14:paraId="50A9B91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配备高清智能触摸屏</w:t>
            </w:r>
            <w:r>
              <w:rPr>
                <w:rFonts w:hint="eastAsia" w:ascii="宋体" w:hAnsi="宋体" w:eastAsia="宋体" w:cs="宋体"/>
                <w:color w:val="auto"/>
                <w:sz w:val="21"/>
                <w:szCs w:val="21"/>
                <w:lang w:val="en-US" w:eastAsia="zh-CN"/>
              </w:rPr>
              <w:t>；</w:t>
            </w:r>
          </w:p>
          <w:p w14:paraId="682DD2E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 样品仓配置自动五联池架，可以适用1-10cm比色皿；</w:t>
            </w:r>
          </w:p>
          <w:p w14:paraId="52DD1896">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color w:val="auto"/>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2、仪器技术参数</w:t>
            </w:r>
            <w:r>
              <w:rPr>
                <w:rFonts w:hint="eastAsia" w:ascii="宋体" w:hAnsi="宋体" w:eastAsia="宋体" w:cs="宋体"/>
                <w:b/>
                <w:bCs/>
                <w:color w:val="auto"/>
                <w:sz w:val="21"/>
                <w:szCs w:val="21"/>
                <w:vertAlign w:val="baseline"/>
                <w:lang w:val="en-US" w:eastAsia="zh-CN"/>
              </w:rPr>
              <w:t>[投标文件中提供产品彩页证明，须能体现以下1-9项参数]</w:t>
            </w:r>
            <w:r>
              <w:rPr>
                <w:rFonts w:hint="eastAsia" w:ascii="宋体" w:hAnsi="宋体" w:eastAsia="宋体" w:cs="宋体"/>
                <w:color w:val="auto"/>
                <w:sz w:val="21"/>
                <w:szCs w:val="21"/>
                <w:vertAlign w:val="baseline"/>
                <w:lang w:val="en-US" w:eastAsia="zh-CN"/>
              </w:rPr>
              <w:t>：</w:t>
            </w:r>
          </w:p>
          <w:p w14:paraId="538596A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2.1波长范围：190-1100nm；</w:t>
            </w:r>
          </w:p>
          <w:p w14:paraId="7393270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2.2光谱带宽：1.8 nm；</w:t>
            </w:r>
          </w:p>
          <w:p w14:paraId="113F768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2.3波长准确度：±0.3nm；</w:t>
            </w:r>
          </w:p>
          <w:p w14:paraId="0639547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2.4波长重复性：≤0.2nm；</w:t>
            </w:r>
          </w:p>
          <w:p w14:paraId="79BCA0F6">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2.5光度准确度：±0.3%T（0-100%T）；</w:t>
            </w:r>
          </w:p>
          <w:p w14:paraId="5F350AF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2.6光度重复性：≤0.1%T(0-100%T)；</w:t>
            </w:r>
          </w:p>
          <w:p w14:paraId="2780673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2.7杂散光：≤0.03%T；</w:t>
            </w:r>
          </w:p>
          <w:p w14:paraId="33729F8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2.8检测器：硅光二极管；</w:t>
            </w:r>
          </w:p>
          <w:p w14:paraId="53633E9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2.9光源：钨灯、氘灯。</w:t>
            </w:r>
          </w:p>
        </w:tc>
        <w:tc>
          <w:tcPr>
            <w:tcW w:w="476" w:type="pct"/>
            <w:vAlign w:val="center"/>
          </w:tcPr>
          <w:p w14:paraId="0E357CB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336B8F5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53BB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177F59B">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179EEF25">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单道移液器</w:t>
            </w:r>
          </w:p>
        </w:tc>
        <w:tc>
          <w:tcPr>
            <w:tcW w:w="3139" w:type="pct"/>
            <w:shd w:val="clear" w:color="auto" w:fill="auto"/>
            <w:vAlign w:val="center"/>
          </w:tcPr>
          <w:p w14:paraId="3CBC317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0.1-2.5μL，1-10μL，10-100μL，20-200μL，100-100μL各一支</w:t>
            </w:r>
          </w:p>
        </w:tc>
        <w:tc>
          <w:tcPr>
            <w:tcW w:w="476" w:type="pct"/>
            <w:vAlign w:val="center"/>
          </w:tcPr>
          <w:p w14:paraId="53EAB32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05BF112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2C3B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1" w:hRule="atLeast"/>
          <w:jc w:val="center"/>
        </w:trPr>
        <w:tc>
          <w:tcPr>
            <w:tcW w:w="0" w:type="auto"/>
            <w:shd w:val="clear" w:color="auto" w:fill="auto"/>
            <w:vAlign w:val="center"/>
          </w:tcPr>
          <w:p w14:paraId="18A08D47">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321253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高压灭菌锅</w:t>
            </w:r>
          </w:p>
        </w:tc>
        <w:tc>
          <w:tcPr>
            <w:tcW w:w="3139" w:type="pct"/>
            <w:shd w:val="clear" w:color="auto" w:fill="auto"/>
            <w:vAlign w:val="center"/>
          </w:tcPr>
          <w:p w14:paraId="7100C5D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1.锅盖启闭装置采用拨杆式多连杆同步伸缩结构</w:t>
            </w:r>
            <w:r>
              <w:rPr>
                <w:rFonts w:hint="eastAsia" w:ascii="宋体" w:hAnsi="宋体" w:eastAsia="宋体" w:cs="宋体"/>
                <w:b/>
                <w:bCs/>
                <w:color w:val="auto"/>
                <w:sz w:val="21"/>
                <w:szCs w:val="21"/>
                <w:highlight w:val="none"/>
                <w:vertAlign w:val="baseline"/>
                <w:lang w:val="en-US" w:eastAsia="zh-CN"/>
              </w:rPr>
              <w:t>；</w:t>
            </w:r>
          </w:p>
          <w:p w14:paraId="0ED4DE8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2.灭菌锅体采用304及以上不锈钢材质；</w:t>
            </w:r>
          </w:p>
          <w:p w14:paraId="0693054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3.数码液晶窗中文显示运行状态，灭菌结束提醒自动停机；</w:t>
            </w:r>
          </w:p>
          <w:p w14:paraId="69149FC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4.具备故障自动检测判断系统；</w:t>
            </w:r>
          </w:p>
          <w:p w14:paraId="51FEB37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5.具备灭菌结束自动排气功能；</w:t>
            </w:r>
          </w:p>
          <w:p w14:paraId="1CA5095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6.灭菌温度可选设定范围50℃-130℃</w:t>
            </w:r>
            <w:r>
              <w:rPr>
                <w:rFonts w:hint="eastAsia" w:ascii="宋体" w:hAnsi="宋体" w:eastAsia="宋体" w:cs="宋体"/>
                <w:b/>
                <w:bCs/>
                <w:color w:val="auto"/>
                <w:sz w:val="21"/>
                <w:szCs w:val="21"/>
                <w:highlight w:val="none"/>
                <w:vertAlign w:val="baseline"/>
                <w:lang w:val="en-US" w:eastAsia="zh-CN"/>
              </w:rPr>
              <w:t>[投标文件中提供产品彩页证明]</w:t>
            </w:r>
            <w:r>
              <w:rPr>
                <w:rFonts w:hint="eastAsia" w:ascii="宋体" w:hAnsi="宋体" w:eastAsia="宋体" w:cs="宋体"/>
                <w:color w:val="auto"/>
                <w:sz w:val="21"/>
                <w:szCs w:val="21"/>
                <w:highlight w:val="none"/>
                <w:lang w:val="en-US" w:eastAsia="zh-CN"/>
              </w:rPr>
              <w:t>；</w:t>
            </w:r>
          </w:p>
          <w:p w14:paraId="427945D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7.灭菌时间可调设定范围0-10h；</w:t>
            </w:r>
          </w:p>
          <w:p w14:paraId="43264E1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8.具有断水保护防干烧和漏电保护系统；</w:t>
            </w:r>
          </w:p>
          <w:p w14:paraId="29A6B0C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9.具有机械式安全泄压阀和电控式过压保护装置；</w:t>
            </w:r>
          </w:p>
          <w:p w14:paraId="4816488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10.容积：≥75升,电源电压:220V/50Hz；</w:t>
            </w:r>
          </w:p>
          <w:p w14:paraId="0DE6FA0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网篮2只</w:t>
            </w:r>
            <w:r>
              <w:rPr>
                <w:rFonts w:hint="eastAsia" w:ascii="宋体" w:hAnsi="宋体" w:eastAsia="宋体" w:cs="宋体"/>
                <w:color w:val="auto"/>
                <w:sz w:val="21"/>
                <w:szCs w:val="21"/>
                <w:lang w:eastAsia="zh-CN"/>
              </w:rPr>
              <w:t>。</w:t>
            </w:r>
          </w:p>
        </w:tc>
        <w:tc>
          <w:tcPr>
            <w:tcW w:w="476" w:type="pct"/>
            <w:vAlign w:val="center"/>
          </w:tcPr>
          <w:p w14:paraId="13667C04">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334C0FE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AEE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475F327">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3ED1D80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水浴锅</w:t>
            </w:r>
          </w:p>
        </w:tc>
        <w:tc>
          <w:tcPr>
            <w:tcW w:w="3139" w:type="pct"/>
            <w:shd w:val="clear" w:color="auto" w:fill="auto"/>
            <w:vAlign w:val="center"/>
          </w:tcPr>
          <w:p w14:paraId="64EF73FF">
            <w:pPr>
              <w:keepNext w:val="0"/>
              <w:keepLines w:val="0"/>
              <w:pageBreakBefore w:val="0"/>
              <w:widowControl w:val="0"/>
              <w:tabs>
                <w:tab w:val="center" w:pos="2577"/>
              </w:tabs>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1、双列八孔；</w:t>
            </w:r>
          </w:p>
          <w:p w14:paraId="7D3D11F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2、内胆尺寸：≥600*290*120 mm；</w:t>
            </w:r>
          </w:p>
          <w:p w14:paraId="344A1E0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3、控温范围：RT+5-100℃；</w:t>
            </w:r>
          </w:p>
          <w:p w14:paraId="18F8E1E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4、温度波动度：±1℃ 。</w:t>
            </w:r>
          </w:p>
        </w:tc>
        <w:tc>
          <w:tcPr>
            <w:tcW w:w="476" w:type="pct"/>
            <w:vAlign w:val="center"/>
          </w:tcPr>
          <w:p w14:paraId="43EAB132">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1B37D6E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1A45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09828F5E">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7D4742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成品道闸</w:t>
            </w:r>
          </w:p>
        </w:tc>
        <w:tc>
          <w:tcPr>
            <w:tcW w:w="3139" w:type="pct"/>
            <w:shd w:val="clear" w:color="auto" w:fill="auto"/>
            <w:vAlign w:val="center"/>
          </w:tcPr>
          <w:p w14:paraId="1D04E0C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1.车牌识别率：白天≥99.8%；夜间≥99.6%；</w:t>
            </w:r>
          </w:p>
          <w:p w14:paraId="172C095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2.图像分辨率：≥720P CIF4 CIF；防护等级：≥IP66；</w:t>
            </w:r>
          </w:p>
          <w:p w14:paraId="090BF3A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3.闸杆尺寸：主杆170mm*55mm*1.8厚，长度约4.5m（现场测量为准） 竖杆60mm*20mm，副杆87mm*44mm；</w:t>
            </w:r>
          </w:p>
          <w:p w14:paraId="3A6CD68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4.走人小门尺寸：1163-1730mm可调节。</w:t>
            </w:r>
          </w:p>
        </w:tc>
        <w:tc>
          <w:tcPr>
            <w:tcW w:w="476" w:type="pct"/>
            <w:vAlign w:val="center"/>
          </w:tcPr>
          <w:p w14:paraId="0EAC7510">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2C1ECFF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4ADE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71A420B">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2E691B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电子显示屏</w:t>
            </w:r>
          </w:p>
        </w:tc>
        <w:tc>
          <w:tcPr>
            <w:tcW w:w="3139" w:type="pct"/>
            <w:shd w:val="clear" w:color="auto" w:fill="auto"/>
            <w:vAlign w:val="center"/>
          </w:tcPr>
          <w:p w14:paraId="21F1C62F">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lang w:val="en-US" w:eastAsia="zh-CN"/>
              </w:rPr>
              <w:t>悬挂式全彩LED屏，尺寸约为2.31米（宽）×1.30米（高）；</w:t>
            </w:r>
          </w:p>
          <w:p w14:paraId="35C8FFDC">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lang w:val="en-US" w:eastAsia="zh-CN"/>
              </w:rPr>
              <w:t>≥111100像素/平方米（点间距≤3mm）</w:t>
            </w:r>
            <w:r>
              <w:rPr>
                <w:rFonts w:hint="eastAsia" w:ascii="宋体" w:hAnsi="宋体" w:eastAsia="宋体" w:cs="宋体"/>
                <w:b/>
                <w:bCs/>
                <w:color w:val="auto"/>
                <w:sz w:val="21"/>
                <w:szCs w:val="21"/>
                <w:vertAlign w:val="baseline"/>
                <w:lang w:val="en-US" w:eastAsia="zh-CN"/>
              </w:rPr>
              <w:t>[投标文件中提供产品彩页证明]</w:t>
            </w:r>
          </w:p>
        </w:tc>
        <w:tc>
          <w:tcPr>
            <w:tcW w:w="476" w:type="pct"/>
            <w:vAlign w:val="center"/>
          </w:tcPr>
          <w:p w14:paraId="1A35700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44DA847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0150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48CD5AA">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3B39FF68">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监测数据库服务器</w:t>
            </w:r>
          </w:p>
        </w:tc>
        <w:tc>
          <w:tcPr>
            <w:tcW w:w="3139" w:type="pct"/>
            <w:shd w:val="clear" w:color="auto" w:fill="auto"/>
            <w:vAlign w:val="center"/>
          </w:tcPr>
          <w:p w14:paraId="37A922C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1、CPU：≥10核16线程；基础主频≥2.5GHz,最大睿频≥4.7GHz，三级缓存≥20MB</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lang w:val="en-US" w:eastAsia="zh-CN"/>
              </w:rPr>
              <w:t>；</w:t>
            </w:r>
          </w:p>
          <w:p w14:paraId="1FF2A52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2、主板：全固态电容主板，B7芯片组或以上；主板内置PCIe插槽数量：≥3个；Debug接口≥1个；</w:t>
            </w:r>
          </w:p>
          <w:p w14:paraId="5166A68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3、接口：≥9个USB TYPE-A 3.0接口，1个TYPE-C型接口，1个串口，视频接口数量≥3，千兆自适应网卡≥1，前置智能读卡器，前置网络状态指示灯，前置硬件故障指示灯；</w:t>
            </w:r>
          </w:p>
          <w:p w14:paraId="46F5CCB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4、存储：≥512GB M.2固态硬盘，≥4TB机械硬盘；</w:t>
            </w:r>
          </w:p>
          <w:p w14:paraId="66490BA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5、内存：≥16GB DDR5 5600MHz，内存条配置数量（板载内存不涉及）≥4；</w:t>
            </w:r>
          </w:p>
          <w:p w14:paraId="544BAC7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6、音频接口：≥5个；</w:t>
            </w:r>
          </w:p>
          <w:p w14:paraId="635FBF9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7、显卡：独立显卡，内存≥16G，带宽</w:t>
            </w:r>
            <w:r>
              <w:rPr>
                <w:rFonts w:hint="eastAsia" w:ascii="宋体" w:hAnsi="宋体" w:eastAsia="宋体" w:cs="宋体"/>
                <w:color w:val="auto"/>
                <w:sz w:val="21"/>
                <w:szCs w:val="21"/>
              </w:rPr>
              <w:t>≥1 TB/s</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268F4EC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8、电源：额定功率不低于330W，运行电压89V-265V之间可稳定运行；</w:t>
            </w:r>
          </w:p>
          <w:p w14:paraId="7078C66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9、≥23.8英寸IPS显示，分辨率≥1920*1080，刷新率≥120Hz，VGA+HDMI接口。</w:t>
            </w:r>
          </w:p>
        </w:tc>
        <w:tc>
          <w:tcPr>
            <w:tcW w:w="476" w:type="pct"/>
            <w:vAlign w:val="center"/>
          </w:tcPr>
          <w:p w14:paraId="76879F30">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003578D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bl>
    <w:p w14:paraId="7211EA8A">
      <w:pPr>
        <w:spacing w:line="360" w:lineRule="auto"/>
        <w:ind w:firstLine="437"/>
        <w:outlineLvl w:val="1"/>
        <w:rPr>
          <w:rFonts w:ascii="宋体" w:hAnsi="宋体" w:eastAsia="宋体"/>
          <w:b/>
          <w:bCs/>
          <w:color w:val="auto"/>
          <w:sz w:val="24"/>
          <w:szCs w:val="18"/>
          <w:highlight w:val="none"/>
        </w:rPr>
      </w:pPr>
      <w:bookmarkStart w:id="4" w:name="_Toc4843"/>
      <w:bookmarkStart w:id="5" w:name="_Toc7421"/>
      <w:r>
        <w:rPr>
          <w:rFonts w:hint="eastAsia" w:ascii="宋体" w:hAnsi="宋体" w:eastAsia="宋体"/>
          <w:b/>
          <w:bCs/>
          <w:color w:val="auto"/>
          <w:sz w:val="24"/>
          <w:szCs w:val="18"/>
          <w:highlight w:val="none"/>
        </w:rPr>
        <w:t>三、报价要求</w:t>
      </w:r>
      <w:bookmarkEnd w:id="4"/>
      <w:bookmarkEnd w:id="5"/>
    </w:p>
    <w:p w14:paraId="6015AA15">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四、备品备件及专用工具</w:t>
      </w:r>
    </w:p>
    <w:p w14:paraId="0A607135">
      <w:pPr>
        <w:spacing w:line="360" w:lineRule="auto"/>
        <w:ind w:firstLine="437"/>
        <w:outlineLvl w:val="1"/>
        <w:rPr>
          <w:rFonts w:ascii="宋体" w:hAnsi="宋体" w:eastAsia="宋体"/>
          <w:bCs/>
          <w:color w:val="auto"/>
          <w:sz w:val="24"/>
          <w:szCs w:val="18"/>
          <w:highlight w:val="none"/>
        </w:rPr>
      </w:pPr>
      <w:bookmarkStart w:id="6" w:name="_Toc445554752"/>
      <w:bookmarkStart w:id="7" w:name="_Toc455587277"/>
      <w:bookmarkStart w:id="8" w:name="_Toc455587093"/>
      <w:r>
        <w:rPr>
          <w:rFonts w:ascii="宋体" w:hAnsi="宋体" w:eastAsia="宋体"/>
          <w:bCs/>
          <w:color w:val="auto"/>
          <w:sz w:val="24"/>
          <w:szCs w:val="18"/>
          <w:highlight w:val="none"/>
        </w:rPr>
        <w:t>1、备品备件：中标人提供能够满足质量保证期内的设备维修要求的备品备件，备品备件应是新品。</w:t>
      </w:r>
    </w:p>
    <w:p w14:paraId="4DD3331B">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2、专用工具：中标人提供设备安装、调试、维修、保养所必要的专用工具、仪器、仪表等工具。</w:t>
      </w:r>
    </w:p>
    <w:bookmarkEnd w:id="6"/>
    <w:bookmarkEnd w:id="7"/>
    <w:bookmarkEnd w:id="8"/>
    <w:p w14:paraId="29D6A966">
      <w:pPr>
        <w:spacing w:line="360" w:lineRule="auto"/>
        <w:ind w:firstLine="437"/>
        <w:outlineLvl w:val="1"/>
        <w:rPr>
          <w:rFonts w:hint="eastAsia" w:ascii="宋体" w:hAnsi="宋体" w:eastAsia="宋体"/>
          <w:b/>
          <w:bCs/>
          <w:color w:val="auto"/>
          <w:sz w:val="24"/>
          <w:szCs w:val="18"/>
          <w:highlight w:val="none"/>
        </w:rPr>
      </w:pPr>
      <w:bookmarkStart w:id="9" w:name="_Toc532199625"/>
      <w:bookmarkStart w:id="10" w:name="_Toc455587278"/>
      <w:bookmarkStart w:id="11" w:name="_Toc455587094"/>
      <w:bookmarkStart w:id="12" w:name="_Toc445554753"/>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9"/>
    </w:p>
    <w:p w14:paraId="49EDBB38">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1、中标人在设备安装地点负责安装、调试。</w:t>
      </w:r>
    </w:p>
    <w:p w14:paraId="7C8BDAD9">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2、具体设备验收标准和程序按采购人要求执行，下列验收程序可参照执行：</w:t>
      </w:r>
    </w:p>
    <w:p w14:paraId="11840BE4">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44EDDDC2">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585538B4">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p>
    <w:p w14:paraId="3AFACE87">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p>
    <w:p w14:paraId="0BED61DB">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2.5 中标人应向采购人提供安装调试过程中的各种文档资料,以便采购人今后能掌握操作和维护方法。</w:t>
      </w:r>
    </w:p>
    <w:p w14:paraId="5B2E9AB4">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p>
    <w:p w14:paraId="2714D47C">
      <w:pPr>
        <w:spacing w:line="360" w:lineRule="auto"/>
        <w:ind w:firstLine="437"/>
        <w:outlineLvl w:val="1"/>
        <w:rPr>
          <w:rFonts w:hint="eastAsia" w:ascii="宋体" w:hAnsi="宋体" w:eastAsia="宋体"/>
          <w:b/>
          <w:bCs/>
          <w:color w:val="auto"/>
          <w:sz w:val="24"/>
          <w:szCs w:val="18"/>
          <w:highlight w:val="none"/>
        </w:rPr>
      </w:pPr>
      <w:bookmarkStart w:id="13" w:name="_Toc532199626"/>
      <w:r>
        <w:rPr>
          <w:rFonts w:hint="eastAsia" w:ascii="宋体" w:hAnsi="宋体" w:eastAsia="宋体"/>
          <w:b/>
          <w:bCs/>
          <w:color w:val="auto"/>
          <w:sz w:val="24"/>
          <w:szCs w:val="18"/>
          <w:highlight w:val="none"/>
        </w:rPr>
        <w:t>六、包装运输</w:t>
      </w:r>
      <w:bookmarkEnd w:id="10"/>
      <w:bookmarkEnd w:id="11"/>
      <w:bookmarkEnd w:id="12"/>
      <w:bookmarkEnd w:id="13"/>
    </w:p>
    <w:p w14:paraId="4786D7C9">
      <w:pPr>
        <w:spacing w:line="360" w:lineRule="auto"/>
        <w:ind w:firstLine="437"/>
        <w:outlineLvl w:val="1"/>
        <w:rPr>
          <w:rFonts w:ascii="宋体" w:hAnsi="宋体" w:eastAsia="宋体"/>
          <w:bCs/>
          <w:color w:val="auto"/>
          <w:sz w:val="24"/>
          <w:szCs w:val="18"/>
          <w:highlight w:val="none"/>
        </w:rPr>
      </w:pPr>
      <w:bookmarkStart w:id="14" w:name="_Toc455587095"/>
      <w:bookmarkStart w:id="15" w:name="_Toc445554754"/>
      <w:bookmarkStart w:id="16" w:name="_Toc455587279"/>
      <w:r>
        <w:rPr>
          <w:rFonts w:ascii="宋体" w:hAnsi="宋体" w:eastAsia="宋体"/>
          <w:bCs/>
          <w:color w:val="auto"/>
          <w:sz w:val="24"/>
          <w:szCs w:val="18"/>
          <w:highlight w:val="none"/>
        </w:rPr>
        <w:t>1、中标人负责设备包装、办理运输和保险，将设备安全运抵交货地点。</w:t>
      </w:r>
    </w:p>
    <w:p w14:paraId="69524BB1">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2、设备制造完成并通过试验后应及时包装，否则应得到切实的保护，确保其不受污损。</w:t>
      </w:r>
    </w:p>
    <w:p w14:paraId="2419B0B9">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3、在包装箱外应标明采购人的订货号、发货号。</w:t>
      </w:r>
    </w:p>
    <w:p w14:paraId="20860EAF">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4、各种包装应能确保各零部件在运输过程中不致遭到损坏、丢失、变形、受潮和腐蚀。</w:t>
      </w:r>
    </w:p>
    <w:p w14:paraId="7AD9D441">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5、包装箱上应有明显的包装储运图示标志。</w:t>
      </w:r>
    </w:p>
    <w:p w14:paraId="3C3B6058">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6、整体产品或分别运输的部件都要适应运输和装载的要求。</w:t>
      </w:r>
    </w:p>
    <w:p w14:paraId="2B200FB3">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7、随产品提供的技术资料应完整无缺。</w:t>
      </w:r>
    </w:p>
    <w:p w14:paraId="3C0B4846">
      <w:pPr>
        <w:spacing w:line="360" w:lineRule="auto"/>
        <w:ind w:firstLine="437"/>
        <w:outlineLvl w:val="1"/>
        <w:rPr>
          <w:rFonts w:hint="eastAsia" w:ascii="宋体" w:hAnsi="宋体" w:eastAsia="宋体"/>
          <w:b/>
          <w:bCs/>
          <w:color w:val="auto"/>
          <w:sz w:val="24"/>
          <w:szCs w:val="18"/>
          <w:highlight w:val="none"/>
        </w:rPr>
      </w:pPr>
      <w:bookmarkStart w:id="17" w:name="_Toc532199627"/>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14"/>
      <w:bookmarkEnd w:id="15"/>
      <w:bookmarkEnd w:id="16"/>
      <w:bookmarkEnd w:id="17"/>
    </w:p>
    <w:p w14:paraId="7C40B88B">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p>
    <w:p w14:paraId="7183CAF6">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2、培训的时间、人数、地点等具体内容由买卖双方商定，内容至少包括：设备原理、使用、维护、运行操作、常见故障处理等。</w:t>
      </w:r>
    </w:p>
    <w:p w14:paraId="016D8747">
      <w:pPr>
        <w:spacing w:line="360" w:lineRule="auto"/>
        <w:ind w:firstLine="437"/>
        <w:outlineLvl w:val="1"/>
        <w:rPr>
          <w:rFonts w:hint="eastAsia" w:ascii="宋体" w:hAnsi="宋体" w:eastAsia="宋体"/>
          <w:b/>
          <w:bCs/>
          <w:color w:val="auto"/>
          <w:sz w:val="24"/>
          <w:szCs w:val="18"/>
          <w:highlight w:val="none"/>
        </w:rPr>
      </w:pPr>
      <w:bookmarkStart w:id="18"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p>
    <w:p w14:paraId="5827F99F">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1、自双方签订《验收报告》起进入质保期。</w:t>
      </w:r>
    </w:p>
    <w:p w14:paraId="04DF5FFF">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18"/>
    </w:p>
    <w:p w14:paraId="770AE1BA">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78DAF"/>
    <w:multiLevelType w:val="singleLevel"/>
    <w:tmpl w:val="97678DAF"/>
    <w:lvl w:ilvl="0" w:tentative="0">
      <w:start w:val="1"/>
      <w:numFmt w:val="decimal"/>
      <w:suff w:val="nothing"/>
      <w:lvlText w:val="%1"/>
      <w:lvlJc w:val="left"/>
      <w:pPr>
        <w:tabs>
          <w:tab w:val="left" w:pos="0"/>
        </w:tabs>
        <w:ind w:left="454" w:leftChars="0" w:hanging="454" w:firstLineChars="0"/>
      </w:pPr>
      <w:rPr>
        <w:rFonts w:hint="default"/>
      </w:rPr>
    </w:lvl>
  </w:abstractNum>
  <w:abstractNum w:abstractNumId="1">
    <w:nsid w:val="B1E1BF6F"/>
    <w:multiLevelType w:val="singleLevel"/>
    <w:tmpl w:val="B1E1BF6F"/>
    <w:lvl w:ilvl="0" w:tentative="0">
      <w:start w:val="1"/>
      <w:numFmt w:val="decimal"/>
      <w:lvlText w:val="%1."/>
      <w:lvlJc w:val="left"/>
      <w:pPr>
        <w:tabs>
          <w:tab w:val="left" w:pos="312"/>
        </w:tabs>
      </w:pPr>
    </w:lvl>
  </w:abstractNum>
  <w:abstractNum w:abstractNumId="2">
    <w:nsid w:val="11681DA1"/>
    <w:multiLevelType w:val="singleLevel"/>
    <w:tmpl w:val="11681DA1"/>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717F2F"/>
    <w:rsid w:val="18717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2026-08-13T12:15:00Z</dcterms:created>
  <dc:creator>省招</dc:creator>
  <cp:lastModifiedBy>省招</cp:lastModifiedBy>
  <dcterms:modified xsi:type="dcterms:W3CDTF">2026-08-13T12:15:41Z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AF9810A3B8CF40929E9CD48B7828A840_11</vt:lpwstr>
  </property>
  <property fmtid="{D5CDD505-2E9C-101B-9397-08002B2CF9AE}" pid="4" name="KSOTemplateDocerSaveRecord">
    <vt:lpwstr>eyJoZGlkIjoiNTY2MTE2NmE0MWNlYjQ4MmJmZTAzOTM5ZDExNmQ2YmYiLCJ1c2VySWQiOiIxMDExNDk4MDc1In0=</vt:lpwstr>
  </property>
</Properties>
</file>