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8E344">
      <w:pPr>
        <w:pStyle w:val="2"/>
        <w:wordWrap w:val="0"/>
        <w:rPr>
          <w:rFonts w:hint="eastAsia" w:ascii="方正小标宋_GBK" w:hAnsi="方正小标宋_GBK" w:eastAsia="华文中宋" w:cs="方正小标宋_GBK"/>
          <w:color w:val="auto"/>
          <w:highlight w:val="none"/>
        </w:rPr>
      </w:pPr>
      <w:r>
        <w:rPr>
          <w:rFonts w:hint="eastAsia" w:ascii="方正小标宋_GBK" w:hAnsi="方正小标宋_GBK" w:eastAsia="华文中宋" w:cs="方正小标宋_GBK"/>
          <w:color w:val="auto"/>
          <w:highlight w:val="none"/>
        </w:rPr>
        <w:t>采购需求</w:t>
      </w:r>
    </w:p>
    <w:p w14:paraId="73A54627">
      <w:pPr>
        <w:wordWrap w:val="0"/>
        <w:spacing w:line="360" w:lineRule="auto"/>
        <w:rPr>
          <w:rFonts w:hint="eastAsia" w:ascii="宋体" w:hAnsi="宋体" w:eastAsia="宋体"/>
          <w:b/>
          <w:color w:val="auto"/>
          <w:sz w:val="24"/>
          <w:highlight w:val="none"/>
        </w:rPr>
      </w:pPr>
      <w:r>
        <w:rPr>
          <w:rFonts w:hint="eastAsia" w:ascii="宋体" w:hAnsi="宋体" w:eastAsia="宋体"/>
          <w:b/>
          <w:color w:val="auto"/>
          <w:sz w:val="24"/>
          <w:highlight w:val="none"/>
        </w:rPr>
        <w:t>前注：</w:t>
      </w:r>
    </w:p>
    <w:p w14:paraId="0EAED34A">
      <w:pPr>
        <w:wordWrap w:val="0"/>
        <w:spacing w:line="360" w:lineRule="auto"/>
        <w:ind w:firstLine="480" w:firstLineChars="200"/>
        <w:rPr>
          <w:rFonts w:hint="eastAsia" w:ascii="宋体" w:hAnsi="宋体" w:eastAsia="宋体" w:cs="宋体"/>
          <w:color w:val="auto"/>
          <w:sz w:val="24"/>
          <w:szCs w:val="18"/>
          <w:highlight w:val="none"/>
        </w:rPr>
      </w:pPr>
      <w:bookmarkStart w:id="0" w:name="_Hlk16461016"/>
      <w:r>
        <w:rPr>
          <w:rFonts w:hint="eastAsia" w:ascii="宋体" w:hAnsi="宋体" w:eastAsia="宋体" w:cs="宋体"/>
          <w:color w:val="auto"/>
          <w:sz w:val="24"/>
          <w:highlight w:val="none"/>
        </w:rPr>
        <w:t>1.</w:t>
      </w:r>
      <w:r>
        <w:rPr>
          <w:rFonts w:hint="eastAsia" w:ascii="宋体" w:hAnsi="宋体" w:eastAsia="宋体" w:cs="宋体"/>
          <w:color w:val="auto"/>
          <w:sz w:val="24"/>
          <w:szCs w:val="18"/>
          <w:highlight w:val="none"/>
        </w:rPr>
        <w:t>根据《关于规范政府采购进口产品有关工作的通知》及政府采购管理部门的相关规定，下列采购需求中标注进口产品的货物（科研仪器设备）均已履行相关论证手续，经核准采购进口产品，但不限制满足招标文件要求的国内产品参与竞争。未标注进口产品的货物均为拒绝采购进口产品。</w:t>
      </w:r>
    </w:p>
    <w:p w14:paraId="1F6A7027">
      <w:pPr>
        <w:wordWrap w:val="0"/>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2.下列采购需求中：</w:t>
      </w:r>
    </w:p>
    <w:p w14:paraId="6C432DC9">
      <w:pPr>
        <w:wordWrap w:val="0"/>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3DA31185">
      <w:pPr>
        <w:wordWrap w:val="0"/>
        <w:spacing w:line="360" w:lineRule="auto"/>
        <w:ind w:firstLine="480" w:firstLineChars="200"/>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351B20D">
      <w:pPr>
        <w:wordWrap w:val="0"/>
        <w:spacing w:line="360" w:lineRule="auto"/>
        <w:ind w:firstLine="480" w:firstLineChars="200"/>
        <w:jc w:val="left"/>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3.下列采购需求中：标注</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18"/>
          <w:highlight w:val="none"/>
        </w:rPr>
        <w:t>的产品（核心产品），投标人在投标文件《主要中标标的承诺函》中填写名称、品牌、规格、型号、数量、单价等信息。</w:t>
      </w:r>
    </w:p>
    <w:p w14:paraId="46D21FF6">
      <w:pPr>
        <w:pStyle w:val="3"/>
        <w:wordWrap w:val="0"/>
        <w:ind w:firstLine="0" w:firstLineChars="0"/>
        <w:rPr>
          <w:rFonts w:eastAsia="黑体"/>
          <w:color w:val="auto"/>
          <w:highlight w:val="none"/>
        </w:rPr>
      </w:pPr>
      <w:bookmarkStart w:id="1" w:name="_Toc337877615"/>
      <w:bookmarkStart w:id="2" w:name="_Toc292361325"/>
      <w:bookmarkStart w:id="3" w:name="_Toc1437377518_WPSOffice_Level2"/>
      <w:bookmarkStart w:id="4" w:name="_Toc2025078090"/>
      <w:bookmarkStart w:id="5" w:name="_Toc1899401549"/>
      <w:bookmarkStart w:id="6" w:name="_Toc1064185329"/>
      <w:bookmarkStart w:id="7" w:name="_Toc382548620"/>
      <w:bookmarkStart w:id="8" w:name="_Toc1452677390"/>
      <w:r>
        <w:rPr>
          <w:rFonts w:hint="eastAsia" w:eastAsia="黑体"/>
          <w:color w:val="auto"/>
          <w:highlight w:val="none"/>
        </w:rPr>
        <w:t>一、第1-3包采购需求前附表</w:t>
      </w:r>
      <w:bookmarkEnd w:id="1"/>
      <w:bookmarkEnd w:id="2"/>
      <w:bookmarkEnd w:id="3"/>
      <w:bookmarkEnd w:id="4"/>
      <w:bookmarkEnd w:id="5"/>
      <w:bookmarkEnd w:id="6"/>
      <w:bookmarkEnd w:id="7"/>
      <w:bookmarkEnd w:id="8"/>
    </w:p>
    <w:tbl>
      <w:tblPr>
        <w:tblStyle w:val="11"/>
        <w:tblW w:w="8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2054"/>
        <w:gridCol w:w="5544"/>
      </w:tblGrid>
      <w:tr w14:paraId="25A9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10545988">
            <w:pPr>
              <w:pStyle w:val="13"/>
              <w:pBdr>
                <w:bottom w:val="none" w:color="auto" w:sz="0" w:space="0"/>
              </w:pBdr>
              <w:tabs>
                <w:tab w:val="clear" w:pos="4153"/>
                <w:tab w:val="clear" w:pos="8306"/>
              </w:tabs>
              <w:wordWrap w:val="0"/>
              <w:adjustRightInd/>
              <w:spacing w:line="288" w:lineRule="auto"/>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序号</w:t>
            </w:r>
          </w:p>
        </w:tc>
        <w:tc>
          <w:tcPr>
            <w:tcW w:w="2054" w:type="dxa"/>
            <w:vAlign w:val="center"/>
          </w:tcPr>
          <w:p w14:paraId="20CA70BC">
            <w:pPr>
              <w:pStyle w:val="14"/>
              <w:widowControl w:val="0"/>
              <w:wordWrap w:val="0"/>
              <w:spacing w:before="0" w:beforeAutospacing="0" w:after="0" w:afterAutospacing="0" w:line="288"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条款名称</w:t>
            </w:r>
          </w:p>
        </w:tc>
        <w:tc>
          <w:tcPr>
            <w:tcW w:w="5544" w:type="dxa"/>
            <w:vAlign w:val="center"/>
          </w:tcPr>
          <w:p w14:paraId="4CC6783B">
            <w:pPr>
              <w:pStyle w:val="14"/>
              <w:widowControl w:val="0"/>
              <w:wordWrap w:val="0"/>
              <w:spacing w:before="0" w:beforeAutospacing="0" w:after="0" w:afterAutospacing="0" w:line="288"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内容、说明与要求</w:t>
            </w:r>
          </w:p>
        </w:tc>
      </w:tr>
      <w:tr w14:paraId="62F0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51EF5793">
            <w:pPr>
              <w:pStyle w:val="13"/>
              <w:pBdr>
                <w:bottom w:val="none" w:color="auto" w:sz="0" w:space="0"/>
              </w:pBdr>
              <w:tabs>
                <w:tab w:val="clear" w:pos="4153"/>
                <w:tab w:val="clear" w:pos="8306"/>
              </w:tabs>
              <w:wordWrap w:val="0"/>
              <w:adjustRightInd/>
              <w:spacing w:line="288" w:lineRule="auto"/>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1</w:t>
            </w:r>
          </w:p>
        </w:tc>
        <w:tc>
          <w:tcPr>
            <w:tcW w:w="2054" w:type="dxa"/>
            <w:vAlign w:val="center"/>
          </w:tcPr>
          <w:p w14:paraId="060C366A">
            <w:pPr>
              <w:pStyle w:val="14"/>
              <w:widowControl w:val="0"/>
              <w:wordWrap w:val="0"/>
              <w:spacing w:before="0" w:beforeAutospacing="0" w:after="0" w:afterAutospacing="0" w:line="288"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付款方式</w:t>
            </w:r>
          </w:p>
        </w:tc>
        <w:tc>
          <w:tcPr>
            <w:tcW w:w="5544" w:type="dxa"/>
            <w:vAlign w:val="center"/>
          </w:tcPr>
          <w:p w14:paraId="717CCBFB">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Cs w:val="0"/>
                <w:color w:val="auto"/>
                <w:sz w:val="24"/>
                <w:szCs w:val="24"/>
                <w:highlight w:val="none"/>
              </w:rPr>
              <w:t>1.进口产品设备：</w:t>
            </w:r>
            <w:r>
              <w:rPr>
                <w:rFonts w:hint="eastAsia" w:ascii="宋体" w:hAnsi="宋体" w:eastAsia="宋体" w:cs="宋体"/>
                <w:b w:val="0"/>
                <w:color w:val="auto"/>
                <w:sz w:val="24"/>
                <w:szCs w:val="24"/>
                <w:highlight w:val="none"/>
              </w:rPr>
              <w:t>采购人指定外贸代理机构办理进口产品采购事宜，并按下述方式支付合同款：合同生效后，外贸代理机构开出进口产品信用证后采购人支付70%合同款（专指进口产品部分）给外贸代理机构，剩余30%在验收合格后一次性付给外贸代理机构。</w:t>
            </w:r>
          </w:p>
          <w:p w14:paraId="5C9B082E">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注：双方以人民币结算。外贸代理机构与投标人另行签订合同约定付款方式进行结算，投标人须按照采购人与外贸代理机构签署的《外贸代理机构收取进口代理费标准》向外贸代理机构支付进口代理费。</w:t>
            </w:r>
          </w:p>
          <w:p w14:paraId="4CDA303A">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Cs w:val="0"/>
                <w:color w:val="auto"/>
                <w:sz w:val="24"/>
                <w:szCs w:val="24"/>
                <w:highlight w:val="none"/>
              </w:rPr>
              <w:t>2.国产产品设备：</w:t>
            </w:r>
            <w:r>
              <w:rPr>
                <w:rFonts w:hint="eastAsia" w:ascii="宋体" w:hAnsi="宋体" w:eastAsia="宋体" w:cs="宋体"/>
                <w:b w:val="0"/>
                <w:color w:val="auto"/>
                <w:sz w:val="24"/>
                <w:szCs w:val="24"/>
                <w:highlight w:val="none"/>
              </w:rPr>
              <w:t>合同签订生效后，采购人向中标人支付合同价款（专指国产产品部分）的70%预付款（中标人须同时向采购人递交等额预付款保函），全部货物安装调试完毕，剩余30%在验收合格后一次性付给中标人，同时退还预付款保函。</w:t>
            </w:r>
          </w:p>
          <w:p w14:paraId="673D6630">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注：</w:t>
            </w:r>
          </w:p>
          <w:p w14:paraId="0ED13A9A">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（1）预付款保函形式：☑银行保函☑担保机构担保</w:t>
            </w:r>
          </w:p>
          <w:p w14:paraId="04F22682">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（2）预付款保函递交要求：</w:t>
            </w:r>
          </w:p>
          <w:p w14:paraId="2A57C43A">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①如采用银行保函，银行保函应为具有分支机构的银行出具的见索即付无条件保函。（例如A银行总部在合肥或者A银行在合肥行政区域（含四县一市）具有分支机构，那么A银行任一分支机构或者总部出具的见索即付无条件保函符合要求），且应将原件交至采购人保管。</w:t>
            </w:r>
          </w:p>
          <w:p w14:paraId="4D6CDF97">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②如采用担保机构担保，应为具有备案资质的融资担保机构出具的见索即付无条件担保，且应将原件交至采购人保管。</w:t>
            </w:r>
          </w:p>
          <w:p w14:paraId="382A82E6">
            <w:pPr>
              <w:pStyle w:val="14"/>
              <w:widowControl w:val="0"/>
              <w:wordWrap w:val="0"/>
              <w:spacing w:before="0" w:beforeAutospacing="0" w:after="0" w:afterAutospacing="0" w:line="288" w:lineRule="auto"/>
              <w:jc w:val="left"/>
              <w:rPr>
                <w:rFonts w:hint="eastAsia" w:ascii="宋体" w:hAnsi="宋体" w:eastAsia="宋体" w:cs="宋体"/>
                <w:b w:val="0"/>
                <w:bCs w:val="0"/>
                <w:color w:val="auto"/>
                <w:sz w:val="24"/>
                <w:szCs w:val="24"/>
                <w:highlight w:val="none"/>
              </w:rPr>
            </w:pPr>
            <w:r>
              <w:rPr>
                <w:rFonts w:hint="eastAsia" w:ascii="宋体" w:hAnsi="宋体" w:eastAsia="宋体" w:cs="宋体"/>
                <w:b w:val="0"/>
                <w:color w:val="auto"/>
                <w:sz w:val="24"/>
                <w:szCs w:val="24"/>
                <w:highlight w:val="none"/>
              </w:rPr>
              <w:t>（3）在签订合同时，中标人书面明确表示无需预付款或者主动要求降低预付款比例的，采购人可不适用前述预付款规定。</w:t>
            </w:r>
          </w:p>
        </w:tc>
      </w:tr>
      <w:tr w14:paraId="2E46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018" w:type="dxa"/>
            <w:vAlign w:val="center"/>
          </w:tcPr>
          <w:p w14:paraId="3D20E471">
            <w:pPr>
              <w:pStyle w:val="13"/>
              <w:pBdr>
                <w:bottom w:val="none" w:color="auto" w:sz="0" w:space="0"/>
              </w:pBdr>
              <w:tabs>
                <w:tab w:val="clear" w:pos="4153"/>
                <w:tab w:val="clear" w:pos="8306"/>
              </w:tabs>
              <w:wordWrap w:val="0"/>
              <w:adjustRightInd/>
              <w:spacing w:line="288" w:lineRule="auto"/>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2</w:t>
            </w:r>
          </w:p>
        </w:tc>
        <w:tc>
          <w:tcPr>
            <w:tcW w:w="2054" w:type="dxa"/>
            <w:vAlign w:val="center"/>
          </w:tcPr>
          <w:p w14:paraId="216C9ACA">
            <w:pPr>
              <w:pStyle w:val="14"/>
              <w:widowControl w:val="0"/>
              <w:wordWrap w:val="0"/>
              <w:spacing w:before="0" w:beforeAutospacing="0" w:after="0" w:afterAutospacing="0" w:line="288"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供货及安装地点</w:t>
            </w:r>
          </w:p>
        </w:tc>
        <w:tc>
          <w:tcPr>
            <w:tcW w:w="5544" w:type="dxa"/>
            <w:vAlign w:val="center"/>
          </w:tcPr>
          <w:p w14:paraId="11C37565">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安徽大学，具体按采购人指定。</w:t>
            </w:r>
          </w:p>
        </w:tc>
      </w:tr>
      <w:tr w14:paraId="634C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018" w:type="dxa"/>
            <w:vAlign w:val="center"/>
          </w:tcPr>
          <w:p w14:paraId="7D148CE8">
            <w:pPr>
              <w:pStyle w:val="13"/>
              <w:pBdr>
                <w:bottom w:val="none" w:color="auto" w:sz="0" w:space="0"/>
              </w:pBdr>
              <w:tabs>
                <w:tab w:val="clear" w:pos="4153"/>
                <w:tab w:val="clear" w:pos="8306"/>
              </w:tabs>
              <w:wordWrap w:val="0"/>
              <w:adjustRightInd/>
              <w:spacing w:line="288" w:lineRule="auto"/>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3</w:t>
            </w:r>
          </w:p>
        </w:tc>
        <w:tc>
          <w:tcPr>
            <w:tcW w:w="2054" w:type="dxa"/>
            <w:vAlign w:val="center"/>
          </w:tcPr>
          <w:p w14:paraId="15659771">
            <w:pPr>
              <w:pStyle w:val="14"/>
              <w:widowControl w:val="0"/>
              <w:wordWrap w:val="0"/>
              <w:spacing w:before="0" w:beforeAutospacing="0" w:after="0" w:afterAutospacing="0" w:line="288"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供货及安装期限</w:t>
            </w:r>
          </w:p>
        </w:tc>
        <w:tc>
          <w:tcPr>
            <w:tcW w:w="5544" w:type="dxa"/>
            <w:vAlign w:val="center"/>
          </w:tcPr>
          <w:p w14:paraId="673EC68D">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合同签订后并接采购人通知之日起，45个日历日内完成供货、安装、调试、培训等所有工作内容。</w:t>
            </w:r>
          </w:p>
        </w:tc>
      </w:tr>
      <w:tr w14:paraId="0BC0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094EDA7A">
            <w:pPr>
              <w:pStyle w:val="13"/>
              <w:pBdr>
                <w:bottom w:val="none" w:color="auto" w:sz="0" w:space="0"/>
              </w:pBdr>
              <w:tabs>
                <w:tab w:val="clear" w:pos="4153"/>
                <w:tab w:val="clear" w:pos="8306"/>
              </w:tabs>
              <w:wordWrap w:val="0"/>
              <w:adjustRightInd/>
              <w:spacing w:line="288" w:lineRule="auto"/>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4</w:t>
            </w:r>
          </w:p>
        </w:tc>
        <w:tc>
          <w:tcPr>
            <w:tcW w:w="2054" w:type="dxa"/>
            <w:vAlign w:val="center"/>
          </w:tcPr>
          <w:p w14:paraId="380D8A4C">
            <w:pPr>
              <w:pStyle w:val="14"/>
              <w:widowControl w:val="0"/>
              <w:wordWrap w:val="0"/>
              <w:spacing w:before="0" w:beforeAutospacing="0" w:after="0" w:afterAutospacing="0" w:line="288"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免费质保期</w:t>
            </w:r>
          </w:p>
        </w:tc>
        <w:tc>
          <w:tcPr>
            <w:tcW w:w="5544" w:type="dxa"/>
            <w:vAlign w:val="center"/>
          </w:tcPr>
          <w:p w14:paraId="51CF5170">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自验收合格之日起不低于1年。货物需求清单另有规定的，以货物需求清单为准。</w:t>
            </w:r>
          </w:p>
          <w:p w14:paraId="54604BCD">
            <w:pPr>
              <w:pStyle w:val="14"/>
              <w:widowControl w:val="0"/>
              <w:wordWrap w:val="0"/>
              <w:spacing w:before="0" w:beforeAutospacing="0" w:after="0" w:afterAutospacing="0" w:line="288" w:lineRule="auto"/>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注：免费质保期从验收合格之日起开始计算。</w:t>
            </w:r>
          </w:p>
        </w:tc>
      </w:tr>
    </w:tbl>
    <w:p w14:paraId="2F60E3DD">
      <w:pPr>
        <w:rPr>
          <w:rFonts w:hint="eastAsia" w:eastAsia="黑体"/>
          <w:color w:val="auto"/>
          <w:highlight w:val="none"/>
        </w:rPr>
      </w:pPr>
      <w:bookmarkStart w:id="9" w:name="_Toc1693477008"/>
      <w:bookmarkStart w:id="10" w:name="_Toc58935147"/>
      <w:bookmarkStart w:id="11" w:name="_Toc626387511"/>
      <w:bookmarkStart w:id="12" w:name="_Toc717369146"/>
      <w:bookmarkStart w:id="13" w:name="_Toc1191965283_WPSOffice_Level2"/>
      <w:bookmarkStart w:id="14" w:name="_Toc369119811"/>
      <w:bookmarkStart w:id="15" w:name="_Toc1715351726"/>
      <w:bookmarkStart w:id="16" w:name="_Toc302804901"/>
      <w:r>
        <w:rPr>
          <w:rFonts w:hint="eastAsia" w:eastAsia="黑体"/>
          <w:color w:val="auto"/>
          <w:highlight w:val="none"/>
        </w:rPr>
        <w:br w:type="page"/>
      </w:r>
    </w:p>
    <w:p w14:paraId="2C9BDC8E">
      <w:pPr>
        <w:pStyle w:val="3"/>
        <w:wordWrap w:val="0"/>
        <w:ind w:firstLine="0" w:firstLineChars="0"/>
        <w:rPr>
          <w:rFonts w:eastAsia="黑体"/>
          <w:color w:val="auto"/>
          <w:highlight w:val="none"/>
        </w:rPr>
      </w:pPr>
      <w:r>
        <w:rPr>
          <w:rFonts w:hint="eastAsia" w:eastAsia="黑体"/>
          <w:color w:val="auto"/>
          <w:highlight w:val="none"/>
        </w:rPr>
        <w:t>二、第1-3包货物需求</w:t>
      </w:r>
      <w:bookmarkEnd w:id="9"/>
      <w:bookmarkEnd w:id="10"/>
      <w:bookmarkEnd w:id="11"/>
      <w:bookmarkEnd w:id="12"/>
      <w:bookmarkEnd w:id="13"/>
      <w:bookmarkEnd w:id="14"/>
      <w:bookmarkEnd w:id="15"/>
      <w:bookmarkEnd w:id="16"/>
    </w:p>
    <w:p w14:paraId="1E6E7088">
      <w:pPr>
        <w:pStyle w:val="10"/>
        <w:wordWrap w:val="0"/>
        <w:spacing w:line="360" w:lineRule="auto"/>
        <w:ind w:left="0"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（一）货物需求说明</w:t>
      </w:r>
    </w:p>
    <w:tbl>
      <w:tblPr>
        <w:tblStyle w:val="11"/>
        <w:tblW w:w="8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6"/>
        <w:gridCol w:w="1205"/>
        <w:gridCol w:w="5764"/>
      </w:tblGrid>
      <w:tr w14:paraId="4745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6" w:type="dxa"/>
          </w:tcPr>
          <w:p w14:paraId="09AA059E">
            <w:pPr>
              <w:pStyle w:val="10"/>
              <w:wordWrap w:val="0"/>
              <w:spacing w:line="500" w:lineRule="exact"/>
              <w:ind w:left="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需求内容类别</w:t>
            </w:r>
          </w:p>
        </w:tc>
        <w:tc>
          <w:tcPr>
            <w:tcW w:w="1205" w:type="dxa"/>
          </w:tcPr>
          <w:p w14:paraId="46688FF3">
            <w:pPr>
              <w:pStyle w:val="10"/>
              <w:wordWrap w:val="0"/>
              <w:spacing w:line="500" w:lineRule="exact"/>
              <w:ind w:left="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标识符号</w:t>
            </w:r>
          </w:p>
        </w:tc>
        <w:tc>
          <w:tcPr>
            <w:tcW w:w="5764" w:type="dxa"/>
          </w:tcPr>
          <w:p w14:paraId="39A0A623">
            <w:pPr>
              <w:pStyle w:val="10"/>
              <w:wordWrap w:val="0"/>
              <w:spacing w:line="300" w:lineRule="auto"/>
              <w:ind w:left="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投标要求</w:t>
            </w:r>
          </w:p>
        </w:tc>
      </w:tr>
      <w:tr w14:paraId="3239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96" w:type="dxa"/>
            <w:vAlign w:val="center"/>
          </w:tcPr>
          <w:p w14:paraId="3C0D25B2">
            <w:pPr>
              <w:spacing w:line="360" w:lineRule="auto"/>
              <w:jc w:val="center"/>
              <w:rPr>
                <w:rFonts w:hint="eastAsia" w:ascii="宋体" w:hAnsi="宋体" w:eastAsia="宋体" w:cs="宋体"/>
                <w:color w:val="auto"/>
                <w:sz w:val="24"/>
                <w:szCs w:val="24"/>
                <w:highlight w:val="yellow"/>
              </w:rPr>
            </w:pPr>
            <w:r>
              <w:rPr>
                <w:rFonts w:hint="eastAsia" w:ascii="宋体" w:hAnsi="宋体" w:eastAsia="宋体" w:cs="宋体"/>
                <w:color w:val="auto"/>
                <w:sz w:val="24"/>
                <w:szCs w:val="18"/>
                <w:highlight w:val="yellow"/>
              </w:rPr>
              <w:t>关键性指标项</w:t>
            </w:r>
          </w:p>
        </w:tc>
        <w:tc>
          <w:tcPr>
            <w:tcW w:w="1205" w:type="dxa"/>
            <w:vAlign w:val="center"/>
          </w:tcPr>
          <w:p w14:paraId="2B239901">
            <w:pPr>
              <w:pStyle w:val="10"/>
              <w:wordWrap w:val="0"/>
              <w:spacing w:line="500" w:lineRule="exact"/>
              <w:ind w:left="0" w:firstLine="0" w:firstLineChars="0"/>
              <w:jc w:val="center"/>
              <w:rPr>
                <w:rFonts w:hint="eastAsia" w:ascii="宋体" w:hAnsi="宋体" w:eastAsia="宋体" w:cs="宋体"/>
                <w:color w:val="auto"/>
                <w:sz w:val="24"/>
                <w:szCs w:val="24"/>
                <w:highlight w:val="yellow"/>
              </w:rPr>
            </w:pPr>
            <w:bookmarkStart w:id="17" w:name="OLE_LINK14"/>
            <w:r>
              <w:rPr>
                <w:rFonts w:hint="eastAsia" w:ascii="宋体" w:hAnsi="宋体" w:eastAsia="宋体" w:cs="宋体"/>
                <w:color w:val="auto"/>
                <w:sz w:val="24"/>
                <w:szCs w:val="24"/>
                <w:highlight w:val="yellow"/>
              </w:rPr>
              <w:t>★</w:t>
            </w:r>
            <w:bookmarkEnd w:id="17"/>
          </w:p>
        </w:tc>
        <w:tc>
          <w:tcPr>
            <w:tcW w:w="5764" w:type="dxa"/>
            <w:vAlign w:val="center"/>
          </w:tcPr>
          <w:p w14:paraId="758F52E2">
            <w:pPr>
              <w:wordWrap w:val="0"/>
              <w:spacing w:line="300" w:lineRule="auto"/>
              <w:jc w:val="left"/>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rPr>
              <w:t>符合性审查项，该指标项负偏离或未响应，将导致</w:t>
            </w:r>
            <w:r>
              <w:rPr>
                <w:rFonts w:hint="eastAsia" w:ascii="宋体" w:hAnsi="宋体" w:eastAsia="宋体" w:cs="宋体"/>
                <w:b/>
                <w:bCs/>
                <w:color w:val="auto"/>
                <w:sz w:val="24"/>
                <w:szCs w:val="24"/>
                <w:highlight w:val="yellow"/>
              </w:rPr>
              <w:t>投标无效</w:t>
            </w:r>
            <w:r>
              <w:rPr>
                <w:rFonts w:hint="eastAsia" w:ascii="宋体" w:hAnsi="宋体" w:eastAsia="宋体" w:cs="宋体"/>
                <w:color w:val="auto"/>
                <w:sz w:val="24"/>
                <w:szCs w:val="24"/>
                <w:highlight w:val="yellow"/>
              </w:rPr>
              <w:t>。</w:t>
            </w:r>
          </w:p>
        </w:tc>
      </w:tr>
      <w:tr w14:paraId="3582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96" w:type="dxa"/>
            <w:vAlign w:val="center"/>
          </w:tcPr>
          <w:p w14:paraId="27AECAF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18"/>
                <w:highlight w:val="none"/>
              </w:rPr>
              <w:t>重要指标项</w:t>
            </w:r>
          </w:p>
        </w:tc>
        <w:tc>
          <w:tcPr>
            <w:tcW w:w="1205" w:type="dxa"/>
            <w:vAlign w:val="center"/>
          </w:tcPr>
          <w:p w14:paraId="0F110035">
            <w:pPr>
              <w:pStyle w:val="10"/>
              <w:wordWrap w:val="0"/>
              <w:spacing w:line="500" w:lineRule="exact"/>
              <w:ind w:left="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764" w:type="dxa"/>
            <w:vAlign w:val="center"/>
          </w:tcPr>
          <w:p w14:paraId="46F94C78">
            <w:pPr>
              <w:pStyle w:val="10"/>
              <w:wordWrap w:val="0"/>
              <w:spacing w:line="30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评分项，详见“第四章评标方法和标准”中评分细则。</w:t>
            </w:r>
          </w:p>
        </w:tc>
      </w:tr>
      <w:tr w14:paraId="2B61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796" w:type="dxa"/>
            <w:vAlign w:val="center"/>
          </w:tcPr>
          <w:p w14:paraId="6C1FA4C8">
            <w:pPr>
              <w:spacing w:line="360" w:lineRule="auto"/>
              <w:jc w:val="center"/>
              <w:rPr>
                <w:rFonts w:hint="eastAsia" w:asciiTheme="majorEastAsia" w:hAnsiTheme="majorEastAsia" w:eastAsiaTheme="majorEastAsia"/>
                <w:color w:val="auto"/>
                <w:sz w:val="24"/>
                <w:szCs w:val="24"/>
                <w:highlight w:val="none"/>
              </w:rPr>
            </w:pPr>
            <w:r>
              <w:rPr>
                <w:rFonts w:hint="eastAsia" w:cs="宋体" w:asciiTheme="majorEastAsia" w:hAnsiTheme="majorEastAsia" w:eastAsiaTheme="majorEastAsia"/>
                <w:color w:val="auto"/>
                <w:sz w:val="24"/>
                <w:szCs w:val="24"/>
                <w:highlight w:val="none"/>
              </w:rPr>
              <w:t>一般指标项</w:t>
            </w:r>
          </w:p>
        </w:tc>
        <w:tc>
          <w:tcPr>
            <w:tcW w:w="1205" w:type="dxa"/>
            <w:vAlign w:val="center"/>
          </w:tcPr>
          <w:p w14:paraId="10619BFC">
            <w:pPr>
              <w:spacing w:line="360" w:lineRule="auto"/>
              <w:jc w:val="center"/>
              <w:rPr>
                <w:rFonts w:hint="eastAsia" w:asciiTheme="majorEastAsia" w:hAnsiTheme="majorEastAsia" w:eastAsiaTheme="majorEastAsia"/>
                <w:bCs/>
                <w:color w:val="auto"/>
                <w:sz w:val="24"/>
                <w:szCs w:val="24"/>
                <w:highlight w:val="none"/>
              </w:rPr>
            </w:pPr>
            <w:r>
              <w:rPr>
                <w:rFonts w:hint="eastAsia" w:cs="宋体" w:asciiTheme="majorEastAsia" w:hAnsiTheme="majorEastAsia" w:eastAsiaTheme="majorEastAsia"/>
                <w:color w:val="auto"/>
                <w:sz w:val="24"/>
                <w:szCs w:val="24"/>
                <w:highlight w:val="none"/>
              </w:rPr>
              <w:t>●</w:t>
            </w:r>
          </w:p>
        </w:tc>
        <w:tc>
          <w:tcPr>
            <w:tcW w:w="5764" w:type="dxa"/>
            <w:vAlign w:val="center"/>
          </w:tcPr>
          <w:p w14:paraId="5190E222">
            <w:pPr>
              <w:pStyle w:val="10"/>
              <w:wordWrap w:val="0"/>
              <w:spacing w:line="30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评分项，详见“第四章评标方法和标准”中评分细则。</w:t>
            </w:r>
          </w:p>
        </w:tc>
      </w:tr>
      <w:tr w14:paraId="0908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6" w:type="dxa"/>
            <w:vAlign w:val="center"/>
          </w:tcPr>
          <w:p w14:paraId="4396A843">
            <w:pPr>
              <w:pStyle w:val="10"/>
              <w:wordWrap w:val="0"/>
              <w:spacing w:line="500" w:lineRule="exact"/>
              <w:ind w:left="0" w:firstLine="0" w:firstLineChars="0"/>
              <w:jc w:val="center"/>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rPr>
              <w:t>无标识项</w:t>
            </w:r>
          </w:p>
        </w:tc>
        <w:tc>
          <w:tcPr>
            <w:tcW w:w="1205" w:type="dxa"/>
            <w:vAlign w:val="center"/>
          </w:tcPr>
          <w:p w14:paraId="05B6C6B2">
            <w:pPr>
              <w:pStyle w:val="10"/>
              <w:wordWrap w:val="0"/>
              <w:spacing w:line="500" w:lineRule="exact"/>
              <w:ind w:left="0" w:firstLine="0" w:firstLineChars="0"/>
              <w:jc w:val="center"/>
              <w:rPr>
                <w:rFonts w:hint="eastAsia" w:ascii="宋体" w:hAnsi="宋体" w:eastAsia="宋体" w:cs="宋体"/>
                <w:color w:val="auto"/>
                <w:sz w:val="24"/>
                <w:szCs w:val="24"/>
                <w:highlight w:val="yellow"/>
              </w:rPr>
            </w:pPr>
          </w:p>
        </w:tc>
        <w:tc>
          <w:tcPr>
            <w:tcW w:w="5764" w:type="dxa"/>
            <w:vAlign w:val="center"/>
          </w:tcPr>
          <w:p w14:paraId="2790537B">
            <w:pPr>
              <w:wordWrap w:val="0"/>
              <w:adjustRightInd w:val="0"/>
              <w:snapToGrid w:val="0"/>
              <w:spacing w:line="300" w:lineRule="auto"/>
              <w:ind w:left="480" w:hanging="480" w:hangingChars="200"/>
              <w:jc w:val="left"/>
              <w:rPr>
                <w:rFonts w:hint="eastAsia" w:ascii="宋体" w:hAnsi="宋体" w:eastAsia="宋体" w:cs="宋体"/>
                <w:color w:val="auto"/>
                <w:sz w:val="24"/>
                <w:szCs w:val="24"/>
                <w:highlight w:val="yellow"/>
              </w:rPr>
            </w:pPr>
            <w:r>
              <w:rPr>
                <w:rFonts w:hint="eastAsia" w:ascii="宋体" w:hAnsi="宋体" w:eastAsia="宋体" w:cs="宋体"/>
                <w:bCs/>
                <w:color w:val="auto"/>
                <w:sz w:val="24"/>
                <w:szCs w:val="24"/>
                <w:highlight w:val="yellow"/>
              </w:rPr>
              <w:t>符合性审查项，每个标包该指标项最大允许负偏离</w:t>
            </w:r>
            <w:r>
              <w:rPr>
                <w:rFonts w:hint="eastAsia" w:ascii="宋体" w:hAnsi="宋体" w:eastAsia="宋体" w:cs="宋体"/>
                <w:bCs/>
                <w:color w:val="auto"/>
                <w:sz w:val="24"/>
                <w:szCs w:val="24"/>
                <w:highlight w:val="yellow"/>
                <w:u w:val="single"/>
              </w:rPr>
              <w:t xml:space="preserve">3 </w:t>
            </w:r>
            <w:r>
              <w:rPr>
                <w:rFonts w:hint="eastAsia" w:ascii="宋体" w:hAnsi="宋体" w:eastAsia="宋体" w:cs="宋体"/>
                <w:bCs/>
                <w:color w:val="auto"/>
                <w:sz w:val="24"/>
                <w:szCs w:val="24"/>
                <w:highlight w:val="yellow"/>
              </w:rPr>
              <w:t>项，超过最大允许负偏离项数的，</w:t>
            </w:r>
            <w:r>
              <w:rPr>
                <w:rFonts w:hint="eastAsia" w:ascii="宋体" w:hAnsi="宋体" w:eastAsia="宋体" w:cs="宋体"/>
                <w:b/>
                <w:color w:val="auto"/>
                <w:sz w:val="24"/>
                <w:szCs w:val="24"/>
                <w:highlight w:val="yellow"/>
              </w:rPr>
              <w:t>投标无效</w:t>
            </w:r>
            <w:r>
              <w:rPr>
                <w:rFonts w:hint="eastAsia" w:ascii="宋体" w:hAnsi="宋体" w:eastAsia="宋体" w:cs="宋体"/>
                <w:bCs/>
                <w:color w:val="auto"/>
                <w:sz w:val="24"/>
                <w:szCs w:val="24"/>
                <w:highlight w:val="yellow"/>
              </w:rPr>
              <w:t>。</w:t>
            </w:r>
          </w:p>
        </w:tc>
      </w:tr>
      <w:tr w14:paraId="76A6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5" w:type="dxa"/>
            <w:gridSpan w:val="3"/>
            <w:vAlign w:val="center"/>
          </w:tcPr>
          <w:p w14:paraId="3C734D09">
            <w:pPr>
              <w:pStyle w:val="10"/>
              <w:wordWrap w:val="0"/>
              <w:spacing w:line="30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765E632C">
            <w:pPr>
              <w:pStyle w:val="10"/>
              <w:wordWrap w:val="0"/>
              <w:spacing w:line="30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.如某项标识中包含多条技术参数或要求，则该项标识所含内容均需满足或优于招标文件要求，否则不予认可。</w:t>
            </w:r>
          </w:p>
          <w:p w14:paraId="3622FAFA">
            <w:pPr>
              <w:pStyle w:val="10"/>
              <w:wordWrap w:val="0"/>
              <w:spacing w:line="30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.“所属行业”栏标注为“/”的项为所投产品配套的工程或服务，无需在《中小企业声明函》中列明。</w:t>
            </w:r>
          </w:p>
          <w:p w14:paraId="4E58EE97">
            <w:pPr>
              <w:pStyle w:val="10"/>
              <w:wordWrap w:val="0"/>
              <w:spacing w:line="300" w:lineRule="auto"/>
              <w:ind w:left="0" w:firstLine="0" w:firstLineChars="0"/>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货物需求清单中未要求提供证明材料的参数以6.2技术响应表作为评审依据。货物需求清单中要求提供证明材料的参数：技术参数及要求中未明确证明材料类型的，证明材料包括产品技术白皮书、产品技术说明书、产品彩页（产品功能截图）、厂家（制造商）官网截图、厂家（制造商）测试报告、第三方检测机构出具的检测报告，提供其中之一即可。（需能体现关键评审因素，建议标注关键评审因素便于评审）；技术参数及要求中明确要求证明材料类型的，按要求执行。</w:t>
            </w:r>
          </w:p>
        </w:tc>
      </w:tr>
    </w:tbl>
    <w:p w14:paraId="4A90FCC4">
      <w:pPr>
        <w:pStyle w:val="10"/>
        <w:wordWrap w:val="0"/>
        <w:ind w:left="0" w:firstLine="0" w:firstLineChars="0"/>
        <w:rPr>
          <w:rFonts w:hint="eastAsia" w:ascii="宋体" w:hAnsi="宋体" w:eastAsia="宋体" w:cs="宋体"/>
          <w:b/>
          <w:bCs/>
          <w:color w:val="auto"/>
          <w:sz w:val="24"/>
          <w:szCs w:val="24"/>
          <w:highlight w:val="none"/>
        </w:rPr>
      </w:pPr>
    </w:p>
    <w:p w14:paraId="4A3EB0E2">
      <w:pPr>
        <w:pStyle w:val="10"/>
        <w:wordWrap w:val="0"/>
        <w:spacing w:line="360" w:lineRule="auto"/>
        <w:ind w:leftChars="20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（二）第1包货物需求清单（红外光谱仪采购项目）</w:t>
      </w:r>
    </w:p>
    <w:tbl>
      <w:tblPr>
        <w:tblStyle w:val="11"/>
        <w:tblpPr w:leftFromText="180" w:rightFromText="180" w:vertAnchor="text" w:horzAnchor="page" w:tblpX="1730" w:tblpY="470"/>
        <w:tblOverlap w:val="never"/>
        <w:tblW w:w="48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635"/>
        <w:gridCol w:w="5224"/>
        <w:gridCol w:w="669"/>
        <w:gridCol w:w="611"/>
        <w:gridCol w:w="769"/>
      </w:tblGrid>
      <w:tr w14:paraId="24F4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4" w:hRule="atLeast"/>
        </w:trPr>
        <w:tc>
          <w:tcPr>
            <w:tcW w:w="250" w:type="pct"/>
            <w:vAlign w:val="center"/>
          </w:tcPr>
          <w:p w14:paraId="427538F1">
            <w:pPr>
              <w:tabs>
                <w:tab w:val="left" w:pos="0"/>
              </w:tabs>
              <w:wordWrap w:val="0"/>
              <w:adjustRightInd w:val="0"/>
              <w:snapToGrid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381" w:type="pct"/>
            <w:vAlign w:val="center"/>
          </w:tcPr>
          <w:p w14:paraId="40FB1438">
            <w:pPr>
              <w:tabs>
                <w:tab w:val="left" w:pos="0"/>
              </w:tabs>
              <w:wordWrap w:val="0"/>
              <w:adjustRightInd w:val="0"/>
              <w:snapToGrid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货物名称</w:t>
            </w:r>
          </w:p>
        </w:tc>
        <w:tc>
          <w:tcPr>
            <w:tcW w:w="3136" w:type="pct"/>
            <w:vAlign w:val="center"/>
          </w:tcPr>
          <w:p w14:paraId="1E252945">
            <w:pPr>
              <w:tabs>
                <w:tab w:val="left" w:pos="0"/>
              </w:tabs>
              <w:wordWrap w:val="0"/>
              <w:adjustRightInd w:val="0"/>
              <w:snapToGrid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技术参数及要求</w:t>
            </w:r>
          </w:p>
        </w:tc>
        <w:tc>
          <w:tcPr>
            <w:tcW w:w="402" w:type="pct"/>
            <w:vAlign w:val="center"/>
          </w:tcPr>
          <w:p w14:paraId="319087AE">
            <w:pPr>
              <w:tabs>
                <w:tab w:val="left" w:pos="0"/>
              </w:tabs>
              <w:wordWrap w:val="0"/>
              <w:adjustRightInd w:val="0"/>
              <w:snapToGrid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数量（台/套）</w:t>
            </w:r>
          </w:p>
        </w:tc>
        <w:tc>
          <w:tcPr>
            <w:tcW w:w="367" w:type="pct"/>
            <w:vAlign w:val="center"/>
          </w:tcPr>
          <w:p w14:paraId="31E8EE17">
            <w:pPr>
              <w:tabs>
                <w:tab w:val="left" w:pos="0"/>
              </w:tabs>
              <w:wordWrap w:val="0"/>
              <w:adjustRightInd w:val="0"/>
              <w:snapToGrid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所属行业</w:t>
            </w:r>
          </w:p>
        </w:tc>
        <w:tc>
          <w:tcPr>
            <w:tcW w:w="462" w:type="pct"/>
            <w:vAlign w:val="center"/>
          </w:tcPr>
          <w:p w14:paraId="41F10765">
            <w:pPr>
              <w:tabs>
                <w:tab w:val="left" w:pos="0"/>
              </w:tabs>
              <w:wordWrap w:val="0"/>
              <w:adjustRightInd w:val="0"/>
              <w:snapToGrid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备注（进口或强制节能）</w:t>
            </w:r>
          </w:p>
        </w:tc>
      </w:tr>
      <w:tr w14:paraId="54CA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250" w:type="pct"/>
            <w:vAlign w:val="center"/>
          </w:tcPr>
          <w:p w14:paraId="67894B10">
            <w:pPr>
              <w:tabs>
                <w:tab w:val="left" w:pos="0"/>
              </w:tabs>
              <w:wordWrap w:val="0"/>
              <w:adjustRightInd w:val="0"/>
              <w:snapToGrid w:val="0"/>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381" w:type="pct"/>
            <w:vAlign w:val="center"/>
          </w:tcPr>
          <w:p w14:paraId="40436A08">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▲红外光谱仪</w:t>
            </w:r>
          </w:p>
        </w:tc>
        <w:tc>
          <w:tcPr>
            <w:tcW w:w="3136" w:type="pct"/>
          </w:tcPr>
          <w:p w14:paraId="3ECA19CD">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★1.干涉仪：磁悬浮式或空气悬浮式干涉仪，具有≥10万次高速扫描动态准直控制功能。</w:t>
            </w:r>
            <w:r>
              <w:rPr>
                <w:rFonts w:hint="eastAsia" w:ascii="宋体" w:hAnsi="宋体" w:eastAsia="宋体" w:cs="宋体"/>
                <w:b/>
                <w:bCs/>
                <w:color w:val="auto"/>
                <w:sz w:val="24"/>
                <w:szCs w:val="24"/>
                <w:highlight w:val="none"/>
              </w:rPr>
              <w:t>（投标文件中提供证明材料，须体现具体的动态调整频率≥10万次。）</w:t>
            </w:r>
          </w:p>
          <w:p w14:paraId="14B2BD57">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■2.光谱范围：8000-350cm</w:t>
            </w:r>
            <w:r>
              <w:rPr>
                <w:rFonts w:hint="eastAsia" w:ascii="宋体" w:hAnsi="宋体" w:eastAsia="宋体" w:cs="宋体"/>
                <w:color w:val="auto"/>
                <w:sz w:val="24"/>
                <w:szCs w:val="24"/>
                <w:highlight w:val="none"/>
                <w:vertAlign w:val="superscript"/>
              </w:rPr>
              <w:t>-1</w:t>
            </w:r>
            <w:r>
              <w:rPr>
                <w:rFonts w:hint="eastAsia" w:ascii="宋体" w:hAnsi="宋体" w:eastAsia="宋体" w:cs="宋体"/>
                <w:color w:val="auto"/>
                <w:sz w:val="24"/>
                <w:szCs w:val="24"/>
                <w:highlight w:val="none"/>
              </w:rPr>
              <w:t>。</w:t>
            </w:r>
          </w:p>
          <w:p w14:paraId="2BF4D6A3">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★3.光谱分辨率:≤0.4cm</w:t>
            </w:r>
            <w:r>
              <w:rPr>
                <w:rFonts w:hint="eastAsia" w:ascii="宋体" w:hAnsi="宋体" w:eastAsia="宋体" w:cs="宋体"/>
                <w:color w:val="auto"/>
                <w:sz w:val="24"/>
                <w:szCs w:val="24"/>
                <w:highlight w:val="none"/>
                <w:vertAlign w:val="superscript"/>
              </w:rPr>
              <w:t>-1</w:t>
            </w:r>
            <w:r>
              <w:rPr>
                <w:rFonts w:hint="eastAsia" w:ascii="宋体" w:hAnsi="宋体" w:eastAsia="宋体" w:cs="宋体"/>
                <w:color w:val="auto"/>
                <w:sz w:val="24"/>
                <w:szCs w:val="24"/>
                <w:highlight w:val="none"/>
              </w:rPr>
              <w:t>。</w:t>
            </w:r>
          </w:p>
          <w:p w14:paraId="35208DD5">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■4.信噪比:峰峰信噪比≥50000:1。</w:t>
            </w:r>
          </w:p>
          <w:p w14:paraId="497CDCF3">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■5.全光谱线性准确度：≤0.1T%。</w:t>
            </w:r>
          </w:p>
          <w:p w14:paraId="18EC7EE6">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6.红外光源：支持无需打开光学盖在外部无线接插定位。</w:t>
            </w:r>
          </w:p>
          <w:p w14:paraId="28190FD7">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■7.检测器:DTGS检测器，仪器能自动识别和参数设置，采用≥24位500KHz A/D转换器。</w:t>
            </w:r>
          </w:p>
          <w:p w14:paraId="66BFBF83">
            <w:pPr>
              <w:spacing w:line="312"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■8.≥3色LED扫描条，可以显示仪器不同的工作状态。</w:t>
            </w:r>
            <w:r>
              <w:rPr>
                <w:rFonts w:hint="eastAsia" w:ascii="宋体" w:hAnsi="宋体" w:eastAsia="宋体" w:cs="宋体"/>
                <w:b/>
                <w:bCs/>
                <w:color w:val="auto"/>
                <w:sz w:val="24"/>
                <w:szCs w:val="24"/>
                <w:highlight w:val="none"/>
              </w:rPr>
              <w:t>（投标文件中需提供证明材料)</w:t>
            </w:r>
          </w:p>
          <w:p w14:paraId="6FFFDD82">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■9.光学台：干燥密封系统，样品仓两侧配备防雾化镀层的红外透射密封窗片，非采用有毒的KRS-5窗片和无法覆盖中红外全光谱范围的Znse窗片。光学元件与光学台采用对针定位模式，非螺丝定位方式。</w:t>
            </w:r>
          </w:p>
          <w:p w14:paraId="6A717E3E">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■10.智能采集背景:仪器在空闲时可以自动采集背景，确保光谱的准确性。</w:t>
            </w:r>
            <w:r>
              <w:rPr>
                <w:rFonts w:hint="eastAsia" w:ascii="宋体" w:hAnsi="宋体" w:eastAsia="宋体" w:cs="宋体"/>
                <w:b/>
                <w:bCs/>
                <w:color w:val="auto"/>
                <w:sz w:val="24"/>
                <w:szCs w:val="24"/>
                <w:highlight w:val="none"/>
              </w:rPr>
              <w:t>（投标文件中需提供证明材料)</w:t>
            </w:r>
          </w:p>
          <w:p w14:paraId="03608365">
            <w:pPr>
              <w:numPr>
                <w:ilvl w:val="0"/>
                <w:numId w:val="1"/>
              </w:num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软件功能:软件操作界面可按操作者需求进行中英文切换,软件具有光谱采集、数据处理、谱库检索等基本功能。</w:t>
            </w:r>
          </w:p>
          <w:p w14:paraId="15297380">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■11.1.红外光谱数据库要求：具有自主知识产权、永久免费使用、非在线付费使用、支持离线安装在用户电脑的高分辨红外光谱数据库。</w:t>
            </w:r>
            <w:r>
              <w:rPr>
                <w:rFonts w:hint="eastAsia" w:ascii="宋体" w:hAnsi="宋体" w:eastAsia="宋体" w:cs="宋体"/>
                <w:b/>
                <w:bCs/>
                <w:color w:val="auto"/>
                <w:sz w:val="24"/>
                <w:szCs w:val="24"/>
                <w:highlight w:val="none"/>
              </w:rPr>
              <w:t>（投标文件中需提供证明材料)</w:t>
            </w:r>
          </w:p>
          <w:p w14:paraId="2C03AC6A">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11.2.自动光谱质量检查、实验设置，以及遵循ASTM 标准和相关方法进行各项性能验证，包括：文档运行、检测附件与主机适配性确认、系统性能验证等，可实时显示系统当前所处的状态，给出主要元器件的电流、电压、温度值，指示出现故障原因及解决方法等多项功能检验，确保获得最优化质量谱图。</w:t>
            </w:r>
          </w:p>
          <w:p w14:paraId="6A297339">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11.3.高精度鉴别软件，快速比对鉴别和确定不同含量的物质、不同晶型，同属不同种等样品状态，无需特定测试条件和定量标定。</w:t>
            </w:r>
          </w:p>
          <w:p w14:paraId="67632DCA">
            <w:pPr>
              <w:spacing w:line="312"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■11.4.高级ATR校正软件，提供多模型处理功能，精确校正不同ATR采集对光谱的峰强、位移以及非极化的影响，使得ATR谱图与透过谱图达到≥97%最佳匹配度，实现谱图高准确度检索和鉴别。</w:t>
            </w:r>
            <w:r>
              <w:rPr>
                <w:rFonts w:hint="eastAsia" w:ascii="宋体" w:hAnsi="宋体" w:eastAsia="宋体" w:cs="宋体"/>
                <w:b/>
                <w:bCs/>
                <w:color w:val="auto"/>
                <w:sz w:val="24"/>
                <w:szCs w:val="24"/>
                <w:highlight w:val="none"/>
              </w:rPr>
              <w:t>（投标文件中需提供证明材料)</w:t>
            </w:r>
          </w:p>
          <w:p w14:paraId="05BAF628">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11.5.混合物光谱分离鉴别检测分析方法：能对混合物和污染物样品红外光谱进行采集自动搜索分离鉴别、给出含量比例，支持不同红外光谱格式，可连网检索光谱化学结构和给出不同组分相对含量比例，操作一键式完成。</w:t>
            </w:r>
          </w:p>
          <w:p w14:paraId="13EF6CD2">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★2.配置清单</w:t>
            </w:r>
          </w:p>
          <w:p w14:paraId="448482DE">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2.1.傅里叶变换红外光谱仪主机，1台。</w:t>
            </w:r>
          </w:p>
          <w:p w14:paraId="6A99FBED">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2.2.红外光谱分析软件，1套。</w:t>
            </w:r>
          </w:p>
          <w:p w14:paraId="48CADF55">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2.3.20万张高分辨红外光谱数据库。</w:t>
            </w:r>
          </w:p>
          <w:p w14:paraId="38B3EA9B">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2.4.智能型透射测样装置1套。</w:t>
            </w:r>
          </w:p>
          <w:p w14:paraId="08367389">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2.5.金刚石ATR附件，1套。</w:t>
            </w:r>
          </w:p>
          <w:p w14:paraId="6FAF9062">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2.6.制样工具套装（含压片机、溴化钾压模、磁性样品架、玛瑙研钵、样品勺、溴化钾粉末各一件）1套。</w:t>
            </w:r>
          </w:p>
          <w:p w14:paraId="251445CE">
            <w:pPr>
              <w:spacing w:line="312"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2.7.配套控制终端及配套操作系统、显示器1套。</w:t>
            </w:r>
          </w:p>
        </w:tc>
        <w:tc>
          <w:tcPr>
            <w:tcW w:w="402" w:type="pct"/>
            <w:vAlign w:val="center"/>
          </w:tcPr>
          <w:p w14:paraId="5ADF6064">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367" w:type="pct"/>
            <w:vAlign w:val="center"/>
          </w:tcPr>
          <w:p w14:paraId="750A8432">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462" w:type="pct"/>
            <w:vAlign w:val="center"/>
          </w:tcPr>
          <w:p w14:paraId="1207797E">
            <w:pPr>
              <w:tabs>
                <w:tab w:val="left" w:pos="0"/>
              </w:tabs>
              <w:wordWrap w:val="0"/>
              <w:adjustRightInd w:val="0"/>
              <w:snapToGrid w:val="0"/>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bl>
    <w:p w14:paraId="16CB834A">
      <w:pPr>
        <w:pStyle w:val="10"/>
        <w:wordWrap w:val="0"/>
        <w:spacing w:line="360" w:lineRule="auto"/>
        <w:ind w:leftChars="200" w:firstLine="0" w:firstLineChars="0"/>
        <w:rPr>
          <w:rFonts w:hint="eastAsia" w:ascii="宋体" w:hAnsi="宋体" w:eastAsia="宋体" w:cs="宋体"/>
          <w:b/>
          <w:bCs/>
          <w:color w:val="auto"/>
          <w:sz w:val="24"/>
          <w:szCs w:val="24"/>
          <w:highlight w:val="none"/>
        </w:rPr>
      </w:pPr>
    </w:p>
    <w:bookmarkEnd w:id="0"/>
    <w:p w14:paraId="7622D44F">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p>
    <w:p w14:paraId="7564E287">
      <w:pPr>
        <w:pStyle w:val="10"/>
        <w:tabs>
          <w:tab w:val="left" w:pos="0"/>
        </w:tabs>
        <w:wordWrap w:val="0"/>
        <w:spacing w:before="100" w:beforeAutospacing="1"/>
        <w:ind w:left="0"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（三）第2包货物需求清单（模块化电化学综合测试系统）</w:t>
      </w:r>
    </w:p>
    <w:tbl>
      <w:tblPr>
        <w:tblStyle w:val="11"/>
        <w:tblpPr w:leftFromText="180" w:rightFromText="180" w:vertAnchor="text" w:horzAnchor="page" w:tblpX="1778" w:tblpY="687"/>
        <w:tblOverlap w:val="never"/>
        <w:tblW w:w="48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
        <w:gridCol w:w="628"/>
        <w:gridCol w:w="5347"/>
        <w:gridCol w:w="570"/>
        <w:gridCol w:w="624"/>
        <w:gridCol w:w="769"/>
      </w:tblGrid>
      <w:tr w14:paraId="699F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 w:type="pct"/>
            <w:vAlign w:val="center"/>
          </w:tcPr>
          <w:p w14:paraId="76F7F029">
            <w:pPr>
              <w:tabs>
                <w:tab w:val="left" w:pos="0"/>
              </w:tabs>
              <w:wordWrap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376" w:type="pct"/>
            <w:vAlign w:val="center"/>
          </w:tcPr>
          <w:p w14:paraId="00E3C7E3">
            <w:pPr>
              <w:tabs>
                <w:tab w:val="left" w:pos="0"/>
              </w:tabs>
              <w:wordWrap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货物名称</w:t>
            </w:r>
          </w:p>
        </w:tc>
        <w:tc>
          <w:tcPr>
            <w:tcW w:w="3205" w:type="pct"/>
            <w:vAlign w:val="center"/>
          </w:tcPr>
          <w:p w14:paraId="50F6AC35">
            <w:pPr>
              <w:tabs>
                <w:tab w:val="left" w:pos="0"/>
              </w:tabs>
              <w:wordWrap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技术参数及要求</w:t>
            </w:r>
          </w:p>
        </w:tc>
        <w:tc>
          <w:tcPr>
            <w:tcW w:w="342" w:type="pct"/>
            <w:vAlign w:val="center"/>
          </w:tcPr>
          <w:p w14:paraId="7B6EA38B">
            <w:pPr>
              <w:tabs>
                <w:tab w:val="left" w:pos="0"/>
              </w:tabs>
              <w:wordWrap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数量（台/套）</w:t>
            </w:r>
          </w:p>
        </w:tc>
        <w:tc>
          <w:tcPr>
            <w:tcW w:w="374" w:type="pct"/>
            <w:vAlign w:val="center"/>
          </w:tcPr>
          <w:p w14:paraId="24721836">
            <w:pPr>
              <w:tabs>
                <w:tab w:val="left" w:pos="0"/>
              </w:tabs>
              <w:wordWrap w:val="0"/>
              <w:adjustRightInd w:val="0"/>
              <w:snapToGrid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所属行业</w:t>
            </w:r>
          </w:p>
        </w:tc>
        <w:tc>
          <w:tcPr>
            <w:tcW w:w="461" w:type="pct"/>
            <w:vAlign w:val="center"/>
          </w:tcPr>
          <w:p w14:paraId="588C4029">
            <w:pPr>
              <w:tabs>
                <w:tab w:val="left" w:pos="0"/>
              </w:tabs>
              <w:wordWrap w:val="0"/>
              <w:adjustRightInd w:val="0"/>
              <w:snapToGrid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备注（进口或强制节能）</w:t>
            </w:r>
          </w:p>
        </w:tc>
      </w:tr>
      <w:tr w14:paraId="55A3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239" w:type="pct"/>
            <w:vAlign w:val="center"/>
          </w:tcPr>
          <w:p w14:paraId="43843BFC">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76" w:type="pct"/>
            <w:vAlign w:val="center"/>
          </w:tcPr>
          <w:p w14:paraId="7A360563">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模块化电化学综合测试系统</w:t>
            </w:r>
          </w:p>
        </w:tc>
        <w:tc>
          <w:tcPr>
            <w:tcW w:w="3205" w:type="pct"/>
          </w:tcPr>
          <w:p w14:paraId="2E40E031">
            <w:pPr>
              <w:numPr>
                <w:ilvl w:val="0"/>
                <w:numId w:val="2"/>
              </w:num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槽压：±20V。</w:t>
            </w:r>
          </w:p>
          <w:p w14:paraId="61DF4E9C">
            <w:pPr>
              <w:numPr>
                <w:ilvl w:val="0"/>
                <w:numId w:val="2"/>
              </w:num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恒电位测量范围：±10V。</w:t>
            </w:r>
          </w:p>
          <w:p w14:paraId="28BF1588">
            <w:pPr>
              <w:numPr>
                <w:ilvl w:val="0"/>
                <w:numId w:val="2"/>
              </w:num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最大输出电流：±400mA。</w:t>
            </w:r>
          </w:p>
          <w:p w14:paraId="40EBB4A1">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4.通道数：四个完全独立通道，具备12通道扩展插槽。</w:t>
            </w:r>
          </w:p>
          <w:p w14:paraId="043AC904">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■5.恒电位仪：双恒电位仪。</w:t>
            </w:r>
          </w:p>
          <w:p w14:paraId="32D93A61">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■6.施加电流分辨率：电流范围之0.03%。</w:t>
            </w:r>
          </w:p>
          <w:p w14:paraId="02FF8179">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7.测量电流分辨率：电流范围之0.0003%。</w:t>
            </w:r>
          </w:p>
          <w:p w14:paraId="5A4FEC57">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■8.电流精度：±0.2% of reading，±0.2% of range。</w:t>
            </w:r>
          </w:p>
          <w:p w14:paraId="5339A33F">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■9.输入偏置电流：≤1 pA (25°C)。</w:t>
            </w:r>
          </w:p>
          <w:p w14:paraId="2ECAA511">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■10.最小电流分辨率：30 fA(硬件要求，非增益设计)。</w:t>
            </w:r>
          </w:p>
          <w:p w14:paraId="62EB0A63">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★11.最小测量电位分辨率：0.3μV。</w:t>
            </w:r>
          </w:p>
          <w:p w14:paraId="50C3F268">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■12.扫描速率：1mV/s-200V/s。</w:t>
            </w:r>
          </w:p>
          <w:p w14:paraId="11F50143">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13.参比电位采集通道输入端采用电阻电容并联等效电路，并联等效输入电阻≥1 TΩ、并联等效输入电容＜8 pF。</w:t>
            </w:r>
          </w:p>
          <w:p w14:paraId="09A2F575">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■14.可以连接平顶加液器，进行精确加液，滴定管要求准确度≤0.015ml，精度≤0.005ml，分辨率≤0.0005ml。</w:t>
            </w:r>
          </w:p>
          <w:p w14:paraId="23531F1F">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15.电化学阻抗谱测量频率范围：10mHz-1MHz。</w:t>
            </w:r>
          </w:p>
          <w:p w14:paraId="1D511EC5">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■16.交流阻抗最大输入电位：5V。</w:t>
            </w:r>
          </w:p>
          <w:p w14:paraId="6946189D">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17.交流振幅范围：控制电位模式：0.2~350mV；控制电流模式：所选电流的0.0002-0.035倍。</w:t>
            </w:r>
          </w:p>
          <w:p w14:paraId="455039E4">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18.阻抗测试范围1mΩ-1000GΩ。</w:t>
            </w:r>
          </w:p>
          <w:p w14:paraId="18EB41E9">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19.频率分辨率：0.003%。</w:t>
            </w:r>
          </w:p>
          <w:p w14:paraId="4337943B">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■20.最小阻抗测试精度：幅值误差≤0.3%；相角误差≤0.3度。</w:t>
            </w:r>
          </w:p>
          <w:p w14:paraId="1EF429EA">
            <w:pPr>
              <w:numPr>
                <w:ilvl w:val="0"/>
                <w:numId w:val="3"/>
              </w:num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交流阻抗测量参数设置：可以分段设置并人工修改频率分布和振幅。</w:t>
            </w:r>
          </w:p>
          <w:p w14:paraId="399F4D6C">
            <w:pPr>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22.交流信号类型：单正弦波，5正弦波，15正弦波。</w:t>
            </w:r>
          </w:p>
        </w:tc>
        <w:tc>
          <w:tcPr>
            <w:tcW w:w="342" w:type="pct"/>
            <w:vAlign w:val="center"/>
          </w:tcPr>
          <w:p w14:paraId="03286733">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1套</w:t>
            </w:r>
          </w:p>
        </w:tc>
        <w:tc>
          <w:tcPr>
            <w:tcW w:w="374" w:type="pct"/>
            <w:vAlign w:val="center"/>
          </w:tcPr>
          <w:p w14:paraId="04335C99">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461" w:type="pct"/>
            <w:vAlign w:val="center"/>
          </w:tcPr>
          <w:p w14:paraId="16165222">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进口</w:t>
            </w:r>
          </w:p>
        </w:tc>
      </w:tr>
    </w:tbl>
    <w:p w14:paraId="416EDBDB">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23A33B8E">
      <w:pPr>
        <w:pStyle w:val="10"/>
        <w:numPr>
          <w:ilvl w:val="0"/>
          <w:numId w:val="4"/>
        </w:numPr>
        <w:wordWrap w:val="0"/>
        <w:spacing w:line="312" w:lineRule="auto"/>
        <w:ind w:left="0"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第3包货物需求清单（台式物相结构分析仪等一批）</w:t>
      </w:r>
    </w:p>
    <w:p w14:paraId="51FC9423">
      <w:pPr>
        <w:pStyle w:val="10"/>
        <w:wordWrap w:val="0"/>
        <w:spacing w:line="312" w:lineRule="auto"/>
        <w:ind w:leftChars="200" w:firstLine="0" w:firstLineChars="0"/>
        <w:rPr>
          <w:rFonts w:hint="eastAsia" w:ascii="宋体" w:hAnsi="宋体" w:eastAsia="宋体" w:cs="宋体"/>
          <w:b/>
          <w:bCs/>
          <w:color w:val="auto"/>
          <w:sz w:val="24"/>
          <w:szCs w:val="24"/>
          <w:highlight w:val="none"/>
        </w:rPr>
      </w:pPr>
    </w:p>
    <w:tbl>
      <w:tblPr>
        <w:tblStyle w:val="11"/>
        <w:tblW w:w="49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772"/>
        <w:gridCol w:w="5335"/>
        <w:gridCol w:w="561"/>
        <w:gridCol w:w="547"/>
        <w:gridCol w:w="814"/>
      </w:tblGrid>
      <w:tr w14:paraId="243C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Align w:val="center"/>
          </w:tcPr>
          <w:p w14:paraId="2A0D53AB">
            <w:pPr>
              <w:wordWrap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761" w:type="dxa"/>
            <w:vAlign w:val="center"/>
          </w:tcPr>
          <w:p w14:paraId="6D5ECF11">
            <w:pPr>
              <w:wordWrap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货物名称</w:t>
            </w:r>
          </w:p>
        </w:tc>
        <w:tc>
          <w:tcPr>
            <w:tcW w:w="5261" w:type="dxa"/>
            <w:vAlign w:val="center"/>
          </w:tcPr>
          <w:p w14:paraId="241C950F">
            <w:pPr>
              <w:wordWrap w:val="0"/>
              <w:spacing w:line="312"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技术参数及要求</w:t>
            </w:r>
          </w:p>
        </w:tc>
        <w:tc>
          <w:tcPr>
            <w:tcW w:w="553" w:type="dxa"/>
            <w:vAlign w:val="center"/>
          </w:tcPr>
          <w:p w14:paraId="49139798">
            <w:pPr>
              <w:wordWrap w:val="0"/>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数量（台/套）</w:t>
            </w:r>
          </w:p>
        </w:tc>
        <w:tc>
          <w:tcPr>
            <w:tcW w:w="540" w:type="dxa"/>
            <w:vAlign w:val="center"/>
          </w:tcPr>
          <w:p w14:paraId="070944C9">
            <w:pPr>
              <w:wordWrap w:val="0"/>
              <w:adjustRightInd w:val="0"/>
              <w:snapToGrid w:val="0"/>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所属行业</w:t>
            </w:r>
          </w:p>
        </w:tc>
        <w:tc>
          <w:tcPr>
            <w:tcW w:w="802" w:type="dxa"/>
            <w:vAlign w:val="center"/>
          </w:tcPr>
          <w:p w14:paraId="68BB4569">
            <w:pPr>
              <w:wordWrap w:val="0"/>
              <w:adjustRightInd w:val="0"/>
              <w:snapToGrid w:val="0"/>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备注（进口或强制节能）</w:t>
            </w:r>
          </w:p>
        </w:tc>
      </w:tr>
      <w:tr w14:paraId="24E2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09" w:type="dxa"/>
            <w:vAlign w:val="center"/>
          </w:tcPr>
          <w:p w14:paraId="1B64A14E">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61" w:type="dxa"/>
            <w:vAlign w:val="center"/>
          </w:tcPr>
          <w:p w14:paraId="6E32150F">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▲台式物相结构分析仪</w:t>
            </w:r>
          </w:p>
        </w:tc>
        <w:tc>
          <w:tcPr>
            <w:tcW w:w="5261" w:type="dxa"/>
          </w:tcPr>
          <w:p w14:paraId="27A5B53D">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1.高频高压固态X射线发生器</w:t>
            </w:r>
          </w:p>
          <w:p w14:paraId="3AB9DD73">
            <w:pPr>
              <w:spacing w:line="312"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1.1最大输出功率：≥3kW。</w:t>
            </w:r>
          </w:p>
          <w:p w14:paraId="1AC45E07">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2.X光管</w:t>
            </w:r>
          </w:p>
          <w:p w14:paraId="05391D5F">
            <w:pPr>
              <w:spacing w:line="312"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2.1焦斑波纹陶瓷管、Cu靶、焦点尺寸0.4×12mm²。</w:t>
            </w:r>
          </w:p>
          <w:p w14:paraId="6F41F2FF">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★2.2最大输出功率≥2.2kW，工作功率</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2.0kW。</w:t>
            </w:r>
            <w:r>
              <w:rPr>
                <w:rFonts w:hint="eastAsia" w:ascii="宋体" w:hAnsi="宋体" w:eastAsia="宋体" w:cs="宋体"/>
                <w:b/>
                <w:bCs/>
                <w:color w:val="auto"/>
                <w:sz w:val="24"/>
                <w:szCs w:val="24"/>
                <w:highlight w:val="none"/>
              </w:rPr>
              <w:t>（投标文件中需提供证明材料)</w:t>
            </w:r>
          </w:p>
          <w:p w14:paraId="03E65350">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3.测角仪</w:t>
            </w:r>
          </w:p>
          <w:p w14:paraId="02A6E7A6">
            <w:pPr>
              <w:spacing w:line="312"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3.1θ/θ测角仪（样品始终水平且保持不动）。</w:t>
            </w:r>
          </w:p>
          <w:p w14:paraId="4BC7A24B">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3.2扫描半径：160-180mm可变，扫描半径170mm（标准）。</w:t>
            </w:r>
            <w:r>
              <w:rPr>
                <w:rFonts w:hint="eastAsia" w:ascii="宋体" w:hAnsi="宋体" w:eastAsia="宋体" w:cs="宋体"/>
                <w:b/>
                <w:bCs/>
                <w:color w:val="auto"/>
                <w:sz w:val="24"/>
                <w:szCs w:val="24"/>
                <w:highlight w:val="none"/>
              </w:rPr>
              <w:t>（投标文件中需提供证明材料)</w:t>
            </w:r>
          </w:p>
          <w:p w14:paraId="5267030F">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3.3扫描方式：步进、连续、Omg扫描方式，theta S和theta D可以独立控制移动。</w:t>
            </w:r>
            <w:r>
              <w:rPr>
                <w:rFonts w:hint="eastAsia" w:ascii="宋体" w:hAnsi="宋体" w:eastAsia="宋体" w:cs="宋体"/>
                <w:b/>
                <w:bCs/>
                <w:color w:val="auto"/>
                <w:sz w:val="24"/>
                <w:szCs w:val="24"/>
                <w:highlight w:val="none"/>
              </w:rPr>
              <w:t>（投标文件中需提供证明材料)</w:t>
            </w:r>
          </w:p>
          <w:p w14:paraId="0D163217">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4.探测器</w:t>
            </w:r>
          </w:p>
          <w:p w14:paraId="041A7D3B">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4.1全能矩阵半导体阵列探测器（0D\1D\2D切换）。</w:t>
            </w:r>
          </w:p>
          <w:p w14:paraId="2EC9F402">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4.2探测器通道（像素）不小于256×192个。</w:t>
            </w:r>
            <w:r>
              <w:rPr>
                <w:rFonts w:hint="eastAsia" w:ascii="宋体" w:hAnsi="宋体" w:eastAsia="宋体" w:cs="宋体"/>
                <w:b/>
                <w:bCs/>
                <w:color w:val="auto"/>
                <w:sz w:val="24"/>
                <w:szCs w:val="24"/>
                <w:highlight w:val="none"/>
              </w:rPr>
              <w:t>（投标文件中需提供证明材料)</w:t>
            </w:r>
          </w:p>
          <w:p w14:paraId="708FC16D">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★4.3仪器占地面积≤1平米，探测器有效探测面积不小于14mm×14mm。</w:t>
            </w:r>
          </w:p>
          <w:p w14:paraId="4B7AFCC1">
            <w:pPr>
              <w:spacing w:line="312" w:lineRule="auto"/>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4.4单个探测器通道像素尺寸：≤75μm。</w:t>
            </w:r>
            <w:r>
              <w:rPr>
                <w:rFonts w:hint="eastAsia" w:ascii="宋体" w:hAnsi="宋体" w:eastAsia="宋体" w:cs="宋体"/>
                <w:b/>
                <w:bCs/>
                <w:color w:val="auto"/>
                <w:sz w:val="24"/>
                <w:szCs w:val="24"/>
                <w:highlight w:val="none"/>
              </w:rPr>
              <w:t>（投标文件中需提供证明材料)</w:t>
            </w:r>
          </w:p>
          <w:p w14:paraId="207AE343">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4.5探测器在2D数据测试同时输出1D结果。</w:t>
            </w:r>
            <w:r>
              <w:rPr>
                <w:rFonts w:hint="eastAsia" w:ascii="宋体" w:hAnsi="宋体" w:eastAsia="宋体" w:cs="宋体"/>
                <w:b/>
                <w:bCs/>
                <w:color w:val="auto"/>
                <w:sz w:val="24"/>
                <w:szCs w:val="24"/>
                <w:highlight w:val="none"/>
              </w:rPr>
              <w:t>（投标文件中需提供证明材料)</w:t>
            </w:r>
          </w:p>
          <w:p w14:paraId="14C8376F">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5.原位附件</w:t>
            </w:r>
          </w:p>
          <w:p w14:paraId="09B27A70">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5.1电池原位附件（锂二次电池反射模式电池附件1套）。</w:t>
            </w:r>
          </w:p>
          <w:p w14:paraId="73B52830">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6.控制和软件</w:t>
            </w:r>
          </w:p>
          <w:p w14:paraId="4205680B">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6.1控制软件：联机控制仪器，支持数据通讯协议端口开放。</w:t>
            </w:r>
          </w:p>
          <w:p w14:paraId="6554E8EC">
            <w:pPr>
              <w:spacing w:line="312" w:lineRule="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6.2物相检索软件：含原始数据直接检索功能。</w:t>
            </w:r>
          </w:p>
          <w:p w14:paraId="41E9F501">
            <w:pPr>
              <w:spacing w:line="312"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6.3物相定量分析：可编程定量分析软件。</w:t>
            </w:r>
          </w:p>
        </w:tc>
        <w:tc>
          <w:tcPr>
            <w:tcW w:w="553" w:type="dxa"/>
            <w:vAlign w:val="center"/>
          </w:tcPr>
          <w:p w14:paraId="180E6F9A">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540" w:type="dxa"/>
            <w:vAlign w:val="center"/>
          </w:tcPr>
          <w:p w14:paraId="00E3EB7E">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5709C540">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r w14:paraId="2BEC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Align w:val="center"/>
          </w:tcPr>
          <w:p w14:paraId="38C40C74">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761" w:type="dxa"/>
            <w:vAlign w:val="center"/>
          </w:tcPr>
          <w:p w14:paraId="2BC03F67">
            <w:pPr>
              <w:wordWrap w:val="0"/>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荧光分光光度计</w:t>
            </w:r>
          </w:p>
        </w:tc>
        <w:tc>
          <w:tcPr>
            <w:tcW w:w="5261" w:type="dxa"/>
          </w:tcPr>
          <w:p w14:paraId="30F2E49F">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1.激发光源：除臭氧型150W氙灯。</w:t>
            </w:r>
          </w:p>
          <w:p w14:paraId="332CB011">
            <w:pPr>
              <w:tabs>
                <w:tab w:val="center" w:pos="525"/>
                <w:tab w:val="left" w:pos="1050"/>
                <w:tab w:val="center" w:pos="5565"/>
                <w:tab w:val="center" w:pos="6195"/>
              </w:tabs>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■2.激发波长范围：200nm~900nm;发射波长范围：200nm~900nm。</w:t>
            </w:r>
            <w:r>
              <w:rPr>
                <w:rFonts w:hint="eastAsia" w:ascii="宋体" w:hAnsi="宋体" w:eastAsia="宋体" w:cs="宋体"/>
                <w:b/>
                <w:bCs/>
                <w:color w:val="auto"/>
                <w:sz w:val="24"/>
                <w:szCs w:val="24"/>
                <w:highlight w:val="none"/>
              </w:rPr>
              <w:t>（投标文件中需提供证明材料)</w:t>
            </w:r>
          </w:p>
          <w:p w14:paraId="3793B75F">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●3.激发带宽：1nm、2nm、5nm、10nm、20nm。</w:t>
            </w:r>
          </w:p>
          <w:p w14:paraId="1BA76748">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●4.发射带宽：1nm、2nm、5nm、10nm、20nm。</w:t>
            </w:r>
          </w:p>
          <w:p w14:paraId="0AA26873">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●5.波长准确性:±0.4nm。</w:t>
            </w:r>
            <w:r>
              <w:rPr>
                <w:rFonts w:hint="eastAsia" w:ascii="宋体" w:hAnsi="宋体" w:eastAsia="宋体" w:cs="宋体"/>
                <w:b/>
                <w:bCs/>
                <w:color w:val="auto"/>
                <w:sz w:val="24"/>
                <w:szCs w:val="24"/>
                <w:highlight w:val="none"/>
              </w:rPr>
              <w:t>（投标文件中需提供证明材料)</w:t>
            </w:r>
          </w:p>
          <w:p w14:paraId="4EDE93D0">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6.波长重复性:≤0.2nm。</w:t>
            </w:r>
          </w:p>
          <w:p w14:paraId="79724689">
            <w:pPr>
              <w:tabs>
                <w:tab w:val="center" w:pos="525"/>
                <w:tab w:val="left" w:pos="1050"/>
                <w:tab w:val="center" w:pos="5565"/>
                <w:tab w:val="center" w:pos="6195"/>
              </w:tabs>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7.增益档：1-17档(0-1000V连续可调)；自动光门。分断能力：≥10000A。</w:t>
            </w:r>
            <w:r>
              <w:rPr>
                <w:rFonts w:hint="eastAsia" w:ascii="宋体" w:hAnsi="宋体" w:eastAsia="宋体" w:cs="宋体"/>
                <w:b/>
                <w:bCs/>
                <w:color w:val="auto"/>
                <w:sz w:val="24"/>
                <w:szCs w:val="24"/>
                <w:highlight w:val="none"/>
              </w:rPr>
              <w:t>（投标文件中需提供证明材料)</w:t>
            </w:r>
          </w:p>
          <w:p w14:paraId="14373BB3">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8.信噪比:S/N≥250（P-P）（水的拉曼峰信噪比）;RMS≥1200:1；RMS（BG）≥15000:1。</w:t>
            </w:r>
          </w:p>
          <w:p w14:paraId="29C20BAB">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9.检出极限:1×10</w:t>
            </w:r>
            <w:r>
              <w:rPr>
                <w:rFonts w:hint="eastAsia" w:ascii="宋体" w:hAnsi="宋体" w:eastAsia="宋体" w:cs="宋体"/>
                <w:color w:val="auto"/>
                <w:sz w:val="24"/>
                <w:szCs w:val="24"/>
                <w:highlight w:val="none"/>
                <w:vertAlign w:val="superscript"/>
              </w:rPr>
              <w:t>-10</w:t>
            </w:r>
            <w:r>
              <w:rPr>
                <w:rFonts w:hint="eastAsia" w:ascii="宋体" w:hAnsi="宋体" w:eastAsia="宋体" w:cs="宋体"/>
                <w:color w:val="auto"/>
                <w:sz w:val="24"/>
                <w:szCs w:val="24"/>
                <w:highlight w:val="none"/>
              </w:rPr>
              <w:t>g/ml。</w:t>
            </w:r>
          </w:p>
          <w:p w14:paraId="19DDC66C">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10.测量线性:γ≥0.995。</w:t>
            </w:r>
          </w:p>
          <w:p w14:paraId="29604E05">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11.峰值强度重复性:≤1.5%。</w:t>
            </w:r>
          </w:p>
          <w:p w14:paraId="759711E2">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12.零线漂移:±0.3。</w:t>
            </w:r>
          </w:p>
          <w:p w14:paraId="0DF7D9C5">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13.示值上限:±1.5%。</w:t>
            </w:r>
          </w:p>
          <w:p w14:paraId="24599853">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14.分辨率:1.0nm。</w:t>
            </w:r>
          </w:p>
          <w:p w14:paraId="199C88F5">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15.单色器:机刻凹面衍射光栅。</w:t>
            </w:r>
          </w:p>
          <w:p w14:paraId="674D32BF">
            <w:pPr>
              <w:tabs>
                <w:tab w:val="center" w:pos="525"/>
                <w:tab w:val="left" w:pos="1050"/>
                <w:tab w:val="center" w:pos="5565"/>
                <w:tab w:val="center" w:pos="6195"/>
              </w:tabs>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16.波长扫描速度:15，30，60，300，1000，3000，6000，15000，30000，60000nm/min,10档速度可选。最高速度达60000nm/min,1分钟内即可完成三维图谱扫描。</w:t>
            </w:r>
            <w:r>
              <w:rPr>
                <w:rFonts w:hint="eastAsia" w:ascii="宋体" w:hAnsi="宋体" w:eastAsia="宋体" w:cs="宋体"/>
                <w:b/>
                <w:bCs/>
                <w:color w:val="auto"/>
                <w:sz w:val="24"/>
                <w:szCs w:val="24"/>
                <w:highlight w:val="none"/>
              </w:rPr>
              <w:t>（投标文件中需提供证明材料)</w:t>
            </w:r>
          </w:p>
          <w:p w14:paraId="66AAE3C7">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●17.光度值范围:0.00-10000.00。</w:t>
            </w:r>
          </w:p>
          <w:p w14:paraId="34605854">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18.数据传输方式:USB2.0。</w:t>
            </w:r>
          </w:p>
          <w:p w14:paraId="3E106BA0">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19.标准能耗::200W。</w:t>
            </w:r>
          </w:p>
          <w:p w14:paraId="2A4074AD">
            <w:pPr>
              <w:tabs>
                <w:tab w:val="center" w:pos="525"/>
                <w:tab w:val="left" w:pos="1050"/>
                <w:tab w:val="center" w:pos="5565"/>
                <w:tab w:val="center" w:pos="6195"/>
              </w:tabs>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20.电源种类:交流220V/50Hz；110V/60Hz。</w:t>
            </w:r>
          </w:p>
          <w:p w14:paraId="329744BA">
            <w:pPr>
              <w:tabs>
                <w:tab w:val="center" w:pos="525"/>
                <w:tab w:val="left" w:pos="1050"/>
                <w:tab w:val="center" w:pos="5565"/>
                <w:tab w:val="center" w:pos="6195"/>
              </w:tabs>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●21.可定期运行性能认证模块，验证仪器是否处于正常状态。仪器可将复杂的荧光信号转化为直观的色彩。</w:t>
            </w:r>
            <w:r>
              <w:rPr>
                <w:rFonts w:hint="eastAsia" w:ascii="宋体" w:hAnsi="宋体" w:eastAsia="宋体" w:cs="宋体"/>
                <w:b/>
                <w:bCs/>
                <w:color w:val="auto"/>
                <w:sz w:val="24"/>
                <w:szCs w:val="24"/>
                <w:highlight w:val="none"/>
              </w:rPr>
              <w:t>（投标文件中需提供证明材料)</w:t>
            </w:r>
          </w:p>
          <w:p w14:paraId="4FDD79EE">
            <w:pPr>
              <w:tabs>
                <w:tab w:val="center" w:pos="525"/>
                <w:tab w:val="left" w:pos="1050"/>
                <w:tab w:val="center" w:pos="5565"/>
                <w:tab w:val="center" w:pos="6195"/>
              </w:tabs>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三、配置：</w:t>
            </w:r>
          </w:p>
          <w:p w14:paraId="4EB359CD">
            <w:pPr>
              <w:tabs>
                <w:tab w:val="center" w:pos="525"/>
                <w:tab w:val="left" w:pos="1050"/>
                <w:tab w:val="center" w:pos="5565"/>
                <w:tab w:val="center" w:pos="6195"/>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1.主机一台，</w:t>
            </w:r>
          </w:p>
          <w:p w14:paraId="265A476D">
            <w:pPr>
              <w:tabs>
                <w:tab w:val="center" w:pos="525"/>
                <w:tab w:val="left" w:pos="1050"/>
                <w:tab w:val="center" w:pos="5565"/>
                <w:tab w:val="center" w:pos="6195"/>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2.电源电缆一根。</w:t>
            </w:r>
          </w:p>
          <w:p w14:paraId="11EF47D1">
            <w:pPr>
              <w:tabs>
                <w:tab w:val="center" w:pos="525"/>
                <w:tab w:val="left" w:pos="1050"/>
                <w:tab w:val="center" w:pos="5565"/>
                <w:tab w:val="center" w:pos="6195"/>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3.使用说明书一本。</w:t>
            </w:r>
          </w:p>
          <w:p w14:paraId="446845EA">
            <w:pPr>
              <w:tabs>
                <w:tab w:val="center" w:pos="525"/>
                <w:tab w:val="left" w:pos="1050"/>
                <w:tab w:val="center" w:pos="5565"/>
                <w:tab w:val="center" w:pos="6195"/>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4.产品合格证明书一份。</w:t>
            </w:r>
          </w:p>
          <w:p w14:paraId="6816D6E9">
            <w:pPr>
              <w:tabs>
                <w:tab w:val="center" w:pos="525"/>
                <w:tab w:val="left" w:pos="1050"/>
                <w:tab w:val="center" w:pos="5565"/>
                <w:tab w:val="center" w:pos="6195"/>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5.膜状粉状荧光样品测量架一套。</w:t>
            </w:r>
          </w:p>
          <w:p w14:paraId="7A0709BF">
            <w:pPr>
              <w:tabs>
                <w:tab w:val="center" w:pos="525"/>
                <w:tab w:val="left" w:pos="1050"/>
                <w:tab w:val="center" w:pos="5565"/>
                <w:tab w:val="center" w:pos="6195"/>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6.系统操作软件一套。</w:t>
            </w:r>
          </w:p>
          <w:p w14:paraId="49221CA5">
            <w:pPr>
              <w:tabs>
                <w:tab w:val="center" w:pos="525"/>
                <w:tab w:val="left" w:pos="1050"/>
                <w:tab w:val="center" w:pos="5565"/>
                <w:tab w:val="center" w:pos="6195"/>
              </w:tabs>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7.配套数据工作站一套：CPU：频率：基频≧2.1GHz；最大睿频≧5.3 GHz，；内存：≥16GB，硬盘：≥512G SSD+1TBHDD；配置≧8个USB接口，≧1个HDMI接口，≧1个VGA接口，≧1个PCI插槽,≧2个M.2插槽；显示器≥21英寸。</w:t>
            </w:r>
          </w:p>
        </w:tc>
        <w:tc>
          <w:tcPr>
            <w:tcW w:w="553" w:type="dxa"/>
            <w:vAlign w:val="center"/>
          </w:tcPr>
          <w:p w14:paraId="7949F22C">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540" w:type="dxa"/>
            <w:vAlign w:val="center"/>
          </w:tcPr>
          <w:p w14:paraId="35F1AC12">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05FDA62D">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r w14:paraId="06D0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Align w:val="center"/>
          </w:tcPr>
          <w:p w14:paraId="2A853E93">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761" w:type="dxa"/>
            <w:vAlign w:val="center"/>
          </w:tcPr>
          <w:p w14:paraId="3FEFDDF7">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UV光清洗机</w:t>
            </w:r>
          </w:p>
        </w:tc>
        <w:tc>
          <w:tcPr>
            <w:tcW w:w="5261" w:type="dxa"/>
          </w:tcPr>
          <w:p w14:paraId="0CC7A35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1.整机材质采用镜面不锈钢304制作。</w:t>
            </w:r>
          </w:p>
          <w:p w14:paraId="14321F07">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2.电压220V，电流1.5A，总功率300W。</w:t>
            </w:r>
          </w:p>
          <w:p w14:paraId="3A48A9A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3.工作光谱：≥185nm+254nm,双工作波段。</w:t>
            </w:r>
          </w:p>
          <w:p w14:paraId="77DD174F">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4.灯管功率：250W。</w:t>
            </w:r>
          </w:p>
          <w:p w14:paraId="7B4E841A">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5.灯管材质工艺：石英材料，一体成形格栅灯管。</w:t>
            </w:r>
          </w:p>
          <w:p w14:paraId="0F47217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6.灯管使用寿命：≥8000小时。</w:t>
            </w:r>
          </w:p>
          <w:p w14:paraId="230BD383">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7.有效清洗尺寸：≥200*200mm(8英寸）</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w:t>
            </w:r>
          </w:p>
          <w:p w14:paraId="47AD353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8.时间范围：0-99分钟/小时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w:t>
            </w:r>
          </w:p>
          <w:p w14:paraId="35C17FC7">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9.照射高度：0-100mm。</w:t>
            </w:r>
          </w:p>
          <w:p w14:paraId="2CFD97DB">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10.光照辅助：配置反光板，保证照射均匀性。</w:t>
            </w:r>
          </w:p>
          <w:p w14:paraId="3AEB7CFA">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11.安全防护：当抽屉拉出时，灯管自动熄灭。</w:t>
            </w:r>
          </w:p>
          <w:p w14:paraId="23A5FE00">
            <w:pPr>
              <w:tabs>
                <w:tab w:val="center" w:pos="525"/>
                <w:tab w:val="left" w:pos="1050"/>
                <w:tab w:val="center" w:pos="5565"/>
                <w:tab w:val="center" w:pos="6195"/>
              </w:tabs>
              <w:snapToGrid w:val="0"/>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.具备提示灯异常指示/警报的功能。</w:t>
            </w:r>
          </w:p>
          <w:p w14:paraId="6F0586B1">
            <w:pPr>
              <w:tabs>
                <w:tab w:val="center" w:pos="525"/>
                <w:tab w:val="left" w:pos="1050"/>
                <w:tab w:val="center" w:pos="5565"/>
                <w:tab w:val="center" w:pos="6195"/>
              </w:tabs>
              <w:snapToGrid w:val="0"/>
              <w:spacing w:line="312"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.排风功能：自带臭氧排风系统，125mm直径出风口，配置风管及紧固件。</w:t>
            </w:r>
          </w:p>
        </w:tc>
        <w:tc>
          <w:tcPr>
            <w:tcW w:w="553" w:type="dxa"/>
            <w:vAlign w:val="center"/>
          </w:tcPr>
          <w:p w14:paraId="2789927B">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540" w:type="dxa"/>
            <w:vAlign w:val="center"/>
          </w:tcPr>
          <w:p w14:paraId="2ABF145A">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43896C9C">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r w14:paraId="43CD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Align w:val="center"/>
          </w:tcPr>
          <w:p w14:paraId="7C9D37BC">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761" w:type="dxa"/>
            <w:vAlign w:val="center"/>
          </w:tcPr>
          <w:p w14:paraId="0412A63E">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匀胶机</w:t>
            </w:r>
          </w:p>
        </w:tc>
        <w:tc>
          <w:tcPr>
            <w:tcW w:w="5261" w:type="dxa"/>
          </w:tcPr>
          <w:p w14:paraId="73E09A78">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●1.最大转速：≥10000rpm。</w:t>
            </w:r>
          </w:p>
          <w:p w14:paraId="3F85F6DA">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2.转速分辨率：≥1rpm。</w:t>
            </w:r>
          </w:p>
          <w:p w14:paraId="4A8FA761">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3.最大旋转时间：≥3000秒。</w:t>
            </w:r>
          </w:p>
          <w:p w14:paraId="5A40065D">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4.时间分辨率：≥1秒。</w:t>
            </w:r>
          </w:p>
          <w:p w14:paraId="0C7D8198">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5.最大加速度：≥15000rpm/s。</w:t>
            </w:r>
          </w:p>
          <w:p w14:paraId="0762D88C">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6.机器尺寸：≥198mm(W)*280mm(D)*172mm(H)。</w:t>
            </w:r>
          </w:p>
          <w:p w14:paraId="1FB81294">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7.电源输入：宽电压输入100-240VAC,输出24VDC。</w:t>
            </w:r>
          </w:p>
          <w:p w14:paraId="693C69AF">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8.气泵参数：24VDC/12W/负压范围0~-60kPa。</w:t>
            </w:r>
          </w:p>
          <w:p w14:paraId="7121618B">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9.触摸屏：≥4.3英寸。 </w:t>
            </w:r>
          </w:p>
        </w:tc>
        <w:tc>
          <w:tcPr>
            <w:tcW w:w="553" w:type="dxa"/>
            <w:vAlign w:val="center"/>
          </w:tcPr>
          <w:p w14:paraId="70C71885">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540" w:type="dxa"/>
            <w:vAlign w:val="center"/>
          </w:tcPr>
          <w:p w14:paraId="4BE13DEC">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65E7869A">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r w14:paraId="2D3E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Align w:val="center"/>
          </w:tcPr>
          <w:p w14:paraId="16AADCDA">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761" w:type="dxa"/>
            <w:vAlign w:val="center"/>
          </w:tcPr>
          <w:p w14:paraId="5E9F4A32">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热台</w:t>
            </w:r>
          </w:p>
        </w:tc>
        <w:tc>
          <w:tcPr>
            <w:tcW w:w="5261" w:type="dxa"/>
          </w:tcPr>
          <w:p w14:paraId="6A4D65F5">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1.固定安全温度：温度超过550℃即停止加热。</w:t>
            </w:r>
          </w:p>
          <w:p w14:paraId="2AF95329">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2.热警显示：加热时指示灯闪烁，警告用户加热盘高温，不可触摸。</w:t>
            </w:r>
          </w:p>
          <w:p w14:paraId="6C7E7BC6">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3.数字显示：支持精确控制或重复设置温度。</w:t>
            </w:r>
          </w:p>
          <w:p w14:paraId="15EB8DF5">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4.强力马达：搅拌粘性物料，最大搅拌量为≥10L（水）。</w:t>
            </w:r>
          </w:p>
          <w:p w14:paraId="20C0BF2A">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5.强磁力：防止跳子。</w:t>
            </w:r>
          </w:p>
          <w:p w14:paraId="07628A48">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6.微处理控制：马达转速和加热盘信号反馈，保证恒速运转和保持设置温度。</w:t>
            </w:r>
          </w:p>
          <w:p w14:paraId="00AC161A">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7.陶瓷盘面：一体成型无缝盘面。具有抗化学腐蚀性能。</w:t>
            </w:r>
          </w:p>
          <w:p w14:paraId="047EBB24">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8.温度控制器：连接接触式电子温度计,可以精确控制溶液温度。</w:t>
            </w:r>
          </w:p>
          <w:p w14:paraId="2300CC70">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9.控制面板抬高：具有防溶液溅到面板的功能，支持读取数字和控制转速。</w:t>
            </w:r>
          </w:p>
          <w:p w14:paraId="04A867C5">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10.搅拌点位数目</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1。</w:t>
            </w:r>
          </w:p>
          <w:p w14:paraId="37E533B3">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11.最大搅拌量(H</w:t>
            </w:r>
            <w:r>
              <w:rPr>
                <w:rFonts w:hint="eastAsia" w:ascii="宋体" w:hAnsi="宋体" w:eastAsia="宋体" w:cs="宋体"/>
                <w:color w:val="auto"/>
                <w:sz w:val="24"/>
                <w:szCs w:val="24"/>
                <w:highlight w:val="none"/>
                <w:vertAlign w:val="subscript"/>
              </w:rPr>
              <w:t>2</w:t>
            </w:r>
            <w:r>
              <w:rPr>
                <w:rFonts w:hint="eastAsia" w:ascii="宋体" w:hAnsi="宋体" w:eastAsia="宋体" w:cs="宋体"/>
                <w:color w:val="auto"/>
                <w:sz w:val="24"/>
                <w:szCs w:val="24"/>
                <w:highlight w:val="none"/>
              </w:rPr>
              <w:t>O)</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≥10L。</w:t>
            </w:r>
          </w:p>
          <w:p w14:paraId="01479282">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12.电机输出功率≥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1.5W。</w:t>
            </w:r>
          </w:p>
          <w:p w14:paraId="292E3F3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13.转速控制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刻度≥0-6。</w:t>
            </w:r>
          </w:p>
          <w:p w14:paraId="3FA09A95">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14.速度范围≥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100-1500rpm。</w:t>
            </w:r>
          </w:p>
          <w:p w14:paraId="6AE43F73">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15.搅拌子最大长度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≥80mm。</w:t>
            </w:r>
          </w:p>
          <w:p w14:paraId="6ED48F0E">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16.加热输出功率≥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1000W。</w:t>
            </w:r>
          </w:p>
          <w:p w14:paraId="5ADA687E">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17.加热温度范围≥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50-500°C。</w:t>
            </w:r>
          </w:p>
          <w:p w14:paraId="0C65875A">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18.加热温度控制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LED。</w:t>
            </w:r>
          </w:p>
          <w:p w14:paraId="654BA172">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19.加热速度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≥5K/min。</w:t>
            </w:r>
          </w:p>
          <w:p w14:paraId="1BBF1B15">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20.外接温度传感器接口。</w:t>
            </w:r>
          </w:p>
        </w:tc>
        <w:tc>
          <w:tcPr>
            <w:tcW w:w="553" w:type="dxa"/>
            <w:vAlign w:val="center"/>
          </w:tcPr>
          <w:p w14:paraId="6B701618">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540" w:type="dxa"/>
            <w:vAlign w:val="center"/>
          </w:tcPr>
          <w:p w14:paraId="3C901194">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28C533CF">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r w14:paraId="0DD2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Align w:val="center"/>
          </w:tcPr>
          <w:p w14:paraId="451272F2">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761" w:type="dxa"/>
            <w:vAlign w:val="center"/>
          </w:tcPr>
          <w:p w14:paraId="0B03A14B">
            <w:pPr>
              <w:wordWrap w:val="0"/>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超声波清洗机</w:t>
            </w:r>
          </w:p>
        </w:tc>
        <w:tc>
          <w:tcPr>
            <w:tcW w:w="5261" w:type="dxa"/>
          </w:tcPr>
          <w:p w14:paraId="03FC7322">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1.清洗槽采用304不锈钢一次冲压成型，无焊接处，超声发波均一，具有防水性能。</w:t>
            </w:r>
          </w:p>
          <w:p w14:paraId="3B13E276">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2.仪器的内外壳体和降音盖采用不锈钢。</w:t>
            </w:r>
          </w:p>
          <w:p w14:paraId="781CD2AF">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3.网架:沥水篮筐材质采用304不锈钢焊接成型。</w:t>
            </w:r>
          </w:p>
          <w:p w14:paraId="0883C388">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4.采用加热管加热器，直接与介质接触。</w:t>
            </w:r>
          </w:p>
          <w:p w14:paraId="18575A9B">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5.采用NTC温度传感，实时显示清洗槽内实际温度。</w:t>
            </w:r>
          </w:p>
          <w:p w14:paraId="0DFC37BE">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6.仪器的操作程序采用单片机控制，频率跟踪。</w:t>
            </w:r>
          </w:p>
          <w:p w14:paraId="390A0EEB">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7.大屏幕液晶显示器，可显示超声时间倒计时、超声频率、超声功率、超声温度，参数详细清楚。</w:t>
            </w:r>
          </w:p>
          <w:p w14:paraId="7EDCFFDC">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8.通过旋钮可调节超声功率、超声时间、温度等参数。</w:t>
            </w:r>
          </w:p>
          <w:p w14:paraId="62F93D7A">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9.具有排水装置，排出清洗后的废水。</w:t>
            </w:r>
          </w:p>
          <w:p w14:paraId="20751C69">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10.双侧带防滑把手。</w:t>
            </w:r>
          </w:p>
          <w:p w14:paraId="023757D9">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11.具有工作参数断电记忆功能。</w:t>
            </w:r>
          </w:p>
          <w:p w14:paraId="7C663A2E">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12.安全保护功能：具有短路保护，漏电保护，过电流保护及过载保护等安全保护功能。</w:t>
            </w:r>
          </w:p>
          <w:p w14:paraId="6834D3CD">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13.配置清单：主机1台，降音盖1个，网架1个,排水管1根。</w:t>
            </w:r>
          </w:p>
        </w:tc>
        <w:tc>
          <w:tcPr>
            <w:tcW w:w="553" w:type="dxa"/>
            <w:vAlign w:val="center"/>
          </w:tcPr>
          <w:p w14:paraId="53C5CA33">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540" w:type="dxa"/>
            <w:vAlign w:val="center"/>
          </w:tcPr>
          <w:p w14:paraId="7160436F">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5823419B">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r w14:paraId="1F8B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6" w:hRule="atLeast"/>
          <w:jc w:val="center"/>
        </w:trPr>
        <w:tc>
          <w:tcPr>
            <w:tcW w:w="409" w:type="dxa"/>
            <w:vAlign w:val="center"/>
          </w:tcPr>
          <w:p w14:paraId="52707D92">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761" w:type="dxa"/>
            <w:vAlign w:val="center"/>
          </w:tcPr>
          <w:p w14:paraId="0D087DC3">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纽扣电池封口机</w:t>
            </w:r>
          </w:p>
        </w:tc>
        <w:tc>
          <w:tcPr>
            <w:tcW w:w="5261" w:type="dxa"/>
          </w:tcPr>
          <w:p w14:paraId="7FF9E704">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1.输入电源：110-240V AC（50/60HZ）。</w:t>
            </w:r>
          </w:p>
          <w:p w14:paraId="64935203">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2.配有110-240V AC转24VDC电源适配器。</w:t>
            </w:r>
          </w:p>
          <w:p w14:paraId="17396456">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3.使用压力范围：0-1.40T。</w:t>
            </w:r>
          </w:p>
          <w:p w14:paraId="3DDD8947">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4.封装模具（拆解模具）由硬化钢制成。</w:t>
            </w:r>
          </w:p>
          <w:p w14:paraId="27EDC28A">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5.配置一套CR20系列模具可封装，CR2032，CR2025和CR2016纽扣电池。</w:t>
            </w:r>
          </w:p>
        </w:tc>
        <w:tc>
          <w:tcPr>
            <w:tcW w:w="553" w:type="dxa"/>
            <w:vAlign w:val="center"/>
          </w:tcPr>
          <w:p w14:paraId="163470D5">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540" w:type="dxa"/>
            <w:vAlign w:val="center"/>
          </w:tcPr>
          <w:p w14:paraId="1776A436">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268EDB38">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r w14:paraId="66E3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Align w:val="center"/>
          </w:tcPr>
          <w:p w14:paraId="5560702A">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761" w:type="dxa"/>
            <w:vAlign w:val="center"/>
          </w:tcPr>
          <w:p w14:paraId="671071C4">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模拟太阳光氙灯光源（初级太阳光模拟器）</w:t>
            </w:r>
          </w:p>
        </w:tc>
        <w:tc>
          <w:tcPr>
            <w:tcW w:w="5261" w:type="dxa"/>
          </w:tcPr>
          <w:p w14:paraId="242263B6">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1.光源结构：分体式光源。</w:t>
            </w:r>
          </w:p>
          <w:p w14:paraId="5BC025F4">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2.控制方式：手动电控。</w:t>
            </w:r>
          </w:p>
          <w:p w14:paraId="56B1C124">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3.功率调节：旋钮式导航。</w:t>
            </w:r>
          </w:p>
          <w:p w14:paraId="123398FB">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4.灯泡功率：0-300W。</w:t>
            </w:r>
          </w:p>
          <w:p w14:paraId="575C9F9C">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5.功率调整范围：150W-320W连续可调。</w:t>
            </w:r>
          </w:p>
          <w:p w14:paraId="050C237F">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6.电流调节范围：14-21A；工作电压14V；总光功率：50W。</w:t>
            </w:r>
          </w:p>
          <w:p w14:paraId="5B70EF0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■7.光谱范围：300nm～2500nm。</w:t>
            </w:r>
          </w:p>
          <w:p w14:paraId="01CF1C53">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■8.具有光源准直装置，光功率密度：≥100mw/cm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–3000mw/cm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（投标文件中需提供证明材料)</w:t>
            </w:r>
          </w:p>
          <w:p w14:paraId="4212A3A6">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9.平行光发散角：≥2°；色温：≥5000lux、≥5600K。</w:t>
            </w:r>
          </w:p>
          <w:p w14:paraId="2758D4FF">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10.散热形式：轴向散热模组。</w:t>
            </w:r>
          </w:p>
          <w:p w14:paraId="64573EA4">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11.灯泡寿命：1000小时以上。</w:t>
            </w:r>
          </w:p>
          <w:p w14:paraId="0B1F384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12.实验光斑：≥60mm直径圆斑。</w:t>
            </w:r>
          </w:p>
          <w:p w14:paraId="5D939414">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13.触发方式：30kV高压触发，触发装置集成在灯头中，触发无障碍。</w:t>
            </w:r>
          </w:p>
          <w:p w14:paraId="0200C1BA">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■14.所投产品与现有实验室光催化系统需兼容匹配联用。</w:t>
            </w:r>
            <w:r>
              <w:rPr>
                <w:rFonts w:hint="eastAsia" w:ascii="宋体" w:hAnsi="宋体" w:eastAsia="宋体" w:cs="宋体"/>
                <w:b/>
                <w:bCs/>
                <w:color w:val="auto"/>
                <w:sz w:val="24"/>
                <w:szCs w:val="24"/>
                <w:highlight w:val="none"/>
              </w:rPr>
              <w:t>（投标文件中提供书面承诺函，格式自拟加盖投标人公章）</w:t>
            </w:r>
          </w:p>
          <w:p w14:paraId="6293F270">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二、配置：</w:t>
            </w:r>
          </w:p>
          <w:p w14:paraId="079FB503">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1.氙灯电源系统和灯头1台。</w:t>
            </w:r>
          </w:p>
          <w:p w14:paraId="6DFDCE2C">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2.灯头预装陶瓷灯泡1支。</w:t>
            </w:r>
          </w:p>
          <w:p w14:paraId="6D016D8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3.定制模拟太阳光均匀光镜头1个。</w:t>
            </w:r>
          </w:p>
          <w:p w14:paraId="79D9E603">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4.定制短波螺纹衰减滤光片1片。</w:t>
            </w:r>
          </w:p>
          <w:p w14:paraId="53133DC7">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5.专用模拟日光滤光片1片。</w:t>
            </w:r>
          </w:p>
          <w:p w14:paraId="39899C5D">
            <w:pPr>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6.升降台、电源线、数据线、其他附件和说明书1套。</w:t>
            </w:r>
          </w:p>
        </w:tc>
        <w:tc>
          <w:tcPr>
            <w:tcW w:w="553" w:type="dxa"/>
            <w:vAlign w:val="center"/>
          </w:tcPr>
          <w:p w14:paraId="15DEB5D6">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540" w:type="dxa"/>
            <w:vAlign w:val="center"/>
          </w:tcPr>
          <w:p w14:paraId="36D01CA3">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27267481">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r w14:paraId="1E45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Align w:val="center"/>
          </w:tcPr>
          <w:p w14:paraId="606A61E6">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761" w:type="dxa"/>
            <w:vAlign w:val="center"/>
          </w:tcPr>
          <w:p w14:paraId="450BC078">
            <w:pPr>
              <w:wordWrap w:val="0"/>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电化学工作站</w:t>
            </w:r>
          </w:p>
        </w:tc>
        <w:tc>
          <w:tcPr>
            <w:tcW w:w="5261" w:type="dxa"/>
          </w:tcPr>
          <w:p w14:paraId="2EF2D0A0">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1.零阻电流计。</w:t>
            </w:r>
          </w:p>
          <w:p w14:paraId="70D5A8CD">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2.2，3，4电极结构。</w:t>
            </w:r>
          </w:p>
          <w:p w14:paraId="61C76844">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3.浮动地线或实地。</w:t>
            </w:r>
          </w:p>
          <w:p w14:paraId="38B497F2">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4.最大电位范围：±10V。</w:t>
            </w:r>
          </w:p>
          <w:p w14:paraId="19F1996B">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5.最大电流：±250mA连续,±300mA峰值。</w:t>
            </w:r>
          </w:p>
          <w:p w14:paraId="33138C33">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6.槽压：±13V。</w:t>
            </w:r>
          </w:p>
          <w:p w14:paraId="10F8016B">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7.恒电位仪上升时间：≤1s。</w:t>
            </w:r>
          </w:p>
          <w:p w14:paraId="31EC64D3">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8.恒电位仪带宽（-3分贝）：1MHz。</w:t>
            </w:r>
          </w:p>
          <w:p w14:paraId="686959F6">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9.所加电位范围：±10mV,±50mV,±100mV,±650mV,±3.276V,±6.553V,±10V。</w:t>
            </w:r>
          </w:p>
          <w:p w14:paraId="380264B3">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10.所加电位分辨：电位范围的0.0015%。</w:t>
            </w:r>
          </w:p>
          <w:p w14:paraId="76839032">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11.所加电位准确度：±1mV,±满量程的0.01%。</w:t>
            </w:r>
          </w:p>
          <w:p w14:paraId="70410097">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12.所加电位噪声：≤10μV均方根植。</w:t>
            </w:r>
          </w:p>
          <w:p w14:paraId="1CD3243A">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13.测量电流范围：±10pA至±0.25A，12量程。</w:t>
            </w:r>
          </w:p>
          <w:p w14:paraId="26142F0F">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14.测量电流分辨：电流量程的0.0015%，最低0.3fA。</w:t>
            </w:r>
          </w:p>
          <w:p w14:paraId="6C925087">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15.电流测量准确度：电流灵敏度1e-3A/V至1e-7A/V时为0.2%，其他范围为1%。</w:t>
            </w:r>
          </w:p>
          <w:p w14:paraId="15089DA3">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16.输入偏置电流：≤10pA恒电流仪。</w:t>
            </w:r>
          </w:p>
          <w:p w14:paraId="6864CEC2">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17.恒电流范围：0.3nA–250mA。</w:t>
            </w:r>
          </w:p>
          <w:p w14:paraId="43F00D49">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18.所加电流分辨率：电流范围的0.03%。</w:t>
            </w:r>
          </w:p>
          <w:p w14:paraId="1671A31B">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19.测量电位范围：±0.025V，±0.1V，±0.25V，±1V，±2.5V，±10V。</w:t>
            </w:r>
          </w:p>
          <w:p w14:paraId="3544C25A">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20.测量电位分辨率：测量范围的0.0015%。</w:t>
            </w:r>
          </w:p>
          <w:p w14:paraId="49B40B57">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21.所加电流准确度：±20pA，电流3e-7A至3e-3A时为0.3%，其他范围为1%。</w:t>
            </w:r>
          </w:p>
          <w:p w14:paraId="4CCC6DD7">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22.参比电极输入阻抗：1e12欧姆。</w:t>
            </w:r>
          </w:p>
          <w:p w14:paraId="75AC26A2">
            <w:pPr>
              <w:wordWrap w:val="0"/>
              <w:spacing w:line="312"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23.实验参数CV和LSV扫描速度：0.000001V/s至10000V/s。</w:t>
            </w:r>
          </w:p>
        </w:tc>
        <w:tc>
          <w:tcPr>
            <w:tcW w:w="553" w:type="dxa"/>
            <w:vAlign w:val="center"/>
          </w:tcPr>
          <w:p w14:paraId="6B843787">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540" w:type="dxa"/>
            <w:vAlign w:val="center"/>
          </w:tcPr>
          <w:p w14:paraId="60E6C757">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工业</w:t>
            </w:r>
          </w:p>
        </w:tc>
        <w:tc>
          <w:tcPr>
            <w:tcW w:w="802" w:type="dxa"/>
            <w:vAlign w:val="center"/>
          </w:tcPr>
          <w:p w14:paraId="4B8EA99A">
            <w:pPr>
              <w:spacing w:line="312"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tc>
      </w:tr>
    </w:tbl>
    <w:p w14:paraId="429A0C5F">
      <w:pPr>
        <w:autoSpaceDE w:val="0"/>
        <w:autoSpaceDN w:val="0"/>
        <w:adjustRightInd w:val="0"/>
        <w:spacing w:line="276" w:lineRule="auto"/>
        <w:jc w:val="left"/>
        <w:rPr>
          <w:rFonts w:hint="eastAsia" w:asciiTheme="majorEastAsia" w:hAnsiTheme="majorEastAsia" w:eastAsiaTheme="majorEastAsia"/>
          <w:b/>
          <w:color w:val="auto"/>
          <w:sz w:val="24"/>
          <w:szCs w:val="24"/>
          <w:highlight w:val="none"/>
        </w:rPr>
      </w:pPr>
    </w:p>
    <w:p w14:paraId="079F74CB">
      <w:pPr>
        <w:autoSpaceDE w:val="0"/>
        <w:autoSpaceDN w:val="0"/>
        <w:adjustRightInd w:val="0"/>
        <w:spacing w:line="336" w:lineRule="auto"/>
        <w:jc w:val="left"/>
        <w:rPr>
          <w:rFonts w:hint="eastAsia" w:asciiTheme="majorEastAsia" w:hAnsiTheme="majorEastAsia" w:eastAsiaTheme="majorEastAsia"/>
          <w:b/>
          <w:color w:val="auto"/>
          <w:sz w:val="24"/>
          <w:szCs w:val="24"/>
          <w:highlight w:val="none"/>
        </w:rPr>
      </w:pPr>
      <w:r>
        <w:rPr>
          <w:rFonts w:hint="eastAsia" w:asciiTheme="majorEastAsia" w:hAnsiTheme="majorEastAsia" w:eastAsiaTheme="majorEastAsia"/>
          <w:b/>
          <w:color w:val="auto"/>
          <w:sz w:val="24"/>
          <w:szCs w:val="24"/>
          <w:highlight w:val="none"/>
        </w:rPr>
        <w:t>三、安装调试、培训</w:t>
      </w:r>
      <w:r>
        <w:rPr>
          <w:rFonts w:asciiTheme="majorEastAsia" w:hAnsiTheme="majorEastAsia" w:eastAsiaTheme="majorEastAsia"/>
          <w:b/>
          <w:color w:val="auto"/>
          <w:sz w:val="24"/>
          <w:szCs w:val="24"/>
          <w:highlight w:val="none"/>
        </w:rPr>
        <w:t>、</w:t>
      </w:r>
      <w:r>
        <w:rPr>
          <w:rFonts w:hint="eastAsia" w:asciiTheme="majorEastAsia" w:hAnsiTheme="majorEastAsia" w:eastAsiaTheme="majorEastAsia"/>
          <w:b/>
          <w:color w:val="auto"/>
          <w:sz w:val="24"/>
          <w:szCs w:val="24"/>
          <w:highlight w:val="none"/>
        </w:rPr>
        <w:t>质保及售后服务要求</w:t>
      </w:r>
    </w:p>
    <w:p w14:paraId="174A12A3">
      <w:pP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1、安装调试培训：</w:t>
      </w:r>
    </w:p>
    <w:p w14:paraId="057D2A12">
      <w:pP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（1）中标人需协助安装调试前的准备工作，中标人需提供设备安装调试服务及相应的技术指导服务。</w:t>
      </w:r>
    </w:p>
    <w:p w14:paraId="367303DD">
      <w:pP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货物到达采购人指定交货地点后，中标人在接到采购人通知后进行安装调试，直至验收通过，并就货物的性能、原理、操作、保养和维护等对用户技术人员（至少2人）进行培训，相关费用包含在本项目投标报价中。 </w:t>
      </w:r>
    </w:p>
    <w:p w14:paraId="4C3F0C68">
      <w:pP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2、售后服务：</w:t>
      </w:r>
    </w:p>
    <w:p w14:paraId="6F602B23">
      <w:pPr>
        <w:wordWrap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（1）质保期内，中标人需提供7×24小时技术支持热线服务。如仪器出现故障时，中标人应在8小时内对采购人的维修要求作出响应，如未能解决故障中标人需在48小时内到达现场维修直至故障解决。 </w:t>
      </w:r>
    </w:p>
    <w:p w14:paraId="65ADEC0B">
      <w:pPr>
        <w:autoSpaceDE w:val="0"/>
        <w:autoSpaceDN w:val="0"/>
        <w:adjustRightInd w:val="0"/>
        <w:spacing w:line="336" w:lineRule="auto"/>
        <w:jc w:val="left"/>
        <w:rPr>
          <w:rFonts w:hint="eastAsia" w:asciiTheme="majorEastAsia" w:hAnsiTheme="majorEastAsia" w:eastAsiaTheme="majorEastAsia"/>
          <w:b/>
          <w:color w:val="auto"/>
          <w:sz w:val="24"/>
          <w:szCs w:val="24"/>
          <w:highlight w:val="none"/>
        </w:rPr>
      </w:pPr>
      <w:r>
        <w:rPr>
          <w:rFonts w:hint="eastAsia" w:asciiTheme="majorEastAsia" w:hAnsiTheme="majorEastAsia" w:eastAsiaTheme="majorEastAsia"/>
          <w:b/>
          <w:color w:val="auto"/>
          <w:sz w:val="24"/>
          <w:szCs w:val="24"/>
          <w:highlight w:val="none"/>
        </w:rPr>
        <w:t>四、报价要求</w:t>
      </w:r>
    </w:p>
    <w:p w14:paraId="4BE1846C">
      <w:pPr>
        <w:spacing w:line="336" w:lineRule="auto"/>
        <w:ind w:firstLine="437"/>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本项目报投标总价，投标总价包含货物从设计、采购、制造、交货（包括运输至采购人指定地点卸车就位）至售后服务的一切费用、管理费、利润和税金，以及采购合同中明示或暗示的所有责任、义务和风险，履约期间采购人不再追加任何费用，投标人自行考虑报价风险。</w:t>
      </w:r>
    </w:p>
    <w:p w14:paraId="79F1607B">
      <w:pPr>
        <w:spacing w:line="336" w:lineRule="auto"/>
        <w:ind w:firstLine="437"/>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rPr>
        <w:t>2.本项目按照人民币报价，投标人在报价时，应主动、充分调研中美及各类贸易战背景下进口关税的现行适用政策及未来潜在波动风险，并将贸易战相关关税成本纳入投标报价中，自行承担相关风险。（供应商如若中标，不得在履约阶段以关税政策变化、成本超支为由，向采购人主张价款调增、额外费用索赔或履约责任减免。）</w:t>
      </w:r>
    </w:p>
    <w:p w14:paraId="228FE817">
      <w:pPr>
        <w:autoSpaceDE w:val="0"/>
        <w:autoSpaceDN w:val="0"/>
        <w:adjustRightInd w:val="0"/>
        <w:spacing w:line="336" w:lineRule="auto"/>
        <w:jc w:val="left"/>
        <w:rPr>
          <w:rFonts w:hint="eastAsia" w:asciiTheme="majorEastAsia" w:hAnsiTheme="majorEastAsia" w:eastAsiaTheme="majorEastAsia"/>
          <w:b/>
          <w:color w:val="auto"/>
          <w:sz w:val="24"/>
          <w:szCs w:val="24"/>
          <w:highlight w:val="none"/>
        </w:rPr>
      </w:pPr>
    </w:p>
    <w:p w14:paraId="0E43D41F">
      <w:bookmarkStart w:id="18" w:name="_GoBack"/>
      <w:bookmarkEnd w:id="1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2000000000000000000"/>
    <w:charset w:val="86"/>
    <w:family w:val="script"/>
    <w:pitch w:val="default"/>
    <w:sig w:usb0="00000000" w:usb1="00000000" w:usb2="00082016" w:usb3="00000000" w:csb0="00040001" w:csb1="00000000"/>
  </w:font>
  <w:font w:name="方正黑体_GBK">
    <w:altName w:val="微软雅黑"/>
    <w:panose1 w:val="00000000000000000000"/>
    <w:charset w:val="86"/>
    <w:family w:val="script"/>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B0ED11"/>
    <w:multiLevelType w:val="singleLevel"/>
    <w:tmpl w:val="55B0ED11"/>
    <w:lvl w:ilvl="0" w:tentative="0">
      <w:start w:val="4"/>
      <w:numFmt w:val="chineseCounting"/>
      <w:suff w:val="nothing"/>
      <w:lvlText w:val="（%1）"/>
      <w:lvlJc w:val="left"/>
      <w:rPr>
        <w:rFonts w:hint="eastAsia"/>
      </w:rPr>
    </w:lvl>
  </w:abstractNum>
  <w:abstractNum w:abstractNumId="1">
    <w:nsid w:val="5C2684F7"/>
    <w:multiLevelType w:val="singleLevel"/>
    <w:tmpl w:val="5C2684F7"/>
    <w:lvl w:ilvl="0" w:tentative="0">
      <w:start w:val="11"/>
      <w:numFmt w:val="decimal"/>
      <w:lvlText w:val="%1."/>
      <w:lvlJc w:val="left"/>
      <w:pPr>
        <w:tabs>
          <w:tab w:val="left" w:pos="312"/>
        </w:tabs>
      </w:pPr>
    </w:lvl>
  </w:abstractNum>
  <w:abstractNum w:abstractNumId="2">
    <w:nsid w:val="672C8C7E"/>
    <w:multiLevelType w:val="singleLevel"/>
    <w:tmpl w:val="672C8C7E"/>
    <w:lvl w:ilvl="0" w:tentative="0">
      <w:start w:val="1"/>
      <w:numFmt w:val="decimal"/>
      <w:lvlText w:val="%1."/>
      <w:lvlJc w:val="left"/>
    </w:lvl>
  </w:abstractNum>
  <w:abstractNum w:abstractNumId="3">
    <w:nsid w:val="6E4509F9"/>
    <w:multiLevelType w:val="singleLevel"/>
    <w:tmpl w:val="6E4509F9"/>
    <w:lvl w:ilvl="0" w:tentative="0">
      <w:start w:val="21"/>
      <w:numFmt w:val="decimal"/>
      <w:lvlText w:val="%1."/>
      <w:lvlJc w:val="left"/>
      <w:pPr>
        <w:tabs>
          <w:tab w:val="left" w:pos="312"/>
        </w:tabs>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FC7439"/>
    <w:rsid w:val="3796606A"/>
    <w:rsid w:val="3CFC7439"/>
    <w:rsid w:val="7B713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qFormat/>
    <w:uiPriority w:val="9"/>
    <w:pPr>
      <w:keepNext/>
      <w:keepLines/>
      <w:spacing w:line="360" w:lineRule="auto"/>
      <w:jc w:val="center"/>
      <w:outlineLvl w:val="0"/>
    </w:pPr>
    <w:rPr>
      <w:rFonts w:ascii="Times New Roman" w:hAnsi="Times New Roman" w:eastAsia="方正小标宋_GBK" w:cs="Times New Roman"/>
      <w:bCs/>
      <w:kern w:val="44"/>
      <w:sz w:val="44"/>
      <w:szCs w:val="44"/>
    </w:rPr>
  </w:style>
  <w:style w:type="paragraph" w:styleId="3">
    <w:name w:val="heading 2"/>
    <w:basedOn w:val="1"/>
    <w:next w:val="1"/>
    <w:qFormat/>
    <w:uiPriority w:val="0"/>
    <w:pPr>
      <w:keepNext/>
      <w:keepLines/>
      <w:spacing w:before="240" w:line="360" w:lineRule="auto"/>
      <w:ind w:firstLine="640" w:firstLineChars="200"/>
      <w:jc w:val="left"/>
      <w:outlineLvl w:val="1"/>
    </w:pPr>
    <w:rPr>
      <w:rFonts w:ascii="Arial" w:hAnsi="Arial" w:eastAsia="方正黑体_GBK" w:cs="Times New Roman"/>
      <w:bCs/>
      <w:kern w:val="0"/>
      <w:sz w:val="28"/>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5"/>
    <w:next w:val="6"/>
    <w:qFormat/>
    <w:uiPriority w:val="0"/>
    <w:pPr>
      <w:jc w:val="left"/>
    </w:pPr>
    <w:rPr>
      <w:rFonts w:ascii="@仿宋_GB2312" w:hAnsi="@仿宋_GB2312" w:eastAsia="仿宋" w:cs="@仿宋_GB2312"/>
    </w:rPr>
  </w:style>
  <w:style w:type="paragraph" w:styleId="5">
    <w:name w:val="Block Text"/>
    <w:basedOn w:val="1"/>
    <w:qFormat/>
    <w:uiPriority w:val="0"/>
    <w:pPr>
      <w:spacing w:after="120" w:afterLines="0" w:afterAutospacing="0"/>
      <w:ind w:left="1440" w:leftChars="700" w:rightChars="700"/>
    </w:pPr>
  </w:style>
  <w:style w:type="paragraph" w:styleId="6">
    <w:name w:val="annotation subject"/>
    <w:basedOn w:val="4"/>
    <w:next w:val="4"/>
    <w:qFormat/>
    <w:uiPriority w:val="0"/>
    <w:rPr>
      <w:b/>
    </w:rPr>
  </w:style>
  <w:style w:type="paragraph" w:styleId="7">
    <w:name w:val="Body Text Indent"/>
    <w:basedOn w:val="1"/>
    <w:next w:val="8"/>
    <w:unhideWhenUsed/>
    <w:qFormat/>
    <w:uiPriority w:val="99"/>
    <w:pPr>
      <w:ind w:firstLine="645"/>
    </w:pPr>
    <w:rPr>
      <w:rFonts w:ascii="楷体_GB2312" w:eastAsia="楷体_GB2312"/>
      <w:sz w:val="32"/>
    </w:rPr>
  </w:style>
  <w:style w:type="paragraph" w:styleId="8">
    <w:name w:val="envelope return"/>
    <w:basedOn w:val="1"/>
    <w:qFormat/>
    <w:uiPriority w:val="99"/>
    <w:pPr>
      <w:snapToGrid w:val="0"/>
    </w:pPr>
    <w:rPr>
      <w:rFonts w:ascii="Arial" w:hAnsi="Arial" w:cs="Arial"/>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7"/>
    <w:unhideWhenUsed/>
    <w:qFormat/>
    <w:uiPriority w:val="99"/>
    <w:pPr>
      <w:ind w:left="420" w:firstLine="420" w:firstLineChars="200"/>
    </w:pPr>
    <w:rPr>
      <w:rFonts w:ascii="Times New Roman" w:cs="Times New Roman"/>
    </w:rPr>
  </w:style>
  <w:style w:type="paragraph" w:customStyle="1" w:styleId="13">
    <w:name w:val="D&amp;L"/>
    <w:basedOn w:val="9"/>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4">
    <w:name w:val="xl31"/>
    <w:basedOn w:val="1"/>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2026-09-18T10:16:00Z</dcterms:created>
  <dc:creator>省招</dc:creator>
  <cp:lastModifiedBy>省招</cp:lastModifiedBy>
  <dcterms:modified xsi:type="dcterms:W3CDTF">2026-09-18T10:17:04Z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D6EAB1BBCD814B9E92921F974021C581_11</vt:lpwstr>
  </property>
  <property fmtid="{D5CDD505-2E9C-101B-9397-08002B2CF9AE}" pid="4" name="KSOTemplateDocerSaveRecord">
    <vt:lpwstr>eyJoZGlkIjoiNjQ4Y2ExNzI3NTAxYWY2Njk0NmNhOWFlOWQ3ZmYzYTQiLCJ1c2VySWQiOiI4ODgyMDUxMzUifQ==</vt:lpwstr>
  </property>
</Properties>
</file>