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FFFE4">
      <w:pPr>
        <w:pStyle w:val="2"/>
        <w:widowControl/>
        <w:snapToGrid w:val="0"/>
        <w:spacing w:before="0" w:after="0" w:line="360" w:lineRule="auto"/>
        <w:jc w:val="center"/>
        <w:rPr>
          <w:rFonts w:hint="eastAsia" w:ascii="宋体" w:hAnsi="宋体"/>
          <w:color w:val="000000"/>
        </w:rPr>
      </w:pPr>
      <w:bookmarkStart w:id="0" w:name="_Toc23330"/>
      <w:r>
        <w:rPr>
          <w:rFonts w:hint="eastAsia" w:ascii="宋体" w:hAnsi="宋体"/>
          <w:color w:val="000000"/>
        </w:rPr>
        <w:t>第三章  采购需求及技术规格要求</w:t>
      </w:r>
      <w:bookmarkEnd w:id="0"/>
    </w:p>
    <w:p w14:paraId="48101B29">
      <w:pPr>
        <w:pStyle w:val="3"/>
        <w:spacing w:before="0" w:after="0" w:line="360" w:lineRule="auto"/>
        <w:rPr>
          <w:rStyle w:val="11"/>
          <w:rFonts w:ascii="宋体" w:hAnsi="宋体" w:eastAsia="仿宋"/>
          <w:b/>
          <w:bCs/>
          <w:sz w:val="24"/>
          <w:szCs w:val="24"/>
        </w:rPr>
      </w:pPr>
      <w:bookmarkStart w:id="1" w:name="_Toc466024556"/>
      <w:bookmarkStart w:id="2" w:name="_Toc455587273"/>
      <w:bookmarkStart w:id="3" w:name="_Toc455587089"/>
      <w:r>
        <w:rPr>
          <w:rStyle w:val="11"/>
          <w:rFonts w:hint="eastAsia" w:ascii="仿宋" w:hAnsi="仿宋" w:eastAsia="仿宋" w:cs="仿宋"/>
          <w:b/>
          <w:bCs/>
          <w:sz w:val="24"/>
          <w:szCs w:val="24"/>
        </w:rPr>
        <w:t xml:space="preserve">1. </w:t>
      </w:r>
      <w:bookmarkEnd w:id="1"/>
      <w:bookmarkEnd w:id="2"/>
      <w:bookmarkEnd w:id="3"/>
      <w:r>
        <w:rPr>
          <w:rStyle w:val="11"/>
          <w:rFonts w:hint="eastAsia" w:ascii="仿宋" w:hAnsi="仿宋" w:eastAsia="仿宋" w:cs="仿宋"/>
          <w:b/>
          <w:bCs/>
          <w:sz w:val="24"/>
          <w:szCs w:val="24"/>
        </w:rPr>
        <w:t>总</w:t>
      </w:r>
      <w:r>
        <w:rPr>
          <w:rStyle w:val="11"/>
          <w:rFonts w:hint="eastAsia" w:ascii="宋体" w:hAnsi="宋体" w:eastAsia="仿宋"/>
          <w:b/>
          <w:bCs/>
          <w:sz w:val="24"/>
          <w:szCs w:val="24"/>
        </w:rPr>
        <w:t>体说明</w:t>
      </w:r>
    </w:p>
    <w:p w14:paraId="3F8A9EA0">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1.1 本技术规格所提出的要求是对本次招标货物的基本技术要求，并未涉及所有技术细节，也未充分引述有关标准、规范的全部条款。投标人应保证其提供的货物除了满足本技术规格的要求外，还应符合中国国家、行业、地方或设备制造商所在国的有关标准、规范（尤其是必须符合中国国家标准的有关强制性规定)。</w:t>
      </w:r>
    </w:p>
    <w:p w14:paraId="5DCBB2A2">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1.2 本采购需求中提出的技术方案仅为参考，如无明确限制，投标供应商可以进行优化，提供满足采购人实际需要的更优（或者性能实质上不低于的）技术方案或者设备配置，且此方案或配置须经评标委员会评审认可；</w:t>
      </w:r>
      <w:r>
        <w:rPr>
          <w:rFonts w:hint="eastAsia" w:ascii="仿宋" w:hAnsi="仿宋" w:eastAsia="仿宋" w:cs="仿宋"/>
          <w:color w:val="000000"/>
          <w:sz w:val="24"/>
        </w:rPr>
        <w:cr/>
      </w:r>
      <w:r>
        <w:rPr>
          <w:rFonts w:hint="eastAsia" w:ascii="仿宋" w:hAnsi="仿宋" w:eastAsia="仿宋" w:cs="仿宋"/>
          <w:color w:val="000000"/>
          <w:sz w:val="24"/>
        </w:rPr>
        <w:t xml:space="preserve">   1.3 投标供应商应当在投标文件中列出完成本项目所需的所有各项服务等明细表及全部费用。中标供应商必须确保整体通过采购人及有关主管部门验收；投标供应商应自行踏勘项目现场，如投标供应商因未及时踏勘现场而导致的报价缺项漏项废标或中标后无法完工，投标供应商自行承担一切后果；</w:t>
      </w:r>
    </w:p>
    <w:p w14:paraId="12CC6C17">
      <w:pPr>
        <w:widowControl/>
        <w:tabs>
          <w:tab w:val="left" w:pos="1406"/>
        </w:tabs>
        <w:snapToGrid w:val="0"/>
        <w:spacing w:line="360" w:lineRule="auto"/>
        <w:ind w:firstLine="480" w:firstLineChars="200"/>
        <w:rPr>
          <w:rFonts w:ascii="仿宋" w:hAnsi="仿宋" w:eastAsia="仿宋" w:cs="仿宋"/>
          <w:color w:val="000000"/>
          <w:sz w:val="24"/>
        </w:rPr>
      </w:pPr>
      <w:r>
        <w:rPr>
          <w:rFonts w:hint="eastAsia" w:ascii="仿宋" w:hAnsi="仿宋" w:eastAsia="仿宋" w:cs="仿宋"/>
          <w:color w:val="000000"/>
          <w:sz w:val="24"/>
        </w:rPr>
        <w:t>1.4 本章中提及的工艺、材料、设备的标准及品牌或型号（如有）仅起说明作用，并没有强制性。投标人在投标中可以用替代工艺、材料、设备的标准及品牌或型号，但这种替代须实质上满足、等同或优于本章技术要求，同时须提供相关证明材料，否则可能被评标委员会认定为负偏离。</w:t>
      </w:r>
    </w:p>
    <w:p w14:paraId="66EB313D">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1.6 除非有特别说明，本章中所列的具体参数或参数范围，均理解为采购人可接受的最低要求。</w:t>
      </w:r>
    </w:p>
    <w:p w14:paraId="1E8F2BF2">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1.7采购需求如包含属于《节能产品政府采购品目清单》中政府强制采购的节能产品， 则投标人所投产品须具有市场监管总局公布的《参与实施政府采购节能产品认证机构目录》中的认证机构出具的、处于有效期内的节能（节水）产品认证证书。</w:t>
      </w:r>
    </w:p>
    <w:p w14:paraId="439E6DDB">
      <w:pPr>
        <w:widowControl/>
        <w:tabs>
          <w:tab w:val="left" w:pos="1406"/>
        </w:tabs>
        <w:snapToGrid w:val="0"/>
        <w:spacing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1.8 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6123CA8">
      <w:pPr>
        <w:widowControl/>
        <w:tabs>
          <w:tab w:val="left" w:pos="1406"/>
        </w:tabs>
        <w:snapToGrid w:val="0"/>
        <w:spacing w:line="360" w:lineRule="auto"/>
        <w:ind w:firstLine="482" w:firstLineChars="200"/>
        <w:rPr>
          <w:rFonts w:hint="eastAsia" w:ascii="仿宋" w:hAnsi="仿宋" w:eastAsia="仿宋" w:cs="仿宋"/>
          <w:b/>
          <w:bCs/>
          <w:color w:val="000000"/>
          <w:sz w:val="24"/>
        </w:rPr>
      </w:pPr>
      <w:r>
        <w:rPr>
          <w:rFonts w:hint="eastAsia" w:ascii="仿宋" w:hAnsi="仿宋" w:eastAsia="仿宋" w:cs="仿宋"/>
          <w:b/>
          <w:bCs/>
          <w:color w:val="000000"/>
          <w:sz w:val="24"/>
        </w:rPr>
        <w:t>1.9标注“▲”的产品为主要标的（包括核心产品），核心产品的名称、品牌、规格型号、数量、单价等将予以公布。</w:t>
      </w:r>
    </w:p>
    <w:p w14:paraId="61C72FD6">
      <w:pPr>
        <w:widowControl/>
        <w:tabs>
          <w:tab w:val="left" w:pos="1406"/>
        </w:tabs>
        <w:snapToGrid w:val="0"/>
        <w:spacing w:line="360" w:lineRule="auto"/>
        <w:rPr>
          <w:rFonts w:hint="eastAsia" w:ascii="仿宋" w:hAnsi="仿宋" w:eastAsia="仿宋" w:cs="仿宋"/>
          <w:color w:val="000000"/>
          <w:sz w:val="24"/>
        </w:rPr>
      </w:pPr>
    </w:p>
    <w:p w14:paraId="49C8B64F">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2. 采购内容及范围</w:t>
      </w:r>
    </w:p>
    <w:p w14:paraId="63F556F4">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2.1 采购内容</w:t>
      </w:r>
    </w:p>
    <w:tbl>
      <w:tblPr>
        <w:tblStyle w:val="9"/>
        <w:tblW w:w="96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3536"/>
        <w:gridCol w:w="880"/>
        <w:gridCol w:w="1331"/>
        <w:gridCol w:w="2046"/>
        <w:gridCol w:w="1218"/>
      </w:tblGrid>
      <w:tr w14:paraId="39F1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641" w:type="dxa"/>
            <w:noWrap w:val="0"/>
            <w:vAlign w:val="center"/>
          </w:tcPr>
          <w:p w14:paraId="53D3C83E">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包号</w:t>
            </w:r>
          </w:p>
        </w:tc>
        <w:tc>
          <w:tcPr>
            <w:tcW w:w="3536" w:type="dxa"/>
            <w:noWrap w:val="0"/>
            <w:vAlign w:val="center"/>
          </w:tcPr>
          <w:p w14:paraId="169CF1C0">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标的名称</w:t>
            </w:r>
          </w:p>
        </w:tc>
        <w:tc>
          <w:tcPr>
            <w:tcW w:w="880" w:type="dxa"/>
            <w:noWrap w:val="0"/>
            <w:vAlign w:val="center"/>
          </w:tcPr>
          <w:p w14:paraId="4308232C">
            <w:pPr>
              <w:widowControl/>
              <w:jc w:val="center"/>
              <w:rPr>
                <w:rFonts w:hint="eastAsia" w:ascii="仿宋" w:hAnsi="仿宋" w:eastAsia="仿宋" w:cs="仿宋"/>
                <w:color w:val="000000"/>
                <w:sz w:val="24"/>
              </w:rPr>
            </w:pPr>
            <w:r>
              <w:rPr>
                <w:rFonts w:ascii="仿宋" w:hAnsi="仿宋" w:eastAsia="仿宋" w:cs="仿宋"/>
                <w:color w:val="000000"/>
                <w:kern w:val="0"/>
                <w:sz w:val="24"/>
                <w:lang w:bidi="ar"/>
              </w:rPr>
              <w:t>单位</w:t>
            </w:r>
          </w:p>
        </w:tc>
        <w:tc>
          <w:tcPr>
            <w:tcW w:w="1331" w:type="dxa"/>
            <w:noWrap w:val="0"/>
            <w:vAlign w:val="center"/>
          </w:tcPr>
          <w:p w14:paraId="4E4E1BC7">
            <w:pPr>
              <w:widowControl/>
              <w:spacing w:line="360" w:lineRule="auto"/>
              <w:jc w:val="center"/>
              <w:outlineLvl w:val="1"/>
              <w:rPr>
                <w:rFonts w:hint="eastAsia" w:ascii="仿宋" w:hAnsi="仿宋" w:eastAsia="仿宋" w:cs="仿宋"/>
                <w:color w:val="000000"/>
                <w:sz w:val="24"/>
              </w:rPr>
            </w:pPr>
            <w:r>
              <w:rPr>
                <w:rFonts w:hint="eastAsia" w:ascii="仿宋" w:hAnsi="仿宋" w:eastAsia="仿宋" w:cs="仿宋"/>
                <w:color w:val="000000"/>
                <w:kern w:val="0"/>
                <w:sz w:val="24"/>
                <w:lang w:bidi="ar"/>
              </w:rPr>
              <w:t>数量</w:t>
            </w:r>
          </w:p>
        </w:tc>
        <w:tc>
          <w:tcPr>
            <w:tcW w:w="2046" w:type="dxa"/>
            <w:noWrap w:val="0"/>
            <w:vAlign w:val="center"/>
          </w:tcPr>
          <w:p w14:paraId="4A48D49D">
            <w:pPr>
              <w:widowControl/>
              <w:spacing w:line="360" w:lineRule="auto"/>
              <w:jc w:val="center"/>
              <w:outlineLvl w:val="1"/>
              <w:rPr>
                <w:rFonts w:hint="eastAsia" w:ascii="仿宋" w:hAnsi="仿宋" w:eastAsia="仿宋" w:cs="仿宋"/>
                <w:color w:val="000000"/>
                <w:sz w:val="24"/>
              </w:rPr>
            </w:pPr>
            <w:r>
              <w:rPr>
                <w:rFonts w:ascii="仿宋" w:hAnsi="仿宋" w:eastAsia="仿宋" w:cs="仿宋"/>
                <w:color w:val="000000"/>
                <w:kern w:val="0"/>
                <w:sz w:val="24"/>
                <w:lang w:bidi="ar"/>
              </w:rPr>
              <w:t>所属行业</w:t>
            </w:r>
          </w:p>
        </w:tc>
        <w:tc>
          <w:tcPr>
            <w:tcW w:w="1218" w:type="dxa"/>
            <w:noWrap w:val="0"/>
            <w:vAlign w:val="center"/>
          </w:tcPr>
          <w:p w14:paraId="63687571">
            <w:pPr>
              <w:widowControl/>
              <w:spacing w:line="360" w:lineRule="auto"/>
              <w:jc w:val="center"/>
              <w:outlineLvl w:val="1"/>
              <w:rPr>
                <w:rFonts w:ascii="仿宋" w:hAnsi="仿宋" w:eastAsia="仿宋" w:cs="仿宋"/>
                <w:color w:val="000000"/>
                <w:kern w:val="0"/>
                <w:sz w:val="24"/>
                <w:lang w:bidi="ar"/>
              </w:rPr>
            </w:pPr>
            <w:r>
              <w:rPr>
                <w:rFonts w:ascii="仿宋" w:hAnsi="仿宋" w:eastAsia="仿宋" w:cs="仿宋"/>
                <w:color w:val="000000"/>
                <w:kern w:val="0"/>
                <w:sz w:val="24"/>
                <w:lang w:bidi="ar"/>
              </w:rPr>
              <w:t>是否接受进口</w:t>
            </w:r>
          </w:p>
        </w:tc>
      </w:tr>
      <w:tr w14:paraId="2B014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52DD0B45">
            <w:pPr>
              <w:keepNext/>
              <w:keepLines/>
              <w:spacing w:line="360" w:lineRule="auto"/>
              <w:jc w:val="center"/>
              <w:outlineLvl w:val="1"/>
              <w:rPr>
                <w:rFonts w:ascii="仿宋" w:hAnsi="仿宋" w:eastAsia="仿宋" w:cs="仿宋"/>
                <w:color w:val="000000"/>
                <w:sz w:val="24"/>
              </w:rPr>
            </w:pPr>
            <w:r>
              <w:rPr>
                <w:rFonts w:hint="eastAsia" w:ascii="仿宋" w:hAnsi="仿宋" w:eastAsia="仿宋" w:cs="仿宋"/>
                <w:color w:val="000000"/>
                <w:sz w:val="24"/>
              </w:rPr>
              <w:t>1</w:t>
            </w:r>
          </w:p>
        </w:tc>
        <w:tc>
          <w:tcPr>
            <w:tcW w:w="3536" w:type="dxa"/>
            <w:noWrap w:val="0"/>
            <w:vAlign w:val="center"/>
          </w:tcPr>
          <w:p w14:paraId="4262A3F9">
            <w:pPr>
              <w:keepNext/>
              <w:keepLines/>
              <w:spacing w:line="360" w:lineRule="auto"/>
              <w:jc w:val="center"/>
              <w:outlineLvl w:val="1"/>
              <w:rPr>
                <w:rFonts w:hint="default" w:ascii="仿宋" w:hAnsi="仿宋" w:eastAsia="仿宋" w:cs="仿宋"/>
                <w:color w:val="000000"/>
                <w:sz w:val="24"/>
                <w:lang w:val="en-US" w:eastAsia="zh-CN"/>
              </w:rPr>
            </w:pPr>
            <w:r>
              <w:rPr>
                <w:rFonts w:hint="eastAsia" w:ascii="仿宋" w:hAnsi="仿宋" w:eastAsia="仿宋" w:cs="仿宋"/>
                <w:color w:val="000000"/>
                <w:sz w:val="24"/>
              </w:rPr>
              <w:t>▲</w:t>
            </w:r>
            <w:r>
              <w:rPr>
                <w:rFonts w:hint="eastAsia" w:ascii="仿宋" w:hAnsi="仿宋" w:eastAsia="仿宋" w:cs="仿宋"/>
                <w:color w:val="000000"/>
                <w:sz w:val="24"/>
                <w:lang w:val="en-US" w:eastAsia="zh-CN"/>
              </w:rPr>
              <w:t>软件产品</w:t>
            </w:r>
          </w:p>
        </w:tc>
        <w:tc>
          <w:tcPr>
            <w:tcW w:w="880" w:type="dxa"/>
            <w:noWrap w:val="0"/>
            <w:vAlign w:val="center"/>
          </w:tcPr>
          <w:p w14:paraId="039DF91B">
            <w:pPr>
              <w:widowControl/>
              <w:spacing w:line="360" w:lineRule="auto"/>
              <w:jc w:val="center"/>
              <w:rPr>
                <w:rFonts w:hint="eastAsia" w:ascii="仿宋" w:hAnsi="仿宋" w:eastAsia="仿宋" w:cs="仿宋"/>
                <w:color w:val="000000"/>
                <w:kern w:val="0"/>
                <w:sz w:val="24"/>
                <w:lang w:eastAsia="zh-CN" w:bidi="ar"/>
              </w:rPr>
            </w:pPr>
            <w:r>
              <w:rPr>
                <w:rFonts w:hint="eastAsia" w:ascii="仿宋" w:hAnsi="仿宋" w:eastAsia="仿宋" w:cs="仿宋"/>
                <w:color w:val="000000"/>
                <w:kern w:val="0"/>
                <w:sz w:val="24"/>
                <w:lang w:val="en-US" w:eastAsia="zh-CN" w:bidi="ar"/>
              </w:rPr>
              <w:t>套</w:t>
            </w:r>
          </w:p>
        </w:tc>
        <w:tc>
          <w:tcPr>
            <w:tcW w:w="1331" w:type="dxa"/>
            <w:noWrap w:val="0"/>
            <w:vAlign w:val="center"/>
          </w:tcPr>
          <w:p w14:paraId="79998FC9">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w:t>
            </w:r>
          </w:p>
        </w:tc>
        <w:tc>
          <w:tcPr>
            <w:tcW w:w="2046" w:type="dxa"/>
            <w:noWrap w:val="0"/>
            <w:vAlign w:val="center"/>
          </w:tcPr>
          <w:p w14:paraId="7222A671">
            <w:pPr>
              <w:keepNext/>
              <w:keepLines/>
              <w:spacing w:line="360" w:lineRule="auto"/>
              <w:jc w:val="center"/>
              <w:outlineLvl w:val="1"/>
              <w:rPr>
                <w:rFonts w:ascii="仿宋" w:hAnsi="仿宋" w:eastAsia="仿宋" w:cs="仿宋"/>
                <w:color w:val="000000"/>
                <w:sz w:val="24"/>
              </w:rPr>
            </w:pPr>
            <w:r>
              <w:rPr>
                <w:rFonts w:hint="eastAsia" w:ascii="仿宋" w:hAnsi="仿宋" w:eastAsia="仿宋" w:cs="仿宋"/>
                <w:color w:val="000000"/>
                <w:sz w:val="24"/>
              </w:rPr>
              <w:t>软件和信息技术服务业</w:t>
            </w:r>
          </w:p>
        </w:tc>
        <w:tc>
          <w:tcPr>
            <w:tcW w:w="1218" w:type="dxa"/>
            <w:noWrap w:val="0"/>
            <w:vAlign w:val="center"/>
          </w:tcPr>
          <w:p w14:paraId="36B46461">
            <w:pPr>
              <w:keepNext/>
              <w:keepLines/>
              <w:spacing w:line="360" w:lineRule="auto"/>
              <w:jc w:val="center"/>
              <w:outlineLvl w:val="1"/>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否</w:t>
            </w:r>
          </w:p>
        </w:tc>
      </w:tr>
      <w:tr w14:paraId="15159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64640E04">
            <w:pPr>
              <w:keepNext/>
              <w:keepLines/>
              <w:spacing w:line="360" w:lineRule="auto"/>
              <w:jc w:val="center"/>
              <w:outlineLvl w:val="1"/>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2</w:t>
            </w:r>
          </w:p>
        </w:tc>
        <w:tc>
          <w:tcPr>
            <w:tcW w:w="3536" w:type="dxa"/>
            <w:noWrap w:val="0"/>
            <w:vAlign w:val="center"/>
          </w:tcPr>
          <w:p w14:paraId="1C3CE244">
            <w:pPr>
              <w:keepNext/>
              <w:keepLines/>
              <w:spacing w:line="360" w:lineRule="auto"/>
              <w:jc w:val="center"/>
              <w:outlineLvl w:val="1"/>
              <w:rPr>
                <w:rFonts w:hint="eastAsia" w:ascii="仿宋" w:hAnsi="仿宋" w:eastAsia="仿宋" w:cs="仿宋"/>
                <w:color w:val="000000"/>
                <w:sz w:val="24"/>
              </w:rPr>
            </w:pPr>
            <w:r>
              <w:rPr>
                <w:rFonts w:hint="eastAsia" w:ascii="仿宋" w:hAnsi="仿宋" w:eastAsia="仿宋" w:cs="仿宋"/>
                <w:sz w:val="24"/>
                <w:szCs w:val="24"/>
                <w:highlight w:val="none"/>
                <w:lang w:val="en-US" w:eastAsia="zh-CN"/>
              </w:rPr>
              <w:t>硬盘录像机</w:t>
            </w:r>
          </w:p>
        </w:tc>
        <w:tc>
          <w:tcPr>
            <w:tcW w:w="880" w:type="dxa"/>
            <w:noWrap w:val="0"/>
            <w:vAlign w:val="center"/>
          </w:tcPr>
          <w:p w14:paraId="3A8B91AE">
            <w:pPr>
              <w:widowControl/>
              <w:spacing w:line="360" w:lineRule="auto"/>
              <w:jc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台</w:t>
            </w:r>
          </w:p>
        </w:tc>
        <w:tc>
          <w:tcPr>
            <w:tcW w:w="1331" w:type="dxa"/>
            <w:noWrap w:val="0"/>
            <w:vAlign w:val="center"/>
          </w:tcPr>
          <w:p w14:paraId="088DFA91">
            <w:pPr>
              <w:widowControl/>
              <w:spacing w:line="360" w:lineRule="auto"/>
              <w:jc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w:t>
            </w:r>
          </w:p>
        </w:tc>
        <w:tc>
          <w:tcPr>
            <w:tcW w:w="2046" w:type="dxa"/>
            <w:noWrap w:val="0"/>
            <w:vAlign w:val="center"/>
          </w:tcPr>
          <w:p w14:paraId="533B8469">
            <w:pPr>
              <w:keepNext/>
              <w:keepLines/>
              <w:spacing w:line="360" w:lineRule="auto"/>
              <w:jc w:val="center"/>
              <w:outlineLvl w:val="1"/>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工业</w:t>
            </w:r>
          </w:p>
        </w:tc>
        <w:tc>
          <w:tcPr>
            <w:tcW w:w="1218" w:type="dxa"/>
            <w:noWrap w:val="0"/>
            <w:vAlign w:val="center"/>
          </w:tcPr>
          <w:p w14:paraId="54BB3438">
            <w:pPr>
              <w:keepNext/>
              <w:keepLines/>
              <w:spacing w:line="360" w:lineRule="auto"/>
              <w:jc w:val="center"/>
              <w:outlineLvl w:val="1"/>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否</w:t>
            </w:r>
          </w:p>
        </w:tc>
      </w:tr>
      <w:tr w14:paraId="3E338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1481EE14">
            <w:pPr>
              <w:keepNext/>
              <w:keepLines/>
              <w:spacing w:line="360" w:lineRule="auto"/>
              <w:jc w:val="center"/>
              <w:outlineLvl w:val="1"/>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3</w:t>
            </w:r>
          </w:p>
        </w:tc>
        <w:tc>
          <w:tcPr>
            <w:tcW w:w="3536" w:type="dxa"/>
            <w:noWrap w:val="0"/>
            <w:vAlign w:val="center"/>
          </w:tcPr>
          <w:p w14:paraId="015C0919">
            <w:pPr>
              <w:keepNext/>
              <w:keepLines/>
              <w:spacing w:line="360" w:lineRule="auto"/>
              <w:jc w:val="center"/>
              <w:outlineLvl w:val="1"/>
              <w:rPr>
                <w:rFonts w:hint="eastAsia" w:ascii="仿宋" w:hAnsi="仿宋" w:eastAsia="仿宋" w:cs="仿宋"/>
                <w:color w:val="000000"/>
                <w:sz w:val="24"/>
              </w:rPr>
            </w:pPr>
            <w:r>
              <w:rPr>
                <w:rFonts w:hint="eastAsia" w:ascii="仿宋" w:hAnsi="仿宋" w:eastAsia="仿宋" w:cs="仿宋"/>
                <w:sz w:val="24"/>
                <w:szCs w:val="24"/>
                <w:highlight w:val="none"/>
                <w:lang w:val="en-US" w:eastAsia="zh-CN"/>
              </w:rPr>
              <w:t>电梯物联网终端设备</w:t>
            </w:r>
          </w:p>
        </w:tc>
        <w:tc>
          <w:tcPr>
            <w:tcW w:w="880" w:type="dxa"/>
            <w:noWrap w:val="0"/>
            <w:vAlign w:val="center"/>
          </w:tcPr>
          <w:p w14:paraId="01A82EBC">
            <w:pPr>
              <w:widowControl/>
              <w:spacing w:line="360" w:lineRule="auto"/>
              <w:jc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套</w:t>
            </w:r>
          </w:p>
        </w:tc>
        <w:tc>
          <w:tcPr>
            <w:tcW w:w="1331" w:type="dxa"/>
            <w:noWrap w:val="0"/>
            <w:vAlign w:val="center"/>
          </w:tcPr>
          <w:p w14:paraId="2060B601">
            <w:pPr>
              <w:widowControl/>
              <w:spacing w:line="360" w:lineRule="auto"/>
              <w:jc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20</w:t>
            </w:r>
          </w:p>
        </w:tc>
        <w:tc>
          <w:tcPr>
            <w:tcW w:w="2046" w:type="dxa"/>
            <w:noWrap w:val="0"/>
            <w:vAlign w:val="center"/>
          </w:tcPr>
          <w:p w14:paraId="549869D5">
            <w:pPr>
              <w:keepNext/>
              <w:keepLines/>
              <w:spacing w:line="360" w:lineRule="auto"/>
              <w:jc w:val="center"/>
              <w:outlineLvl w:val="1"/>
              <w:rPr>
                <w:rFonts w:hint="eastAsia" w:ascii="仿宋" w:hAnsi="仿宋" w:eastAsia="仿宋" w:cs="仿宋"/>
                <w:color w:val="000000"/>
                <w:sz w:val="24"/>
              </w:rPr>
            </w:pPr>
            <w:r>
              <w:rPr>
                <w:rFonts w:hint="eastAsia" w:ascii="仿宋" w:hAnsi="仿宋" w:eastAsia="仿宋" w:cs="仿宋"/>
                <w:color w:val="000000"/>
                <w:sz w:val="24"/>
                <w:lang w:val="en-US" w:eastAsia="zh-CN"/>
              </w:rPr>
              <w:t>工业</w:t>
            </w:r>
          </w:p>
        </w:tc>
        <w:tc>
          <w:tcPr>
            <w:tcW w:w="1218" w:type="dxa"/>
            <w:noWrap w:val="0"/>
            <w:vAlign w:val="center"/>
          </w:tcPr>
          <w:p w14:paraId="1CFA01AE">
            <w:pPr>
              <w:keepNext/>
              <w:keepLines/>
              <w:spacing w:line="360" w:lineRule="auto"/>
              <w:jc w:val="center"/>
              <w:outlineLvl w:val="1"/>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否</w:t>
            </w:r>
          </w:p>
        </w:tc>
      </w:tr>
      <w:tr w14:paraId="52C98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641" w:type="dxa"/>
            <w:noWrap w:val="0"/>
            <w:vAlign w:val="center"/>
          </w:tcPr>
          <w:p w14:paraId="59C91B0E">
            <w:pPr>
              <w:keepNext/>
              <w:keepLines/>
              <w:spacing w:line="360" w:lineRule="auto"/>
              <w:jc w:val="center"/>
              <w:outlineLvl w:val="1"/>
              <w:rPr>
                <w:rFonts w:hint="default" w:ascii="仿宋" w:hAnsi="仿宋" w:eastAsia="仿宋" w:cs="仿宋"/>
                <w:color w:val="000000"/>
                <w:sz w:val="24"/>
                <w:lang w:val="en-US" w:eastAsia="zh-CN"/>
              </w:rPr>
            </w:pPr>
            <w:r>
              <w:rPr>
                <w:rFonts w:hint="eastAsia" w:ascii="仿宋" w:hAnsi="仿宋" w:eastAsia="仿宋" w:cs="仿宋"/>
                <w:color w:val="000000"/>
                <w:sz w:val="24"/>
                <w:lang w:val="en-US" w:eastAsia="zh-CN"/>
              </w:rPr>
              <w:t>4</w:t>
            </w:r>
          </w:p>
        </w:tc>
        <w:tc>
          <w:tcPr>
            <w:tcW w:w="3536" w:type="dxa"/>
            <w:noWrap w:val="0"/>
            <w:vAlign w:val="center"/>
          </w:tcPr>
          <w:p w14:paraId="231DA32C">
            <w:pPr>
              <w:keepNext/>
              <w:keepLines/>
              <w:spacing w:line="360" w:lineRule="auto"/>
              <w:jc w:val="center"/>
              <w:outlineLvl w:val="1"/>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访问控制系统</w:t>
            </w:r>
          </w:p>
        </w:tc>
        <w:tc>
          <w:tcPr>
            <w:tcW w:w="880" w:type="dxa"/>
            <w:noWrap w:val="0"/>
            <w:vAlign w:val="center"/>
          </w:tcPr>
          <w:p w14:paraId="4CEEB909">
            <w:pPr>
              <w:widowControl/>
              <w:spacing w:line="360" w:lineRule="auto"/>
              <w:jc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台</w:t>
            </w:r>
          </w:p>
        </w:tc>
        <w:tc>
          <w:tcPr>
            <w:tcW w:w="1331" w:type="dxa"/>
            <w:noWrap w:val="0"/>
            <w:vAlign w:val="center"/>
          </w:tcPr>
          <w:p w14:paraId="382C15C1">
            <w:pPr>
              <w:widowControl/>
              <w:spacing w:line="360" w:lineRule="auto"/>
              <w:jc w:val="center"/>
              <w:rPr>
                <w:rFonts w:hint="eastAsia"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1</w:t>
            </w:r>
          </w:p>
        </w:tc>
        <w:tc>
          <w:tcPr>
            <w:tcW w:w="2046" w:type="dxa"/>
            <w:noWrap w:val="0"/>
            <w:vAlign w:val="center"/>
          </w:tcPr>
          <w:p w14:paraId="2FE40FF0">
            <w:pPr>
              <w:keepNext/>
              <w:keepLines/>
              <w:spacing w:line="360" w:lineRule="auto"/>
              <w:jc w:val="center"/>
              <w:outlineLvl w:val="1"/>
              <w:rPr>
                <w:rFonts w:hint="eastAsia" w:ascii="仿宋" w:hAnsi="仿宋" w:eastAsia="仿宋" w:cs="仿宋"/>
                <w:color w:val="000000"/>
                <w:sz w:val="24"/>
              </w:rPr>
            </w:pPr>
            <w:r>
              <w:rPr>
                <w:rFonts w:hint="eastAsia" w:ascii="仿宋" w:hAnsi="仿宋" w:eastAsia="仿宋" w:cs="仿宋"/>
                <w:color w:val="000000"/>
                <w:sz w:val="24"/>
                <w:lang w:val="en-US" w:eastAsia="zh-CN"/>
              </w:rPr>
              <w:t>工业</w:t>
            </w:r>
          </w:p>
        </w:tc>
        <w:tc>
          <w:tcPr>
            <w:tcW w:w="1218" w:type="dxa"/>
            <w:noWrap w:val="0"/>
            <w:vAlign w:val="center"/>
          </w:tcPr>
          <w:p w14:paraId="1419EDE3">
            <w:pPr>
              <w:keepNext/>
              <w:keepLines/>
              <w:spacing w:line="360" w:lineRule="auto"/>
              <w:jc w:val="center"/>
              <w:outlineLvl w:val="1"/>
              <w:rPr>
                <w:rFonts w:hint="eastAsia" w:ascii="仿宋" w:hAnsi="仿宋" w:eastAsia="仿宋" w:cs="仿宋"/>
                <w:color w:val="000000"/>
                <w:sz w:val="24"/>
                <w:lang w:val="en-US" w:eastAsia="zh-CN"/>
              </w:rPr>
            </w:pPr>
            <w:r>
              <w:rPr>
                <w:rFonts w:hint="eastAsia" w:ascii="仿宋" w:hAnsi="仿宋" w:eastAsia="仿宋" w:cs="仿宋"/>
                <w:color w:val="000000"/>
                <w:sz w:val="24"/>
                <w:lang w:val="en-US" w:eastAsia="zh-CN"/>
              </w:rPr>
              <w:t>否</w:t>
            </w:r>
          </w:p>
        </w:tc>
      </w:tr>
    </w:tbl>
    <w:p w14:paraId="6A504D8F">
      <w:pPr>
        <w:keepNext/>
        <w:keepLines/>
        <w:spacing w:line="360" w:lineRule="auto"/>
        <w:ind w:firstLine="480" w:firstLineChars="200"/>
        <w:outlineLvl w:val="1"/>
        <w:rPr>
          <w:rFonts w:hint="eastAsia" w:ascii="仿宋" w:hAnsi="仿宋" w:eastAsia="仿宋" w:cs="仿宋"/>
          <w:color w:val="000000"/>
          <w:sz w:val="24"/>
        </w:rPr>
      </w:pPr>
      <w:r>
        <w:rPr>
          <w:rFonts w:hint="eastAsia" w:ascii="仿宋" w:hAnsi="仿宋" w:eastAsia="仿宋" w:cs="仿宋"/>
          <w:color w:val="000000"/>
          <w:sz w:val="24"/>
        </w:rPr>
        <w:t>2.2 采购范围</w:t>
      </w:r>
    </w:p>
    <w:p w14:paraId="6DDB6F59">
      <w:pPr>
        <w:keepNext/>
        <w:keepLines/>
        <w:spacing w:line="360" w:lineRule="auto"/>
        <w:ind w:firstLine="480" w:firstLineChars="200"/>
        <w:outlineLvl w:val="1"/>
        <w:rPr>
          <w:rFonts w:hint="eastAsia" w:ascii="仿宋" w:hAnsi="仿宋" w:eastAsia="仿宋"/>
          <w:sz w:val="24"/>
        </w:rPr>
      </w:pPr>
      <w:r>
        <w:rPr>
          <w:rFonts w:hint="eastAsia" w:ascii="仿宋" w:hAnsi="仿宋" w:eastAsia="仿宋"/>
          <w:sz w:val="24"/>
        </w:rPr>
        <w:t>包括所有货物的供货、包装运输（包括卸车及就位至采购人指定的安装地点）、安装、调试、技术服务、培训、售后服务等所有内容。</w:t>
      </w:r>
    </w:p>
    <w:p w14:paraId="7DC49A59">
      <w:pPr>
        <w:keepNext/>
        <w:keepLines/>
        <w:spacing w:line="360" w:lineRule="auto"/>
        <w:outlineLvl w:val="1"/>
        <w:rPr>
          <w:rFonts w:hint="eastAsia" w:ascii="仿宋" w:hAnsi="仿宋" w:eastAsia="仿宋" w:cs="仿宋"/>
          <w:b/>
          <w:bCs/>
          <w:color w:val="000000"/>
          <w:sz w:val="24"/>
        </w:rPr>
      </w:pPr>
      <w:r>
        <w:rPr>
          <w:rFonts w:hint="eastAsia" w:ascii="仿宋" w:hAnsi="仿宋" w:eastAsia="仿宋" w:cs="仿宋"/>
          <w:b/>
          <w:bCs/>
          <w:color w:val="000000"/>
          <w:sz w:val="24"/>
        </w:rPr>
        <w:t>3.商务条款</w:t>
      </w:r>
    </w:p>
    <w:p w14:paraId="71829BDE">
      <w:pPr>
        <w:spacing w:line="360" w:lineRule="auto"/>
        <w:rPr>
          <w:rFonts w:hint="eastAsia" w:ascii="仿宋" w:hAnsi="仿宋" w:eastAsia="仿宋" w:cs="仿宋"/>
          <w:b/>
          <w:bCs/>
          <w:sz w:val="24"/>
          <w:szCs w:val="32"/>
        </w:rPr>
      </w:pPr>
      <w:r>
        <w:rPr>
          <w:rFonts w:hint="eastAsia" w:ascii="仿宋" w:hAnsi="仿宋" w:eastAsia="仿宋" w:cs="仿宋"/>
          <w:b/>
          <w:bCs/>
          <w:sz w:val="24"/>
          <w:szCs w:val="32"/>
        </w:rPr>
        <w:t>除非有特别说明，本条为实质性要求。</w:t>
      </w:r>
    </w:p>
    <w:tbl>
      <w:tblPr>
        <w:tblStyle w:val="9"/>
        <w:tblW w:w="0" w:type="auto"/>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5"/>
        <w:gridCol w:w="1252"/>
        <w:gridCol w:w="7910"/>
      </w:tblGrid>
      <w:tr w14:paraId="5B4D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595" w:type="dxa"/>
            <w:noWrap w:val="0"/>
            <w:vAlign w:val="center"/>
          </w:tcPr>
          <w:p w14:paraId="780C2A97">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序号</w:t>
            </w:r>
          </w:p>
        </w:tc>
        <w:tc>
          <w:tcPr>
            <w:tcW w:w="9162" w:type="dxa"/>
            <w:gridSpan w:val="2"/>
            <w:noWrap w:val="0"/>
            <w:vAlign w:val="center"/>
          </w:tcPr>
          <w:p w14:paraId="509E0F49">
            <w:pPr>
              <w:wordWrap w:val="0"/>
              <w:spacing w:line="360" w:lineRule="auto"/>
              <w:ind w:firstLine="2891" w:firstLineChars="1200"/>
              <w:jc w:val="left"/>
              <w:rPr>
                <w:rFonts w:hint="eastAsia" w:ascii="仿宋" w:hAnsi="仿宋" w:eastAsia="仿宋" w:cs="仿宋"/>
                <w:b/>
                <w:color w:val="000000"/>
                <w:sz w:val="24"/>
              </w:rPr>
            </w:pPr>
            <w:r>
              <w:rPr>
                <w:rFonts w:hint="eastAsia" w:ascii="仿宋" w:hAnsi="仿宋" w:eastAsia="仿宋" w:cs="仿宋"/>
                <w:b/>
                <w:color w:val="000000"/>
                <w:sz w:val="24"/>
              </w:rPr>
              <w:t>商务条款内容</w:t>
            </w:r>
          </w:p>
        </w:tc>
      </w:tr>
      <w:tr w14:paraId="18BFA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0B4068EB">
            <w:pPr>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1</w:t>
            </w:r>
          </w:p>
        </w:tc>
        <w:tc>
          <w:tcPr>
            <w:tcW w:w="1252" w:type="dxa"/>
            <w:noWrap w:val="0"/>
            <w:vAlign w:val="center"/>
          </w:tcPr>
          <w:p w14:paraId="63EF245E">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lang w:val="en-US" w:eastAsia="zh-CN"/>
              </w:rPr>
              <w:t>建设周期</w:t>
            </w:r>
            <w:r>
              <w:rPr>
                <w:rFonts w:hint="eastAsia" w:ascii="仿宋" w:hAnsi="仿宋" w:eastAsia="仿宋" w:cs="仿宋"/>
                <w:b/>
                <w:color w:val="000000"/>
                <w:sz w:val="24"/>
              </w:rPr>
              <w:t>（期限）</w:t>
            </w:r>
          </w:p>
        </w:tc>
        <w:tc>
          <w:tcPr>
            <w:tcW w:w="7910" w:type="dxa"/>
            <w:noWrap w:val="0"/>
            <w:vAlign w:val="center"/>
          </w:tcPr>
          <w:p w14:paraId="20FFD28B">
            <w:pPr>
              <w:pStyle w:val="12"/>
              <w:spacing w:line="360" w:lineRule="auto"/>
              <w:ind w:firstLine="0" w:firstLineChars="0"/>
              <w:rPr>
                <w:rFonts w:hint="eastAsia" w:ascii="仿宋" w:hAnsi="仿宋" w:eastAsia="仿宋" w:cs="仿宋"/>
                <w:b/>
                <w:bCs/>
                <w:color w:val="000000"/>
                <w:sz w:val="24"/>
              </w:rPr>
            </w:pPr>
            <w:r>
              <w:rPr>
                <w:rFonts w:hint="eastAsia" w:ascii="仿宋" w:hAnsi="仿宋" w:eastAsia="仿宋" w:cs="仿宋"/>
                <w:b/>
                <w:bCs/>
                <w:color w:val="000000"/>
                <w:sz w:val="24"/>
                <w:lang w:val="en-US" w:eastAsia="zh-CN"/>
              </w:rPr>
              <w:t>收到中标通知书接采购人通知后即进场调研，合同签订生效后接采购人通知起10日内进场实施，6个月内完成本地化部署及试运行（1个月），试运行期间，须保证无重大差错发生，试运行通过后经过1个月正常平稳运行后，可进行评估与验收。</w:t>
            </w:r>
          </w:p>
          <w:p w14:paraId="1F9934E2">
            <w:pPr>
              <w:pStyle w:val="12"/>
              <w:spacing w:line="360" w:lineRule="auto"/>
              <w:ind w:firstLine="0" w:firstLineChars="0"/>
              <w:rPr>
                <w:rFonts w:hint="eastAsia" w:ascii="仿宋" w:hAnsi="仿宋" w:eastAsia="仿宋" w:cs="仿宋"/>
                <w:bCs/>
                <w:color w:val="000000"/>
                <w:sz w:val="24"/>
              </w:rPr>
            </w:pPr>
            <w:r>
              <w:rPr>
                <w:rFonts w:hint="eastAsia" w:ascii="仿宋" w:hAnsi="仿宋" w:eastAsia="仿宋" w:cs="仿宋"/>
                <w:bCs w:val="0"/>
                <w:color w:val="000000"/>
                <w:sz w:val="24"/>
              </w:rPr>
              <w:t>是否接受负偏离：</w:t>
            </w:r>
            <w:r>
              <w:rPr>
                <w:rFonts w:hint="eastAsia" w:ascii="仿宋" w:hAnsi="仿宋" w:eastAsia="仿宋" w:cs="仿宋"/>
                <w:bCs w:val="0"/>
                <w:color w:val="000000"/>
                <w:sz w:val="24"/>
              </w:rPr>
              <w:sym w:font="Wingdings" w:char="F0FE"/>
            </w:r>
            <w:r>
              <w:rPr>
                <w:rFonts w:hint="eastAsia" w:ascii="仿宋" w:hAnsi="仿宋" w:eastAsia="仿宋" w:cs="仿宋"/>
                <w:bCs w:val="0"/>
                <w:color w:val="000000"/>
                <w:sz w:val="24"/>
              </w:rPr>
              <w:t>不接受</w:t>
            </w:r>
          </w:p>
        </w:tc>
      </w:tr>
      <w:tr w14:paraId="10D61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54889204">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2</w:t>
            </w:r>
          </w:p>
        </w:tc>
        <w:tc>
          <w:tcPr>
            <w:tcW w:w="1252" w:type="dxa"/>
            <w:noWrap w:val="0"/>
            <w:vAlign w:val="center"/>
          </w:tcPr>
          <w:p w14:paraId="7F5CBBC5">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交付（实施）的地点（范围）</w:t>
            </w:r>
          </w:p>
        </w:tc>
        <w:tc>
          <w:tcPr>
            <w:tcW w:w="7910" w:type="dxa"/>
            <w:noWrap w:val="0"/>
            <w:vAlign w:val="center"/>
          </w:tcPr>
          <w:p w14:paraId="053416F4">
            <w:pPr>
              <w:wordWrap w:val="0"/>
              <w:spacing w:line="360" w:lineRule="auto"/>
              <w:jc w:val="both"/>
              <w:rPr>
                <w:rFonts w:hint="eastAsia" w:ascii="仿宋" w:hAnsi="仿宋" w:eastAsia="仿宋" w:cs="仿宋"/>
                <w:bCs/>
                <w:color w:val="000000"/>
                <w:sz w:val="24"/>
                <w:lang w:val="en-US" w:eastAsia="zh-CN"/>
              </w:rPr>
            </w:pPr>
            <w:r>
              <w:rPr>
                <w:rFonts w:hint="eastAsia" w:ascii="仿宋" w:hAnsi="仿宋" w:eastAsia="仿宋" w:cs="仿宋"/>
                <w:b/>
                <w:bCs/>
                <w:color w:val="000000"/>
                <w:sz w:val="24"/>
              </w:rPr>
              <w:t>上海市第六人民医院安徽医院</w:t>
            </w:r>
            <w:r>
              <w:rPr>
                <w:rFonts w:hint="eastAsia" w:ascii="仿宋" w:hAnsi="仿宋" w:eastAsia="仿宋" w:cs="仿宋"/>
                <w:b/>
                <w:bCs/>
                <w:color w:val="000000"/>
                <w:sz w:val="24"/>
                <w:lang w:val="en-US" w:eastAsia="zh-CN"/>
              </w:rPr>
              <w:t>南地块</w:t>
            </w:r>
          </w:p>
        </w:tc>
      </w:tr>
      <w:tr w14:paraId="671F1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1132D7EA">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3</w:t>
            </w:r>
          </w:p>
        </w:tc>
        <w:tc>
          <w:tcPr>
            <w:tcW w:w="1252" w:type="dxa"/>
            <w:noWrap w:val="0"/>
            <w:vAlign w:val="center"/>
          </w:tcPr>
          <w:p w14:paraId="7C01275C">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付款方式</w:t>
            </w:r>
          </w:p>
        </w:tc>
        <w:tc>
          <w:tcPr>
            <w:tcW w:w="7910" w:type="dxa"/>
            <w:noWrap w:val="0"/>
            <w:vAlign w:val="center"/>
          </w:tcPr>
          <w:p w14:paraId="1053FD14">
            <w:pPr>
              <w:widowControl/>
              <w:adjustRightInd w:val="0"/>
              <w:snapToGrid w:val="0"/>
              <w:spacing w:line="360" w:lineRule="auto"/>
              <w:jc w:val="left"/>
              <w:rPr>
                <w:rFonts w:hint="eastAsia" w:ascii="仿宋" w:hAnsi="仿宋" w:eastAsia="仿宋" w:cs="仿宋"/>
                <w:color w:val="000000"/>
                <w:sz w:val="24"/>
              </w:rPr>
            </w:pPr>
            <w:r>
              <w:rPr>
                <w:rFonts w:hint="default" w:ascii="仿宋_GB2312" w:hAnsi="仿宋_GB2312" w:eastAsia="仿宋" w:cs="仿宋_GB2312"/>
                <w:color w:val="000000"/>
                <w:sz w:val="24"/>
                <w:lang w:val="en-US" w:eastAsia="zh-CN"/>
              </w:rPr>
              <w:t>合同签订生效后，在采购人下达供货通知后支付合同金额70%的预付款（付款前，</w:t>
            </w:r>
            <w:r>
              <w:rPr>
                <w:rFonts w:hint="eastAsia" w:ascii="仿宋_GB2312" w:hAnsi="仿宋_GB2312" w:eastAsia="仿宋" w:cs="仿宋_GB2312"/>
                <w:color w:val="000000"/>
                <w:sz w:val="24"/>
                <w:lang w:val="en-US" w:eastAsia="zh-CN"/>
              </w:rPr>
              <w:t>中标</w:t>
            </w:r>
            <w:r>
              <w:rPr>
                <w:rFonts w:hint="default" w:ascii="仿宋_GB2312" w:hAnsi="仿宋_GB2312" w:eastAsia="仿宋" w:cs="仿宋_GB2312"/>
                <w:color w:val="000000"/>
                <w:sz w:val="24"/>
                <w:lang w:val="en-US" w:eastAsia="zh-CN"/>
              </w:rPr>
              <w:t>人须提供与支付金额相等的不可撤销独立保函（保函格式：见本招标文件），项目全部正式上线且最终验收合格后，支付剩余30%合同款。</w:t>
            </w:r>
          </w:p>
          <w:p w14:paraId="5EEFEF55">
            <w:pPr>
              <w:wordWrap w:val="0"/>
              <w:spacing w:line="360" w:lineRule="auto"/>
              <w:rPr>
                <w:rFonts w:hint="eastAsia" w:ascii="仿宋" w:hAnsi="仿宋" w:eastAsia="仿宋" w:cs="仿宋"/>
                <w:b/>
                <w:color w:val="000000"/>
                <w:sz w:val="24"/>
              </w:rPr>
            </w:pPr>
            <w:r>
              <w:rPr>
                <w:rFonts w:hint="eastAsia" w:ascii="仿宋" w:hAnsi="仿宋" w:eastAsia="仿宋" w:cs="仿宋"/>
                <w:color w:val="000000"/>
                <w:sz w:val="24"/>
              </w:rPr>
              <w:t>是否接受负偏离：</w:t>
            </w:r>
            <w:r>
              <w:rPr>
                <w:rFonts w:hint="eastAsia" w:ascii="仿宋" w:hAnsi="仿宋" w:eastAsia="仿宋" w:cs="仿宋"/>
                <w:color w:val="000000"/>
                <w:sz w:val="24"/>
              </w:rPr>
              <w:sym w:font="Wingdings 2" w:char="0052"/>
            </w:r>
            <w:r>
              <w:rPr>
                <w:rFonts w:hint="eastAsia" w:ascii="仿宋" w:hAnsi="仿宋" w:eastAsia="仿宋" w:cs="仿宋"/>
                <w:color w:val="000000"/>
                <w:sz w:val="24"/>
              </w:rPr>
              <w:t xml:space="preserve">不接受  </w:t>
            </w:r>
          </w:p>
        </w:tc>
      </w:tr>
      <w:tr w14:paraId="7C7B2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595" w:type="dxa"/>
            <w:noWrap w:val="0"/>
            <w:vAlign w:val="center"/>
          </w:tcPr>
          <w:p w14:paraId="0C70966C">
            <w:pPr>
              <w:wordWrap w:val="0"/>
              <w:spacing w:line="360" w:lineRule="auto"/>
              <w:jc w:val="center"/>
              <w:rPr>
                <w:rFonts w:hint="eastAsia" w:ascii="仿宋" w:hAnsi="仿宋" w:eastAsia="仿宋" w:cs="仿宋"/>
                <w:b/>
                <w:color w:val="000000"/>
                <w:sz w:val="24"/>
              </w:rPr>
            </w:pPr>
            <w:r>
              <w:rPr>
                <w:rFonts w:hint="eastAsia" w:ascii="仿宋" w:hAnsi="仿宋" w:eastAsia="仿宋" w:cs="仿宋"/>
                <w:b/>
                <w:color w:val="000000"/>
                <w:sz w:val="24"/>
              </w:rPr>
              <w:t>4</w:t>
            </w:r>
          </w:p>
        </w:tc>
        <w:tc>
          <w:tcPr>
            <w:tcW w:w="1252" w:type="dxa"/>
            <w:noWrap w:val="0"/>
            <w:vAlign w:val="center"/>
          </w:tcPr>
          <w:p w14:paraId="18C909A5">
            <w:pPr>
              <w:wordWrap w:val="0"/>
              <w:spacing w:line="360" w:lineRule="auto"/>
              <w:jc w:val="center"/>
              <w:rPr>
                <w:rFonts w:hint="eastAsia" w:ascii="仿宋" w:hAnsi="仿宋" w:eastAsia="仿宋" w:cs="仿宋"/>
                <w:b/>
                <w:bCs/>
                <w:color w:val="000000"/>
                <w:sz w:val="24"/>
              </w:rPr>
            </w:pPr>
            <w:r>
              <w:rPr>
                <w:rFonts w:hint="eastAsia" w:ascii="宋体" w:hAnsi="宋体" w:eastAsia="仿宋" w:cs="Calibri"/>
                <w:b/>
                <w:bCs/>
                <w:sz w:val="24"/>
              </w:rPr>
              <w:t>质量保证期</w:t>
            </w:r>
          </w:p>
        </w:tc>
        <w:tc>
          <w:tcPr>
            <w:tcW w:w="7910" w:type="dxa"/>
            <w:noWrap w:val="0"/>
            <w:vAlign w:val="top"/>
          </w:tcPr>
          <w:p w14:paraId="1D384D47">
            <w:pPr>
              <w:widowControl/>
              <w:adjustRightInd w:val="0"/>
              <w:snapToGrid w:val="0"/>
              <w:spacing w:line="360" w:lineRule="auto"/>
              <w:rPr>
                <w:rFonts w:hint="eastAsia" w:ascii="仿宋" w:hAnsi="仿宋" w:eastAsia="仿宋" w:cs="仿宋"/>
                <w:color w:val="000000"/>
                <w:sz w:val="24"/>
              </w:rPr>
            </w:pPr>
            <w:r>
              <w:rPr>
                <w:rFonts w:hint="eastAsia" w:ascii="仿宋" w:hAnsi="仿宋" w:eastAsia="仿宋" w:cs="仿宋"/>
                <w:color w:val="000000"/>
                <w:kern w:val="2"/>
                <w:sz w:val="24"/>
                <w:szCs w:val="24"/>
                <w:lang w:val="en-US" w:eastAsia="zh-CN" w:bidi="ar-SA"/>
              </w:rPr>
              <w:t>自验收合格之日起</w:t>
            </w:r>
            <w:r>
              <w:rPr>
                <w:rFonts w:hint="eastAsia" w:ascii="仿宋" w:hAnsi="仿宋" w:eastAsia="仿宋" w:cs="仿宋"/>
                <w:color w:val="000000"/>
                <w:sz w:val="24"/>
                <w:lang w:val="en-US" w:eastAsia="zh-CN"/>
              </w:rPr>
              <w:t>整体验收（包含软硬件等所有内容）通过之日起不少于3年</w:t>
            </w:r>
            <w:r>
              <w:rPr>
                <w:rFonts w:hint="eastAsia" w:ascii="仿宋" w:hAnsi="仿宋" w:eastAsia="仿宋" w:cs="仿宋"/>
                <w:color w:val="000000"/>
                <w:sz w:val="24"/>
              </w:rPr>
              <w:t>。</w:t>
            </w:r>
          </w:p>
          <w:p w14:paraId="5A7DA6BF">
            <w:pPr>
              <w:widowControl/>
              <w:adjustRightInd w:val="0"/>
              <w:snapToGrid w:val="0"/>
              <w:spacing w:line="288" w:lineRule="auto"/>
              <w:rPr>
                <w:rFonts w:hint="eastAsia" w:ascii="仿宋" w:hAnsi="仿宋" w:eastAsia="仿宋" w:cs="仿宋"/>
                <w:b/>
                <w:color w:val="000000"/>
                <w:sz w:val="24"/>
              </w:rPr>
            </w:pPr>
            <w:r>
              <w:rPr>
                <w:rFonts w:hint="eastAsia" w:ascii="宋体" w:hAnsi="宋体" w:eastAsia="仿宋" w:cs="Calibri"/>
                <w:sz w:val="24"/>
              </w:rPr>
              <w:t>是否接受负偏离：</w:t>
            </w:r>
            <w:r>
              <w:rPr>
                <w:rFonts w:hint="eastAsia" w:ascii="宋体" w:hAnsi="宋体" w:eastAsia="仿宋"/>
                <w:bCs/>
                <w:sz w:val="24"/>
              </w:rPr>
              <w:sym w:font="Wingdings" w:char="F0FE"/>
            </w:r>
            <w:r>
              <w:rPr>
                <w:rFonts w:hint="eastAsia" w:ascii="仿宋" w:hAnsi="仿宋" w:eastAsia="仿宋" w:cs="仿宋"/>
                <w:bCs/>
                <w:color w:val="000000"/>
                <w:sz w:val="24"/>
              </w:rPr>
              <w:t>不接受</w:t>
            </w:r>
          </w:p>
        </w:tc>
      </w:tr>
    </w:tbl>
    <w:p w14:paraId="369126F4">
      <w:pPr>
        <w:spacing w:line="360" w:lineRule="auto"/>
        <w:rPr>
          <w:rFonts w:hint="eastAsia" w:ascii="仿宋" w:hAnsi="仿宋" w:eastAsia="仿宋" w:cs="仿宋"/>
          <w:b/>
          <w:bCs/>
          <w:sz w:val="24"/>
          <w:szCs w:val="32"/>
        </w:rPr>
      </w:pPr>
      <w:r>
        <w:rPr>
          <w:rFonts w:hint="eastAsia" w:ascii="仿宋" w:hAnsi="仿宋" w:eastAsia="仿宋" w:cs="仿宋"/>
          <w:b/>
          <w:color w:val="000000"/>
          <w:sz w:val="24"/>
        </w:rPr>
        <w:t>注：上述</w:t>
      </w:r>
      <w:r>
        <w:rPr>
          <w:rFonts w:hint="eastAsia" w:ascii="仿宋" w:hAnsi="仿宋" w:eastAsia="仿宋" w:cs="仿宋"/>
          <w:b/>
          <w:sz w:val="24"/>
        </w:rPr>
        <w:t>商务条款必须全部满足，否则做无效投标处理。</w:t>
      </w:r>
    </w:p>
    <w:p w14:paraId="6371A774">
      <w:pPr>
        <w:pStyle w:val="2"/>
        <w:widowControl/>
        <w:spacing w:line="360" w:lineRule="auto"/>
        <w:rPr>
          <w:rFonts w:hint="eastAsia" w:ascii="仿宋" w:hAnsi="仿宋" w:eastAsia="仿宋" w:cs="仿宋"/>
          <w:sz w:val="24"/>
          <w:szCs w:val="24"/>
        </w:rPr>
        <w:sectPr>
          <w:footnotePr>
            <w:numFmt w:val="decimalEnclosedCircleChinese"/>
            <w:numRestart w:val="eachPage"/>
          </w:footnotePr>
          <w:pgSz w:w="11906" w:h="16838"/>
          <w:pgMar w:top="1134" w:right="1134" w:bottom="1134" w:left="1134" w:header="851" w:footer="851" w:gutter="0"/>
          <w:cols w:space="720" w:num="1"/>
          <w:docGrid w:linePitch="312" w:charSpace="0"/>
        </w:sectPr>
      </w:pPr>
    </w:p>
    <w:p w14:paraId="6563F071">
      <w:pPr>
        <w:pStyle w:val="5"/>
        <w:spacing w:line="360" w:lineRule="auto"/>
        <w:ind w:firstLine="0" w:firstLineChars="0"/>
        <w:rPr>
          <w:rFonts w:hint="default" w:ascii="仿宋" w:hAnsi="仿宋" w:eastAsia="仿宋" w:cs="仿宋"/>
          <w:b/>
          <w:bCs/>
          <w:kern w:val="44"/>
          <w:sz w:val="24"/>
          <w:lang w:val="en-US" w:eastAsia="zh-CN"/>
        </w:rPr>
      </w:pPr>
      <w:r>
        <w:rPr>
          <w:rFonts w:hint="eastAsia" w:ascii="仿宋" w:hAnsi="仿宋" w:eastAsia="仿宋" w:cs="仿宋"/>
          <w:b/>
          <w:bCs/>
          <w:kern w:val="44"/>
          <w:sz w:val="24"/>
          <w:lang w:val="en-US" w:eastAsia="zh-CN"/>
        </w:rPr>
        <w:t>4.技术需求</w:t>
      </w:r>
    </w:p>
    <w:p w14:paraId="6B160240">
      <w:pPr>
        <w:pStyle w:val="5"/>
        <w:spacing w:line="360" w:lineRule="auto"/>
        <w:ind w:firstLine="0" w:firstLineChars="0"/>
        <w:rPr>
          <w:rFonts w:hint="eastAsia" w:ascii="仿宋_GB2312" w:hAnsi="仿宋_GB2312" w:eastAsia="仿宋_GB2312" w:cs="仿宋_GB2312"/>
          <w:b/>
          <w:color w:val="000000"/>
          <w:sz w:val="24"/>
        </w:rPr>
      </w:pPr>
      <w:r>
        <w:rPr>
          <w:rFonts w:hint="eastAsia" w:ascii="仿宋" w:hAnsi="仿宋" w:eastAsia="仿宋" w:cs="仿宋"/>
          <w:b/>
          <w:bCs/>
          <w:kern w:val="44"/>
          <w:sz w:val="24"/>
        </w:rPr>
        <w:t>（一）技术</w:t>
      </w:r>
      <w:r>
        <w:rPr>
          <w:rFonts w:hint="eastAsia" w:ascii="仿宋" w:hAnsi="仿宋" w:eastAsia="仿宋" w:cs="仿宋"/>
          <w:b/>
          <w:bCs/>
          <w:kern w:val="44"/>
          <w:sz w:val="24"/>
          <w:lang w:val="zh-CN"/>
        </w:rPr>
        <w:t>需求</w:t>
      </w:r>
      <w:r>
        <w:rPr>
          <w:rFonts w:hint="eastAsia" w:ascii="仿宋_GB2312" w:hAnsi="仿宋_GB2312" w:eastAsia="仿宋_GB2312" w:cs="仿宋_GB2312"/>
          <w:b/>
          <w:color w:val="000000"/>
          <w:sz w:val="24"/>
        </w:rPr>
        <w:t>重要性表述</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73"/>
        <w:gridCol w:w="1672"/>
        <w:gridCol w:w="5077"/>
      </w:tblGrid>
      <w:tr w14:paraId="44F3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3561F969">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标识重要性</w:t>
            </w:r>
          </w:p>
        </w:tc>
        <w:tc>
          <w:tcPr>
            <w:tcW w:w="1906" w:type="dxa"/>
            <w:noWrap w:val="0"/>
            <w:vAlign w:val="center"/>
          </w:tcPr>
          <w:p w14:paraId="1F64CCE1">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标识符号</w:t>
            </w:r>
          </w:p>
        </w:tc>
        <w:tc>
          <w:tcPr>
            <w:tcW w:w="5921" w:type="dxa"/>
            <w:noWrap w:val="0"/>
            <w:vAlign w:val="center"/>
          </w:tcPr>
          <w:p w14:paraId="31089D08">
            <w:pPr>
              <w:widowControl/>
              <w:spacing w:line="360" w:lineRule="auto"/>
              <w:jc w:val="center"/>
              <w:rPr>
                <w:rFonts w:hint="eastAsia" w:ascii="仿宋" w:hAnsi="仿宋" w:eastAsia="仿宋" w:cs="仿宋"/>
                <w:sz w:val="24"/>
              </w:rPr>
            </w:pPr>
            <w:r>
              <w:rPr>
                <w:rFonts w:hint="eastAsia" w:ascii="仿宋" w:hAnsi="仿宋" w:eastAsia="仿宋" w:cs="仿宋"/>
                <w:color w:val="000000"/>
                <w:kern w:val="0"/>
                <w:sz w:val="24"/>
                <w:lang w:bidi="ar"/>
              </w:rPr>
              <w:t>代表意思</w:t>
            </w:r>
          </w:p>
        </w:tc>
      </w:tr>
      <w:tr w14:paraId="0D67D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027" w:type="dxa"/>
            <w:noWrap w:val="0"/>
            <w:vAlign w:val="center"/>
          </w:tcPr>
          <w:p w14:paraId="76CBBF85">
            <w:pPr>
              <w:widowControl/>
              <w:spacing w:line="360" w:lineRule="auto"/>
              <w:jc w:val="center"/>
              <w:rPr>
                <w:rFonts w:hint="default" w:ascii="仿宋" w:hAnsi="仿宋" w:eastAsia="仿宋" w:cs="仿宋"/>
                <w:b/>
                <w:bCs/>
                <w:color w:val="000000"/>
                <w:kern w:val="0"/>
                <w:sz w:val="24"/>
                <w:lang w:val="en-US" w:eastAsia="zh-CN" w:bidi="ar"/>
              </w:rPr>
            </w:pPr>
            <w:r>
              <w:rPr>
                <w:rFonts w:hint="eastAsia" w:ascii="仿宋" w:hAnsi="仿宋" w:eastAsia="仿宋" w:cs="仿宋"/>
                <w:b/>
                <w:bCs/>
                <w:color w:val="000000"/>
                <w:kern w:val="0"/>
                <w:sz w:val="24"/>
                <w:lang w:val="en-US" w:eastAsia="zh-CN" w:bidi="ar"/>
              </w:rPr>
              <w:t>实质性</w:t>
            </w:r>
            <w:r>
              <w:rPr>
                <w:rFonts w:hint="eastAsia" w:ascii="仿宋" w:hAnsi="仿宋" w:eastAsia="仿宋" w:cs="仿宋"/>
                <w:b/>
                <w:bCs/>
                <w:color w:val="000000"/>
                <w:kern w:val="0"/>
                <w:sz w:val="24"/>
                <w:szCs w:val="24"/>
                <w:lang w:val="en-US" w:eastAsia="zh-CN" w:bidi="ar"/>
              </w:rPr>
              <w:t>指标项</w:t>
            </w:r>
          </w:p>
        </w:tc>
        <w:tc>
          <w:tcPr>
            <w:tcW w:w="1906" w:type="dxa"/>
            <w:noWrap w:val="0"/>
            <w:vAlign w:val="center"/>
          </w:tcPr>
          <w:p w14:paraId="79865FCA">
            <w:pPr>
              <w:spacing w:line="360" w:lineRule="auto"/>
              <w:jc w:val="center"/>
              <w:rPr>
                <w:rFonts w:hint="eastAsia" w:ascii="仿宋" w:hAnsi="仿宋" w:eastAsia="仿宋" w:cs="仿宋"/>
                <w:b/>
                <w:bCs/>
                <w:color w:val="000000"/>
                <w:kern w:val="0"/>
                <w:sz w:val="24"/>
                <w:lang w:bidi="ar"/>
              </w:rPr>
            </w:pPr>
            <w:r>
              <w:rPr>
                <w:rFonts w:hint="eastAsia" w:ascii="仿宋" w:hAnsi="仿宋" w:eastAsia="仿宋" w:cs="仿宋"/>
                <w:b/>
                <w:bCs/>
                <w:sz w:val="24"/>
              </w:rPr>
              <w:t>无标识项</w:t>
            </w:r>
          </w:p>
        </w:tc>
        <w:tc>
          <w:tcPr>
            <w:tcW w:w="5921" w:type="dxa"/>
            <w:noWrap w:val="0"/>
            <w:vAlign w:val="center"/>
          </w:tcPr>
          <w:p w14:paraId="22719164">
            <w:pPr>
              <w:widowControl/>
              <w:spacing w:line="360" w:lineRule="auto"/>
              <w:jc w:val="center"/>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val="en-US" w:eastAsia="zh-CN" w:bidi="ar"/>
              </w:rPr>
              <w:t>未响应或者负偏离，视为实质性不响应招标文件要求</w:t>
            </w:r>
          </w:p>
        </w:tc>
      </w:tr>
      <w:tr w14:paraId="03B9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0AC97BBF">
            <w:pPr>
              <w:widowControl/>
              <w:spacing w:line="360" w:lineRule="auto"/>
              <w:jc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关键性指标项</w:t>
            </w:r>
          </w:p>
        </w:tc>
        <w:tc>
          <w:tcPr>
            <w:tcW w:w="1906" w:type="dxa"/>
            <w:noWrap w:val="0"/>
            <w:vAlign w:val="center"/>
          </w:tcPr>
          <w:p w14:paraId="6F4E5D4E">
            <w:pPr>
              <w:widowControl/>
              <w:spacing w:line="360" w:lineRule="auto"/>
              <w:jc w:val="center"/>
              <w:rPr>
                <w:rFonts w:hint="eastAsia" w:ascii="仿宋" w:hAnsi="仿宋" w:eastAsia="仿宋" w:cs="仿宋"/>
                <w:b/>
                <w:bCs/>
                <w:kern w:val="2"/>
                <w:sz w:val="24"/>
                <w:szCs w:val="24"/>
                <w:lang w:val="en-US" w:eastAsia="zh-CN" w:bidi="ar"/>
              </w:rPr>
            </w:pPr>
            <w:r>
              <w:rPr>
                <w:rFonts w:hint="eastAsia" w:ascii="仿宋" w:hAnsi="仿宋" w:eastAsia="仿宋" w:cs="仿宋"/>
                <w:b/>
                <w:bCs/>
                <w:sz w:val="24"/>
                <w:szCs w:val="24"/>
                <w:highlight w:val="none"/>
                <w:lang w:val="en-US" w:eastAsia="zh-CN"/>
              </w:rPr>
              <w:t>█</w:t>
            </w:r>
          </w:p>
        </w:tc>
        <w:tc>
          <w:tcPr>
            <w:tcW w:w="5921" w:type="dxa"/>
            <w:noWrap w:val="0"/>
            <w:vAlign w:val="center"/>
          </w:tcPr>
          <w:p w14:paraId="6843A620">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1FBE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27" w:type="dxa"/>
            <w:noWrap w:val="0"/>
            <w:vAlign w:val="center"/>
          </w:tcPr>
          <w:p w14:paraId="7687D9EA">
            <w:pPr>
              <w:widowControl/>
              <w:spacing w:line="360" w:lineRule="auto"/>
              <w:jc w:val="center"/>
              <w:rPr>
                <w:rFonts w:hint="default" w:ascii="仿宋" w:hAnsi="仿宋" w:eastAsia="仿宋" w:cs="仿宋"/>
                <w:color w:val="000000"/>
                <w:kern w:val="0"/>
                <w:sz w:val="24"/>
                <w:lang w:val="en-US" w:eastAsia="zh-CN" w:bidi="ar"/>
              </w:rPr>
            </w:pPr>
            <w:r>
              <w:rPr>
                <w:rFonts w:hint="eastAsia" w:ascii="仿宋" w:hAnsi="仿宋" w:eastAsia="仿宋" w:cs="仿宋"/>
                <w:color w:val="000000"/>
                <w:kern w:val="0"/>
                <w:sz w:val="24"/>
                <w:lang w:val="en-US" w:eastAsia="zh-CN" w:bidi="ar"/>
              </w:rPr>
              <w:t>重要指标项</w:t>
            </w:r>
          </w:p>
        </w:tc>
        <w:tc>
          <w:tcPr>
            <w:tcW w:w="1906" w:type="dxa"/>
            <w:noWrap w:val="0"/>
            <w:vAlign w:val="center"/>
          </w:tcPr>
          <w:p w14:paraId="2B48F36E">
            <w:pPr>
              <w:widowControl/>
              <w:spacing w:line="360" w:lineRule="auto"/>
              <w:jc w:val="center"/>
              <w:rPr>
                <w:rFonts w:hint="eastAsia" w:ascii="仿宋" w:hAnsi="仿宋" w:eastAsia="仿宋" w:cs="仿宋"/>
                <w:b/>
                <w:bCs/>
                <w:color w:val="000000"/>
                <w:sz w:val="24"/>
              </w:rPr>
            </w:pPr>
            <w:r>
              <w:rPr>
                <w:rFonts w:hint="eastAsia" w:ascii="仿宋" w:hAnsi="仿宋" w:eastAsia="仿宋" w:cs="仿宋"/>
                <w:b/>
                <w:bCs/>
                <w:kern w:val="2"/>
                <w:sz w:val="24"/>
                <w:szCs w:val="24"/>
                <w:lang w:val="en-US" w:eastAsia="zh-CN" w:bidi="ar"/>
              </w:rPr>
              <w:t>★</w:t>
            </w:r>
          </w:p>
        </w:tc>
        <w:tc>
          <w:tcPr>
            <w:tcW w:w="5921" w:type="dxa"/>
            <w:noWrap w:val="0"/>
            <w:vAlign w:val="center"/>
          </w:tcPr>
          <w:p w14:paraId="463B741B">
            <w:pPr>
              <w:widowControl/>
              <w:spacing w:line="360" w:lineRule="auto"/>
              <w:jc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评分项，详见第四章评分细则</w:t>
            </w:r>
          </w:p>
        </w:tc>
      </w:tr>
      <w:tr w14:paraId="04947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54" w:type="dxa"/>
            <w:gridSpan w:val="3"/>
            <w:noWrap w:val="0"/>
            <w:vAlign w:val="center"/>
          </w:tcPr>
          <w:p w14:paraId="772133C6">
            <w:pPr>
              <w:spacing w:line="360" w:lineRule="auto"/>
              <w:jc w:val="left"/>
              <w:rPr>
                <w:rFonts w:hint="eastAsia" w:ascii="仿宋" w:hAnsi="仿宋" w:eastAsia="仿宋" w:cs="仿宋"/>
                <w:color w:val="000000"/>
                <w:kern w:val="0"/>
                <w:sz w:val="24"/>
                <w:lang w:bidi="ar"/>
              </w:rPr>
            </w:pPr>
            <w:r>
              <w:rPr>
                <w:rFonts w:hint="eastAsia" w:ascii="仿宋" w:hAnsi="仿宋" w:eastAsia="仿宋" w:cs="仿宋"/>
                <w:b/>
                <w:bCs/>
                <w:color w:val="000000"/>
                <w:kern w:val="0"/>
                <w:sz w:val="24"/>
                <w:lang w:bidi="ar"/>
              </w:rPr>
              <w:t>注：投标人须如实响应，如在后期合同履约过程中，发现有虚假响应情况，招标人有权解除合同、不予退还履约保证金、不予支付合同款项，且上报监管部门并追究中标人给采购人带来的一切损失。</w:t>
            </w:r>
          </w:p>
        </w:tc>
      </w:tr>
    </w:tbl>
    <w:p w14:paraId="2DB5DEE4">
      <w:pPr>
        <w:widowControl/>
        <w:spacing w:line="360" w:lineRule="auto"/>
        <w:jc w:val="left"/>
        <w:rPr>
          <w:rFonts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（二）技术要求</w:t>
      </w:r>
    </w:p>
    <w:p w14:paraId="1B63E61F">
      <w:pPr>
        <w:numPr>
          <w:ilvl w:val="0"/>
          <w:numId w:val="1"/>
        </w:numPr>
        <w:spacing w:line="360" w:lineRule="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建设背景</w:t>
      </w:r>
    </w:p>
    <w:p w14:paraId="25E30F81">
      <w:pPr>
        <w:spacing w:line="360" w:lineRule="auto"/>
        <w:ind w:firstLine="480" w:firstLineChars="200"/>
        <w:rPr>
          <w:rFonts w:hint="eastAsia" w:ascii="仿宋" w:hAnsi="仿宋" w:eastAsia="仿宋" w:cs="仿宋"/>
          <w:color w:val="000000"/>
          <w:sz w:val="24"/>
          <w:szCs w:val="24"/>
          <w:highlight w:val="none"/>
          <w:lang w:eastAsia="zh-CN"/>
        </w:rPr>
      </w:pPr>
      <w:r>
        <w:rPr>
          <w:rFonts w:hint="eastAsia" w:ascii="仿宋" w:hAnsi="仿宋" w:eastAsia="仿宋" w:cs="仿宋"/>
          <w:color w:val="000000"/>
          <w:sz w:val="24"/>
          <w:szCs w:val="24"/>
          <w:highlight w:val="none"/>
        </w:rPr>
        <w:t>为贯彻落实《公立医院高质量发展促进行动（2021—2025年）》等政策要求，结合医院</w:t>
      </w:r>
      <w:r>
        <w:rPr>
          <w:rFonts w:hint="eastAsia" w:ascii="仿宋" w:hAnsi="仿宋" w:eastAsia="仿宋" w:cs="仿宋"/>
          <w:color w:val="000000"/>
          <w:sz w:val="24"/>
          <w:szCs w:val="24"/>
          <w:highlight w:val="none"/>
          <w:lang w:eastAsia="zh-CN"/>
        </w:rPr>
        <w:t>后勤</w:t>
      </w:r>
      <w:r>
        <w:rPr>
          <w:rFonts w:hint="eastAsia" w:ascii="仿宋" w:hAnsi="仿宋" w:eastAsia="仿宋" w:cs="仿宋"/>
          <w:color w:val="000000"/>
          <w:sz w:val="24"/>
          <w:szCs w:val="24"/>
          <w:highlight w:val="none"/>
        </w:rPr>
        <w:t>实际发展现状，统筹规划、分步实施，全面提升医院管理精细化水平与运营效能。</w:t>
      </w:r>
    </w:p>
    <w:p w14:paraId="349DAF9D">
      <w:pPr>
        <w:numPr>
          <w:ilvl w:val="0"/>
          <w:numId w:val="1"/>
        </w:numPr>
        <w:spacing w:line="360" w:lineRule="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eastAsia="zh-CN"/>
        </w:rPr>
        <w:t>建设目标</w:t>
      </w:r>
    </w:p>
    <w:p w14:paraId="621925FC">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按照“统一规划、分步实施、可持续拓展”的总体思路，构建智慧后勤与运营管理一体化平台。本次建设目标如下：</w:t>
      </w:r>
    </w:p>
    <w:p w14:paraId="713349DF">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1.统一顶层设计与标准建设，支撑集团化发展</w:t>
      </w:r>
    </w:p>
    <w:p w14:paraId="7F9131D1">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建设后勤管理平台底座，制定统一的数据标准与管理框架，形成空间、设备、人员的统一编码体系，实现后勤业务系统的互联互通与数据共享。</w:t>
      </w:r>
    </w:p>
    <w:p w14:paraId="7C892012">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2.提升能源精细化管理水平</w:t>
      </w:r>
    </w:p>
    <w:p w14:paraId="4F1A07E6">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全面采集各类能耗数据，建立能耗模型和监测体系，理清用能“家底”，实现对区域、业态、重点设备的能耗精细化监控和分析，并将能耗分摊到科室，强化成本管理意识，持续降低单位收入能耗支出，推动绿色低碳发展。</w:t>
      </w:r>
    </w:p>
    <w:p w14:paraId="549E6C1D">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3.增强机电安全保障能力</w:t>
      </w:r>
    </w:p>
    <w:p w14:paraId="58E2CF63">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通过打通楼宇自控、电气安全等系统，实现全院机电设备的集中监控与综合调度。重点机电设备统一管理，及时发现告警并联动处置，有效提升医院整体的机电安全保障水平和运行完备率。</w:t>
      </w:r>
    </w:p>
    <w:p w14:paraId="02A1C036">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4.增强综合安全保障能力</w:t>
      </w:r>
    </w:p>
    <w:p w14:paraId="553809FB">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次建设将通过统一的安全管理平台，整合医院各类安全管理要素，形成全院一体化的风险防控与隐患治理体系。平台以数字化、智能化手段贯穿安全管理全过程，实现从风险预防、过程监控到结果评估的闭环管理。</w:t>
      </w:r>
    </w:p>
    <w:p w14:paraId="116C2A80">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5.构建智慧后勤服务考核体系</w:t>
      </w:r>
    </w:p>
    <w:p w14:paraId="5ACBFC7D">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平台需能够对接医院现有的后勤系统，形成统一的服务考核管理机制。通过对服务质量、响应效率、服务成本等指标的采集与分析，实现后勤服务的全过程监管和量化评价。</w:t>
      </w:r>
    </w:p>
    <w:p w14:paraId="41055C1F">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val="en-US" w:eastAsia="zh-CN"/>
        </w:rPr>
        <w:t>6</w:t>
      </w:r>
      <w:r>
        <w:rPr>
          <w:rFonts w:hint="eastAsia" w:ascii="仿宋" w:hAnsi="仿宋" w:eastAsia="仿宋" w:cs="仿宋"/>
          <w:color w:val="000000"/>
          <w:sz w:val="24"/>
          <w:szCs w:val="24"/>
          <w:highlight w:val="none"/>
        </w:rPr>
        <w:t>.建立设备一体化台账管理</w:t>
      </w:r>
    </w:p>
    <w:p w14:paraId="62F98B07">
      <w:pPr>
        <w:spacing w:line="360" w:lineRule="auto"/>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以设备台账和工单为主线，构建覆盖全生命周期的设备管理机制，涵盖故障处理、预防性维护和日常保养等环节，实现对设备运行的全过程追溯与管理。</w:t>
      </w:r>
    </w:p>
    <w:p w14:paraId="4F39ED14">
      <w:pPr>
        <w:numPr>
          <w:ilvl w:val="0"/>
          <w:numId w:val="0"/>
        </w:numPr>
        <w:spacing w:line="360" w:lineRule="auto"/>
        <w:ind w:leftChars="0"/>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三</w:t>
      </w:r>
      <w:r>
        <w:rPr>
          <w:rFonts w:hint="eastAsia" w:ascii="仿宋" w:hAnsi="仿宋" w:eastAsia="仿宋" w:cs="仿宋"/>
          <w:b/>
          <w:bCs/>
          <w:sz w:val="24"/>
          <w:szCs w:val="24"/>
          <w:highlight w:val="none"/>
          <w:lang w:eastAsia="zh-CN"/>
        </w:rPr>
        <w:t>）建设范围</w:t>
      </w:r>
    </w:p>
    <w:p w14:paraId="30D494E5">
      <w:pPr>
        <w:spacing w:line="360" w:lineRule="auto"/>
        <w:ind w:firstLine="480" w:firstLineChars="200"/>
        <w:rPr>
          <w:rFonts w:hint="eastAsia" w:ascii="仿宋" w:hAnsi="仿宋" w:eastAsia="仿宋" w:cs="仿宋"/>
          <w:color w:val="000000"/>
          <w:sz w:val="24"/>
          <w:szCs w:val="24"/>
          <w:highlight w:val="none"/>
          <w:lang w:val="en-US" w:eastAsia="zh-CN"/>
        </w:rPr>
      </w:pPr>
      <w:r>
        <w:rPr>
          <w:rFonts w:hint="eastAsia" w:ascii="仿宋" w:hAnsi="仿宋" w:eastAsia="仿宋" w:cs="仿宋"/>
          <w:color w:val="000000"/>
          <w:sz w:val="24"/>
          <w:szCs w:val="24"/>
          <w:highlight w:val="none"/>
          <w:lang w:val="en-US" w:eastAsia="zh-CN"/>
        </w:rPr>
        <w:t>本项目为总集项目，本次建设范围为上海市第六人民医院安徽医院，后期根据管理需求可免费延伸至集团其他院区（分院区实施费用包含在总费用内）。</w:t>
      </w:r>
    </w:p>
    <w:p w14:paraId="0B90D95F">
      <w:pPr>
        <w:numPr>
          <w:ilvl w:val="0"/>
          <w:numId w:val="0"/>
        </w:numPr>
        <w:spacing w:line="360" w:lineRule="auto"/>
        <w:ind w:leftChars="0"/>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（四）报价要求</w:t>
      </w:r>
    </w:p>
    <w:p w14:paraId="28512F86">
      <w:pPr>
        <w:numPr>
          <w:ilvl w:val="0"/>
          <w:numId w:val="0"/>
        </w:numPr>
        <w:spacing w:line="360" w:lineRule="auto"/>
        <w:ind w:firstLine="420" w:firstLineChars="0"/>
        <w:jc w:val="both"/>
        <w:outlineLvl w:val="0"/>
        <w:rPr>
          <w:rFonts w:hint="eastAsia" w:ascii="仿宋" w:hAnsi="仿宋" w:eastAsia="仿宋" w:cs="仿宋"/>
          <w:b/>
          <w:bCs/>
          <w:sz w:val="24"/>
          <w:szCs w:val="24"/>
          <w:highlight w:val="none"/>
          <w:lang w:val="en-US" w:eastAsia="zh-CN"/>
        </w:rPr>
      </w:pPr>
      <w:r>
        <w:rPr>
          <w:rFonts w:hint="eastAsia" w:ascii="仿宋" w:hAnsi="仿宋" w:eastAsia="仿宋" w:cs="仿宋"/>
          <w:b w:val="0"/>
          <w:bCs w:val="0"/>
          <w:sz w:val="24"/>
          <w:szCs w:val="24"/>
          <w:highlight w:val="none"/>
          <w:lang w:val="en-US" w:eastAsia="zh-CN"/>
        </w:rPr>
        <w:t>本次报价按软件功能、硬件分项报价，包括完成本项目所需的人工费及提供服务配套的设备或货物购买（制造）费、辅材费、运输费、装卸费、安装调试费、培训费、接口费、实施费及各种应纳的税费等完成本项目的所有费用。因投标人自身原因造成漏报、少报皆由其自行承担责任，采购人不再补偿。</w:t>
      </w:r>
    </w:p>
    <w:p w14:paraId="19F910B6">
      <w:pPr>
        <w:numPr>
          <w:ilvl w:val="0"/>
          <w:numId w:val="0"/>
        </w:numPr>
        <w:spacing w:line="360" w:lineRule="auto"/>
        <w:rPr>
          <w:rFonts w:hint="eastAsia" w:ascii="仿宋" w:hAnsi="仿宋" w:eastAsia="仿宋" w:cs="仿宋"/>
          <w:b/>
          <w:bCs/>
          <w:sz w:val="24"/>
          <w:szCs w:val="24"/>
          <w:highlight w:val="none"/>
          <w:lang w:eastAsia="zh-CN"/>
        </w:rPr>
      </w:pP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lang w:val="en-US" w:eastAsia="zh-CN"/>
        </w:rPr>
        <w:t>五</w:t>
      </w:r>
      <w:r>
        <w:rPr>
          <w:rFonts w:hint="eastAsia" w:ascii="仿宋" w:hAnsi="仿宋" w:eastAsia="仿宋" w:cs="仿宋"/>
          <w:b/>
          <w:bCs/>
          <w:sz w:val="24"/>
          <w:szCs w:val="24"/>
          <w:highlight w:val="none"/>
          <w:lang w:eastAsia="zh-CN"/>
        </w:rPr>
        <w:t>）</w:t>
      </w:r>
      <w:r>
        <w:rPr>
          <w:rFonts w:hint="eastAsia" w:ascii="仿宋" w:hAnsi="仿宋" w:eastAsia="仿宋" w:cs="仿宋"/>
          <w:b/>
          <w:bCs/>
          <w:sz w:val="24"/>
        </w:rPr>
        <w:t>▲</w:t>
      </w:r>
      <w:r>
        <w:rPr>
          <w:rFonts w:hint="eastAsia" w:ascii="仿宋" w:hAnsi="仿宋" w:eastAsia="仿宋" w:cs="仿宋"/>
          <w:b/>
          <w:bCs/>
          <w:sz w:val="24"/>
          <w:szCs w:val="24"/>
          <w:highlight w:val="none"/>
          <w:lang w:eastAsia="zh-CN"/>
        </w:rPr>
        <w:t>软件功能要求</w:t>
      </w:r>
    </w:p>
    <w:tbl>
      <w:tblPr>
        <w:tblStyle w:val="9"/>
        <w:tblW w:w="4805" w:type="pct"/>
        <w:tblInd w:w="94" w:type="dxa"/>
        <w:tblLayout w:type="fixed"/>
        <w:tblCellMar>
          <w:top w:w="0" w:type="dxa"/>
          <w:left w:w="108" w:type="dxa"/>
          <w:bottom w:w="0" w:type="dxa"/>
          <w:right w:w="108" w:type="dxa"/>
        </w:tblCellMar>
      </w:tblPr>
      <w:tblGrid>
        <w:gridCol w:w="639"/>
        <w:gridCol w:w="745"/>
        <w:gridCol w:w="1161"/>
        <w:gridCol w:w="5644"/>
      </w:tblGrid>
      <w:tr w14:paraId="6401EFDB">
        <w:tblPrEx>
          <w:tblCellMar>
            <w:top w:w="0" w:type="dxa"/>
            <w:left w:w="108" w:type="dxa"/>
            <w:bottom w:w="0" w:type="dxa"/>
            <w:right w:w="108" w:type="dxa"/>
          </w:tblCellMar>
        </w:tblPrEx>
        <w:trPr>
          <w:trHeight w:val="280" w:hRule="atLeast"/>
        </w:trPr>
        <w:tc>
          <w:tcPr>
            <w:tcW w:w="390" w:type="pct"/>
            <w:tcBorders>
              <w:top w:val="single" w:color="auto" w:sz="4" w:space="0"/>
              <w:left w:val="single" w:color="auto" w:sz="4" w:space="0"/>
              <w:bottom w:val="single" w:color="auto" w:sz="4" w:space="0"/>
              <w:right w:val="single" w:color="auto" w:sz="4" w:space="0"/>
            </w:tcBorders>
            <w:noWrap/>
            <w:vAlign w:val="center"/>
          </w:tcPr>
          <w:p w14:paraId="4A0DC15D">
            <w:pPr>
              <w:widowControl/>
              <w:spacing w:after="0" w:line="360" w:lineRule="auto"/>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序号</w:t>
            </w:r>
          </w:p>
        </w:tc>
        <w:tc>
          <w:tcPr>
            <w:tcW w:w="455" w:type="pct"/>
            <w:tcBorders>
              <w:top w:val="single" w:color="auto" w:sz="4" w:space="0"/>
              <w:left w:val="nil"/>
              <w:bottom w:val="single" w:color="auto" w:sz="4" w:space="0"/>
              <w:right w:val="single" w:color="auto" w:sz="4" w:space="0"/>
            </w:tcBorders>
            <w:noWrap/>
            <w:vAlign w:val="center"/>
          </w:tcPr>
          <w:p w14:paraId="26DAD95F">
            <w:pPr>
              <w:widowControl/>
              <w:spacing w:after="0" w:line="360" w:lineRule="auto"/>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模块</w:t>
            </w:r>
          </w:p>
        </w:tc>
        <w:tc>
          <w:tcPr>
            <w:tcW w:w="709" w:type="pct"/>
            <w:tcBorders>
              <w:top w:val="single" w:color="auto" w:sz="4" w:space="0"/>
              <w:left w:val="nil"/>
              <w:bottom w:val="single" w:color="auto" w:sz="4" w:space="0"/>
              <w:right w:val="single" w:color="auto" w:sz="4" w:space="0"/>
            </w:tcBorders>
            <w:noWrap w:val="0"/>
            <w:vAlign w:val="center"/>
          </w:tcPr>
          <w:p w14:paraId="66E9C6F4">
            <w:pPr>
              <w:widowControl/>
              <w:spacing w:after="0" w:line="360" w:lineRule="auto"/>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名称</w:t>
            </w:r>
          </w:p>
        </w:tc>
        <w:tc>
          <w:tcPr>
            <w:tcW w:w="3445" w:type="pct"/>
            <w:tcBorders>
              <w:top w:val="single" w:color="auto" w:sz="4" w:space="0"/>
              <w:left w:val="nil"/>
              <w:bottom w:val="single" w:color="auto" w:sz="4" w:space="0"/>
              <w:right w:val="single" w:color="auto" w:sz="4" w:space="0"/>
            </w:tcBorders>
            <w:noWrap w:val="0"/>
            <w:vAlign w:val="center"/>
          </w:tcPr>
          <w:p w14:paraId="74FBC9C6">
            <w:pPr>
              <w:widowControl/>
              <w:spacing w:after="0" w:line="360" w:lineRule="auto"/>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需求描述</w:t>
            </w:r>
          </w:p>
        </w:tc>
      </w:tr>
      <w:tr w14:paraId="795A7C5E">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7B9028AB">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rPr>
              <w:t>1</w:t>
            </w:r>
            <w:r>
              <w:rPr>
                <w:rFonts w:hint="eastAsia" w:ascii="仿宋" w:hAnsi="仿宋" w:eastAsia="仿宋" w:cs="仿宋"/>
                <w:color w:val="000000"/>
                <w:kern w:val="0"/>
                <w:sz w:val="24"/>
                <w:szCs w:val="24"/>
                <w:highlight w:val="none"/>
                <w:lang w:val="en-US" w:eastAsia="zh-CN"/>
              </w:rPr>
              <w:t>.1</w:t>
            </w:r>
          </w:p>
        </w:tc>
        <w:tc>
          <w:tcPr>
            <w:tcW w:w="455" w:type="pct"/>
            <w:vMerge w:val="restart"/>
            <w:tcBorders>
              <w:top w:val="nil"/>
              <w:left w:val="single" w:color="auto" w:sz="4" w:space="0"/>
              <w:right w:val="single" w:color="auto" w:sz="4" w:space="0"/>
            </w:tcBorders>
            <w:noWrap/>
            <w:vAlign w:val="center"/>
          </w:tcPr>
          <w:p w14:paraId="01D482DF">
            <w:pPr>
              <w:numPr>
                <w:ilvl w:val="0"/>
                <w:numId w:val="0"/>
              </w:numPr>
              <w:spacing w:line="360" w:lineRule="auto"/>
              <w:ind w:leftChars="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平台基础功能</w:t>
            </w:r>
          </w:p>
          <w:p w14:paraId="07E89E9D">
            <w:pPr>
              <w:widowControl/>
              <w:spacing w:after="0" w:line="360" w:lineRule="auto"/>
              <w:jc w:val="center"/>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13255809">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交互端框架</w:t>
            </w:r>
          </w:p>
        </w:tc>
        <w:tc>
          <w:tcPr>
            <w:tcW w:w="3445" w:type="pct"/>
            <w:tcBorders>
              <w:top w:val="nil"/>
              <w:left w:val="nil"/>
              <w:bottom w:val="single" w:color="auto" w:sz="4" w:space="0"/>
              <w:right w:val="single" w:color="auto" w:sz="4" w:space="0"/>
            </w:tcBorders>
            <w:noWrap w:val="0"/>
            <w:vAlign w:val="center"/>
          </w:tcPr>
          <w:p w14:paraId="21A9E16F">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提供移动端APP管理工作台，具备管理应用入口聚合及框架配置能力。</w:t>
            </w:r>
          </w:p>
        </w:tc>
      </w:tr>
      <w:tr w14:paraId="26C8AF3D">
        <w:tblPrEx>
          <w:tblCellMar>
            <w:top w:w="0" w:type="dxa"/>
            <w:left w:w="108" w:type="dxa"/>
            <w:bottom w:w="0" w:type="dxa"/>
            <w:right w:w="108" w:type="dxa"/>
          </w:tblCellMar>
        </w:tblPrEx>
        <w:trPr>
          <w:trHeight w:val="2984" w:hRule="atLeast"/>
        </w:trPr>
        <w:tc>
          <w:tcPr>
            <w:tcW w:w="390" w:type="pct"/>
            <w:tcBorders>
              <w:top w:val="nil"/>
              <w:left w:val="single" w:color="auto" w:sz="4" w:space="0"/>
              <w:bottom w:val="single" w:color="auto" w:sz="4" w:space="0"/>
              <w:right w:val="single" w:color="auto" w:sz="4" w:space="0"/>
            </w:tcBorders>
            <w:noWrap/>
            <w:vAlign w:val="center"/>
          </w:tcPr>
          <w:p w14:paraId="5EB69866">
            <w:pPr>
              <w:widowControl/>
              <w:spacing w:after="0"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1.</w:t>
            </w:r>
            <w:r>
              <w:rPr>
                <w:rFonts w:hint="eastAsia" w:ascii="仿宋" w:hAnsi="仿宋" w:eastAsia="仿宋" w:cs="仿宋"/>
                <w:color w:val="000000"/>
                <w:kern w:val="0"/>
                <w:sz w:val="24"/>
                <w:szCs w:val="24"/>
                <w:highlight w:val="none"/>
              </w:rPr>
              <w:t>2</w:t>
            </w:r>
          </w:p>
        </w:tc>
        <w:tc>
          <w:tcPr>
            <w:tcW w:w="455" w:type="pct"/>
            <w:vMerge w:val="continue"/>
            <w:tcBorders>
              <w:left w:val="single" w:color="auto" w:sz="4" w:space="0"/>
              <w:right w:val="single" w:color="auto" w:sz="4" w:space="0"/>
            </w:tcBorders>
            <w:noWrap w:val="0"/>
            <w:vAlign w:val="center"/>
          </w:tcPr>
          <w:p w14:paraId="75F93025">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4314C832">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系统权限管理</w:t>
            </w:r>
          </w:p>
        </w:tc>
        <w:tc>
          <w:tcPr>
            <w:tcW w:w="3445" w:type="pct"/>
            <w:tcBorders>
              <w:top w:val="nil"/>
              <w:left w:val="nil"/>
              <w:bottom w:val="single" w:color="auto" w:sz="4" w:space="0"/>
              <w:right w:val="single" w:color="auto" w:sz="4" w:space="0"/>
            </w:tcBorders>
            <w:noWrap w:val="0"/>
            <w:vAlign w:val="center"/>
          </w:tcPr>
          <w:p w14:paraId="026725A4">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1.2.1 组织管理员信息维护，组织管理员的添加、删除、搜索；</w:t>
            </w:r>
          </w:p>
          <w:p w14:paraId="017EAB70">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1.2.2 业务功能权限和数据权限配置：按照部门、岗位、职务等多维度授权，员工人事调整自动授予/解决权限；临时授权，设置角色有效时间，到期自动解除；按授权对象、应用和状态查询角色权限；权限分组的新增、编辑、删除；角色的新增、编辑、删除、导入和导出。</w:t>
            </w:r>
          </w:p>
        </w:tc>
      </w:tr>
      <w:tr w14:paraId="2D9CB940">
        <w:tblPrEx>
          <w:tblCellMar>
            <w:top w:w="0" w:type="dxa"/>
            <w:left w:w="108" w:type="dxa"/>
            <w:bottom w:w="0" w:type="dxa"/>
            <w:right w:w="108" w:type="dxa"/>
          </w:tblCellMar>
        </w:tblPrEx>
        <w:trPr>
          <w:trHeight w:val="2170" w:hRule="atLeast"/>
        </w:trPr>
        <w:tc>
          <w:tcPr>
            <w:tcW w:w="390" w:type="pct"/>
            <w:tcBorders>
              <w:top w:val="nil"/>
              <w:left w:val="single" w:color="auto" w:sz="4" w:space="0"/>
              <w:bottom w:val="single" w:color="auto" w:sz="4" w:space="0"/>
              <w:right w:val="single" w:color="auto" w:sz="4" w:space="0"/>
            </w:tcBorders>
            <w:noWrap/>
            <w:vAlign w:val="center"/>
          </w:tcPr>
          <w:p w14:paraId="23A464B8">
            <w:pPr>
              <w:widowControl/>
              <w:spacing w:after="0"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1.</w:t>
            </w:r>
            <w:r>
              <w:rPr>
                <w:rFonts w:hint="eastAsia" w:ascii="仿宋" w:hAnsi="仿宋" w:eastAsia="仿宋" w:cs="仿宋"/>
                <w:color w:val="000000"/>
                <w:kern w:val="0"/>
                <w:sz w:val="24"/>
                <w:szCs w:val="24"/>
                <w:highlight w:val="none"/>
              </w:rPr>
              <w:t>3</w:t>
            </w:r>
          </w:p>
        </w:tc>
        <w:tc>
          <w:tcPr>
            <w:tcW w:w="455" w:type="pct"/>
            <w:vMerge w:val="continue"/>
            <w:tcBorders>
              <w:left w:val="single" w:color="auto" w:sz="4" w:space="0"/>
              <w:right w:val="single" w:color="auto" w:sz="4" w:space="0"/>
            </w:tcBorders>
            <w:noWrap w:val="0"/>
            <w:vAlign w:val="center"/>
          </w:tcPr>
          <w:p w14:paraId="52BC65C7">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2CB4DF39">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用户管理</w:t>
            </w:r>
          </w:p>
        </w:tc>
        <w:tc>
          <w:tcPr>
            <w:tcW w:w="3445" w:type="pct"/>
            <w:tcBorders>
              <w:top w:val="nil"/>
              <w:left w:val="nil"/>
              <w:bottom w:val="single" w:color="auto" w:sz="4" w:space="0"/>
              <w:right w:val="single" w:color="auto" w:sz="4" w:space="0"/>
            </w:tcBorders>
            <w:noWrap w:val="0"/>
            <w:vAlign w:val="center"/>
          </w:tcPr>
          <w:p w14:paraId="6A06B64B">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1.3.1 用户登录：用户登录及找回密码相关功能；</w:t>
            </w:r>
          </w:p>
          <w:p w14:paraId="0714E66F">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1.3.2 用户管理：用户的编辑、查看、数据权限按空间分配；用户账号的启用或禁用；用户密码的重置；支持用户密码的重置。</w:t>
            </w:r>
          </w:p>
        </w:tc>
      </w:tr>
      <w:tr w14:paraId="62639D72">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2CCECD76">
            <w:pPr>
              <w:widowControl/>
              <w:spacing w:after="0"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lang w:val="en-US" w:eastAsia="zh-CN"/>
              </w:rPr>
              <w:t>1.</w:t>
            </w:r>
            <w:r>
              <w:rPr>
                <w:rFonts w:hint="eastAsia" w:ascii="仿宋" w:hAnsi="仿宋" w:eastAsia="仿宋" w:cs="仿宋"/>
                <w:color w:val="000000"/>
                <w:kern w:val="0"/>
                <w:sz w:val="24"/>
                <w:szCs w:val="24"/>
                <w:highlight w:val="none"/>
              </w:rPr>
              <w:t>4</w:t>
            </w:r>
          </w:p>
        </w:tc>
        <w:tc>
          <w:tcPr>
            <w:tcW w:w="455" w:type="pct"/>
            <w:vMerge w:val="continue"/>
            <w:tcBorders>
              <w:left w:val="single" w:color="auto" w:sz="4" w:space="0"/>
              <w:right w:val="single" w:color="auto" w:sz="4" w:space="0"/>
            </w:tcBorders>
            <w:noWrap w:val="0"/>
            <w:vAlign w:val="center"/>
          </w:tcPr>
          <w:p w14:paraId="1303774E">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4B1E654F">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人员管理</w:t>
            </w:r>
          </w:p>
        </w:tc>
        <w:tc>
          <w:tcPr>
            <w:tcW w:w="3445" w:type="pct"/>
            <w:tcBorders>
              <w:top w:val="nil"/>
              <w:left w:val="nil"/>
              <w:bottom w:val="single" w:color="auto" w:sz="4" w:space="0"/>
              <w:right w:val="single" w:color="auto" w:sz="4" w:space="0"/>
            </w:tcBorders>
            <w:noWrap w:val="0"/>
            <w:vAlign w:val="center"/>
          </w:tcPr>
          <w:p w14:paraId="093016BA">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1.4.1 人事数据管理：部门、岗位、职务、资质、标签管理，对人员基础信息、工作信息、业务专业信息、资质信息、教育信息进行管理；</w:t>
            </w:r>
          </w:p>
          <w:p w14:paraId="7D950EE3">
            <w:pPr>
              <w:numPr>
                <w:ilvl w:val="0"/>
                <w:numId w:val="0"/>
              </w:numPr>
              <w:spacing w:line="360" w:lineRule="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★1.4.2 资质管理：可设置资质的到期提醒人，设置部门主管或直属上级为提醒人，进一步实现对人员的精细化管理与监督；</w:t>
            </w:r>
          </w:p>
          <w:p w14:paraId="27F5E34A">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1.4.3 入/离职管理：入职新增、编辑、查看、取消入职、调整入职日期、批量导入、确认入职等功能；对离职员工的编辑、查看、撤销离职、调整离职信息、确认离职等操作；多条件查询功能，可按姓名、工号、手机号、预计入/离职日期等维度快速筛选员工信息；对已取消入职或已离职的员工，删除、恢复或重新入职操作，实现人员生命周期的全流程数字化管理与追溯；</w:t>
            </w:r>
          </w:p>
          <w:p w14:paraId="7FDBBB20">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1.4.4 科室通讯录管理：管理科室通讯录；</w:t>
            </w:r>
          </w:p>
          <w:p w14:paraId="116F50E0">
            <w:pPr>
              <w:widowControl/>
              <w:spacing w:after="0" w:line="360" w:lineRule="auto"/>
              <w:jc w:val="left"/>
              <w:rPr>
                <w:rFonts w:hint="default" w:ascii="仿宋" w:hAnsi="仿宋" w:eastAsia="仿宋" w:cs="仿宋"/>
                <w:color w:val="000000"/>
                <w:kern w:val="0"/>
                <w:sz w:val="24"/>
                <w:szCs w:val="24"/>
                <w:highlight w:val="none"/>
                <w:lang w:val="en-US"/>
              </w:rPr>
            </w:pPr>
            <w:r>
              <w:rPr>
                <w:rFonts w:hint="eastAsia" w:ascii="仿宋" w:hAnsi="仿宋" w:eastAsia="仿宋" w:cs="仿宋"/>
                <w:sz w:val="24"/>
                <w:szCs w:val="24"/>
                <w:highlight w:val="none"/>
                <w:lang w:val="en-US" w:eastAsia="zh-CN"/>
              </w:rPr>
              <w:t>1.4.5 支持医院人力资源管理系统数据批量导入及实时接收更新。</w:t>
            </w:r>
          </w:p>
        </w:tc>
      </w:tr>
      <w:tr w14:paraId="1394736B">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162DAC1D">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1.5</w:t>
            </w:r>
          </w:p>
        </w:tc>
        <w:tc>
          <w:tcPr>
            <w:tcW w:w="455" w:type="pct"/>
            <w:vMerge w:val="continue"/>
            <w:tcBorders>
              <w:left w:val="single" w:color="auto" w:sz="4" w:space="0"/>
              <w:right w:val="single" w:color="auto" w:sz="4" w:space="0"/>
            </w:tcBorders>
            <w:noWrap w:val="0"/>
            <w:vAlign w:val="center"/>
          </w:tcPr>
          <w:p w14:paraId="26671406">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518A7018">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空间管理</w:t>
            </w:r>
          </w:p>
        </w:tc>
        <w:tc>
          <w:tcPr>
            <w:tcW w:w="3445" w:type="pct"/>
            <w:tcBorders>
              <w:top w:val="nil"/>
              <w:left w:val="nil"/>
              <w:bottom w:val="single" w:color="auto" w:sz="4" w:space="0"/>
              <w:right w:val="single" w:color="auto" w:sz="4" w:space="0"/>
            </w:tcBorders>
            <w:noWrap w:val="0"/>
            <w:vAlign w:val="center"/>
          </w:tcPr>
          <w:p w14:paraId="1FCAB3B8">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 空间信息管理：全院空间信息管理，包括院区、建筑、楼层、房间等空间对象，空间唯一编码及二维码打印；医院根据自身管理要求更新空间数据，包括空间信息管理、空间用途、空间责任部门等；空间资产卡片自由编辑、打印、导出；</w:t>
            </w:r>
          </w:p>
          <w:p w14:paraId="564B5765">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1.5.2 空间分配：按照空间不同业务用途，分配责任科室；</w:t>
            </w:r>
          </w:p>
          <w:p w14:paraId="4DDEDC47">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1.5.3 支持空间信息数据及时更新至医院其他信息系统。</w:t>
            </w:r>
          </w:p>
        </w:tc>
      </w:tr>
      <w:tr w14:paraId="5ED30096">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5A34B063">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1.6</w:t>
            </w:r>
          </w:p>
        </w:tc>
        <w:tc>
          <w:tcPr>
            <w:tcW w:w="455" w:type="pct"/>
            <w:vMerge w:val="continue"/>
            <w:tcBorders>
              <w:left w:val="single" w:color="auto" w:sz="4" w:space="0"/>
              <w:right w:val="single" w:color="auto" w:sz="4" w:space="0"/>
            </w:tcBorders>
            <w:noWrap w:val="0"/>
            <w:vAlign w:val="center"/>
          </w:tcPr>
          <w:p w14:paraId="6966ABED">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44FDAE4C">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流程中心</w:t>
            </w:r>
          </w:p>
          <w:p w14:paraId="05C88CE5">
            <w:pPr>
              <w:numPr>
                <w:ilvl w:val="0"/>
                <w:numId w:val="0"/>
              </w:numPr>
              <w:spacing w:line="360" w:lineRule="auto"/>
              <w:rPr>
                <w:rFonts w:hint="eastAsia" w:ascii="仿宋" w:hAnsi="仿宋" w:eastAsia="仿宋" w:cs="仿宋"/>
                <w:sz w:val="24"/>
                <w:szCs w:val="24"/>
                <w:highlight w:val="none"/>
                <w:lang w:val="en-US" w:eastAsia="zh-CN"/>
              </w:rPr>
            </w:pPr>
          </w:p>
        </w:tc>
        <w:tc>
          <w:tcPr>
            <w:tcW w:w="3445" w:type="pct"/>
            <w:tcBorders>
              <w:top w:val="nil"/>
              <w:left w:val="nil"/>
              <w:bottom w:val="single" w:color="auto" w:sz="4" w:space="0"/>
              <w:right w:val="single" w:color="auto" w:sz="4" w:space="0"/>
            </w:tcBorders>
            <w:noWrap w:val="0"/>
            <w:vAlign w:val="center"/>
          </w:tcPr>
          <w:p w14:paraId="4A76195D">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1.6.1 表单管理：流程表单的全生命周期管理，可对表单进行新增、编辑、删除、启用、禁用、搜索、导入和导出等操作；自定义表单设计，可通过拖拽方式自由布局控件，灵活定义表单结构；系统提供多种类型控件，包括单行文本、多行文本、说明、数字、单选、多选、图片、视频、附件、部门、人员等；手机视图与电脑视图的双端布局；</w:t>
            </w:r>
          </w:p>
          <w:p w14:paraId="7A0B96C3">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1.6.2 流程管理：对流程的全程管理与自定义绘制，可进行流程的新增、编辑、删除、启用、禁用、搜索、导入、导出等操作；任务节点和分支节点多维度操作人设置，包括设置任务处理人（执行人/抄送人）等；消息推送动态配置；节点表单字段动态配置；超时自动处理；</w:t>
            </w:r>
          </w:p>
          <w:p w14:paraId="2C293BFD">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1.6.3 流程监控：对流程实例的全过程监控与干预，可实时查询平台内所有流程实例；对异常流程进行干预，包括重试（系统报错场景）、调整执行人（员工离职场景）；系统提供详细的流程日志记录，可直观查看各节点的执行情况。</w:t>
            </w:r>
          </w:p>
        </w:tc>
      </w:tr>
      <w:tr w14:paraId="39F1E60D">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49BD022C">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1.7</w:t>
            </w:r>
          </w:p>
        </w:tc>
        <w:tc>
          <w:tcPr>
            <w:tcW w:w="455" w:type="pct"/>
            <w:vMerge w:val="continue"/>
            <w:tcBorders>
              <w:left w:val="single" w:color="auto" w:sz="4" w:space="0"/>
              <w:right w:val="single" w:color="auto" w:sz="4" w:space="0"/>
            </w:tcBorders>
            <w:noWrap w:val="0"/>
            <w:vAlign w:val="center"/>
          </w:tcPr>
          <w:p w14:paraId="2A610C25">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7B71C0F9">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数据中台</w:t>
            </w:r>
          </w:p>
        </w:tc>
        <w:tc>
          <w:tcPr>
            <w:tcW w:w="3445" w:type="pct"/>
            <w:tcBorders>
              <w:top w:val="nil"/>
              <w:left w:val="nil"/>
              <w:bottom w:val="single" w:color="auto" w:sz="4" w:space="0"/>
              <w:right w:val="single" w:color="auto" w:sz="4" w:space="0"/>
            </w:tcBorders>
            <w:noWrap w:val="0"/>
            <w:vAlign w:val="center"/>
          </w:tcPr>
          <w:p w14:paraId="244EFEF9">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1.7.1 数据源：连接本地文件和多种数据库获取分析数据源；</w:t>
            </w:r>
          </w:p>
          <w:p w14:paraId="545B6C6C">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1.7.2 数据集：对数据源表进行处理，形成数据集，用于后续的可视化分析，同时可对对数据集进行管理，包括新增、编辑、删除等；</w:t>
            </w:r>
          </w:p>
          <w:p w14:paraId="2F6A1F03">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1.7.3 数据指标：创建和管理数据指标体系，为各指标配置可视化图表，查看监控指标的变化；</w:t>
            </w:r>
          </w:p>
          <w:p w14:paraId="31E645BD">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1.7.4 数据报表：通过点击、拖拽等方式，创建柱状图、饼状图、表格等不同的可视化图表；数据报表可灵活配置，不少于20个的分析图表；支持图表钻取、联动等高级分析能力；</w:t>
            </w:r>
          </w:p>
          <w:p w14:paraId="329FED8F">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b/>
                <w:bCs/>
                <w:sz w:val="24"/>
                <w:szCs w:val="24"/>
                <w:highlight w:val="none"/>
                <w:lang w:val="en-US" w:eastAsia="zh-CN"/>
              </w:rPr>
              <w:t>★1.7.5 数据报告：通过模板配置的方式创建周期性word报告，支持灵活配置数据报告，并以WORD的形式进行导出。</w:t>
            </w:r>
          </w:p>
        </w:tc>
      </w:tr>
      <w:tr w14:paraId="5C7BB061">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20122EA3">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1.8</w:t>
            </w:r>
          </w:p>
        </w:tc>
        <w:tc>
          <w:tcPr>
            <w:tcW w:w="455" w:type="pct"/>
            <w:vMerge w:val="continue"/>
            <w:tcBorders>
              <w:left w:val="single" w:color="auto" w:sz="4" w:space="0"/>
              <w:right w:val="single" w:color="auto" w:sz="4" w:space="0"/>
            </w:tcBorders>
            <w:noWrap w:val="0"/>
            <w:vAlign w:val="center"/>
          </w:tcPr>
          <w:p w14:paraId="5D74DD1D">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2AF262CC">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物联平台</w:t>
            </w:r>
          </w:p>
        </w:tc>
        <w:tc>
          <w:tcPr>
            <w:tcW w:w="3445" w:type="pct"/>
            <w:tcBorders>
              <w:top w:val="nil"/>
              <w:left w:val="nil"/>
              <w:bottom w:val="single" w:color="auto" w:sz="4" w:space="0"/>
              <w:right w:val="single" w:color="auto" w:sz="4" w:space="0"/>
            </w:tcBorders>
            <w:noWrap w:val="0"/>
            <w:vAlign w:val="center"/>
          </w:tcPr>
          <w:p w14:paraId="5759F1B0">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1.8.1 设备对接：平台支持多种主流物联网协议的对接，包括OPC UA、BACnet、MQTT、HTTP/HTTPS等，具备新接入设备的兼容性与扩展性；</w:t>
            </w:r>
          </w:p>
          <w:p w14:paraId="0CBFAF82">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1.8.2 物联网设备管理：提供设备信息、型号、运行状态及参数的集中维护与监控；</w:t>
            </w:r>
          </w:p>
          <w:p w14:paraId="01A4F9ED">
            <w:pPr>
              <w:widowControl/>
              <w:spacing w:after="0" w:line="360" w:lineRule="auto"/>
              <w:jc w:val="left"/>
              <w:rPr>
                <w:rFonts w:hint="default" w:ascii="仿宋" w:hAnsi="仿宋" w:eastAsia="仿宋" w:cs="仿宋"/>
                <w:sz w:val="24"/>
                <w:szCs w:val="24"/>
                <w:highlight w:val="none"/>
                <w:lang w:val="en-US" w:eastAsia="zh-CN"/>
              </w:rPr>
            </w:pPr>
            <w:r>
              <w:rPr>
                <w:rFonts w:hint="eastAsia" w:ascii="仿宋" w:hAnsi="仿宋" w:eastAsia="仿宋" w:cs="仿宋"/>
                <w:b/>
                <w:bCs/>
                <w:sz w:val="24"/>
                <w:szCs w:val="24"/>
                <w:highlight w:val="none"/>
                <w:lang w:val="en-US" w:eastAsia="zh-CN"/>
              </w:rPr>
              <w:t>★1.8.3 告警管理：越限告警、开关量告警、事件告警及设备离线等多种告警类型设置。</w:t>
            </w:r>
          </w:p>
        </w:tc>
      </w:tr>
      <w:tr w14:paraId="4246E6B1">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60A60B7D">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1.9</w:t>
            </w:r>
          </w:p>
        </w:tc>
        <w:tc>
          <w:tcPr>
            <w:tcW w:w="455" w:type="pct"/>
            <w:vMerge w:val="continue"/>
            <w:tcBorders>
              <w:left w:val="single" w:color="auto" w:sz="4" w:space="0"/>
              <w:right w:val="single" w:color="auto" w:sz="4" w:space="0"/>
            </w:tcBorders>
            <w:noWrap w:val="0"/>
            <w:vAlign w:val="center"/>
          </w:tcPr>
          <w:p w14:paraId="13393E9D">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73D1A915">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设备设施管理</w:t>
            </w:r>
          </w:p>
        </w:tc>
        <w:tc>
          <w:tcPr>
            <w:tcW w:w="3445" w:type="pct"/>
            <w:tcBorders>
              <w:top w:val="nil"/>
              <w:left w:val="nil"/>
              <w:bottom w:val="single" w:color="auto" w:sz="4" w:space="0"/>
              <w:right w:val="single" w:color="auto" w:sz="4" w:space="0"/>
            </w:tcBorders>
            <w:noWrap w:val="0"/>
            <w:vAlign w:val="center"/>
          </w:tcPr>
          <w:p w14:paraId="40D757EA">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1.9.1 设备设施管理：设备类别管理、设备供应商管理、设备责任人管理、设备管理；</w:t>
            </w:r>
          </w:p>
          <w:p w14:paraId="7E6B0043">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1.9.2 数据汇总：提供各类设备设施数据汇总展示。</w:t>
            </w:r>
          </w:p>
        </w:tc>
      </w:tr>
      <w:tr w14:paraId="0956D94E">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0868AC9F">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1.10</w:t>
            </w:r>
          </w:p>
        </w:tc>
        <w:tc>
          <w:tcPr>
            <w:tcW w:w="455" w:type="pct"/>
            <w:vMerge w:val="continue"/>
            <w:tcBorders>
              <w:left w:val="single" w:color="auto" w:sz="4" w:space="0"/>
              <w:right w:val="single" w:color="auto" w:sz="4" w:space="0"/>
            </w:tcBorders>
            <w:noWrap w:val="0"/>
            <w:vAlign w:val="center"/>
          </w:tcPr>
          <w:p w14:paraId="6319F1E6">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495D0329">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驾驶舱</w:t>
            </w:r>
          </w:p>
        </w:tc>
        <w:tc>
          <w:tcPr>
            <w:tcW w:w="3445" w:type="pct"/>
            <w:tcBorders>
              <w:top w:val="nil"/>
              <w:left w:val="nil"/>
              <w:bottom w:val="single" w:color="auto" w:sz="4" w:space="0"/>
              <w:right w:val="single" w:color="auto" w:sz="4" w:space="0"/>
            </w:tcBorders>
            <w:noWrap w:val="0"/>
            <w:vAlign w:val="center"/>
          </w:tcPr>
          <w:p w14:paraId="48F746C8">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根据用户角色权限展示单个或多院区项目切换浏览使用；各类基础形状、图形、指标卡、列表、动态面板等组件的个性化展示；组件自由组合、拖拽布局、样式调整；各类图表组件，包括柱状图、柱状堆叠图、折线图、面积图、饼图环图、雷达图、桑基图、进度条、日历等多种显示方式，交互联动的个性化展示；图表下钻、弹出详细信息及跨页面交互；实时、历史及静态数据按时间维度筛选展示。</w:t>
            </w:r>
          </w:p>
        </w:tc>
      </w:tr>
      <w:tr w14:paraId="50DB64ED">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111BB9EC">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1.11</w:t>
            </w:r>
          </w:p>
        </w:tc>
        <w:tc>
          <w:tcPr>
            <w:tcW w:w="455" w:type="pct"/>
            <w:vMerge w:val="continue"/>
            <w:tcBorders>
              <w:left w:val="single" w:color="auto" w:sz="4" w:space="0"/>
              <w:bottom w:val="single" w:color="auto" w:sz="4" w:space="0"/>
              <w:right w:val="single" w:color="auto" w:sz="4" w:space="0"/>
            </w:tcBorders>
            <w:noWrap w:val="0"/>
            <w:vAlign w:val="center"/>
          </w:tcPr>
          <w:p w14:paraId="6823F3C5">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07F1EAC4">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基本考核单元（科室）管理</w:t>
            </w:r>
          </w:p>
        </w:tc>
        <w:tc>
          <w:tcPr>
            <w:tcW w:w="3445" w:type="pct"/>
            <w:tcBorders>
              <w:top w:val="nil"/>
              <w:left w:val="nil"/>
              <w:bottom w:val="single" w:color="auto" w:sz="4" w:space="0"/>
              <w:right w:val="single" w:color="auto" w:sz="4" w:space="0"/>
            </w:tcBorders>
            <w:noWrap w:val="0"/>
            <w:vAlign w:val="center"/>
          </w:tcPr>
          <w:p w14:paraId="21DCCAD6">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可自定义考核单元，实现空间、人员、资源等数据关联，支持与医院财务管理相关系统实现对接</w:t>
            </w:r>
          </w:p>
        </w:tc>
      </w:tr>
      <w:tr w14:paraId="38221879">
        <w:tblPrEx>
          <w:tblCellMar>
            <w:top w:w="0" w:type="dxa"/>
            <w:left w:w="108" w:type="dxa"/>
            <w:bottom w:w="0" w:type="dxa"/>
            <w:right w:w="108" w:type="dxa"/>
          </w:tblCellMar>
        </w:tblPrEx>
        <w:trPr>
          <w:trHeight w:val="810" w:hRule="atLeast"/>
        </w:trPr>
        <w:tc>
          <w:tcPr>
            <w:tcW w:w="390" w:type="pct"/>
            <w:tcBorders>
              <w:top w:val="nil"/>
              <w:left w:val="single" w:color="auto" w:sz="4" w:space="0"/>
              <w:bottom w:val="single" w:color="auto" w:sz="4" w:space="0"/>
              <w:right w:val="single" w:color="auto" w:sz="4" w:space="0"/>
            </w:tcBorders>
            <w:noWrap/>
            <w:vAlign w:val="center"/>
          </w:tcPr>
          <w:p w14:paraId="730F73DC">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2.1</w:t>
            </w:r>
          </w:p>
        </w:tc>
        <w:tc>
          <w:tcPr>
            <w:tcW w:w="455" w:type="pct"/>
            <w:vMerge w:val="restart"/>
            <w:tcBorders>
              <w:top w:val="nil"/>
              <w:left w:val="single" w:color="auto" w:sz="4" w:space="0"/>
              <w:bottom w:val="single" w:color="auto" w:sz="4" w:space="0"/>
              <w:right w:val="single" w:color="auto" w:sz="4" w:space="0"/>
            </w:tcBorders>
            <w:noWrap/>
            <w:vAlign w:val="center"/>
          </w:tcPr>
          <w:p w14:paraId="171BCF73">
            <w:pPr>
              <w:widowControl/>
              <w:spacing w:after="0"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能源管理</w:t>
            </w:r>
          </w:p>
        </w:tc>
        <w:tc>
          <w:tcPr>
            <w:tcW w:w="709" w:type="pct"/>
            <w:tcBorders>
              <w:top w:val="nil"/>
              <w:left w:val="nil"/>
              <w:bottom w:val="single" w:color="auto" w:sz="4" w:space="0"/>
              <w:right w:val="single" w:color="auto" w:sz="4" w:space="0"/>
            </w:tcBorders>
            <w:noWrap w:val="0"/>
            <w:vAlign w:val="center"/>
          </w:tcPr>
          <w:p w14:paraId="11310297">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能流图</w:t>
            </w:r>
          </w:p>
        </w:tc>
        <w:tc>
          <w:tcPr>
            <w:tcW w:w="3445" w:type="pct"/>
            <w:tcBorders>
              <w:top w:val="nil"/>
              <w:left w:val="nil"/>
              <w:bottom w:val="single" w:color="auto" w:sz="4" w:space="0"/>
              <w:right w:val="single" w:color="auto" w:sz="4" w:space="0"/>
            </w:tcBorders>
            <w:noWrap w:val="0"/>
            <w:vAlign w:val="center"/>
          </w:tcPr>
          <w:p w14:paraId="5C76BAD0">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2.1.1 具备能流图功能，对水、电、燃气的能源流向及用能统计进行展示，支持纵向图形化数据的查询，直观展示能源在各区域、科室及用能类型之间的流向情况；</w:t>
            </w:r>
          </w:p>
          <w:p w14:paraId="0A75F5C0">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2.1.2 按照区域树、业态树、支路树进行筛选。</w:t>
            </w:r>
          </w:p>
        </w:tc>
      </w:tr>
      <w:tr w14:paraId="78425CFA">
        <w:tblPrEx>
          <w:tblCellMar>
            <w:top w:w="0" w:type="dxa"/>
            <w:left w:w="108" w:type="dxa"/>
            <w:bottom w:w="0" w:type="dxa"/>
            <w:right w:w="108" w:type="dxa"/>
          </w:tblCellMar>
        </w:tblPrEx>
        <w:trPr>
          <w:trHeight w:val="810" w:hRule="atLeast"/>
        </w:trPr>
        <w:tc>
          <w:tcPr>
            <w:tcW w:w="390" w:type="pct"/>
            <w:tcBorders>
              <w:top w:val="nil"/>
              <w:left w:val="single" w:color="auto" w:sz="4" w:space="0"/>
              <w:bottom w:val="single" w:color="auto" w:sz="4" w:space="0"/>
              <w:right w:val="single" w:color="auto" w:sz="4" w:space="0"/>
            </w:tcBorders>
            <w:noWrap/>
            <w:vAlign w:val="center"/>
          </w:tcPr>
          <w:p w14:paraId="7D0C5D3A">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2.2</w:t>
            </w:r>
          </w:p>
        </w:tc>
        <w:tc>
          <w:tcPr>
            <w:tcW w:w="455" w:type="pct"/>
            <w:vMerge w:val="continue"/>
            <w:tcBorders>
              <w:top w:val="nil"/>
              <w:left w:val="single" w:color="auto" w:sz="4" w:space="0"/>
              <w:bottom w:val="single" w:color="auto" w:sz="4" w:space="0"/>
              <w:right w:val="single" w:color="auto" w:sz="4" w:space="0"/>
            </w:tcBorders>
            <w:noWrap w:val="0"/>
            <w:vAlign w:val="center"/>
          </w:tcPr>
          <w:p w14:paraId="10E97581">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72C64203">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能耗门户</w:t>
            </w:r>
          </w:p>
        </w:tc>
        <w:tc>
          <w:tcPr>
            <w:tcW w:w="3445" w:type="pct"/>
            <w:tcBorders>
              <w:top w:val="nil"/>
              <w:left w:val="nil"/>
              <w:bottom w:val="single" w:color="auto" w:sz="4" w:space="0"/>
              <w:right w:val="single" w:color="auto" w:sz="4" w:space="0"/>
            </w:tcBorders>
            <w:noWrap w:val="0"/>
            <w:vAlign w:val="center"/>
          </w:tcPr>
          <w:p w14:paraId="60E63D1B">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提供可配置的首页，展示医院各项能耗指标概况，支持组件自由组合，包括项目概览、能耗KPI仪表盘、能耗排名、重点区域用能、成本分析、告警分析、单位面积能耗排名。</w:t>
            </w:r>
          </w:p>
        </w:tc>
      </w:tr>
      <w:tr w14:paraId="79C4356B">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0509057A">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2.3</w:t>
            </w:r>
          </w:p>
        </w:tc>
        <w:tc>
          <w:tcPr>
            <w:tcW w:w="455" w:type="pct"/>
            <w:vMerge w:val="continue"/>
            <w:tcBorders>
              <w:top w:val="nil"/>
              <w:left w:val="single" w:color="auto" w:sz="4" w:space="0"/>
              <w:bottom w:val="single" w:color="auto" w:sz="4" w:space="0"/>
              <w:right w:val="single" w:color="auto" w:sz="4" w:space="0"/>
            </w:tcBorders>
            <w:noWrap w:val="0"/>
            <w:vAlign w:val="center"/>
          </w:tcPr>
          <w:p w14:paraId="402E61A5">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3A07A97E">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能耗详情</w:t>
            </w:r>
          </w:p>
        </w:tc>
        <w:tc>
          <w:tcPr>
            <w:tcW w:w="3445" w:type="pct"/>
            <w:tcBorders>
              <w:top w:val="nil"/>
              <w:left w:val="nil"/>
              <w:bottom w:val="single" w:color="auto" w:sz="4" w:space="0"/>
              <w:right w:val="single" w:color="auto" w:sz="4" w:space="0"/>
            </w:tcBorders>
            <w:noWrap w:val="0"/>
            <w:vAlign w:val="center"/>
          </w:tcPr>
          <w:p w14:paraId="1E46BA67">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2.3.1 提供对可设时间段的能耗分析，提供快捷时间查询，如今天、本周、本月；</w:t>
            </w:r>
          </w:p>
          <w:p w14:paraId="7BACED91">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2.3.2 提供对可设区域的能耗分析，比如对院区、建筑、楼层、区域、房间的能耗分析；</w:t>
            </w:r>
          </w:p>
          <w:p w14:paraId="38B6107F">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2.3.3 支持分析下级能耗数据，可分析下属位置区域/功能区域的能耗组成，可分析能源分项的能耗组成；</w:t>
            </w:r>
          </w:p>
          <w:p w14:paraId="55A62198">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2.3.4 提供对已识别能源分类的能耗分析，提供对已识别能源分项的分析；</w:t>
            </w:r>
          </w:p>
          <w:p w14:paraId="5EF5FE6A">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2.3.5 能耗分析展现形式同时支持柱状图、表格方式；</w:t>
            </w:r>
          </w:p>
          <w:p w14:paraId="5D6D6C39">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2.3.6 分析的数据可以导出；</w:t>
            </w:r>
          </w:p>
          <w:p w14:paraId="221FACBE">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2.3.7 提供算术统计分析，统计分析对象的总能耗值、同比值百分比、环比值百分比、最大值、最小值、平均值；</w:t>
            </w:r>
          </w:p>
          <w:p w14:paraId="1B3285A1">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2.3.8 提供同比、环比分析，可分析能耗同比值、环比值；</w:t>
            </w:r>
          </w:p>
          <w:p w14:paraId="59AC34A9">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b/>
                <w:bCs/>
                <w:sz w:val="24"/>
                <w:szCs w:val="24"/>
                <w:highlight w:val="none"/>
                <w:lang w:val="en-US" w:eastAsia="zh-CN"/>
              </w:rPr>
              <w:t>★2.3.9 支持能耗的钻取分析，向下级节点及末端节点下钻分析能耗，并可查看节点所挂设备的能耗明细。</w:t>
            </w:r>
          </w:p>
        </w:tc>
      </w:tr>
      <w:tr w14:paraId="21DCE5AD">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1B11C69C">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2.4</w:t>
            </w:r>
          </w:p>
        </w:tc>
        <w:tc>
          <w:tcPr>
            <w:tcW w:w="455" w:type="pct"/>
            <w:tcBorders>
              <w:top w:val="nil"/>
              <w:left w:val="single" w:color="auto" w:sz="4" w:space="0"/>
              <w:bottom w:val="single" w:color="auto" w:sz="4" w:space="0"/>
              <w:right w:val="single" w:color="auto" w:sz="4" w:space="0"/>
            </w:tcBorders>
            <w:noWrap w:val="0"/>
            <w:vAlign w:val="center"/>
          </w:tcPr>
          <w:p w14:paraId="6F75DA1E">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521FF20B">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能耗统计</w:t>
            </w:r>
          </w:p>
        </w:tc>
        <w:tc>
          <w:tcPr>
            <w:tcW w:w="3445" w:type="pct"/>
            <w:tcBorders>
              <w:top w:val="nil"/>
              <w:left w:val="nil"/>
              <w:bottom w:val="single" w:color="auto" w:sz="4" w:space="0"/>
              <w:right w:val="single" w:color="auto" w:sz="4" w:space="0"/>
            </w:tcBorders>
            <w:noWrap w:val="0"/>
            <w:vAlign w:val="center"/>
          </w:tcPr>
          <w:p w14:paraId="3C5588F5">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按年、月、日等不同时间维度查询能耗数据，能够查看选中节点及其下级节点的能耗占比和排名情况</w:t>
            </w:r>
          </w:p>
        </w:tc>
      </w:tr>
      <w:tr w14:paraId="1627A2F5">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2456A37E">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2.5</w:t>
            </w:r>
          </w:p>
        </w:tc>
        <w:tc>
          <w:tcPr>
            <w:tcW w:w="455" w:type="pct"/>
            <w:tcBorders>
              <w:top w:val="nil"/>
              <w:left w:val="single" w:color="auto" w:sz="4" w:space="0"/>
              <w:bottom w:val="single" w:color="auto" w:sz="4" w:space="0"/>
              <w:right w:val="single" w:color="auto" w:sz="4" w:space="0"/>
            </w:tcBorders>
            <w:noWrap w:val="0"/>
            <w:vAlign w:val="center"/>
          </w:tcPr>
          <w:p w14:paraId="722B2EDB">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2EBD932B">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能耗偏差分析</w:t>
            </w:r>
          </w:p>
        </w:tc>
        <w:tc>
          <w:tcPr>
            <w:tcW w:w="3445" w:type="pct"/>
            <w:tcBorders>
              <w:top w:val="nil"/>
              <w:left w:val="nil"/>
              <w:bottom w:val="single" w:color="auto" w:sz="4" w:space="0"/>
              <w:right w:val="single" w:color="auto" w:sz="4" w:space="0"/>
            </w:tcBorders>
            <w:noWrap w:val="0"/>
            <w:vAlign w:val="center"/>
          </w:tcPr>
          <w:p w14:paraId="0F48C9F2">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2.5.1 支持通过能耗分析算法自动识别计量表具的基准能耗，每日对比实际能耗与基准值，发现偏差；</w:t>
            </w:r>
          </w:p>
          <w:p w14:paraId="62BEECD4">
            <w:pPr>
              <w:widowControl/>
              <w:spacing w:after="0" w:line="36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2.5.2 支持结果查询、基准配置及问题记录。</w:t>
            </w:r>
          </w:p>
        </w:tc>
      </w:tr>
      <w:tr w14:paraId="4A91F05D">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2EB3983F">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2.6</w:t>
            </w:r>
          </w:p>
        </w:tc>
        <w:tc>
          <w:tcPr>
            <w:tcW w:w="455" w:type="pct"/>
            <w:tcBorders>
              <w:top w:val="nil"/>
              <w:left w:val="single" w:color="auto" w:sz="4" w:space="0"/>
              <w:bottom w:val="single" w:color="auto" w:sz="4" w:space="0"/>
              <w:right w:val="single" w:color="auto" w:sz="4" w:space="0"/>
            </w:tcBorders>
            <w:noWrap w:val="0"/>
            <w:vAlign w:val="center"/>
          </w:tcPr>
          <w:p w14:paraId="78E74314">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0E3FC151">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非工作时间节能</w:t>
            </w:r>
          </w:p>
        </w:tc>
        <w:tc>
          <w:tcPr>
            <w:tcW w:w="3445" w:type="pct"/>
            <w:tcBorders>
              <w:top w:val="nil"/>
              <w:left w:val="nil"/>
              <w:bottom w:val="single" w:color="auto" w:sz="4" w:space="0"/>
              <w:right w:val="single" w:color="auto" w:sz="4" w:space="0"/>
            </w:tcBorders>
            <w:noWrap w:val="0"/>
            <w:vAlign w:val="center"/>
          </w:tcPr>
          <w:p w14:paraId="6AB42D70">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2.6.1 支持对昼夜比、节假日及夜间能耗的对比分析，排查科室夜间用能异常的情况，并按照昼夜比、节假日用能、夜间用能进行分别进行排名；</w:t>
            </w:r>
          </w:p>
          <w:p w14:paraId="36C59E12">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2.6.2 支持回路用电详情查询及数据导出。</w:t>
            </w:r>
          </w:p>
        </w:tc>
      </w:tr>
      <w:tr w14:paraId="65CE5451">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14C3A13B">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2.7</w:t>
            </w:r>
          </w:p>
        </w:tc>
        <w:tc>
          <w:tcPr>
            <w:tcW w:w="455" w:type="pct"/>
            <w:tcBorders>
              <w:top w:val="nil"/>
              <w:left w:val="single" w:color="auto" w:sz="4" w:space="0"/>
              <w:bottom w:val="single" w:color="auto" w:sz="4" w:space="0"/>
              <w:right w:val="single" w:color="auto" w:sz="4" w:space="0"/>
            </w:tcBorders>
            <w:noWrap w:val="0"/>
            <w:vAlign w:val="center"/>
          </w:tcPr>
          <w:p w14:paraId="5AAA4D68">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24AAFAC4">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能耗定额分析</w:t>
            </w:r>
          </w:p>
        </w:tc>
        <w:tc>
          <w:tcPr>
            <w:tcW w:w="3445" w:type="pct"/>
            <w:tcBorders>
              <w:top w:val="nil"/>
              <w:left w:val="nil"/>
              <w:bottom w:val="single" w:color="auto" w:sz="4" w:space="0"/>
              <w:right w:val="single" w:color="auto" w:sz="4" w:space="0"/>
            </w:tcBorders>
            <w:noWrap w:val="0"/>
            <w:vAlign w:val="center"/>
          </w:tcPr>
          <w:p w14:paraId="68939F9B">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2.7.1 对医院的各种能耗进行定额管理，包含对能耗KPI进行追踪；</w:t>
            </w:r>
          </w:p>
          <w:p w14:paraId="5F9F325F">
            <w:pPr>
              <w:widowControl/>
              <w:spacing w:after="0" w:line="36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2.7.2 提供每月（年）节能收益统计。</w:t>
            </w:r>
          </w:p>
        </w:tc>
      </w:tr>
      <w:tr w14:paraId="24CFBC4C">
        <w:tblPrEx>
          <w:tblCellMar>
            <w:top w:w="0" w:type="dxa"/>
            <w:left w:w="108" w:type="dxa"/>
            <w:bottom w:w="0" w:type="dxa"/>
            <w:right w:w="108" w:type="dxa"/>
          </w:tblCellMar>
        </w:tblPrEx>
        <w:trPr>
          <w:trHeight w:val="813" w:hRule="atLeast"/>
        </w:trPr>
        <w:tc>
          <w:tcPr>
            <w:tcW w:w="390" w:type="pct"/>
            <w:tcBorders>
              <w:top w:val="nil"/>
              <w:left w:val="single" w:color="auto" w:sz="4" w:space="0"/>
              <w:bottom w:val="single" w:color="auto" w:sz="4" w:space="0"/>
              <w:right w:val="single" w:color="auto" w:sz="4" w:space="0"/>
            </w:tcBorders>
            <w:noWrap/>
            <w:vAlign w:val="center"/>
          </w:tcPr>
          <w:p w14:paraId="4A21C9CF">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2.8</w:t>
            </w:r>
          </w:p>
        </w:tc>
        <w:tc>
          <w:tcPr>
            <w:tcW w:w="455" w:type="pct"/>
            <w:tcBorders>
              <w:top w:val="nil"/>
              <w:left w:val="single" w:color="auto" w:sz="4" w:space="0"/>
              <w:bottom w:val="single" w:color="auto" w:sz="4" w:space="0"/>
              <w:right w:val="single" w:color="auto" w:sz="4" w:space="0"/>
            </w:tcBorders>
            <w:noWrap w:val="0"/>
            <w:vAlign w:val="center"/>
          </w:tcPr>
          <w:p w14:paraId="4AD4432E">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4F3B76FF">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建筑能耗分析</w:t>
            </w:r>
          </w:p>
        </w:tc>
        <w:tc>
          <w:tcPr>
            <w:tcW w:w="3445" w:type="pct"/>
            <w:tcBorders>
              <w:top w:val="nil"/>
              <w:left w:val="nil"/>
              <w:bottom w:val="single" w:color="auto" w:sz="4" w:space="0"/>
              <w:right w:val="single" w:color="auto" w:sz="4" w:space="0"/>
            </w:tcBorders>
            <w:noWrap w:val="0"/>
            <w:vAlign w:val="center"/>
          </w:tcPr>
          <w:p w14:paraId="3D2C7301">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对建筑能耗进行排名、对比分析及考核，支持多对象、多时间段、多维度数据展示</w:t>
            </w:r>
          </w:p>
        </w:tc>
      </w:tr>
      <w:tr w14:paraId="5D6C8B0B">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456BA078">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2.9</w:t>
            </w:r>
          </w:p>
        </w:tc>
        <w:tc>
          <w:tcPr>
            <w:tcW w:w="455" w:type="pct"/>
            <w:tcBorders>
              <w:top w:val="nil"/>
              <w:left w:val="single" w:color="auto" w:sz="4" w:space="0"/>
              <w:bottom w:val="single" w:color="auto" w:sz="4" w:space="0"/>
              <w:right w:val="single" w:color="auto" w:sz="4" w:space="0"/>
            </w:tcBorders>
            <w:noWrap w:val="0"/>
            <w:vAlign w:val="center"/>
          </w:tcPr>
          <w:p w14:paraId="77288BDF">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71A4CC36">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科室分摊与考核</w:t>
            </w:r>
          </w:p>
        </w:tc>
        <w:tc>
          <w:tcPr>
            <w:tcW w:w="3445" w:type="pct"/>
            <w:tcBorders>
              <w:top w:val="nil"/>
              <w:left w:val="nil"/>
              <w:bottom w:val="single" w:color="auto" w:sz="4" w:space="0"/>
              <w:right w:val="single" w:color="auto" w:sz="4" w:space="0"/>
            </w:tcBorders>
            <w:noWrap w:val="0"/>
            <w:vAlign w:val="center"/>
          </w:tcPr>
          <w:p w14:paraId="6055D40C">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2.9.1 支持按单位面积、用能量等多维度进行分摊计算，并提供数据可视化展示与导出功能；</w:t>
            </w:r>
          </w:p>
          <w:p w14:paraId="60B9298B">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b/>
                <w:bCs/>
                <w:sz w:val="24"/>
                <w:szCs w:val="24"/>
                <w:highlight w:val="none"/>
                <w:lang w:val="en-US" w:eastAsia="zh-CN"/>
              </w:rPr>
              <w:t>★2.9.2 支持单位面积能耗、能耗增长率、能耗值作为考核指标</w:t>
            </w:r>
          </w:p>
        </w:tc>
      </w:tr>
      <w:tr w14:paraId="55E9A11A">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244DBF70">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2.10</w:t>
            </w:r>
          </w:p>
        </w:tc>
        <w:tc>
          <w:tcPr>
            <w:tcW w:w="455" w:type="pct"/>
            <w:tcBorders>
              <w:top w:val="nil"/>
              <w:left w:val="single" w:color="auto" w:sz="4" w:space="0"/>
              <w:bottom w:val="single" w:color="auto" w:sz="4" w:space="0"/>
              <w:right w:val="single" w:color="auto" w:sz="4" w:space="0"/>
            </w:tcBorders>
            <w:noWrap w:val="0"/>
            <w:vAlign w:val="center"/>
          </w:tcPr>
          <w:p w14:paraId="38E1B483">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6870CFC9">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科室用能排名</w:t>
            </w:r>
          </w:p>
        </w:tc>
        <w:tc>
          <w:tcPr>
            <w:tcW w:w="3445" w:type="pct"/>
            <w:tcBorders>
              <w:top w:val="nil"/>
              <w:left w:val="nil"/>
              <w:bottom w:val="single" w:color="auto" w:sz="4" w:space="0"/>
              <w:right w:val="single" w:color="auto" w:sz="4" w:space="0"/>
            </w:tcBorders>
            <w:noWrap w:val="0"/>
            <w:vAlign w:val="center"/>
          </w:tcPr>
          <w:p w14:paraId="188D56C1">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根据科室和功能区域能耗进行排序分析；支持多节点比较，通过柱状图或表格展示，数据可导出</w:t>
            </w:r>
          </w:p>
        </w:tc>
      </w:tr>
      <w:tr w14:paraId="207C1A00">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1FED2C69">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2.11</w:t>
            </w:r>
          </w:p>
        </w:tc>
        <w:tc>
          <w:tcPr>
            <w:tcW w:w="455" w:type="pct"/>
            <w:tcBorders>
              <w:top w:val="nil"/>
              <w:left w:val="single" w:color="auto" w:sz="4" w:space="0"/>
              <w:bottom w:val="single" w:color="auto" w:sz="4" w:space="0"/>
              <w:right w:val="single" w:color="auto" w:sz="4" w:space="0"/>
            </w:tcBorders>
            <w:noWrap w:val="0"/>
            <w:vAlign w:val="center"/>
          </w:tcPr>
          <w:p w14:paraId="1D20CBEF">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720A8B0E">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科室费用排名</w:t>
            </w:r>
          </w:p>
          <w:p w14:paraId="209881FD">
            <w:pPr>
              <w:numPr>
                <w:ilvl w:val="0"/>
                <w:numId w:val="0"/>
              </w:numPr>
              <w:spacing w:line="360" w:lineRule="auto"/>
              <w:rPr>
                <w:rFonts w:hint="eastAsia" w:ascii="仿宋" w:hAnsi="仿宋" w:eastAsia="仿宋" w:cs="仿宋"/>
                <w:sz w:val="24"/>
                <w:szCs w:val="24"/>
                <w:highlight w:val="none"/>
                <w:lang w:val="en-US" w:eastAsia="zh-CN"/>
              </w:rPr>
            </w:pPr>
          </w:p>
        </w:tc>
        <w:tc>
          <w:tcPr>
            <w:tcW w:w="3445" w:type="pct"/>
            <w:tcBorders>
              <w:top w:val="nil"/>
              <w:left w:val="nil"/>
              <w:bottom w:val="single" w:color="auto" w:sz="4" w:space="0"/>
              <w:right w:val="single" w:color="auto" w:sz="4" w:space="0"/>
            </w:tcBorders>
            <w:noWrap w:val="0"/>
            <w:vAlign w:val="center"/>
          </w:tcPr>
          <w:p w14:paraId="3A3360BE">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对各科室能源费用进行查询和排序分析，支持多对象对比和占比分析，报表可导出</w:t>
            </w:r>
          </w:p>
        </w:tc>
      </w:tr>
      <w:tr w14:paraId="08949311">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04F8170C">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2.12</w:t>
            </w:r>
          </w:p>
        </w:tc>
        <w:tc>
          <w:tcPr>
            <w:tcW w:w="455" w:type="pct"/>
            <w:tcBorders>
              <w:top w:val="nil"/>
              <w:left w:val="single" w:color="auto" w:sz="4" w:space="0"/>
              <w:bottom w:val="single" w:color="auto" w:sz="4" w:space="0"/>
              <w:right w:val="single" w:color="auto" w:sz="4" w:space="0"/>
            </w:tcBorders>
            <w:noWrap w:val="0"/>
            <w:vAlign w:val="center"/>
          </w:tcPr>
          <w:p w14:paraId="30DA60F5">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1DE38A63">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数据质量看板</w:t>
            </w:r>
          </w:p>
        </w:tc>
        <w:tc>
          <w:tcPr>
            <w:tcW w:w="3445" w:type="pct"/>
            <w:tcBorders>
              <w:top w:val="nil"/>
              <w:left w:val="nil"/>
              <w:bottom w:val="single" w:color="auto" w:sz="4" w:space="0"/>
              <w:right w:val="single" w:color="auto" w:sz="4" w:space="0"/>
            </w:tcBorders>
            <w:noWrap w:val="0"/>
            <w:vAlign w:val="center"/>
          </w:tcPr>
          <w:p w14:paraId="384938A9">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按日、月查看能耗回路上下级数据平衡情况，并可查询单个回路的上下级数据详情</w:t>
            </w:r>
          </w:p>
        </w:tc>
      </w:tr>
      <w:tr w14:paraId="5296F811">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4DF25235">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2.13</w:t>
            </w:r>
          </w:p>
        </w:tc>
        <w:tc>
          <w:tcPr>
            <w:tcW w:w="455" w:type="pct"/>
            <w:tcBorders>
              <w:top w:val="nil"/>
              <w:left w:val="single" w:color="auto" w:sz="4" w:space="0"/>
              <w:bottom w:val="single" w:color="auto" w:sz="4" w:space="0"/>
              <w:right w:val="single" w:color="auto" w:sz="4" w:space="0"/>
            </w:tcBorders>
            <w:noWrap w:val="0"/>
            <w:vAlign w:val="center"/>
          </w:tcPr>
          <w:p w14:paraId="47C72D06">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4032C84A">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异常检测</w:t>
            </w:r>
          </w:p>
        </w:tc>
        <w:tc>
          <w:tcPr>
            <w:tcW w:w="3445" w:type="pct"/>
            <w:tcBorders>
              <w:top w:val="nil"/>
              <w:left w:val="nil"/>
              <w:bottom w:val="single" w:color="auto" w:sz="4" w:space="0"/>
              <w:right w:val="single" w:color="auto" w:sz="4" w:space="0"/>
            </w:tcBorders>
            <w:noWrap w:val="0"/>
            <w:vAlign w:val="center"/>
          </w:tcPr>
          <w:p w14:paraId="6F2B37F3">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2.13.1 数据异常监测：提供异常检测算法，自动识别能耗计量表具的异常数据，支持表具清单及关联管理机查询，区分在线/离线状态，并可查看问题数据详情，提升能耗数据的准确性；</w:t>
            </w:r>
          </w:p>
          <w:p w14:paraId="1F034D47">
            <w:pPr>
              <w:widowControl/>
              <w:spacing w:after="0" w:line="360" w:lineRule="auto"/>
              <w:jc w:val="left"/>
              <w:rPr>
                <w:rFonts w:hint="default"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2.13.2 通讯异常监测：提供通讯异常检测功能，每日识别计量表具通讯异常情况，支持按站点分类查询，并可与数据修复功能联动。</w:t>
            </w:r>
          </w:p>
        </w:tc>
      </w:tr>
      <w:tr w14:paraId="0677AB7E">
        <w:tblPrEx>
          <w:tblCellMar>
            <w:top w:w="0" w:type="dxa"/>
            <w:left w:w="108" w:type="dxa"/>
            <w:bottom w:w="0" w:type="dxa"/>
            <w:right w:w="108" w:type="dxa"/>
          </w:tblCellMar>
        </w:tblPrEx>
        <w:trPr>
          <w:trHeight w:val="540" w:hRule="atLeast"/>
        </w:trPr>
        <w:tc>
          <w:tcPr>
            <w:tcW w:w="390" w:type="pct"/>
            <w:tcBorders>
              <w:top w:val="nil"/>
              <w:left w:val="single" w:color="auto" w:sz="4" w:space="0"/>
              <w:bottom w:val="single" w:color="auto" w:sz="4" w:space="0"/>
              <w:right w:val="single" w:color="auto" w:sz="4" w:space="0"/>
            </w:tcBorders>
            <w:noWrap/>
            <w:vAlign w:val="center"/>
          </w:tcPr>
          <w:p w14:paraId="3EFA8EE3">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2.14</w:t>
            </w:r>
          </w:p>
        </w:tc>
        <w:tc>
          <w:tcPr>
            <w:tcW w:w="455" w:type="pct"/>
            <w:tcBorders>
              <w:top w:val="nil"/>
              <w:left w:val="single" w:color="auto" w:sz="4" w:space="0"/>
              <w:bottom w:val="single" w:color="auto" w:sz="4" w:space="0"/>
              <w:right w:val="single" w:color="auto" w:sz="4" w:space="0"/>
            </w:tcBorders>
            <w:noWrap w:val="0"/>
            <w:vAlign w:val="center"/>
          </w:tcPr>
          <w:p w14:paraId="235157C1">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501910BF">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报告报表管理</w:t>
            </w:r>
          </w:p>
        </w:tc>
        <w:tc>
          <w:tcPr>
            <w:tcW w:w="3445" w:type="pct"/>
            <w:tcBorders>
              <w:top w:val="nil"/>
              <w:left w:val="nil"/>
              <w:bottom w:val="single" w:color="auto" w:sz="4" w:space="0"/>
              <w:right w:val="single" w:color="auto" w:sz="4" w:space="0"/>
            </w:tcBorders>
            <w:noWrap w:val="0"/>
            <w:vAlign w:val="center"/>
          </w:tcPr>
          <w:p w14:paraId="3B400A80">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2.14.1 支持设备、建筑、科室等多维度的能耗数据统计与分析，既可以自动生成周期性报告，也能手动设定时间范围、数据类型和分析维度，快速生成定制化的能耗报告；</w:t>
            </w:r>
          </w:p>
          <w:p w14:paraId="3C7CC4D5">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2.14.2 提供完整的报表文件管理功能，支持新增、删除、修改和查询。用户可基于模板或查询结果生成新的报表文件，并可直接在线预览内容，方便归档与使用。</w:t>
            </w:r>
          </w:p>
        </w:tc>
      </w:tr>
      <w:tr w14:paraId="47B4D50F">
        <w:tblPrEx>
          <w:tblCellMar>
            <w:top w:w="0" w:type="dxa"/>
            <w:left w:w="108" w:type="dxa"/>
            <w:bottom w:w="0" w:type="dxa"/>
            <w:right w:w="108" w:type="dxa"/>
          </w:tblCellMar>
        </w:tblPrEx>
        <w:trPr>
          <w:trHeight w:val="810" w:hRule="atLeast"/>
        </w:trPr>
        <w:tc>
          <w:tcPr>
            <w:tcW w:w="390" w:type="pct"/>
            <w:tcBorders>
              <w:top w:val="nil"/>
              <w:left w:val="single" w:color="auto" w:sz="4" w:space="0"/>
              <w:bottom w:val="single" w:color="auto" w:sz="4" w:space="0"/>
              <w:right w:val="single" w:color="auto" w:sz="4" w:space="0"/>
            </w:tcBorders>
            <w:noWrap/>
            <w:vAlign w:val="center"/>
          </w:tcPr>
          <w:p w14:paraId="3CC3F7BD">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3.1</w:t>
            </w:r>
          </w:p>
        </w:tc>
        <w:tc>
          <w:tcPr>
            <w:tcW w:w="455" w:type="pct"/>
            <w:vMerge w:val="restart"/>
            <w:tcBorders>
              <w:top w:val="nil"/>
              <w:left w:val="single" w:color="auto" w:sz="4" w:space="0"/>
              <w:bottom w:val="single" w:color="000000" w:sz="4" w:space="0"/>
              <w:right w:val="single" w:color="auto" w:sz="4" w:space="0"/>
            </w:tcBorders>
            <w:noWrap/>
            <w:vAlign w:val="center"/>
          </w:tcPr>
          <w:p w14:paraId="45822AAF">
            <w:pPr>
              <w:widowControl/>
              <w:spacing w:after="0"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机电安全检测</w:t>
            </w:r>
          </w:p>
        </w:tc>
        <w:tc>
          <w:tcPr>
            <w:tcW w:w="709" w:type="pct"/>
            <w:tcBorders>
              <w:top w:val="nil"/>
              <w:left w:val="nil"/>
              <w:bottom w:val="single" w:color="auto" w:sz="4" w:space="0"/>
              <w:right w:val="single" w:color="auto" w:sz="4" w:space="0"/>
            </w:tcBorders>
            <w:noWrap w:val="0"/>
            <w:vAlign w:val="center"/>
          </w:tcPr>
          <w:p w14:paraId="15DDB868">
            <w:pPr>
              <w:numPr>
                <w:ilvl w:val="0"/>
                <w:numId w:val="0"/>
              </w:numPr>
              <w:spacing w:line="360" w:lineRule="auto"/>
              <w:rPr>
                <w:rFonts w:hint="eastAsia" w:ascii="仿宋" w:hAnsi="仿宋" w:eastAsia="仿宋" w:cs="仿宋"/>
                <w:color w:val="000000"/>
                <w:kern w:val="0"/>
                <w:sz w:val="24"/>
                <w:szCs w:val="24"/>
                <w:highlight w:val="none"/>
                <w:lang w:eastAsia="zh-CN"/>
              </w:rPr>
            </w:pPr>
            <w:r>
              <w:rPr>
                <w:rFonts w:hint="eastAsia" w:ascii="仿宋" w:hAnsi="仿宋" w:eastAsia="仿宋" w:cs="仿宋"/>
                <w:sz w:val="24"/>
                <w:szCs w:val="24"/>
                <w:highlight w:val="none"/>
                <w:lang w:val="en-US" w:eastAsia="zh-CN"/>
              </w:rPr>
              <w:t>综合监控门户</w:t>
            </w:r>
          </w:p>
        </w:tc>
        <w:tc>
          <w:tcPr>
            <w:tcW w:w="3445" w:type="pct"/>
            <w:tcBorders>
              <w:top w:val="nil"/>
              <w:left w:val="nil"/>
              <w:bottom w:val="single" w:color="auto" w:sz="4" w:space="0"/>
              <w:right w:val="single" w:color="auto" w:sz="4" w:space="0"/>
            </w:tcBorders>
            <w:noWrap w:val="0"/>
            <w:vAlign w:val="center"/>
          </w:tcPr>
          <w:p w14:paraId="4E5472C6">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支持配置多个灵活组件，可通过配置自由组合所需内容，包括安全监控组件、实时告警组件、当日告警统计组件、周告警Top排名组件等</w:t>
            </w:r>
            <w:r>
              <w:rPr>
                <w:rFonts w:hint="eastAsia" w:ascii="仿宋" w:hAnsi="仿宋" w:eastAsia="仿宋" w:cs="仿宋"/>
                <w:color w:val="000000"/>
                <w:kern w:val="0"/>
                <w:sz w:val="24"/>
                <w:szCs w:val="24"/>
                <w:highlight w:val="none"/>
              </w:rPr>
              <w:t>；</w:t>
            </w:r>
          </w:p>
        </w:tc>
      </w:tr>
      <w:tr w14:paraId="4B00407E">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36EDA51F">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3.2</w:t>
            </w:r>
          </w:p>
        </w:tc>
        <w:tc>
          <w:tcPr>
            <w:tcW w:w="455" w:type="pct"/>
            <w:vMerge w:val="continue"/>
            <w:tcBorders>
              <w:top w:val="nil"/>
              <w:left w:val="single" w:color="auto" w:sz="4" w:space="0"/>
              <w:bottom w:val="single" w:color="000000" w:sz="4" w:space="0"/>
              <w:right w:val="single" w:color="auto" w:sz="4" w:space="0"/>
            </w:tcBorders>
            <w:noWrap w:val="0"/>
            <w:vAlign w:val="center"/>
          </w:tcPr>
          <w:p w14:paraId="7C9486D9">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48D71D8A">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特种设备检测提醒</w:t>
            </w:r>
          </w:p>
        </w:tc>
        <w:tc>
          <w:tcPr>
            <w:tcW w:w="3445" w:type="pct"/>
            <w:tcBorders>
              <w:top w:val="nil"/>
              <w:left w:val="nil"/>
              <w:bottom w:val="single" w:color="auto" w:sz="4" w:space="0"/>
              <w:right w:val="single" w:color="auto" w:sz="4" w:space="0"/>
            </w:tcBorders>
            <w:noWrap w:val="0"/>
            <w:vAlign w:val="center"/>
          </w:tcPr>
          <w:p w14:paraId="77E86FC0">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3.2.1 特种设备安全巡检模板设置：支持对检查模板进行分组管理，分组支持新增、修改、删除；支持新建检查模板，检查模板内支持添加不同类型的检查项目，包括单选，多选，判断，输入；支持通过Excel模板导入检查模板；支持为每一个检查项目设置正常选项和默认选项；</w:t>
            </w:r>
          </w:p>
          <w:p w14:paraId="7BE613E6">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3.2.2 特种设备安全巡检计划：支持对巡检计划创建分组，分组支持新增、修改、删除；支持新建巡检计划，可以设定巡检计划的打卡方式（包括扫码、自主打卡）、巡检频率、巡检点位、每个点位的巡检模板、执行人等，巡检任务的状态变更支持审批；支持设置巡检拍照方式、是否跳过节假日等；</w:t>
            </w:r>
          </w:p>
          <w:p w14:paraId="7F2D04A1">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3.2.3 特种设备安全巡检异常处理：支持查看巡检异常的详情；巡检异常处理时支持纯文字记录、转隐患、转报修；支持在APP查看并处理需要处理的异常吗，处理时支持纯文字记录、转隐患、转报修；</w:t>
            </w:r>
          </w:p>
          <w:p w14:paraId="11B38B2B">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3.2.4 特种设备安全巡检执行：支持在APP执行巡检任务；</w:t>
            </w:r>
          </w:p>
          <w:p w14:paraId="3657E945">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3.2.5 特种设备安全巡检跟踪：支持查询所有巡检任务，实时跟踪巡检任务的执行情况，可以按照巡检计划筛选；支持负责人关闭巡检任务；支持在APP查看巡检任务；</w:t>
            </w:r>
          </w:p>
          <w:p w14:paraId="0AF49E1C">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b/>
                <w:bCs/>
                <w:sz w:val="24"/>
                <w:szCs w:val="24"/>
                <w:highlight w:val="none"/>
                <w:lang w:val="en-US" w:eastAsia="zh-CN"/>
              </w:rPr>
              <w:t>★3.2.6 特种设备安全巡检统计：系支持查看当月及历史月份的巡检统计数据，按日展示详细信息；可分别展示指定月份的巡检任务数、异常数、完成率、及时率和覆盖率，并以柱状图或折线图形式呈现；支持与上月数据对比分析。</w:t>
            </w:r>
          </w:p>
        </w:tc>
      </w:tr>
      <w:tr w14:paraId="7866909A">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0C94D02D">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3.3</w:t>
            </w:r>
          </w:p>
        </w:tc>
        <w:tc>
          <w:tcPr>
            <w:tcW w:w="455" w:type="pct"/>
            <w:vMerge w:val="continue"/>
            <w:tcBorders>
              <w:top w:val="nil"/>
              <w:left w:val="single" w:color="auto" w:sz="4" w:space="0"/>
              <w:bottom w:val="single" w:color="000000" w:sz="4" w:space="0"/>
              <w:right w:val="single" w:color="auto" w:sz="4" w:space="0"/>
            </w:tcBorders>
            <w:noWrap w:val="0"/>
            <w:vAlign w:val="center"/>
          </w:tcPr>
          <w:p w14:paraId="1DD9370F">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1D3CBFBF">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变配电系统安全监测</w:t>
            </w:r>
          </w:p>
        </w:tc>
        <w:tc>
          <w:tcPr>
            <w:tcW w:w="3445" w:type="pct"/>
            <w:tcBorders>
              <w:top w:val="nil"/>
              <w:left w:val="nil"/>
              <w:bottom w:val="single" w:color="auto" w:sz="4" w:space="0"/>
              <w:right w:val="single" w:color="auto" w:sz="4" w:space="0"/>
            </w:tcBorders>
            <w:noWrap w:val="0"/>
            <w:vAlign w:val="center"/>
          </w:tcPr>
          <w:p w14:paraId="762DE86B">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以图形化形式实时监测并记录变配电系统及电力设备的运行状态，包括高低压配电进线、直流屏等状态和运行参数，如电压、电流、功率因素、有功功率、无功功率、有功电度、无功电度等；配电房内环境参数，包括机房视频监控、环境温湿度</w:t>
            </w:r>
          </w:p>
        </w:tc>
      </w:tr>
      <w:tr w14:paraId="4D1DB366">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6D63569A">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3.4</w:t>
            </w:r>
          </w:p>
        </w:tc>
        <w:tc>
          <w:tcPr>
            <w:tcW w:w="455" w:type="pct"/>
            <w:vMerge w:val="continue"/>
            <w:tcBorders>
              <w:top w:val="nil"/>
              <w:left w:val="single" w:color="auto" w:sz="4" w:space="0"/>
              <w:bottom w:val="single" w:color="000000" w:sz="4" w:space="0"/>
              <w:right w:val="single" w:color="auto" w:sz="4" w:space="0"/>
            </w:tcBorders>
            <w:noWrap w:val="0"/>
            <w:vAlign w:val="center"/>
          </w:tcPr>
          <w:p w14:paraId="15C413A1">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17A04F6C">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送排风系统安全监测</w:t>
            </w:r>
          </w:p>
        </w:tc>
        <w:tc>
          <w:tcPr>
            <w:tcW w:w="3445" w:type="pct"/>
            <w:tcBorders>
              <w:top w:val="nil"/>
              <w:left w:val="nil"/>
              <w:bottom w:val="single" w:color="auto" w:sz="4" w:space="0"/>
              <w:right w:val="single" w:color="auto" w:sz="4" w:space="0"/>
            </w:tcBorders>
            <w:noWrap w:val="0"/>
            <w:vAlign w:val="center"/>
          </w:tcPr>
          <w:p w14:paraId="3452336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以图形化形式监测包括送风、排风机房环境温湿度、视频监控、水浸状态，送风机、排风机的启停及故障状态，重点通风管道及设备的风量、压力，风阀开度，以及排风口和送风口的关键参数，实现对送排风系统运行状态的全面监控。</w:t>
            </w:r>
          </w:p>
        </w:tc>
      </w:tr>
      <w:tr w14:paraId="57296D93">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27B0CE10">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3.5</w:t>
            </w:r>
          </w:p>
        </w:tc>
        <w:tc>
          <w:tcPr>
            <w:tcW w:w="455" w:type="pct"/>
            <w:vMerge w:val="continue"/>
            <w:tcBorders>
              <w:top w:val="nil"/>
              <w:left w:val="single" w:color="auto" w:sz="4" w:space="0"/>
              <w:bottom w:val="single" w:color="000000" w:sz="4" w:space="0"/>
              <w:right w:val="single" w:color="auto" w:sz="4" w:space="0"/>
            </w:tcBorders>
            <w:noWrap w:val="0"/>
            <w:vAlign w:val="center"/>
          </w:tcPr>
          <w:p w14:paraId="4790C920">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33171024">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新风系统安全监测</w:t>
            </w:r>
          </w:p>
        </w:tc>
        <w:tc>
          <w:tcPr>
            <w:tcW w:w="3445" w:type="pct"/>
            <w:tcBorders>
              <w:top w:val="nil"/>
              <w:left w:val="nil"/>
              <w:bottom w:val="single" w:color="auto" w:sz="4" w:space="0"/>
              <w:right w:val="single" w:color="auto" w:sz="4" w:space="0"/>
            </w:tcBorders>
            <w:noWrap w:val="0"/>
            <w:vAlign w:val="center"/>
          </w:tcPr>
          <w:p w14:paraId="2952EFCC">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以图形化形式监测新风阀开度状态、滤网状态、水阀反馈、风机压差、运行时间及送风温度等关键运行参数。控制包括整体启停、冬夏季模式切换、温度设定、水阀最小开度、送风机启停控制、新风阀启停控制及水阀调节。通过群控功能，可实现多个新风机组的统一管理和集中控制，确保空气供应稳定、温湿度达标，同时优化运行效率和节能效果。</w:t>
            </w:r>
          </w:p>
        </w:tc>
      </w:tr>
      <w:tr w14:paraId="62BECE4E">
        <w:tblPrEx>
          <w:tblCellMar>
            <w:top w:w="0" w:type="dxa"/>
            <w:left w:w="108" w:type="dxa"/>
            <w:bottom w:w="0" w:type="dxa"/>
            <w:right w:w="108" w:type="dxa"/>
          </w:tblCellMar>
        </w:tblPrEx>
        <w:trPr>
          <w:trHeight w:val="1461" w:hRule="atLeast"/>
        </w:trPr>
        <w:tc>
          <w:tcPr>
            <w:tcW w:w="390" w:type="pct"/>
            <w:tcBorders>
              <w:top w:val="nil"/>
              <w:left w:val="single" w:color="auto" w:sz="4" w:space="0"/>
              <w:bottom w:val="single" w:color="auto" w:sz="4" w:space="0"/>
              <w:right w:val="single" w:color="auto" w:sz="4" w:space="0"/>
            </w:tcBorders>
            <w:noWrap/>
            <w:vAlign w:val="center"/>
          </w:tcPr>
          <w:p w14:paraId="6C10FBD9">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3.6</w:t>
            </w:r>
          </w:p>
        </w:tc>
        <w:tc>
          <w:tcPr>
            <w:tcW w:w="455" w:type="pct"/>
            <w:vMerge w:val="continue"/>
            <w:tcBorders>
              <w:top w:val="nil"/>
              <w:left w:val="single" w:color="auto" w:sz="4" w:space="0"/>
              <w:bottom w:val="single" w:color="000000" w:sz="4" w:space="0"/>
              <w:right w:val="single" w:color="auto" w:sz="4" w:space="0"/>
            </w:tcBorders>
            <w:noWrap w:val="0"/>
            <w:vAlign w:val="center"/>
          </w:tcPr>
          <w:p w14:paraId="55E3FB32">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25494D4A">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给排水系统安全监测</w:t>
            </w:r>
          </w:p>
          <w:p w14:paraId="6A9B3F64">
            <w:pPr>
              <w:widowControl/>
              <w:spacing w:after="0" w:line="360" w:lineRule="auto"/>
              <w:jc w:val="left"/>
              <w:rPr>
                <w:rFonts w:hint="eastAsia" w:ascii="仿宋" w:hAnsi="仿宋" w:eastAsia="仿宋" w:cs="仿宋"/>
                <w:color w:val="000000"/>
                <w:kern w:val="0"/>
                <w:sz w:val="24"/>
                <w:szCs w:val="24"/>
                <w:highlight w:val="none"/>
              </w:rPr>
            </w:pPr>
          </w:p>
        </w:tc>
        <w:tc>
          <w:tcPr>
            <w:tcW w:w="3445" w:type="pct"/>
            <w:tcBorders>
              <w:top w:val="nil"/>
              <w:left w:val="nil"/>
              <w:bottom w:val="single" w:color="auto" w:sz="4" w:space="0"/>
              <w:right w:val="single" w:color="auto" w:sz="4" w:space="0"/>
            </w:tcBorders>
            <w:noWrap w:val="0"/>
            <w:vAlign w:val="center"/>
          </w:tcPr>
          <w:p w14:paraId="2FBF7E54">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以图形化形式供水运行监测，通过组态界面监测水泵房及集水井液位、以及水泵房水泵启停状态、水泵手自动状态，水泵房供水压力，机房视频监控。</w:t>
            </w:r>
          </w:p>
        </w:tc>
      </w:tr>
      <w:tr w14:paraId="6B94230A">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34E38E9D">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3.7</w:t>
            </w:r>
          </w:p>
        </w:tc>
        <w:tc>
          <w:tcPr>
            <w:tcW w:w="455" w:type="pct"/>
            <w:vMerge w:val="continue"/>
            <w:tcBorders>
              <w:top w:val="nil"/>
              <w:left w:val="single" w:color="auto" w:sz="4" w:space="0"/>
              <w:bottom w:val="single" w:color="000000" w:sz="4" w:space="0"/>
              <w:right w:val="single" w:color="auto" w:sz="4" w:space="0"/>
            </w:tcBorders>
            <w:noWrap w:val="0"/>
            <w:vAlign w:val="center"/>
          </w:tcPr>
          <w:p w14:paraId="39A9A00D">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76065C84">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电梯安全监控</w:t>
            </w:r>
          </w:p>
        </w:tc>
        <w:tc>
          <w:tcPr>
            <w:tcW w:w="3445" w:type="pct"/>
            <w:tcBorders>
              <w:top w:val="nil"/>
              <w:left w:val="nil"/>
              <w:bottom w:val="single" w:color="auto" w:sz="4" w:space="0"/>
              <w:right w:val="single" w:color="auto" w:sz="4" w:space="0"/>
            </w:tcBorders>
            <w:noWrap w:val="0"/>
            <w:vAlign w:val="center"/>
          </w:tcPr>
          <w:p w14:paraId="6260D46C">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以图形化形式监测电梯的实时运行状态，包括运行速度、当前楼层、安全状态和通讯状态等，同时可联动摄像头实时查看电梯内情况。</w:t>
            </w:r>
          </w:p>
        </w:tc>
      </w:tr>
      <w:tr w14:paraId="45BB7A8D">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628635DF">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3.8</w:t>
            </w:r>
          </w:p>
        </w:tc>
        <w:tc>
          <w:tcPr>
            <w:tcW w:w="455" w:type="pct"/>
            <w:vMerge w:val="continue"/>
            <w:tcBorders>
              <w:top w:val="nil"/>
              <w:left w:val="single" w:color="auto" w:sz="4" w:space="0"/>
              <w:bottom w:val="single" w:color="000000" w:sz="4" w:space="0"/>
              <w:right w:val="single" w:color="auto" w:sz="4" w:space="0"/>
            </w:tcBorders>
            <w:noWrap w:val="0"/>
            <w:vAlign w:val="center"/>
          </w:tcPr>
          <w:p w14:paraId="1C4DCE34">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1CE2D9A3">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智能照明安全监测</w:t>
            </w:r>
          </w:p>
        </w:tc>
        <w:tc>
          <w:tcPr>
            <w:tcW w:w="3445" w:type="pct"/>
            <w:tcBorders>
              <w:top w:val="nil"/>
              <w:left w:val="nil"/>
              <w:bottom w:val="single" w:color="auto" w:sz="4" w:space="0"/>
              <w:right w:val="single" w:color="auto" w:sz="4" w:space="0"/>
            </w:tcBorders>
            <w:noWrap w:val="0"/>
            <w:vAlign w:val="center"/>
          </w:tcPr>
          <w:p w14:paraId="1029AD9D">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群控功能，可根据不同场景设置照明策略，实现集中开关、亮度调节及节能管理，提高管理效率并保障照明舒适性与节能效果。</w:t>
            </w:r>
          </w:p>
        </w:tc>
      </w:tr>
      <w:tr w14:paraId="62CE8FE6">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0686DA29">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3.9</w:t>
            </w:r>
          </w:p>
        </w:tc>
        <w:tc>
          <w:tcPr>
            <w:tcW w:w="455" w:type="pct"/>
            <w:vMerge w:val="continue"/>
            <w:tcBorders>
              <w:top w:val="nil"/>
              <w:left w:val="single" w:color="auto" w:sz="4" w:space="0"/>
              <w:bottom w:val="single" w:color="000000" w:sz="4" w:space="0"/>
              <w:right w:val="single" w:color="auto" w:sz="4" w:space="0"/>
            </w:tcBorders>
            <w:noWrap w:val="0"/>
            <w:vAlign w:val="center"/>
          </w:tcPr>
          <w:p w14:paraId="6C636F3F">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0DE48A94">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告警管理</w:t>
            </w:r>
          </w:p>
        </w:tc>
        <w:tc>
          <w:tcPr>
            <w:tcW w:w="3445" w:type="pct"/>
            <w:tcBorders>
              <w:top w:val="nil"/>
              <w:left w:val="nil"/>
              <w:bottom w:val="single" w:color="auto" w:sz="4" w:space="0"/>
              <w:right w:val="single" w:color="auto" w:sz="4" w:space="0"/>
            </w:tcBorders>
            <w:noWrap w:val="0"/>
            <w:vAlign w:val="center"/>
          </w:tcPr>
          <w:p w14:paraId="04A3CF5A">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3.9.1 告警查询：支持告警的查询，查询条件包含产生告警对象所属的系统模块、告警等级（严重、重要、一般、提示）、告警状态、设备名称、告警对象、告警信息、空间信息及告警时间；支持确认告警、批量确认告警；支持展示告警记录的告警弹窗；</w:t>
            </w:r>
          </w:p>
          <w:p w14:paraId="4C44C9E5">
            <w:pPr>
              <w:numPr>
                <w:ilvl w:val="0"/>
                <w:numId w:val="0"/>
              </w:numPr>
              <w:spacing w:line="360" w:lineRule="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3.9.2 告警统计：支持展示告警总数、正在告警数、已恢复数；支持展示多个告警等级告警条数；支持按告警等级筛选数据；支持下钻到专业模块下告警按告警类型的排名统计；</w:t>
            </w:r>
          </w:p>
          <w:p w14:paraId="7A526E55">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3.9.3 移动端：支持在移动端查看和管理告警信息。</w:t>
            </w:r>
          </w:p>
        </w:tc>
      </w:tr>
      <w:tr w14:paraId="01F27CB1">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4C6651C1">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3.10</w:t>
            </w:r>
          </w:p>
        </w:tc>
        <w:tc>
          <w:tcPr>
            <w:tcW w:w="455" w:type="pct"/>
            <w:vMerge w:val="continue"/>
            <w:tcBorders>
              <w:top w:val="nil"/>
              <w:left w:val="single" w:color="auto" w:sz="4" w:space="0"/>
              <w:bottom w:val="single" w:color="000000" w:sz="4" w:space="0"/>
              <w:right w:val="single" w:color="auto" w:sz="4" w:space="0"/>
            </w:tcBorders>
            <w:noWrap w:val="0"/>
            <w:vAlign w:val="center"/>
          </w:tcPr>
          <w:p w14:paraId="742B886C">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0D774AC3">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运行数据</w:t>
            </w:r>
          </w:p>
        </w:tc>
        <w:tc>
          <w:tcPr>
            <w:tcW w:w="3445" w:type="pct"/>
            <w:tcBorders>
              <w:top w:val="nil"/>
              <w:left w:val="nil"/>
              <w:bottom w:val="single" w:color="auto" w:sz="4" w:space="0"/>
              <w:right w:val="single" w:color="auto" w:sz="4" w:space="0"/>
            </w:tcBorders>
            <w:noWrap w:val="0"/>
            <w:vAlign w:val="center"/>
          </w:tcPr>
          <w:p w14:paraId="417EDAE3">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查询和展示设备点位的实时及历史运行数据，包括重大设备和测量设备；支持按关键字对重大设备和测量设备信息进行筛选查询；支持重大设备和测量设备运行数据以列表形式展示；同时支持弹窗方式查看测量设备下各点位的实时与历史数据，历史数据可按多条件筛选；支持曲线与表格两种展示方式，并可导出。</w:t>
            </w:r>
          </w:p>
        </w:tc>
      </w:tr>
      <w:tr w14:paraId="50E448AF">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16B75858">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3.11</w:t>
            </w:r>
          </w:p>
        </w:tc>
        <w:tc>
          <w:tcPr>
            <w:tcW w:w="455" w:type="pct"/>
            <w:vMerge w:val="continue"/>
            <w:tcBorders>
              <w:top w:val="nil"/>
              <w:left w:val="single" w:color="auto" w:sz="4" w:space="0"/>
              <w:bottom w:val="single" w:color="000000" w:sz="4" w:space="0"/>
              <w:right w:val="single" w:color="auto" w:sz="4" w:space="0"/>
            </w:tcBorders>
            <w:noWrap w:val="0"/>
            <w:vAlign w:val="center"/>
          </w:tcPr>
          <w:p w14:paraId="4F029717">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7BC22C20">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能效优化</w:t>
            </w:r>
          </w:p>
        </w:tc>
        <w:tc>
          <w:tcPr>
            <w:tcW w:w="3445" w:type="pct"/>
            <w:tcBorders>
              <w:top w:val="nil"/>
              <w:left w:val="nil"/>
              <w:bottom w:val="single" w:color="auto" w:sz="4" w:space="0"/>
              <w:right w:val="single" w:color="auto" w:sz="4" w:space="0"/>
            </w:tcBorders>
            <w:noWrap w:val="0"/>
            <w:vAlign w:val="center"/>
          </w:tcPr>
          <w:p w14:paraId="01678593">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查看机房分组和机房；支持展示每个机房的设备信息；支持展示机房相关的能效分析数据（仅空调相关机房）。</w:t>
            </w:r>
          </w:p>
        </w:tc>
      </w:tr>
      <w:tr w14:paraId="2849DAEC">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7736ABDB">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3.12</w:t>
            </w:r>
          </w:p>
        </w:tc>
        <w:tc>
          <w:tcPr>
            <w:tcW w:w="455" w:type="pct"/>
            <w:vMerge w:val="continue"/>
            <w:tcBorders>
              <w:top w:val="nil"/>
              <w:left w:val="single" w:color="auto" w:sz="4" w:space="0"/>
              <w:bottom w:val="single" w:color="000000" w:sz="4" w:space="0"/>
              <w:right w:val="single" w:color="auto" w:sz="4" w:space="0"/>
            </w:tcBorders>
            <w:noWrap w:val="0"/>
            <w:vAlign w:val="center"/>
          </w:tcPr>
          <w:p w14:paraId="003FCDCD">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6F352143">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能效分析</w:t>
            </w:r>
          </w:p>
        </w:tc>
        <w:tc>
          <w:tcPr>
            <w:tcW w:w="3445" w:type="pct"/>
            <w:tcBorders>
              <w:top w:val="nil"/>
              <w:left w:val="nil"/>
              <w:bottom w:val="single" w:color="auto" w:sz="4" w:space="0"/>
              <w:right w:val="single" w:color="auto" w:sz="4" w:space="0"/>
            </w:tcBorders>
            <w:noWrap w:val="0"/>
            <w:vAlign w:val="center"/>
          </w:tcPr>
          <w:p w14:paraId="3AD16698">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展示和分析设备点位的数据，支持展示已配置的能效分析图表的列表；支持搜索、新增、编辑、删除能效分析配置信息；支持查看能效分析图表，支持不同的颗粒度过滤数据、支持切换展示表格或图表、支持导出查询时间段的数据。</w:t>
            </w:r>
          </w:p>
        </w:tc>
      </w:tr>
      <w:tr w14:paraId="21D70626">
        <w:tblPrEx>
          <w:tblCellMar>
            <w:top w:w="0" w:type="dxa"/>
            <w:left w:w="108" w:type="dxa"/>
            <w:bottom w:w="0" w:type="dxa"/>
            <w:right w:w="108" w:type="dxa"/>
          </w:tblCellMar>
        </w:tblPrEx>
        <w:trPr>
          <w:trHeight w:val="510" w:hRule="atLeast"/>
        </w:trPr>
        <w:tc>
          <w:tcPr>
            <w:tcW w:w="390" w:type="pct"/>
            <w:tcBorders>
              <w:top w:val="nil"/>
              <w:left w:val="single" w:color="auto" w:sz="4" w:space="0"/>
              <w:bottom w:val="single" w:color="auto" w:sz="4" w:space="0"/>
              <w:right w:val="single" w:color="auto" w:sz="4" w:space="0"/>
            </w:tcBorders>
            <w:noWrap/>
            <w:vAlign w:val="center"/>
          </w:tcPr>
          <w:p w14:paraId="29B66364">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3.13</w:t>
            </w:r>
          </w:p>
        </w:tc>
        <w:tc>
          <w:tcPr>
            <w:tcW w:w="455" w:type="pct"/>
            <w:vMerge w:val="continue"/>
            <w:tcBorders>
              <w:top w:val="nil"/>
              <w:left w:val="single" w:color="auto" w:sz="4" w:space="0"/>
              <w:bottom w:val="single" w:color="000000" w:sz="4" w:space="0"/>
              <w:right w:val="single" w:color="auto" w:sz="4" w:space="0"/>
            </w:tcBorders>
            <w:noWrap w:val="0"/>
            <w:vAlign w:val="center"/>
          </w:tcPr>
          <w:p w14:paraId="6D838F6B">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ign w:val="center"/>
          </w:tcPr>
          <w:p w14:paraId="6FA8E47D">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报告报表管理</w:t>
            </w:r>
          </w:p>
        </w:tc>
        <w:tc>
          <w:tcPr>
            <w:tcW w:w="3445" w:type="pct"/>
            <w:tcBorders>
              <w:top w:val="nil"/>
              <w:left w:val="nil"/>
              <w:bottom w:val="single" w:color="auto" w:sz="4" w:space="0"/>
              <w:right w:val="single" w:color="auto" w:sz="4" w:space="0"/>
            </w:tcBorders>
            <w:noWrap w:val="0"/>
            <w:vAlign w:val="center"/>
          </w:tcPr>
          <w:p w14:paraId="1C4B1E17">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告警类型、设备、时间、区域等维度的分类分析，生成可视化报表，帮助医院识别告警高发区域、故障频发设备、异常运行时段等风险因素。</w:t>
            </w:r>
          </w:p>
        </w:tc>
      </w:tr>
      <w:tr w14:paraId="12A44C97">
        <w:tblPrEx>
          <w:tblCellMar>
            <w:top w:w="0" w:type="dxa"/>
            <w:left w:w="108" w:type="dxa"/>
            <w:bottom w:w="0" w:type="dxa"/>
            <w:right w:w="108" w:type="dxa"/>
          </w:tblCellMar>
        </w:tblPrEx>
        <w:trPr>
          <w:trHeight w:val="650" w:hRule="atLeast"/>
        </w:trPr>
        <w:tc>
          <w:tcPr>
            <w:tcW w:w="390" w:type="pct"/>
            <w:tcBorders>
              <w:top w:val="nil"/>
              <w:left w:val="single" w:color="auto" w:sz="4" w:space="0"/>
              <w:bottom w:val="single" w:color="auto" w:sz="4" w:space="0"/>
              <w:right w:val="single" w:color="auto" w:sz="4" w:space="0"/>
            </w:tcBorders>
            <w:noWrap/>
            <w:vAlign w:val="center"/>
          </w:tcPr>
          <w:p w14:paraId="7C54B934">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4.1</w:t>
            </w:r>
          </w:p>
        </w:tc>
        <w:tc>
          <w:tcPr>
            <w:tcW w:w="455" w:type="pct"/>
            <w:vMerge w:val="restart"/>
            <w:tcBorders>
              <w:top w:val="nil"/>
              <w:left w:val="single" w:color="auto" w:sz="4" w:space="0"/>
              <w:bottom w:val="single" w:color="auto" w:sz="4" w:space="0"/>
              <w:right w:val="single" w:color="auto" w:sz="4" w:space="0"/>
            </w:tcBorders>
            <w:noWrap/>
            <w:vAlign w:val="center"/>
          </w:tcPr>
          <w:p w14:paraId="174EC0E9">
            <w:pPr>
              <w:widowControl/>
              <w:spacing w:after="0" w:line="360" w:lineRule="auto"/>
              <w:jc w:val="center"/>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eastAsia="zh-CN"/>
              </w:rPr>
              <w:t>综合安全管理</w:t>
            </w:r>
          </w:p>
        </w:tc>
        <w:tc>
          <w:tcPr>
            <w:tcW w:w="709" w:type="pct"/>
            <w:tcBorders>
              <w:top w:val="nil"/>
              <w:left w:val="nil"/>
              <w:bottom w:val="single" w:color="auto" w:sz="4" w:space="0"/>
              <w:right w:val="single" w:color="auto" w:sz="4" w:space="0"/>
            </w:tcBorders>
            <w:noWrap w:val="0"/>
            <w:vAlign w:val="center"/>
          </w:tcPr>
          <w:p w14:paraId="244627E1">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智能隐患识别与整改</w:t>
            </w:r>
          </w:p>
        </w:tc>
        <w:tc>
          <w:tcPr>
            <w:tcW w:w="3445" w:type="pct"/>
            <w:tcBorders>
              <w:top w:val="nil"/>
              <w:left w:val="nil"/>
              <w:bottom w:val="single" w:color="auto" w:sz="4" w:space="0"/>
              <w:right w:val="single" w:color="auto" w:sz="4" w:space="0"/>
            </w:tcBorders>
            <w:noWrap w:val="0"/>
            <w:vAlign w:val="center"/>
          </w:tcPr>
          <w:p w14:paraId="07F091E4">
            <w:pPr>
              <w:numPr>
                <w:ilvl w:val="0"/>
                <w:numId w:val="0"/>
              </w:numPr>
              <w:spacing w:line="360" w:lineRule="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█4.1.1视频巡检：支持根据重点区域设置视频巡检路线，对人员倒地、人群聚集等情况进行实时识别，并在发现问题后自动生成工单，推送至责任部门进行处置；</w:t>
            </w:r>
          </w:p>
          <w:p w14:paraId="3356A3CF">
            <w:pPr>
              <w:numPr>
                <w:ilvl w:val="0"/>
                <w:numId w:val="0"/>
              </w:numPr>
              <w:spacing w:line="360" w:lineRule="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█4.1.2 图片风险隐患识别：支持用户上传现场图片，利用智能识别算法自动判断风险隐患类别，如消防通道堵塞、违规堆放、设备损坏等；支持自动关联相关法规条款，并生成标准化整改建议，辅助责任部门；</w:t>
            </w:r>
          </w:p>
          <w:p w14:paraId="51832067">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4.1.3.模糊搜索：针对主要出入口（到楼层出入口）提供人识别、轨迹追踪功能。</w:t>
            </w:r>
          </w:p>
        </w:tc>
      </w:tr>
      <w:tr w14:paraId="72C6D163">
        <w:tblPrEx>
          <w:tblCellMar>
            <w:top w:w="0" w:type="dxa"/>
            <w:left w:w="108" w:type="dxa"/>
            <w:bottom w:w="0" w:type="dxa"/>
            <w:right w:w="108" w:type="dxa"/>
          </w:tblCellMar>
        </w:tblPrEx>
        <w:trPr>
          <w:trHeight w:val="650" w:hRule="atLeast"/>
        </w:trPr>
        <w:tc>
          <w:tcPr>
            <w:tcW w:w="390" w:type="pct"/>
            <w:tcBorders>
              <w:top w:val="nil"/>
              <w:left w:val="single" w:color="auto" w:sz="4" w:space="0"/>
              <w:bottom w:val="single" w:color="auto" w:sz="4" w:space="0"/>
              <w:right w:val="single" w:color="auto" w:sz="4" w:space="0"/>
            </w:tcBorders>
            <w:noWrap/>
            <w:vAlign w:val="center"/>
          </w:tcPr>
          <w:p w14:paraId="3E5FD9BE">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4.2</w:t>
            </w:r>
          </w:p>
        </w:tc>
        <w:tc>
          <w:tcPr>
            <w:tcW w:w="455" w:type="pct"/>
            <w:vMerge w:val="continue"/>
            <w:tcBorders>
              <w:left w:val="single" w:color="auto" w:sz="4" w:space="0"/>
              <w:right w:val="single" w:color="auto" w:sz="4" w:space="0"/>
            </w:tcBorders>
            <w:noWrap/>
            <w:vAlign w:val="center"/>
          </w:tcPr>
          <w:p w14:paraId="4934395B">
            <w:pPr>
              <w:widowControl/>
              <w:spacing w:after="0" w:line="360" w:lineRule="auto"/>
              <w:jc w:val="center"/>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2388B6CE">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风险管理</w:t>
            </w:r>
          </w:p>
        </w:tc>
        <w:tc>
          <w:tcPr>
            <w:tcW w:w="3445" w:type="pct"/>
            <w:tcBorders>
              <w:top w:val="nil"/>
              <w:left w:val="nil"/>
              <w:bottom w:val="single" w:color="auto" w:sz="4" w:space="0"/>
              <w:right w:val="single" w:color="auto" w:sz="4" w:space="0"/>
            </w:tcBorders>
            <w:noWrap w:val="0"/>
            <w:vAlign w:val="center"/>
          </w:tcPr>
          <w:p w14:paraId="57B983F6">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系统支持对医院风险点信息的增删改查及批量管理，可导入导出数据，并提供风险分级和多条件筛选查询功能</w:t>
            </w:r>
          </w:p>
        </w:tc>
      </w:tr>
      <w:tr w14:paraId="79D524A6">
        <w:tblPrEx>
          <w:tblCellMar>
            <w:top w:w="0" w:type="dxa"/>
            <w:left w:w="108" w:type="dxa"/>
            <w:bottom w:w="0" w:type="dxa"/>
            <w:right w:w="108" w:type="dxa"/>
          </w:tblCellMar>
        </w:tblPrEx>
        <w:trPr>
          <w:trHeight w:val="650" w:hRule="atLeast"/>
        </w:trPr>
        <w:tc>
          <w:tcPr>
            <w:tcW w:w="390" w:type="pct"/>
            <w:tcBorders>
              <w:top w:val="nil"/>
              <w:left w:val="single" w:color="auto" w:sz="4" w:space="0"/>
              <w:bottom w:val="single" w:color="auto" w:sz="4" w:space="0"/>
              <w:right w:val="single" w:color="auto" w:sz="4" w:space="0"/>
            </w:tcBorders>
            <w:noWrap/>
            <w:vAlign w:val="center"/>
          </w:tcPr>
          <w:p w14:paraId="728B3C0E">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4.3</w:t>
            </w:r>
          </w:p>
        </w:tc>
        <w:tc>
          <w:tcPr>
            <w:tcW w:w="455" w:type="pct"/>
            <w:vMerge w:val="continue"/>
            <w:tcBorders>
              <w:left w:val="single" w:color="auto" w:sz="4" w:space="0"/>
              <w:right w:val="single" w:color="auto" w:sz="4" w:space="0"/>
            </w:tcBorders>
            <w:noWrap/>
            <w:vAlign w:val="center"/>
          </w:tcPr>
          <w:p w14:paraId="74839109">
            <w:pPr>
              <w:widowControl/>
              <w:spacing w:after="0" w:line="360" w:lineRule="auto"/>
              <w:jc w:val="center"/>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2B468A76">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隐患管理</w:t>
            </w:r>
          </w:p>
        </w:tc>
        <w:tc>
          <w:tcPr>
            <w:tcW w:w="3445" w:type="pct"/>
            <w:tcBorders>
              <w:top w:val="nil"/>
              <w:left w:val="nil"/>
              <w:bottom w:val="single" w:color="auto" w:sz="4" w:space="0"/>
              <w:right w:val="single" w:color="auto" w:sz="4" w:space="0"/>
            </w:tcBorders>
            <w:noWrap w:val="0"/>
            <w:vAlign w:val="center"/>
          </w:tcPr>
          <w:p w14:paraId="3358E2A6">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查看医院所有隐患工单，包括隐患状态、处理流程及流程图，用户可处理需自身处理的隐患，并支持批量导出隐患信息表格及多条件筛选查询。</w:t>
            </w:r>
          </w:p>
        </w:tc>
      </w:tr>
      <w:tr w14:paraId="4429C20B">
        <w:tblPrEx>
          <w:tblCellMar>
            <w:top w:w="0" w:type="dxa"/>
            <w:left w:w="108" w:type="dxa"/>
            <w:bottom w:w="0" w:type="dxa"/>
            <w:right w:w="108" w:type="dxa"/>
          </w:tblCellMar>
        </w:tblPrEx>
        <w:trPr>
          <w:trHeight w:val="650" w:hRule="atLeast"/>
        </w:trPr>
        <w:tc>
          <w:tcPr>
            <w:tcW w:w="390" w:type="pct"/>
            <w:tcBorders>
              <w:top w:val="nil"/>
              <w:left w:val="single" w:color="auto" w:sz="4" w:space="0"/>
              <w:bottom w:val="single" w:color="auto" w:sz="4" w:space="0"/>
              <w:right w:val="single" w:color="auto" w:sz="4" w:space="0"/>
            </w:tcBorders>
            <w:noWrap/>
            <w:vAlign w:val="center"/>
          </w:tcPr>
          <w:p w14:paraId="74C98D2D">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4.4</w:t>
            </w:r>
          </w:p>
        </w:tc>
        <w:tc>
          <w:tcPr>
            <w:tcW w:w="455" w:type="pct"/>
            <w:vMerge w:val="continue"/>
            <w:tcBorders>
              <w:left w:val="single" w:color="auto" w:sz="4" w:space="0"/>
              <w:right w:val="single" w:color="auto" w:sz="4" w:space="0"/>
            </w:tcBorders>
            <w:noWrap/>
            <w:vAlign w:val="center"/>
          </w:tcPr>
          <w:p w14:paraId="72B5B5C2">
            <w:pPr>
              <w:widowControl/>
              <w:spacing w:after="0" w:line="360" w:lineRule="auto"/>
              <w:jc w:val="center"/>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10FEBAAF">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应急预案建设</w:t>
            </w:r>
          </w:p>
        </w:tc>
        <w:tc>
          <w:tcPr>
            <w:tcW w:w="3445" w:type="pct"/>
            <w:tcBorders>
              <w:top w:val="nil"/>
              <w:left w:val="nil"/>
              <w:bottom w:val="single" w:color="auto" w:sz="4" w:space="0"/>
              <w:right w:val="single" w:color="auto" w:sz="4" w:space="0"/>
            </w:tcBorders>
            <w:noWrap w:val="0"/>
            <w:vAlign w:val="center"/>
          </w:tcPr>
          <w:p w14:paraId="7879AF38">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支持起草预案，预案内支持富文本，富文本支持导入word；支持绑定指定的报警类型、空间，能够在调用预案时自动选择合适的预案；预案内支持创建流程预案，流程支持下发通知、调用风险、设备、和组态图；支持基于现有的预案进行修订，进行版本管理；支持预案修改时，需要负责人审批。</w:t>
            </w:r>
          </w:p>
        </w:tc>
      </w:tr>
      <w:tr w14:paraId="142BAF78">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613C0F5E">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4.5</w:t>
            </w:r>
          </w:p>
        </w:tc>
        <w:tc>
          <w:tcPr>
            <w:tcW w:w="455" w:type="pct"/>
            <w:vMerge w:val="continue"/>
            <w:tcBorders>
              <w:top w:val="nil"/>
              <w:left w:val="single" w:color="auto" w:sz="4" w:space="0"/>
              <w:bottom w:val="single" w:color="auto" w:sz="4" w:space="0"/>
              <w:right w:val="single" w:color="auto" w:sz="4" w:space="0"/>
            </w:tcBorders>
            <w:noWrap w:val="0"/>
            <w:vAlign w:val="center"/>
          </w:tcPr>
          <w:p w14:paraId="41AEF459">
            <w:pPr>
              <w:widowControl/>
              <w:spacing w:after="0" w:line="360" w:lineRule="auto"/>
              <w:jc w:val="left"/>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191BE888">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软件一键报警</w:t>
            </w:r>
          </w:p>
        </w:tc>
        <w:tc>
          <w:tcPr>
            <w:tcW w:w="3445" w:type="pct"/>
            <w:tcBorders>
              <w:top w:val="nil"/>
              <w:left w:val="nil"/>
              <w:bottom w:val="single" w:color="auto" w:sz="4" w:space="0"/>
              <w:right w:val="single" w:color="auto" w:sz="4" w:space="0"/>
            </w:tcBorders>
            <w:noWrap w:val="0"/>
            <w:vAlign w:val="center"/>
          </w:tcPr>
          <w:p w14:paraId="1CA3E652">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支持客户端或快捷键快速报警</w:t>
            </w:r>
          </w:p>
        </w:tc>
      </w:tr>
      <w:tr w14:paraId="09543B32">
        <w:tblPrEx>
          <w:tblCellMar>
            <w:top w:w="0" w:type="dxa"/>
            <w:left w:w="108" w:type="dxa"/>
            <w:bottom w:w="0" w:type="dxa"/>
            <w:right w:w="108" w:type="dxa"/>
          </w:tblCellMar>
        </w:tblPrEx>
        <w:trPr>
          <w:trHeight w:val="280" w:hRule="atLeast"/>
        </w:trPr>
        <w:tc>
          <w:tcPr>
            <w:tcW w:w="390" w:type="pct"/>
            <w:tcBorders>
              <w:top w:val="nil"/>
              <w:left w:val="single" w:color="auto" w:sz="4" w:space="0"/>
              <w:bottom w:val="single" w:color="auto" w:sz="4" w:space="0"/>
              <w:right w:val="single" w:color="auto" w:sz="4" w:space="0"/>
            </w:tcBorders>
            <w:noWrap/>
            <w:vAlign w:val="center"/>
          </w:tcPr>
          <w:p w14:paraId="471633D6">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5.1</w:t>
            </w:r>
          </w:p>
        </w:tc>
        <w:tc>
          <w:tcPr>
            <w:tcW w:w="455" w:type="pct"/>
            <w:vMerge w:val="restart"/>
            <w:tcBorders>
              <w:top w:val="nil"/>
              <w:left w:val="single" w:color="auto" w:sz="4" w:space="0"/>
              <w:bottom w:val="single" w:color="auto" w:sz="4" w:space="0"/>
              <w:right w:val="single" w:color="auto" w:sz="4" w:space="0"/>
            </w:tcBorders>
            <w:noWrap/>
            <w:vAlign w:val="center"/>
          </w:tcPr>
          <w:p w14:paraId="7984630E">
            <w:pPr>
              <w:widowControl/>
              <w:spacing w:after="0" w:line="360" w:lineRule="auto"/>
              <w:jc w:val="center"/>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eastAsia="zh-CN"/>
              </w:rPr>
              <w:t>后勤服务考核管理</w:t>
            </w:r>
          </w:p>
        </w:tc>
        <w:tc>
          <w:tcPr>
            <w:tcW w:w="709" w:type="pct"/>
            <w:tcBorders>
              <w:top w:val="nil"/>
              <w:left w:val="nil"/>
              <w:bottom w:val="single" w:color="auto" w:sz="4" w:space="0"/>
              <w:right w:val="single" w:color="auto" w:sz="4" w:space="0"/>
            </w:tcBorders>
            <w:noWrap w:val="0"/>
            <w:vAlign w:val="center"/>
          </w:tcPr>
          <w:p w14:paraId="769EEDBC">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后勤服务考核</w:t>
            </w:r>
          </w:p>
        </w:tc>
        <w:tc>
          <w:tcPr>
            <w:tcW w:w="3445" w:type="pct"/>
            <w:tcBorders>
              <w:top w:val="nil"/>
              <w:left w:val="nil"/>
              <w:bottom w:val="single" w:color="auto" w:sz="4" w:space="0"/>
              <w:right w:val="single" w:color="auto" w:sz="4" w:space="0"/>
            </w:tcBorders>
            <w:noWrap w:val="0"/>
            <w:vAlign w:val="center"/>
          </w:tcPr>
          <w:p w14:paraId="17DA3906">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支持对接医院智慧后期系统工单数据，支持从工单数量、完成率、处理及时性、满意度等维度对人员、班组、科室及空间进行综合评估；支持通过配置，生成后勤成本分析、服务考核分析等多个门户应用</w:t>
            </w:r>
          </w:p>
        </w:tc>
      </w:tr>
      <w:tr w14:paraId="4E59EA24">
        <w:tblPrEx>
          <w:tblCellMar>
            <w:top w:w="0" w:type="dxa"/>
            <w:left w:w="108" w:type="dxa"/>
            <w:bottom w:w="0" w:type="dxa"/>
            <w:right w:w="108" w:type="dxa"/>
          </w:tblCellMar>
        </w:tblPrEx>
        <w:trPr>
          <w:trHeight w:val="650" w:hRule="atLeast"/>
        </w:trPr>
        <w:tc>
          <w:tcPr>
            <w:tcW w:w="390" w:type="pct"/>
            <w:tcBorders>
              <w:top w:val="nil"/>
              <w:left w:val="single" w:color="auto" w:sz="4" w:space="0"/>
              <w:bottom w:val="single" w:color="auto" w:sz="4" w:space="0"/>
              <w:right w:val="single" w:color="auto" w:sz="4" w:space="0"/>
            </w:tcBorders>
            <w:noWrap/>
            <w:vAlign w:val="center"/>
          </w:tcPr>
          <w:p w14:paraId="778FFD9E">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5.2</w:t>
            </w:r>
          </w:p>
        </w:tc>
        <w:tc>
          <w:tcPr>
            <w:tcW w:w="455" w:type="pct"/>
            <w:vMerge w:val="continue"/>
            <w:tcBorders>
              <w:left w:val="single" w:color="auto" w:sz="4" w:space="0"/>
              <w:right w:val="single" w:color="auto" w:sz="4" w:space="0"/>
            </w:tcBorders>
            <w:noWrap/>
            <w:vAlign w:val="center"/>
          </w:tcPr>
          <w:p w14:paraId="0FEE09C0">
            <w:pPr>
              <w:widowControl/>
              <w:spacing w:after="0" w:line="360" w:lineRule="auto"/>
              <w:jc w:val="center"/>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20B489F7">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机电设备管理</w:t>
            </w:r>
          </w:p>
        </w:tc>
        <w:tc>
          <w:tcPr>
            <w:tcW w:w="3445" w:type="pct"/>
            <w:tcBorders>
              <w:top w:val="nil"/>
              <w:left w:val="nil"/>
              <w:bottom w:val="single" w:color="auto" w:sz="4" w:space="0"/>
              <w:right w:val="single" w:color="auto" w:sz="4" w:space="0"/>
            </w:tcBorders>
            <w:noWrap w:val="0"/>
            <w:vAlign w:val="center"/>
          </w:tcPr>
          <w:p w14:paraId="7F930302">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设备维保信息一体化台账，将设备静态信息与维修、保养、异常工单挂钩，在统一界面集中展示设备运行状态、维修记录、保养信息及异常情况</w:t>
            </w:r>
          </w:p>
        </w:tc>
      </w:tr>
      <w:tr w14:paraId="4C8DB248">
        <w:tblPrEx>
          <w:tblCellMar>
            <w:top w:w="0" w:type="dxa"/>
            <w:left w:w="108" w:type="dxa"/>
            <w:bottom w:w="0" w:type="dxa"/>
            <w:right w:w="108" w:type="dxa"/>
          </w:tblCellMar>
        </w:tblPrEx>
        <w:trPr>
          <w:trHeight w:val="650" w:hRule="atLeast"/>
        </w:trPr>
        <w:tc>
          <w:tcPr>
            <w:tcW w:w="390" w:type="pct"/>
            <w:tcBorders>
              <w:top w:val="nil"/>
              <w:left w:val="single" w:color="auto" w:sz="4" w:space="0"/>
              <w:bottom w:val="single" w:color="auto" w:sz="4" w:space="0"/>
              <w:right w:val="single" w:color="auto" w:sz="4" w:space="0"/>
            </w:tcBorders>
            <w:noWrap/>
            <w:vAlign w:val="center"/>
          </w:tcPr>
          <w:p w14:paraId="7FCDF54C">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5.3</w:t>
            </w:r>
          </w:p>
        </w:tc>
        <w:tc>
          <w:tcPr>
            <w:tcW w:w="455" w:type="pct"/>
            <w:vMerge w:val="continue"/>
            <w:tcBorders>
              <w:left w:val="single" w:color="auto" w:sz="4" w:space="0"/>
              <w:bottom w:val="single" w:color="auto" w:sz="4" w:space="0"/>
              <w:right w:val="single" w:color="auto" w:sz="4" w:space="0"/>
            </w:tcBorders>
            <w:noWrap/>
            <w:vAlign w:val="center"/>
          </w:tcPr>
          <w:p w14:paraId="0A961C80">
            <w:pPr>
              <w:widowControl/>
              <w:spacing w:after="0" w:line="360" w:lineRule="auto"/>
              <w:jc w:val="center"/>
              <w:rPr>
                <w:rFonts w:hint="eastAsia" w:ascii="仿宋" w:hAnsi="仿宋" w:eastAsia="仿宋" w:cs="仿宋"/>
                <w:color w:val="000000"/>
                <w:kern w:val="0"/>
                <w:sz w:val="24"/>
                <w:szCs w:val="24"/>
                <w:highlight w:val="none"/>
              </w:rPr>
            </w:pPr>
          </w:p>
        </w:tc>
        <w:tc>
          <w:tcPr>
            <w:tcW w:w="709" w:type="pct"/>
            <w:tcBorders>
              <w:top w:val="nil"/>
              <w:left w:val="nil"/>
              <w:bottom w:val="single" w:color="auto" w:sz="4" w:space="0"/>
              <w:right w:val="single" w:color="auto" w:sz="4" w:space="0"/>
            </w:tcBorders>
            <w:noWrap w:val="0"/>
            <w:vAlign w:val="center"/>
          </w:tcPr>
          <w:p w14:paraId="4EAC9DCC">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维保物资管理</w:t>
            </w:r>
          </w:p>
        </w:tc>
        <w:tc>
          <w:tcPr>
            <w:tcW w:w="3445" w:type="pct"/>
            <w:tcBorders>
              <w:top w:val="nil"/>
              <w:left w:val="nil"/>
              <w:bottom w:val="single" w:color="auto" w:sz="4" w:space="0"/>
              <w:right w:val="single" w:color="auto" w:sz="4" w:space="0"/>
            </w:tcBorders>
            <w:noWrap w:val="0"/>
            <w:vAlign w:val="center"/>
          </w:tcPr>
          <w:p w14:paraId="21FA6D05">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维修、保养等后勤工单与物资耗用挂钩，实现物资消耗的精确记录和成本分摊</w:t>
            </w:r>
          </w:p>
        </w:tc>
      </w:tr>
      <w:tr w14:paraId="01290283">
        <w:tblPrEx>
          <w:tblCellMar>
            <w:top w:w="0" w:type="dxa"/>
            <w:left w:w="108" w:type="dxa"/>
            <w:bottom w:w="0" w:type="dxa"/>
            <w:right w:w="108" w:type="dxa"/>
          </w:tblCellMar>
        </w:tblPrEx>
        <w:trPr>
          <w:trHeight w:val="650" w:hRule="atLeast"/>
        </w:trPr>
        <w:tc>
          <w:tcPr>
            <w:tcW w:w="390" w:type="pct"/>
            <w:tcBorders>
              <w:top w:val="single" w:color="auto" w:sz="4" w:space="0"/>
              <w:left w:val="single" w:color="auto" w:sz="4" w:space="0"/>
              <w:bottom w:val="single" w:color="auto" w:sz="4" w:space="0"/>
              <w:right w:val="single" w:color="auto" w:sz="4" w:space="0"/>
            </w:tcBorders>
            <w:noWrap/>
            <w:vAlign w:val="center"/>
          </w:tcPr>
          <w:p w14:paraId="30A4B2A1">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6.1</w:t>
            </w:r>
          </w:p>
        </w:tc>
        <w:tc>
          <w:tcPr>
            <w:tcW w:w="455" w:type="pct"/>
            <w:vMerge w:val="restart"/>
            <w:tcBorders>
              <w:top w:val="single" w:color="auto" w:sz="4" w:space="0"/>
              <w:left w:val="single" w:color="auto" w:sz="4" w:space="0"/>
              <w:right w:val="single" w:color="auto" w:sz="4" w:space="0"/>
            </w:tcBorders>
            <w:noWrap/>
            <w:vAlign w:val="center"/>
          </w:tcPr>
          <w:p w14:paraId="304CD189">
            <w:pPr>
              <w:widowControl/>
              <w:spacing w:after="0" w:line="360" w:lineRule="auto"/>
              <w:jc w:val="center"/>
              <w:rPr>
                <w:rFonts w:hint="eastAsia" w:ascii="仿宋" w:hAnsi="仿宋" w:eastAsia="仿宋" w:cs="仿宋"/>
                <w:b w:val="0"/>
                <w:bCs w:val="0"/>
                <w:color w:val="000000"/>
                <w:kern w:val="0"/>
                <w:sz w:val="24"/>
                <w:szCs w:val="24"/>
                <w:highlight w:val="none"/>
                <w:lang w:eastAsia="zh-CN"/>
              </w:rPr>
            </w:pPr>
            <w:r>
              <w:rPr>
                <w:rFonts w:hint="eastAsia" w:ascii="仿宋" w:hAnsi="仿宋" w:eastAsia="仿宋" w:cs="仿宋"/>
                <w:b w:val="0"/>
                <w:bCs w:val="0"/>
                <w:color w:val="000000"/>
                <w:kern w:val="0"/>
                <w:sz w:val="24"/>
                <w:szCs w:val="24"/>
                <w:highlight w:val="none"/>
                <w:lang w:eastAsia="zh-CN"/>
              </w:rPr>
              <w:t>第三方系统对接</w:t>
            </w:r>
          </w:p>
        </w:tc>
        <w:tc>
          <w:tcPr>
            <w:tcW w:w="709" w:type="pct"/>
            <w:tcBorders>
              <w:top w:val="single" w:color="auto" w:sz="4" w:space="0"/>
              <w:left w:val="single" w:color="auto" w:sz="4" w:space="0"/>
              <w:bottom w:val="single" w:color="auto" w:sz="4" w:space="0"/>
              <w:right w:val="single" w:color="auto" w:sz="4" w:space="0"/>
            </w:tcBorders>
            <w:noWrap w:val="0"/>
            <w:vAlign w:val="center"/>
          </w:tcPr>
          <w:p w14:paraId="129FA7F9">
            <w:pPr>
              <w:numPr>
                <w:ilvl w:val="0"/>
                <w:numId w:val="0"/>
              </w:numPr>
              <w:spacing w:line="360" w:lineRule="auto"/>
              <w:rPr>
                <w:rFonts w:hint="eastAsia" w:ascii="仿宋" w:hAnsi="仿宋" w:eastAsia="仿宋" w:cs="仿宋"/>
                <w:b w:val="0"/>
                <w:bCs w:val="0"/>
                <w:color w:val="000000"/>
                <w:kern w:val="0"/>
                <w:sz w:val="24"/>
                <w:szCs w:val="24"/>
                <w:highlight w:val="none"/>
              </w:rPr>
            </w:pPr>
            <w:r>
              <w:rPr>
                <w:rFonts w:hint="eastAsia" w:ascii="仿宋" w:hAnsi="仿宋" w:eastAsia="仿宋" w:cs="仿宋"/>
                <w:b w:val="0"/>
                <w:bCs w:val="0"/>
                <w:sz w:val="24"/>
                <w:szCs w:val="24"/>
                <w:highlight w:val="none"/>
                <w:lang w:val="en-US" w:eastAsia="zh-CN"/>
              </w:rPr>
              <w:t>楼宇自控系统对接</w:t>
            </w:r>
          </w:p>
        </w:tc>
        <w:tc>
          <w:tcPr>
            <w:tcW w:w="3445" w:type="pct"/>
            <w:tcBorders>
              <w:top w:val="single" w:color="auto" w:sz="4" w:space="0"/>
              <w:left w:val="single" w:color="auto" w:sz="4" w:space="0"/>
              <w:bottom w:val="single" w:color="auto" w:sz="4" w:space="0"/>
              <w:right w:val="single" w:color="auto" w:sz="4" w:space="0"/>
            </w:tcBorders>
            <w:noWrap w:val="0"/>
            <w:vAlign w:val="center"/>
          </w:tcPr>
          <w:p w14:paraId="69CA3AAE">
            <w:pPr>
              <w:numPr>
                <w:ilvl w:val="0"/>
                <w:numId w:val="0"/>
              </w:numPr>
              <w:spacing w:line="360" w:lineRule="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与自控系统对接送排风系统运行状态，包括机房环境温湿度、水浸状态，送风机、排风机的启停及故障状态，重点通风管道及设备的风量、压力，风阀开度等运行数据；</w:t>
            </w:r>
          </w:p>
          <w:p w14:paraId="75CF924B">
            <w:pPr>
              <w:numPr>
                <w:ilvl w:val="0"/>
                <w:numId w:val="0"/>
              </w:numPr>
              <w:spacing w:line="360" w:lineRule="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与自控系统对接获取新风机组运行数据，包括新风阀开度状态、滤网状态、水阀反馈、风机压差、运行时间及送风温度等数据及控制；</w:t>
            </w:r>
          </w:p>
          <w:p w14:paraId="6F7815E5">
            <w:pPr>
              <w:widowControl/>
              <w:spacing w:after="0" w:line="360" w:lineRule="auto"/>
              <w:jc w:val="left"/>
              <w:rPr>
                <w:rFonts w:hint="eastAsia" w:ascii="仿宋" w:hAnsi="仿宋" w:eastAsia="仿宋" w:cs="仿宋"/>
                <w:b w:val="0"/>
                <w:bCs w:val="0"/>
                <w:color w:val="000000"/>
                <w:kern w:val="0"/>
                <w:sz w:val="24"/>
                <w:szCs w:val="24"/>
                <w:highlight w:val="none"/>
              </w:rPr>
            </w:pPr>
            <w:r>
              <w:rPr>
                <w:rFonts w:hint="eastAsia" w:ascii="仿宋" w:hAnsi="仿宋" w:eastAsia="仿宋" w:cs="仿宋"/>
                <w:b w:val="0"/>
                <w:bCs w:val="0"/>
                <w:sz w:val="24"/>
                <w:szCs w:val="24"/>
                <w:highlight w:val="none"/>
                <w:lang w:val="en-US" w:eastAsia="zh-CN"/>
              </w:rPr>
              <w:t>与自控系统对接给排水运行数据，包括水泵房及集水井液位、以及水泵房水泵启停状态、水泵手自动状态，水泵房供水压力等数据</w:t>
            </w:r>
          </w:p>
        </w:tc>
      </w:tr>
      <w:tr w14:paraId="2B5680C7">
        <w:tblPrEx>
          <w:tblCellMar>
            <w:top w:w="0" w:type="dxa"/>
            <w:left w:w="108" w:type="dxa"/>
            <w:bottom w:w="0" w:type="dxa"/>
            <w:right w:w="108" w:type="dxa"/>
          </w:tblCellMar>
        </w:tblPrEx>
        <w:trPr>
          <w:trHeight w:val="650" w:hRule="atLeast"/>
        </w:trPr>
        <w:tc>
          <w:tcPr>
            <w:tcW w:w="390" w:type="pct"/>
            <w:tcBorders>
              <w:top w:val="single" w:color="auto" w:sz="4" w:space="0"/>
              <w:left w:val="single" w:color="auto" w:sz="4" w:space="0"/>
              <w:bottom w:val="single" w:color="auto" w:sz="4" w:space="0"/>
              <w:right w:val="single" w:color="auto" w:sz="4" w:space="0"/>
            </w:tcBorders>
            <w:noWrap/>
            <w:vAlign w:val="center"/>
          </w:tcPr>
          <w:p w14:paraId="0E0D71E1">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6.2</w:t>
            </w:r>
          </w:p>
          <w:p w14:paraId="7EC298C7">
            <w:pPr>
              <w:widowControl/>
              <w:spacing w:after="0" w:line="360" w:lineRule="auto"/>
              <w:jc w:val="center"/>
              <w:rPr>
                <w:rFonts w:hint="eastAsia" w:ascii="仿宋" w:hAnsi="仿宋" w:eastAsia="仿宋" w:cs="仿宋"/>
                <w:color w:val="000000"/>
                <w:kern w:val="0"/>
                <w:sz w:val="24"/>
                <w:szCs w:val="24"/>
                <w:highlight w:val="none"/>
              </w:rPr>
            </w:pPr>
          </w:p>
        </w:tc>
        <w:tc>
          <w:tcPr>
            <w:tcW w:w="455" w:type="pct"/>
            <w:vMerge w:val="continue"/>
            <w:tcBorders>
              <w:left w:val="single" w:color="auto" w:sz="4" w:space="0"/>
              <w:right w:val="single" w:color="auto" w:sz="4" w:space="0"/>
            </w:tcBorders>
            <w:noWrap/>
            <w:vAlign w:val="center"/>
          </w:tcPr>
          <w:p w14:paraId="07B77D34">
            <w:pPr>
              <w:widowControl/>
              <w:spacing w:after="0" w:line="360" w:lineRule="auto"/>
              <w:jc w:val="center"/>
              <w:rPr>
                <w:rFonts w:hint="eastAsia" w:ascii="仿宋" w:hAnsi="仿宋" w:eastAsia="仿宋" w:cs="仿宋"/>
                <w:color w:val="000000"/>
                <w:kern w:val="0"/>
                <w:sz w:val="24"/>
                <w:szCs w:val="24"/>
                <w:highlight w:val="none"/>
                <w:lang w:eastAsia="zh-CN"/>
              </w:rPr>
            </w:pPr>
          </w:p>
        </w:tc>
        <w:tc>
          <w:tcPr>
            <w:tcW w:w="709" w:type="pct"/>
            <w:tcBorders>
              <w:top w:val="single" w:color="auto" w:sz="4" w:space="0"/>
              <w:left w:val="single" w:color="auto" w:sz="4" w:space="0"/>
              <w:bottom w:val="single" w:color="auto" w:sz="4" w:space="0"/>
              <w:right w:val="single" w:color="auto" w:sz="4" w:space="0"/>
            </w:tcBorders>
            <w:noWrap w:val="0"/>
            <w:vAlign w:val="center"/>
          </w:tcPr>
          <w:p w14:paraId="2896F4B0">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智慧能源云平台对接</w:t>
            </w:r>
          </w:p>
        </w:tc>
        <w:tc>
          <w:tcPr>
            <w:tcW w:w="3445" w:type="pct"/>
            <w:tcBorders>
              <w:top w:val="single" w:color="auto" w:sz="4" w:space="0"/>
              <w:left w:val="single" w:color="auto" w:sz="4" w:space="0"/>
              <w:bottom w:val="single" w:color="auto" w:sz="4" w:space="0"/>
              <w:right w:val="single" w:color="auto" w:sz="4" w:space="0"/>
            </w:tcBorders>
            <w:noWrap w:val="0"/>
            <w:vAlign w:val="center"/>
          </w:tcPr>
          <w:p w14:paraId="675771C8">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智慧能源云平台对接，包括基础数据、电能、电流、电压、线缆温度等651个点位数据</w:t>
            </w:r>
          </w:p>
        </w:tc>
      </w:tr>
      <w:tr w14:paraId="50E12A5C">
        <w:tblPrEx>
          <w:tblCellMar>
            <w:top w:w="0" w:type="dxa"/>
            <w:left w:w="108" w:type="dxa"/>
            <w:bottom w:w="0" w:type="dxa"/>
            <w:right w:w="108" w:type="dxa"/>
          </w:tblCellMar>
        </w:tblPrEx>
        <w:trPr>
          <w:trHeight w:val="650" w:hRule="atLeast"/>
        </w:trPr>
        <w:tc>
          <w:tcPr>
            <w:tcW w:w="390" w:type="pct"/>
            <w:tcBorders>
              <w:top w:val="single" w:color="auto" w:sz="4" w:space="0"/>
              <w:left w:val="single" w:color="auto" w:sz="4" w:space="0"/>
              <w:bottom w:val="single" w:color="auto" w:sz="4" w:space="0"/>
              <w:right w:val="single" w:color="auto" w:sz="4" w:space="0"/>
            </w:tcBorders>
            <w:noWrap/>
            <w:vAlign w:val="center"/>
          </w:tcPr>
          <w:p w14:paraId="613C0144">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6.3</w:t>
            </w:r>
          </w:p>
        </w:tc>
        <w:tc>
          <w:tcPr>
            <w:tcW w:w="455" w:type="pct"/>
            <w:vMerge w:val="continue"/>
            <w:tcBorders>
              <w:left w:val="single" w:color="auto" w:sz="4" w:space="0"/>
              <w:right w:val="single" w:color="auto" w:sz="4" w:space="0"/>
            </w:tcBorders>
            <w:noWrap/>
            <w:vAlign w:val="center"/>
          </w:tcPr>
          <w:p w14:paraId="2F087C9E">
            <w:pPr>
              <w:widowControl/>
              <w:spacing w:after="0" w:line="360" w:lineRule="auto"/>
              <w:jc w:val="center"/>
              <w:rPr>
                <w:rFonts w:hint="eastAsia" w:ascii="仿宋" w:hAnsi="仿宋" w:eastAsia="仿宋" w:cs="仿宋"/>
                <w:color w:val="000000"/>
                <w:kern w:val="0"/>
                <w:sz w:val="24"/>
                <w:szCs w:val="24"/>
                <w:highlight w:val="none"/>
                <w:lang w:eastAsia="zh-CN"/>
              </w:rPr>
            </w:pPr>
          </w:p>
        </w:tc>
        <w:tc>
          <w:tcPr>
            <w:tcW w:w="709" w:type="pct"/>
            <w:tcBorders>
              <w:top w:val="single" w:color="auto" w:sz="4" w:space="0"/>
              <w:left w:val="single" w:color="auto" w:sz="4" w:space="0"/>
              <w:bottom w:val="single" w:color="auto" w:sz="4" w:space="0"/>
              <w:right w:val="single" w:color="auto" w:sz="4" w:space="0"/>
            </w:tcBorders>
            <w:noWrap w:val="0"/>
            <w:vAlign w:val="center"/>
          </w:tcPr>
          <w:p w14:paraId="64925B82">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能源管理平台对接</w:t>
            </w:r>
          </w:p>
        </w:tc>
        <w:tc>
          <w:tcPr>
            <w:tcW w:w="3445" w:type="pct"/>
            <w:tcBorders>
              <w:top w:val="single" w:color="auto" w:sz="4" w:space="0"/>
              <w:left w:val="single" w:color="auto" w:sz="4" w:space="0"/>
              <w:bottom w:val="single" w:color="auto" w:sz="4" w:space="0"/>
              <w:right w:val="single" w:color="auto" w:sz="4" w:space="0"/>
            </w:tcBorders>
            <w:noWrap w:val="0"/>
            <w:vAlign w:val="center"/>
          </w:tcPr>
          <w:p w14:paraId="175AD682">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包括基础数据、用水相关流量、水压等用水监测数据等</w:t>
            </w:r>
          </w:p>
        </w:tc>
      </w:tr>
      <w:tr w14:paraId="1B512EA8">
        <w:tblPrEx>
          <w:tblCellMar>
            <w:top w:w="0" w:type="dxa"/>
            <w:left w:w="108" w:type="dxa"/>
            <w:bottom w:w="0" w:type="dxa"/>
            <w:right w:w="108" w:type="dxa"/>
          </w:tblCellMar>
        </w:tblPrEx>
        <w:trPr>
          <w:trHeight w:val="650" w:hRule="atLeast"/>
        </w:trPr>
        <w:tc>
          <w:tcPr>
            <w:tcW w:w="390" w:type="pct"/>
            <w:tcBorders>
              <w:top w:val="single" w:color="auto" w:sz="4" w:space="0"/>
              <w:left w:val="single" w:color="auto" w:sz="4" w:space="0"/>
              <w:bottom w:val="single" w:color="auto" w:sz="4" w:space="0"/>
              <w:right w:val="single" w:color="auto" w:sz="4" w:space="0"/>
            </w:tcBorders>
            <w:noWrap/>
            <w:vAlign w:val="center"/>
          </w:tcPr>
          <w:p w14:paraId="6057CAF1">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6.4</w:t>
            </w:r>
          </w:p>
        </w:tc>
        <w:tc>
          <w:tcPr>
            <w:tcW w:w="455" w:type="pct"/>
            <w:vMerge w:val="continue"/>
            <w:tcBorders>
              <w:left w:val="single" w:color="auto" w:sz="4" w:space="0"/>
              <w:right w:val="single" w:color="auto" w:sz="4" w:space="0"/>
            </w:tcBorders>
            <w:noWrap/>
            <w:vAlign w:val="center"/>
          </w:tcPr>
          <w:p w14:paraId="431C9895">
            <w:pPr>
              <w:widowControl/>
              <w:spacing w:after="0" w:line="360" w:lineRule="auto"/>
              <w:jc w:val="center"/>
              <w:rPr>
                <w:rFonts w:hint="eastAsia" w:ascii="仿宋" w:hAnsi="仿宋" w:eastAsia="仿宋" w:cs="仿宋"/>
                <w:color w:val="000000"/>
                <w:kern w:val="0"/>
                <w:sz w:val="24"/>
                <w:szCs w:val="24"/>
                <w:highlight w:val="none"/>
                <w:lang w:eastAsia="zh-CN"/>
              </w:rPr>
            </w:pPr>
          </w:p>
        </w:tc>
        <w:tc>
          <w:tcPr>
            <w:tcW w:w="709" w:type="pct"/>
            <w:tcBorders>
              <w:top w:val="single" w:color="auto" w:sz="4" w:space="0"/>
              <w:left w:val="single" w:color="auto" w:sz="4" w:space="0"/>
              <w:bottom w:val="single" w:color="auto" w:sz="4" w:space="0"/>
              <w:right w:val="single" w:color="auto" w:sz="4" w:space="0"/>
            </w:tcBorders>
            <w:noWrap w:val="0"/>
            <w:vAlign w:val="center"/>
          </w:tcPr>
          <w:p w14:paraId="51B4C36F">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智慧照明系统</w:t>
            </w:r>
          </w:p>
        </w:tc>
        <w:tc>
          <w:tcPr>
            <w:tcW w:w="3445" w:type="pct"/>
            <w:tcBorders>
              <w:top w:val="single" w:color="auto" w:sz="4" w:space="0"/>
              <w:left w:val="single" w:color="auto" w:sz="4" w:space="0"/>
              <w:bottom w:val="single" w:color="auto" w:sz="4" w:space="0"/>
              <w:right w:val="single" w:color="auto" w:sz="4" w:space="0"/>
            </w:tcBorders>
            <w:noWrap w:val="0"/>
            <w:vAlign w:val="center"/>
          </w:tcPr>
          <w:p w14:paraId="663F0148">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与智慧照明系统对接，包括灯具的运行状态数据等</w:t>
            </w:r>
          </w:p>
        </w:tc>
      </w:tr>
      <w:tr w14:paraId="08CE303F">
        <w:tblPrEx>
          <w:tblCellMar>
            <w:top w:w="0" w:type="dxa"/>
            <w:left w:w="108" w:type="dxa"/>
            <w:bottom w:w="0" w:type="dxa"/>
            <w:right w:w="108" w:type="dxa"/>
          </w:tblCellMar>
        </w:tblPrEx>
        <w:trPr>
          <w:trHeight w:val="650" w:hRule="atLeast"/>
        </w:trPr>
        <w:tc>
          <w:tcPr>
            <w:tcW w:w="390" w:type="pct"/>
            <w:tcBorders>
              <w:top w:val="single" w:color="auto" w:sz="4" w:space="0"/>
              <w:left w:val="single" w:color="auto" w:sz="4" w:space="0"/>
              <w:bottom w:val="single" w:color="auto" w:sz="4" w:space="0"/>
              <w:right w:val="single" w:color="auto" w:sz="4" w:space="0"/>
            </w:tcBorders>
            <w:noWrap/>
            <w:vAlign w:val="center"/>
          </w:tcPr>
          <w:p w14:paraId="56D23FC9">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6.5</w:t>
            </w:r>
          </w:p>
        </w:tc>
        <w:tc>
          <w:tcPr>
            <w:tcW w:w="455" w:type="pct"/>
            <w:vMerge w:val="continue"/>
            <w:tcBorders>
              <w:left w:val="single" w:color="auto" w:sz="4" w:space="0"/>
              <w:right w:val="single" w:color="auto" w:sz="4" w:space="0"/>
            </w:tcBorders>
            <w:noWrap/>
            <w:vAlign w:val="center"/>
          </w:tcPr>
          <w:p w14:paraId="55A0B75C">
            <w:pPr>
              <w:widowControl/>
              <w:spacing w:after="0" w:line="360" w:lineRule="auto"/>
              <w:jc w:val="center"/>
              <w:rPr>
                <w:rFonts w:hint="eastAsia" w:ascii="仿宋" w:hAnsi="仿宋" w:eastAsia="仿宋" w:cs="仿宋"/>
                <w:color w:val="000000"/>
                <w:kern w:val="0"/>
                <w:sz w:val="24"/>
                <w:szCs w:val="24"/>
                <w:highlight w:val="none"/>
                <w:lang w:eastAsia="zh-CN"/>
              </w:rPr>
            </w:pPr>
          </w:p>
        </w:tc>
        <w:tc>
          <w:tcPr>
            <w:tcW w:w="709" w:type="pct"/>
            <w:tcBorders>
              <w:top w:val="single" w:color="auto" w:sz="4" w:space="0"/>
              <w:left w:val="single" w:color="auto" w:sz="4" w:space="0"/>
              <w:bottom w:val="single" w:color="auto" w:sz="4" w:space="0"/>
              <w:right w:val="single" w:color="auto" w:sz="4" w:space="0"/>
            </w:tcBorders>
            <w:noWrap w:val="0"/>
            <w:vAlign w:val="center"/>
          </w:tcPr>
          <w:p w14:paraId="5DD3AFBE">
            <w:pPr>
              <w:numPr>
                <w:ilvl w:val="0"/>
                <w:numId w:val="0"/>
              </w:numPr>
              <w:spacing w:line="360" w:lineRule="auto"/>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医院后勤系统</w:t>
            </w:r>
          </w:p>
        </w:tc>
        <w:tc>
          <w:tcPr>
            <w:tcW w:w="3445" w:type="pct"/>
            <w:tcBorders>
              <w:top w:val="single" w:color="auto" w:sz="4" w:space="0"/>
              <w:left w:val="single" w:color="auto" w:sz="4" w:space="0"/>
              <w:bottom w:val="single" w:color="auto" w:sz="4" w:space="0"/>
              <w:right w:val="single" w:color="auto" w:sz="4" w:space="0"/>
            </w:tcBorders>
            <w:noWrap w:val="0"/>
            <w:vAlign w:val="center"/>
          </w:tcPr>
          <w:p w14:paraId="30B4AB1F">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与医院后勤系统对接，包括报修、运送、巡检工单数据等</w:t>
            </w:r>
          </w:p>
        </w:tc>
      </w:tr>
      <w:tr w14:paraId="6BD8035C">
        <w:tblPrEx>
          <w:tblCellMar>
            <w:top w:w="0" w:type="dxa"/>
            <w:left w:w="108" w:type="dxa"/>
            <w:bottom w:w="0" w:type="dxa"/>
            <w:right w:w="108" w:type="dxa"/>
          </w:tblCellMar>
        </w:tblPrEx>
        <w:trPr>
          <w:trHeight w:val="650" w:hRule="atLeast"/>
        </w:trPr>
        <w:tc>
          <w:tcPr>
            <w:tcW w:w="390" w:type="pct"/>
            <w:tcBorders>
              <w:top w:val="single" w:color="auto" w:sz="4" w:space="0"/>
              <w:left w:val="single" w:color="auto" w:sz="4" w:space="0"/>
              <w:bottom w:val="single" w:color="auto" w:sz="4" w:space="0"/>
              <w:right w:val="single" w:color="auto" w:sz="4" w:space="0"/>
            </w:tcBorders>
            <w:noWrap/>
            <w:vAlign w:val="center"/>
          </w:tcPr>
          <w:p w14:paraId="60111A03">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6.6</w:t>
            </w:r>
          </w:p>
        </w:tc>
        <w:tc>
          <w:tcPr>
            <w:tcW w:w="455" w:type="pct"/>
            <w:vMerge w:val="continue"/>
            <w:tcBorders>
              <w:left w:val="single" w:color="auto" w:sz="4" w:space="0"/>
              <w:right w:val="single" w:color="auto" w:sz="4" w:space="0"/>
            </w:tcBorders>
            <w:noWrap/>
            <w:vAlign w:val="center"/>
          </w:tcPr>
          <w:p w14:paraId="1AF93544">
            <w:pPr>
              <w:widowControl/>
              <w:spacing w:after="0" w:line="360" w:lineRule="auto"/>
              <w:jc w:val="center"/>
              <w:rPr>
                <w:rFonts w:hint="eastAsia" w:ascii="仿宋" w:hAnsi="仿宋" w:eastAsia="仿宋" w:cs="仿宋"/>
                <w:color w:val="000000"/>
                <w:kern w:val="0"/>
                <w:sz w:val="24"/>
                <w:szCs w:val="24"/>
                <w:highlight w:val="none"/>
                <w:lang w:eastAsia="zh-CN"/>
              </w:rPr>
            </w:pPr>
          </w:p>
        </w:tc>
        <w:tc>
          <w:tcPr>
            <w:tcW w:w="709" w:type="pct"/>
            <w:tcBorders>
              <w:top w:val="single" w:color="auto" w:sz="4" w:space="0"/>
              <w:left w:val="single" w:color="auto" w:sz="4" w:space="0"/>
              <w:bottom w:val="single" w:color="auto" w:sz="4" w:space="0"/>
              <w:right w:val="single" w:color="auto" w:sz="4" w:space="0"/>
            </w:tcBorders>
            <w:noWrap w:val="0"/>
            <w:vAlign w:val="center"/>
          </w:tcPr>
          <w:p w14:paraId="0E16491E">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视频监控系统对接</w:t>
            </w:r>
          </w:p>
        </w:tc>
        <w:tc>
          <w:tcPr>
            <w:tcW w:w="3445" w:type="pct"/>
            <w:tcBorders>
              <w:top w:val="single" w:color="auto" w:sz="4" w:space="0"/>
              <w:left w:val="single" w:color="auto" w:sz="4" w:space="0"/>
              <w:bottom w:val="single" w:color="auto" w:sz="4" w:space="0"/>
              <w:right w:val="single" w:color="auto" w:sz="4" w:space="0"/>
            </w:tcBorders>
            <w:noWrap w:val="0"/>
            <w:vAlign w:val="center"/>
          </w:tcPr>
          <w:p w14:paraId="39489EC5">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与医院后勤系统对接，包括视频数据等</w:t>
            </w:r>
          </w:p>
        </w:tc>
      </w:tr>
      <w:tr w14:paraId="6BD9AA11">
        <w:tblPrEx>
          <w:tblCellMar>
            <w:top w:w="0" w:type="dxa"/>
            <w:left w:w="108" w:type="dxa"/>
            <w:bottom w:w="0" w:type="dxa"/>
            <w:right w:w="108" w:type="dxa"/>
          </w:tblCellMar>
        </w:tblPrEx>
        <w:trPr>
          <w:trHeight w:val="90" w:hRule="atLeast"/>
        </w:trPr>
        <w:tc>
          <w:tcPr>
            <w:tcW w:w="390" w:type="pct"/>
            <w:tcBorders>
              <w:top w:val="single" w:color="auto" w:sz="4" w:space="0"/>
              <w:left w:val="single" w:color="auto" w:sz="4" w:space="0"/>
              <w:bottom w:val="single" w:color="auto" w:sz="4" w:space="0"/>
              <w:right w:val="single" w:color="auto" w:sz="4" w:space="0"/>
            </w:tcBorders>
            <w:noWrap/>
            <w:vAlign w:val="center"/>
          </w:tcPr>
          <w:p w14:paraId="148B4637">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6.7</w:t>
            </w:r>
          </w:p>
        </w:tc>
        <w:tc>
          <w:tcPr>
            <w:tcW w:w="455" w:type="pct"/>
            <w:vMerge w:val="continue"/>
            <w:tcBorders>
              <w:left w:val="single" w:color="auto" w:sz="4" w:space="0"/>
              <w:right w:val="single" w:color="auto" w:sz="4" w:space="0"/>
            </w:tcBorders>
            <w:noWrap/>
            <w:vAlign w:val="center"/>
          </w:tcPr>
          <w:p w14:paraId="5633355B">
            <w:pPr>
              <w:widowControl/>
              <w:spacing w:after="0" w:line="360" w:lineRule="auto"/>
              <w:jc w:val="center"/>
              <w:rPr>
                <w:rFonts w:hint="eastAsia" w:ascii="仿宋" w:hAnsi="仿宋" w:eastAsia="仿宋" w:cs="仿宋"/>
                <w:color w:val="000000"/>
                <w:kern w:val="0"/>
                <w:sz w:val="24"/>
                <w:szCs w:val="24"/>
                <w:highlight w:val="none"/>
                <w:lang w:eastAsia="zh-CN"/>
              </w:rPr>
            </w:pPr>
          </w:p>
        </w:tc>
        <w:tc>
          <w:tcPr>
            <w:tcW w:w="709" w:type="pct"/>
            <w:tcBorders>
              <w:top w:val="single" w:color="auto" w:sz="4" w:space="0"/>
              <w:left w:val="single" w:color="auto" w:sz="4" w:space="0"/>
              <w:bottom w:val="single" w:color="auto" w:sz="4" w:space="0"/>
              <w:right w:val="single" w:color="auto" w:sz="4" w:space="0"/>
            </w:tcBorders>
            <w:noWrap w:val="0"/>
            <w:vAlign w:val="center"/>
          </w:tcPr>
          <w:p w14:paraId="1061E33B">
            <w:pPr>
              <w:widowControl/>
              <w:spacing w:after="0" w:line="360" w:lineRule="auto"/>
              <w:jc w:val="left"/>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其他业务功能对接</w:t>
            </w:r>
          </w:p>
        </w:tc>
        <w:tc>
          <w:tcPr>
            <w:tcW w:w="3445" w:type="pct"/>
            <w:tcBorders>
              <w:top w:val="single" w:color="auto" w:sz="4" w:space="0"/>
              <w:left w:val="single" w:color="auto" w:sz="4" w:space="0"/>
              <w:bottom w:val="single" w:color="auto" w:sz="4" w:space="0"/>
              <w:right w:val="single" w:color="auto" w:sz="4" w:space="0"/>
            </w:tcBorders>
            <w:noWrap w:val="0"/>
            <w:vAlign w:val="center"/>
          </w:tcPr>
          <w:p w14:paraId="5A2A15B0">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包括医院现有的总务、保卫相关系统，如智慧路灯、防浪涌等，及第三方外包公司相关系统，如餐饮服务、布草洗涤、医疗固废、零星维修等，支持与医院机器人平台的对接（巡检地图）</w:t>
            </w:r>
          </w:p>
        </w:tc>
      </w:tr>
      <w:tr w14:paraId="5E0EF995">
        <w:tblPrEx>
          <w:tblCellMar>
            <w:top w:w="0" w:type="dxa"/>
            <w:left w:w="108" w:type="dxa"/>
            <w:bottom w:w="0" w:type="dxa"/>
            <w:right w:w="108" w:type="dxa"/>
          </w:tblCellMar>
        </w:tblPrEx>
        <w:trPr>
          <w:trHeight w:val="650" w:hRule="atLeast"/>
        </w:trPr>
        <w:tc>
          <w:tcPr>
            <w:tcW w:w="390" w:type="pct"/>
            <w:tcBorders>
              <w:top w:val="single" w:color="auto" w:sz="4" w:space="0"/>
              <w:left w:val="single" w:color="auto" w:sz="4" w:space="0"/>
              <w:bottom w:val="single" w:color="auto" w:sz="4" w:space="0"/>
              <w:right w:val="single" w:color="auto" w:sz="4" w:space="0"/>
            </w:tcBorders>
            <w:noWrap/>
            <w:vAlign w:val="center"/>
          </w:tcPr>
          <w:p w14:paraId="189F0828">
            <w:pPr>
              <w:widowControl/>
              <w:spacing w:after="0"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6.8</w:t>
            </w:r>
          </w:p>
        </w:tc>
        <w:tc>
          <w:tcPr>
            <w:tcW w:w="455" w:type="pct"/>
            <w:vMerge w:val="continue"/>
            <w:tcBorders>
              <w:left w:val="single" w:color="auto" w:sz="4" w:space="0"/>
              <w:bottom w:val="single" w:color="auto" w:sz="4" w:space="0"/>
              <w:right w:val="single" w:color="auto" w:sz="4" w:space="0"/>
            </w:tcBorders>
            <w:noWrap/>
            <w:vAlign w:val="center"/>
          </w:tcPr>
          <w:p w14:paraId="3260233A">
            <w:pPr>
              <w:widowControl/>
              <w:spacing w:after="0" w:line="360" w:lineRule="auto"/>
              <w:jc w:val="center"/>
              <w:rPr>
                <w:rFonts w:hint="eastAsia" w:ascii="仿宋" w:hAnsi="仿宋" w:eastAsia="仿宋" w:cs="仿宋"/>
                <w:color w:val="000000"/>
                <w:kern w:val="0"/>
                <w:sz w:val="24"/>
                <w:szCs w:val="24"/>
                <w:highlight w:val="none"/>
                <w:lang w:eastAsia="zh-CN"/>
              </w:rPr>
            </w:pPr>
          </w:p>
        </w:tc>
        <w:tc>
          <w:tcPr>
            <w:tcW w:w="709" w:type="pct"/>
            <w:tcBorders>
              <w:top w:val="single" w:color="auto" w:sz="4" w:space="0"/>
              <w:left w:val="single" w:color="auto" w:sz="4" w:space="0"/>
              <w:bottom w:val="single" w:color="auto" w:sz="4" w:space="0"/>
              <w:right w:val="single" w:color="auto" w:sz="4" w:space="0"/>
            </w:tcBorders>
            <w:noWrap w:val="0"/>
            <w:vAlign w:val="center"/>
          </w:tcPr>
          <w:p w14:paraId="44100DBC">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扩展性</w:t>
            </w:r>
          </w:p>
        </w:tc>
        <w:tc>
          <w:tcPr>
            <w:tcW w:w="3445" w:type="pct"/>
            <w:tcBorders>
              <w:top w:val="single" w:color="auto" w:sz="4" w:space="0"/>
              <w:left w:val="single" w:color="auto" w:sz="4" w:space="0"/>
              <w:bottom w:val="single" w:color="auto" w:sz="4" w:space="0"/>
              <w:right w:val="single" w:color="auto" w:sz="4" w:space="0"/>
            </w:tcBorders>
            <w:noWrap w:val="0"/>
            <w:vAlign w:val="center"/>
          </w:tcPr>
          <w:p w14:paraId="434E83A2">
            <w:pPr>
              <w:widowControl/>
              <w:spacing w:after="0" w:line="360" w:lineRule="auto"/>
              <w:jc w:val="left"/>
              <w:rPr>
                <w:rFonts w:hint="eastAsia" w:ascii="仿宋" w:hAnsi="仿宋" w:eastAsia="仿宋" w:cs="仿宋"/>
                <w:sz w:val="24"/>
                <w:szCs w:val="24"/>
                <w:highlight w:val="none"/>
                <w:lang w:val="en-US" w:eastAsia="zh-CN"/>
              </w:rPr>
            </w:pPr>
            <w:r>
              <w:rPr>
                <w:rFonts w:hint="eastAsia" w:ascii="仿宋" w:hAnsi="仿宋" w:eastAsia="仿宋" w:cs="仿宋"/>
                <w:b/>
                <w:bCs/>
                <w:sz w:val="24"/>
                <w:szCs w:val="24"/>
                <w:highlight w:val="none"/>
                <w:lang w:val="en-US" w:eastAsia="zh-CN"/>
              </w:rPr>
              <w:t>与医院其他软件系统、硬件对接，接口开放。（上述所需的所有费用包含在本次投标报价中，招标人后期不另行支付）</w:t>
            </w:r>
          </w:p>
        </w:tc>
      </w:tr>
    </w:tbl>
    <w:p w14:paraId="28D539B2">
      <w:pPr>
        <w:numPr>
          <w:ilvl w:val="0"/>
          <w:numId w:val="0"/>
        </w:numPr>
        <w:spacing w:line="360" w:lineRule="auto"/>
        <w:rPr>
          <w:rFonts w:hint="eastAsia" w:ascii="仿宋" w:hAnsi="仿宋" w:eastAsia="仿宋" w:cs="仿宋"/>
          <w:sz w:val="24"/>
          <w:szCs w:val="24"/>
          <w:highlight w:val="none"/>
          <w:lang w:val="en-US" w:eastAsia="zh-CN"/>
        </w:rPr>
      </w:pPr>
    </w:p>
    <w:p w14:paraId="7D0A678E">
      <w:pPr>
        <w:numPr>
          <w:ilvl w:val="0"/>
          <w:numId w:val="0"/>
        </w:numPr>
        <w:spacing w:line="360" w:lineRule="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（六）配套硬件需求</w:t>
      </w:r>
    </w:p>
    <w:tbl>
      <w:tblPr>
        <w:tblStyle w:val="9"/>
        <w:tblW w:w="10111" w:type="dxa"/>
        <w:tblInd w:w="89" w:type="dxa"/>
        <w:tblLayout w:type="fixed"/>
        <w:tblCellMar>
          <w:top w:w="0" w:type="dxa"/>
          <w:left w:w="108" w:type="dxa"/>
          <w:bottom w:w="0" w:type="dxa"/>
          <w:right w:w="108" w:type="dxa"/>
        </w:tblCellMar>
      </w:tblPr>
      <w:tblGrid>
        <w:gridCol w:w="980"/>
        <w:gridCol w:w="980"/>
        <w:gridCol w:w="6680"/>
        <w:gridCol w:w="728"/>
        <w:gridCol w:w="743"/>
      </w:tblGrid>
      <w:tr w14:paraId="3AEFB63D">
        <w:tblPrEx>
          <w:tblCellMar>
            <w:top w:w="0" w:type="dxa"/>
            <w:left w:w="108" w:type="dxa"/>
            <w:bottom w:w="0" w:type="dxa"/>
            <w:right w:w="108" w:type="dxa"/>
          </w:tblCellMar>
        </w:tblPrEx>
        <w:trPr>
          <w:trHeight w:val="499" w:hRule="atLeast"/>
        </w:trPr>
        <w:tc>
          <w:tcPr>
            <w:tcW w:w="980" w:type="dxa"/>
            <w:tcBorders>
              <w:top w:val="single" w:color="auto" w:sz="4" w:space="0"/>
              <w:left w:val="single" w:color="auto" w:sz="4" w:space="0"/>
              <w:bottom w:val="single" w:color="auto" w:sz="4" w:space="0"/>
              <w:right w:val="single" w:color="auto" w:sz="4" w:space="0"/>
            </w:tcBorders>
            <w:shd w:val="clear" w:color="000000" w:fill="auto"/>
            <w:noWrap/>
            <w:vAlign w:val="center"/>
          </w:tcPr>
          <w:p w14:paraId="1F7A41C7">
            <w:pPr>
              <w:widowControl/>
              <w:spacing w:line="360" w:lineRule="auto"/>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序号</w:t>
            </w:r>
          </w:p>
        </w:tc>
        <w:tc>
          <w:tcPr>
            <w:tcW w:w="980" w:type="dxa"/>
            <w:tcBorders>
              <w:top w:val="single" w:color="auto" w:sz="4" w:space="0"/>
              <w:left w:val="nil"/>
              <w:bottom w:val="single" w:color="auto" w:sz="4" w:space="0"/>
              <w:right w:val="single" w:color="auto" w:sz="4" w:space="0"/>
            </w:tcBorders>
            <w:shd w:val="clear" w:color="000000" w:fill="auto"/>
            <w:noWrap/>
            <w:vAlign w:val="center"/>
          </w:tcPr>
          <w:p w14:paraId="2865C48C">
            <w:pPr>
              <w:widowControl/>
              <w:spacing w:line="360" w:lineRule="auto"/>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名称</w:t>
            </w:r>
          </w:p>
        </w:tc>
        <w:tc>
          <w:tcPr>
            <w:tcW w:w="6680" w:type="dxa"/>
            <w:tcBorders>
              <w:top w:val="single" w:color="auto" w:sz="4" w:space="0"/>
              <w:left w:val="nil"/>
              <w:bottom w:val="single" w:color="auto" w:sz="4" w:space="0"/>
              <w:right w:val="single" w:color="auto" w:sz="4" w:space="0"/>
            </w:tcBorders>
            <w:shd w:val="clear" w:color="000000" w:fill="auto"/>
            <w:noWrap/>
            <w:vAlign w:val="center"/>
          </w:tcPr>
          <w:p w14:paraId="490A80C2">
            <w:pPr>
              <w:widowControl/>
              <w:spacing w:line="360" w:lineRule="auto"/>
              <w:jc w:val="center"/>
              <w:rPr>
                <w:rFonts w:hint="eastAsia" w:ascii="仿宋" w:hAnsi="仿宋" w:eastAsia="仿宋" w:cs="仿宋"/>
                <w:b/>
                <w:bCs/>
                <w:color w:val="000000"/>
                <w:kern w:val="0"/>
                <w:sz w:val="24"/>
                <w:szCs w:val="24"/>
                <w:highlight w:val="none"/>
                <w:lang w:eastAsia="zh-CN"/>
              </w:rPr>
            </w:pPr>
            <w:r>
              <w:rPr>
                <w:rFonts w:hint="eastAsia" w:ascii="仿宋" w:hAnsi="仿宋" w:eastAsia="仿宋" w:cs="仿宋"/>
                <w:b/>
                <w:bCs/>
                <w:color w:val="000000"/>
                <w:kern w:val="0"/>
                <w:sz w:val="24"/>
                <w:szCs w:val="24"/>
                <w:highlight w:val="none"/>
                <w:lang w:eastAsia="zh-CN"/>
              </w:rPr>
              <w:t>要求</w:t>
            </w:r>
          </w:p>
        </w:tc>
        <w:tc>
          <w:tcPr>
            <w:tcW w:w="728" w:type="dxa"/>
            <w:tcBorders>
              <w:top w:val="single" w:color="auto" w:sz="4" w:space="0"/>
              <w:left w:val="nil"/>
              <w:bottom w:val="single" w:color="auto" w:sz="4" w:space="0"/>
              <w:right w:val="single" w:color="auto" w:sz="4" w:space="0"/>
            </w:tcBorders>
            <w:shd w:val="clear" w:color="000000" w:fill="auto"/>
            <w:noWrap/>
            <w:vAlign w:val="center"/>
          </w:tcPr>
          <w:p w14:paraId="09EEE996">
            <w:pPr>
              <w:widowControl/>
              <w:spacing w:line="360" w:lineRule="auto"/>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单位</w:t>
            </w:r>
          </w:p>
        </w:tc>
        <w:tc>
          <w:tcPr>
            <w:tcW w:w="743" w:type="dxa"/>
            <w:tcBorders>
              <w:top w:val="single" w:color="auto" w:sz="4" w:space="0"/>
              <w:left w:val="nil"/>
              <w:bottom w:val="single" w:color="auto" w:sz="4" w:space="0"/>
              <w:right w:val="single" w:color="auto" w:sz="4" w:space="0"/>
            </w:tcBorders>
            <w:shd w:val="clear" w:color="000000" w:fill="auto"/>
            <w:noWrap/>
            <w:vAlign w:val="center"/>
          </w:tcPr>
          <w:p w14:paraId="169DB3FB">
            <w:pPr>
              <w:widowControl/>
              <w:spacing w:line="360" w:lineRule="auto"/>
              <w:jc w:val="center"/>
              <w:rPr>
                <w:rFonts w:hint="eastAsia" w:ascii="仿宋" w:hAnsi="仿宋" w:eastAsia="仿宋" w:cs="仿宋"/>
                <w:b/>
                <w:bCs/>
                <w:color w:val="000000"/>
                <w:kern w:val="0"/>
                <w:sz w:val="24"/>
                <w:szCs w:val="24"/>
                <w:highlight w:val="none"/>
              </w:rPr>
            </w:pPr>
            <w:r>
              <w:rPr>
                <w:rFonts w:hint="eastAsia" w:ascii="仿宋" w:hAnsi="仿宋" w:eastAsia="仿宋" w:cs="仿宋"/>
                <w:b/>
                <w:bCs/>
                <w:color w:val="000000"/>
                <w:kern w:val="0"/>
                <w:sz w:val="24"/>
                <w:szCs w:val="24"/>
                <w:highlight w:val="none"/>
              </w:rPr>
              <w:t>数量</w:t>
            </w:r>
          </w:p>
        </w:tc>
      </w:tr>
      <w:tr w14:paraId="62F2B3F8">
        <w:tblPrEx>
          <w:tblCellMar>
            <w:top w:w="0" w:type="dxa"/>
            <w:left w:w="108" w:type="dxa"/>
            <w:bottom w:w="0" w:type="dxa"/>
            <w:right w:w="108" w:type="dxa"/>
          </w:tblCellMar>
        </w:tblPrEx>
        <w:trPr>
          <w:trHeight w:val="302" w:hRule="atLeast"/>
        </w:trPr>
        <w:tc>
          <w:tcPr>
            <w:tcW w:w="980" w:type="dxa"/>
            <w:tcBorders>
              <w:top w:val="nil"/>
              <w:left w:val="single" w:color="auto" w:sz="4" w:space="0"/>
              <w:bottom w:val="single" w:color="auto" w:sz="4" w:space="0"/>
              <w:right w:val="single" w:color="auto" w:sz="4" w:space="0"/>
            </w:tcBorders>
            <w:noWrap/>
            <w:vAlign w:val="center"/>
          </w:tcPr>
          <w:p w14:paraId="132F33E8">
            <w:pPr>
              <w:widowControl/>
              <w:numPr>
                <w:ilvl w:val="0"/>
                <w:numId w:val="2"/>
              </w:numPr>
              <w:spacing w:line="360" w:lineRule="auto"/>
              <w:ind w:left="425" w:leftChars="0" w:hanging="425" w:firstLineChars="0"/>
              <w:jc w:val="center"/>
              <w:rPr>
                <w:rFonts w:hint="eastAsia" w:ascii="仿宋" w:hAnsi="仿宋" w:eastAsia="仿宋" w:cs="仿宋"/>
                <w:color w:val="000000"/>
                <w:kern w:val="0"/>
                <w:sz w:val="24"/>
                <w:szCs w:val="24"/>
                <w:highlight w:val="none"/>
              </w:rPr>
            </w:pPr>
          </w:p>
        </w:tc>
        <w:tc>
          <w:tcPr>
            <w:tcW w:w="980" w:type="dxa"/>
            <w:tcBorders>
              <w:top w:val="nil"/>
              <w:left w:val="nil"/>
              <w:bottom w:val="single" w:color="auto" w:sz="4" w:space="0"/>
              <w:right w:val="single" w:color="auto" w:sz="4" w:space="0"/>
            </w:tcBorders>
            <w:noWrap/>
            <w:vAlign w:val="center"/>
          </w:tcPr>
          <w:p w14:paraId="6D425D1F">
            <w:pPr>
              <w:widowControl/>
              <w:spacing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硬盘录像机</w:t>
            </w:r>
          </w:p>
        </w:tc>
        <w:tc>
          <w:tcPr>
            <w:tcW w:w="6680" w:type="dxa"/>
            <w:tcBorders>
              <w:top w:val="nil"/>
              <w:left w:val="nil"/>
              <w:bottom w:val="single" w:color="auto" w:sz="4" w:space="0"/>
              <w:right w:val="single" w:color="auto" w:sz="4" w:space="0"/>
            </w:tcBorders>
            <w:noWrap w:val="0"/>
            <w:vAlign w:val="bottom"/>
          </w:tcPr>
          <w:p w14:paraId="14B6159E">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硬盘接口与容量：SATA接口≥16，总存储容量≥320TB，支持RAID 0/1/5/6/10；</w:t>
            </w:r>
          </w:p>
          <w:p w14:paraId="1F0CE555">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视频输出接口：HDMI≥2、VGA≥1、DP≥2、V-DP≥2，支持8K及4K显示输出；</w:t>
            </w:r>
          </w:p>
          <w:p w14:paraId="7AEA345E">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网络接口≥4，自适应10M/100M/1000M/2.5Gbps网口；</w:t>
            </w:r>
          </w:p>
          <w:p w14:paraId="6869D63F">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USB接口≥6个，支持USB 2.0、USB 3.0；</w:t>
            </w:r>
          </w:p>
          <w:p w14:paraId="6C214978">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音频接口：音频输入≥1、音频输出≥1；</w:t>
            </w:r>
          </w:p>
          <w:p w14:paraId="14E9C900">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串口：RS-485≥1、RS-232≥1；</w:t>
            </w:r>
          </w:p>
          <w:p w14:paraId="7309BAF5">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扩展接口：≥1个eSATA接口；</w:t>
            </w:r>
            <w:r>
              <w:rPr>
                <w:rFonts w:hint="eastAsia" w:ascii="仿宋" w:hAnsi="仿宋" w:eastAsia="仿宋" w:cs="仿宋"/>
                <w:sz w:val="24"/>
                <w:szCs w:val="24"/>
                <w:highlight w:val="none"/>
                <w:lang w:val="en-US" w:eastAsia="zh-CN"/>
              </w:rPr>
              <w:tab/>
            </w:r>
          </w:p>
          <w:p w14:paraId="6BE8B3F6">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电源、风扇冗余；</w:t>
            </w:r>
          </w:p>
          <w:p w14:paraId="76DF8ED9">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以文搜图，支持开放式语义检索，输入文字描述即可查找相关目标；</w:t>
            </w:r>
          </w:p>
          <w:p w14:paraId="0BD9CE41">
            <w:pPr>
              <w:widowControl/>
              <w:numPr>
                <w:ilvl w:val="1"/>
                <w:numId w:val="2"/>
              </w:numPr>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以图搜图功能，可对视频预览和录像中的目标实现快速检索；</w:t>
            </w:r>
          </w:p>
          <w:p w14:paraId="218CAF41">
            <w:pPr>
              <w:widowControl/>
              <w:numPr>
                <w:ilvl w:val="1"/>
                <w:numId w:val="2"/>
              </w:numPr>
              <w:spacing w:line="360" w:lineRule="auto"/>
              <w:ind w:left="640" w:leftChars="0" w:hanging="640" w:firstLineChars="0"/>
              <w:jc w:val="left"/>
              <w:rPr>
                <w:rFonts w:hint="eastAsia" w:ascii="仿宋" w:hAnsi="仿宋" w:eastAsia="仿宋" w:cs="仿宋"/>
                <w:color w:val="000000"/>
                <w:sz w:val="24"/>
                <w:szCs w:val="24"/>
                <w:highlight w:val="none"/>
              </w:rPr>
            </w:pPr>
            <w:r>
              <w:rPr>
                <w:rFonts w:hint="eastAsia" w:ascii="仿宋" w:hAnsi="仿宋" w:eastAsia="仿宋" w:cs="仿宋"/>
                <w:sz w:val="24"/>
                <w:szCs w:val="24"/>
                <w:highlight w:val="none"/>
                <w:lang w:val="en-US" w:eastAsia="zh-CN"/>
              </w:rPr>
              <w:t>提供原厂商项目实施、原厂商三年质保和原厂商三年7*24小时现场保修服务, 包括硬件保修电话支持、现场支持、软件升级，</w:t>
            </w:r>
            <w:r>
              <w:rPr>
                <w:rFonts w:hint="eastAsia" w:ascii="仿宋" w:hAnsi="仿宋" w:eastAsia="仿宋" w:cs="仿宋"/>
                <w:b/>
                <w:bCs/>
                <w:sz w:val="24"/>
                <w:szCs w:val="24"/>
                <w:highlight w:val="none"/>
                <w:lang w:val="en-US" w:eastAsia="zh-CN"/>
              </w:rPr>
              <w:t>合同签订后供货前提供针对本次项目的原厂商授权书和保修服务承诺函。</w:t>
            </w:r>
          </w:p>
        </w:tc>
        <w:tc>
          <w:tcPr>
            <w:tcW w:w="728" w:type="dxa"/>
            <w:tcBorders>
              <w:top w:val="nil"/>
              <w:left w:val="nil"/>
              <w:bottom w:val="single" w:color="auto" w:sz="4" w:space="0"/>
              <w:right w:val="single" w:color="auto" w:sz="4" w:space="0"/>
            </w:tcBorders>
            <w:noWrap/>
            <w:vAlign w:val="center"/>
          </w:tcPr>
          <w:p w14:paraId="5889A497">
            <w:pPr>
              <w:widowControl/>
              <w:spacing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台</w:t>
            </w:r>
          </w:p>
        </w:tc>
        <w:tc>
          <w:tcPr>
            <w:tcW w:w="743" w:type="dxa"/>
            <w:tcBorders>
              <w:top w:val="nil"/>
              <w:left w:val="nil"/>
              <w:bottom w:val="single" w:color="auto" w:sz="4" w:space="0"/>
              <w:right w:val="single" w:color="auto" w:sz="4" w:space="0"/>
            </w:tcBorders>
            <w:noWrap/>
            <w:vAlign w:val="center"/>
          </w:tcPr>
          <w:p w14:paraId="0BDF3D39">
            <w:pPr>
              <w:widowControl/>
              <w:spacing w:line="360" w:lineRule="auto"/>
              <w:jc w:val="center"/>
              <w:rPr>
                <w:rFonts w:hint="eastAsia" w:ascii="仿宋" w:hAnsi="仿宋" w:eastAsia="仿宋" w:cs="仿宋"/>
                <w:b/>
                <w:bCs/>
                <w:color w:val="000000"/>
                <w:kern w:val="0"/>
                <w:sz w:val="24"/>
                <w:szCs w:val="24"/>
                <w:highlight w:val="none"/>
                <w:lang w:eastAsia="zh-CN"/>
              </w:rPr>
            </w:pPr>
            <w:r>
              <w:rPr>
                <w:rFonts w:hint="eastAsia" w:ascii="仿宋" w:hAnsi="仿宋" w:eastAsia="仿宋" w:cs="仿宋"/>
                <w:b/>
                <w:bCs/>
                <w:kern w:val="0"/>
                <w:sz w:val="24"/>
                <w:szCs w:val="24"/>
                <w:highlight w:val="none"/>
                <w:lang w:val="en-US" w:eastAsia="zh-CN"/>
              </w:rPr>
              <w:t>1</w:t>
            </w:r>
          </w:p>
        </w:tc>
      </w:tr>
      <w:tr w14:paraId="26A85BB8">
        <w:tblPrEx>
          <w:tblCellMar>
            <w:top w:w="0" w:type="dxa"/>
            <w:left w:w="108" w:type="dxa"/>
            <w:bottom w:w="0" w:type="dxa"/>
            <w:right w:w="108" w:type="dxa"/>
          </w:tblCellMar>
        </w:tblPrEx>
        <w:trPr>
          <w:trHeight w:val="1238" w:hRule="atLeast"/>
        </w:trPr>
        <w:tc>
          <w:tcPr>
            <w:tcW w:w="980" w:type="dxa"/>
            <w:tcBorders>
              <w:top w:val="nil"/>
              <w:left w:val="single" w:color="auto" w:sz="4" w:space="0"/>
              <w:bottom w:val="single" w:color="auto" w:sz="4" w:space="0"/>
              <w:right w:val="single" w:color="auto" w:sz="4" w:space="0"/>
            </w:tcBorders>
            <w:noWrap/>
            <w:vAlign w:val="center"/>
          </w:tcPr>
          <w:p w14:paraId="6A433FE9">
            <w:pPr>
              <w:widowControl/>
              <w:numPr>
                <w:ilvl w:val="0"/>
                <w:numId w:val="2"/>
              </w:numPr>
              <w:spacing w:line="360" w:lineRule="auto"/>
              <w:ind w:left="425" w:leftChars="0" w:hanging="425" w:firstLineChars="0"/>
              <w:jc w:val="center"/>
              <w:rPr>
                <w:rFonts w:hint="eastAsia" w:ascii="仿宋" w:hAnsi="仿宋" w:eastAsia="仿宋" w:cs="仿宋"/>
                <w:color w:val="000000"/>
                <w:kern w:val="0"/>
                <w:sz w:val="24"/>
                <w:szCs w:val="24"/>
                <w:highlight w:val="none"/>
              </w:rPr>
            </w:pPr>
          </w:p>
        </w:tc>
        <w:tc>
          <w:tcPr>
            <w:tcW w:w="980" w:type="dxa"/>
            <w:tcBorders>
              <w:top w:val="nil"/>
              <w:left w:val="nil"/>
              <w:bottom w:val="single" w:color="auto" w:sz="4" w:space="0"/>
              <w:right w:val="single" w:color="auto" w:sz="4" w:space="0"/>
            </w:tcBorders>
            <w:noWrap/>
            <w:vAlign w:val="center"/>
          </w:tcPr>
          <w:p w14:paraId="1403B2E9">
            <w:pPr>
              <w:widowControl/>
              <w:spacing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电梯物联网终端设备</w:t>
            </w:r>
          </w:p>
        </w:tc>
        <w:tc>
          <w:tcPr>
            <w:tcW w:w="6680" w:type="dxa"/>
            <w:tcBorders>
              <w:top w:val="nil"/>
              <w:left w:val="nil"/>
              <w:bottom w:val="single" w:color="auto" w:sz="4" w:space="0"/>
              <w:right w:val="single" w:color="auto" w:sz="4" w:space="0"/>
            </w:tcBorders>
            <w:noWrap w:val="0"/>
            <w:vAlign w:val="center"/>
          </w:tcPr>
          <w:p w14:paraId="2A4D7CCD">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电梯物联网感知设备参数要求：</w:t>
            </w:r>
          </w:p>
          <w:p w14:paraId="3ED1DD00">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传感器类型：1/2.7” Progressive Scan CMOS；</w:t>
            </w:r>
          </w:p>
          <w:p w14:paraId="09349C12">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宽动态：支持宽动态；</w:t>
            </w:r>
          </w:p>
          <w:p w14:paraId="76A0988E">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电源供电：输入：DC12V±20% 输出：DV12V；</w:t>
            </w:r>
          </w:p>
          <w:p w14:paraId="53952B81">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功耗：≤ 15W；</w:t>
            </w:r>
          </w:p>
          <w:p w14:paraId="373E59B0">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EMC 指标：符合电梯行业标准；</w:t>
            </w:r>
          </w:p>
          <w:p w14:paraId="0D6EF459">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工作环境：-10℃~50℃，湿度小于 95%RH 无凝结；</w:t>
            </w:r>
          </w:p>
          <w:p w14:paraId="5FC81E86">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网络接口：10/100M 自适应RJ45 网口LAN*1 个；</w:t>
            </w:r>
          </w:p>
          <w:p w14:paraId="5BB1FA60">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扩展接口：RS485/RS232，DO 接口和梯控接口；</w:t>
            </w:r>
          </w:p>
          <w:p w14:paraId="73E2844E">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感知设备存储：内置固态存储，支持TF卡存储，TF 卡存储可以扩展到 128GB，固态存储配备8GB 容量；</w:t>
            </w:r>
          </w:p>
          <w:p w14:paraId="50EBBC5E">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支持麦克风采集，支持扬声器语音播报，联网后支持语音对讲。</w:t>
            </w:r>
          </w:p>
          <w:p w14:paraId="423D8D53">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物联网网络传输设备参数要求</w:t>
            </w:r>
          </w:p>
          <w:p w14:paraId="3067B15F">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工作频段：2.4GHz；</w:t>
            </w:r>
          </w:p>
          <w:p w14:paraId="0761A597">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最大接入速率：300Mbps；</w:t>
            </w:r>
          </w:p>
          <w:p w14:paraId="3D1D7FCE">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整机满载功耗：≤2.8W；</w:t>
            </w:r>
          </w:p>
          <w:p w14:paraId="25496D7F">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无线协议标准：IEEE 802.11b/g/n；</w:t>
            </w:r>
          </w:p>
          <w:p w14:paraId="39AA243D">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工作温度：-30℃到 55℃；</w:t>
            </w:r>
          </w:p>
          <w:p w14:paraId="11C355D9">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配置参数：需支持参数导入/导出；</w:t>
            </w:r>
          </w:p>
          <w:p w14:paraId="75F8920E">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存贮温度：-30℃到 70℃；</w:t>
            </w:r>
          </w:p>
          <w:p w14:paraId="355CEA42">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安全模式支持3 种：不加密、WPA-PSK、WPA2-PSK；</w:t>
            </w:r>
          </w:p>
          <w:p w14:paraId="0ABD1F01">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指示灯：1 个电源指示灯（PWR），1 个网口指示灯（LAN），3 个信号指示灯（LED1、</w:t>
            </w:r>
            <w:r>
              <w:rPr>
                <w:rFonts w:hint="eastAsia" w:ascii="仿宋" w:hAnsi="仿宋" w:eastAsia="仿宋" w:cs="仿宋"/>
                <w:sz w:val="24"/>
                <w:szCs w:val="24"/>
                <w:highlight w:val="none"/>
                <w:lang w:val="en-US" w:eastAsia="zh-CN"/>
              </w:rPr>
              <w:br w:type="textWrapping"/>
            </w:r>
            <w:r>
              <w:rPr>
                <w:rFonts w:hint="eastAsia" w:ascii="仿宋" w:hAnsi="仿宋" w:eastAsia="仿宋" w:cs="仿宋"/>
                <w:sz w:val="24"/>
                <w:szCs w:val="24"/>
                <w:highlight w:val="none"/>
                <w:lang w:val="en-US" w:eastAsia="zh-CN"/>
              </w:rPr>
              <w:t>LED2、LED3)。</w:t>
            </w:r>
          </w:p>
          <w:p w14:paraId="7ECFCCF9">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物联网光电传感器参数要求</w:t>
            </w:r>
          </w:p>
          <w:p w14:paraId="4F9F7A30">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检测方式：回归反射型；</w:t>
            </w:r>
          </w:p>
          <w:p w14:paraId="38282B85">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电源电压：DC10-30 V；</w:t>
            </w:r>
          </w:p>
          <w:p w14:paraId="7752A752">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防护等级：IP65；</w:t>
            </w:r>
          </w:p>
          <w:p w14:paraId="23DDF605">
            <w:pPr>
              <w:widowControl/>
              <w:numPr>
                <w:ilvl w:val="2"/>
                <w:numId w:val="2"/>
              </w:numPr>
              <w:tabs>
                <w:tab w:val="left" w:pos="640"/>
              </w:tabs>
              <w:spacing w:line="360" w:lineRule="auto"/>
              <w:ind w:left="649" w:leftChars="0" w:hanging="649"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响应时间：≤1ms；</w:t>
            </w:r>
          </w:p>
          <w:p w14:paraId="2EB2EC50">
            <w:pPr>
              <w:widowControl/>
              <w:numPr>
                <w:ilvl w:val="2"/>
                <w:numId w:val="2"/>
              </w:numPr>
              <w:tabs>
                <w:tab w:val="left" w:pos="640"/>
              </w:tabs>
              <w:spacing w:line="360" w:lineRule="auto"/>
              <w:ind w:left="649" w:leftChars="0" w:hanging="649" w:firstLineChars="0"/>
              <w:jc w:val="left"/>
              <w:rPr>
                <w:rFonts w:hint="eastAsia" w:ascii="仿宋" w:hAnsi="仿宋" w:eastAsia="仿宋" w:cs="仿宋"/>
                <w:color w:val="000000"/>
                <w:sz w:val="24"/>
                <w:szCs w:val="24"/>
                <w:highlight w:val="none"/>
              </w:rPr>
            </w:pPr>
            <w:r>
              <w:rPr>
                <w:rFonts w:hint="eastAsia" w:ascii="仿宋" w:hAnsi="仿宋" w:eastAsia="仿宋" w:cs="仿宋"/>
                <w:sz w:val="24"/>
                <w:szCs w:val="24"/>
                <w:highlight w:val="none"/>
                <w:lang w:val="en-US" w:eastAsia="zh-CN"/>
              </w:rPr>
              <w:t>工作环境温度：-40℃~65℃。</w:t>
            </w:r>
          </w:p>
        </w:tc>
        <w:tc>
          <w:tcPr>
            <w:tcW w:w="728" w:type="dxa"/>
            <w:tcBorders>
              <w:top w:val="nil"/>
              <w:left w:val="nil"/>
              <w:bottom w:val="single" w:color="auto" w:sz="4" w:space="0"/>
              <w:right w:val="single" w:color="auto" w:sz="4" w:space="0"/>
            </w:tcBorders>
            <w:noWrap/>
            <w:vAlign w:val="center"/>
          </w:tcPr>
          <w:p w14:paraId="63A550B0">
            <w:pPr>
              <w:widowControl/>
              <w:spacing w:line="360" w:lineRule="auto"/>
              <w:jc w:val="center"/>
              <w:rPr>
                <w:rFonts w:hint="eastAsia" w:ascii="仿宋" w:hAnsi="仿宋" w:eastAsia="仿宋" w:cs="仿宋"/>
                <w:color w:val="000000"/>
                <w:kern w:val="0"/>
                <w:sz w:val="24"/>
                <w:szCs w:val="24"/>
                <w:highlight w:val="none"/>
                <w:lang w:eastAsia="zh-CN"/>
              </w:rPr>
            </w:pPr>
            <w:r>
              <w:rPr>
                <w:rFonts w:hint="eastAsia" w:ascii="仿宋" w:hAnsi="仿宋" w:eastAsia="仿宋" w:cs="仿宋"/>
                <w:color w:val="000000"/>
                <w:kern w:val="0"/>
                <w:sz w:val="24"/>
                <w:szCs w:val="24"/>
                <w:highlight w:val="none"/>
                <w:lang w:eastAsia="zh-CN"/>
              </w:rPr>
              <w:t>套</w:t>
            </w:r>
          </w:p>
        </w:tc>
        <w:tc>
          <w:tcPr>
            <w:tcW w:w="743" w:type="dxa"/>
            <w:tcBorders>
              <w:top w:val="nil"/>
              <w:left w:val="nil"/>
              <w:bottom w:val="single" w:color="auto" w:sz="4" w:space="0"/>
              <w:right w:val="single" w:color="auto" w:sz="4" w:space="0"/>
            </w:tcBorders>
            <w:noWrap/>
            <w:vAlign w:val="center"/>
          </w:tcPr>
          <w:p w14:paraId="5A7CB065">
            <w:pPr>
              <w:widowControl/>
              <w:spacing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20</w:t>
            </w:r>
          </w:p>
        </w:tc>
      </w:tr>
      <w:tr w14:paraId="097F2D4E">
        <w:tblPrEx>
          <w:tblCellMar>
            <w:top w:w="0" w:type="dxa"/>
            <w:left w:w="108" w:type="dxa"/>
            <w:bottom w:w="0" w:type="dxa"/>
            <w:right w:w="108" w:type="dxa"/>
          </w:tblCellMar>
        </w:tblPrEx>
        <w:trPr>
          <w:trHeight w:val="1176" w:hRule="atLeast"/>
        </w:trPr>
        <w:tc>
          <w:tcPr>
            <w:tcW w:w="980" w:type="dxa"/>
            <w:tcBorders>
              <w:top w:val="nil"/>
              <w:left w:val="single" w:color="auto" w:sz="4" w:space="0"/>
              <w:bottom w:val="single" w:color="auto" w:sz="4" w:space="0"/>
              <w:right w:val="single" w:color="auto" w:sz="4" w:space="0"/>
            </w:tcBorders>
            <w:noWrap/>
            <w:vAlign w:val="center"/>
          </w:tcPr>
          <w:p w14:paraId="1A75DBCC">
            <w:pPr>
              <w:widowControl/>
              <w:numPr>
                <w:ilvl w:val="0"/>
                <w:numId w:val="2"/>
              </w:numPr>
              <w:spacing w:line="360" w:lineRule="auto"/>
              <w:ind w:left="425" w:leftChars="0" w:hanging="425" w:firstLineChars="0"/>
              <w:jc w:val="center"/>
              <w:rPr>
                <w:rFonts w:hint="eastAsia" w:ascii="仿宋" w:hAnsi="仿宋" w:eastAsia="仿宋" w:cs="仿宋"/>
                <w:color w:val="000000"/>
                <w:kern w:val="0"/>
                <w:sz w:val="24"/>
                <w:szCs w:val="24"/>
                <w:highlight w:val="none"/>
              </w:rPr>
            </w:pPr>
          </w:p>
        </w:tc>
        <w:tc>
          <w:tcPr>
            <w:tcW w:w="980" w:type="dxa"/>
            <w:tcBorders>
              <w:top w:val="nil"/>
              <w:left w:val="nil"/>
              <w:bottom w:val="single" w:color="auto" w:sz="4" w:space="0"/>
              <w:right w:val="single" w:color="auto" w:sz="4" w:space="0"/>
            </w:tcBorders>
            <w:noWrap/>
            <w:vAlign w:val="center"/>
          </w:tcPr>
          <w:p w14:paraId="279FFE60">
            <w:pPr>
              <w:widowControl/>
              <w:spacing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sz w:val="24"/>
                <w:szCs w:val="24"/>
                <w:highlight w:val="none"/>
                <w:lang w:val="en-US" w:eastAsia="zh-CN"/>
              </w:rPr>
              <w:t>访问控制系统</w:t>
            </w:r>
          </w:p>
        </w:tc>
        <w:tc>
          <w:tcPr>
            <w:tcW w:w="6680" w:type="dxa"/>
            <w:tcBorders>
              <w:top w:val="nil"/>
              <w:left w:val="nil"/>
              <w:bottom w:val="single" w:color="auto" w:sz="4" w:space="0"/>
              <w:right w:val="single" w:color="auto" w:sz="4" w:space="0"/>
            </w:tcBorders>
            <w:noWrap w:val="0"/>
            <w:vAlign w:val="center"/>
          </w:tcPr>
          <w:p w14:paraId="67F014A8">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最大加密流量≥300Mbps，最大并发用户数≥400，最大https并发连接数≥15000，最大https每秒新建连接数≥60；</w:t>
            </w:r>
          </w:p>
          <w:p w14:paraId="4A10AE41">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机架式设备，内存≥16G，硬盘容量≥128G SSD，千兆电口≥8，万兆光口SFP+≥2；</w:t>
            </w:r>
          </w:p>
          <w:p w14:paraId="028E1C4F">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支持提取用户安全日志，并自动为异常登录行为打上标签，以便快速审计定位。安全日志范围应涵盖：账号安全（如首次登录、异常时间/地点登录、弱密码、爆破攻击、闲置账号登录、新终端登录等）、中间人攻击、SPA安全（如端口扫描、爆破攻击、敲门伪造、重放攻击、安全码泄漏等）及Cookie劫持等类型；</w:t>
            </w:r>
          </w:p>
          <w:p w14:paraId="3E247A92">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支持用户登录防爆破、用户首次登录强制修改密码、用户上线风险通知、用户二次认证策略等用户安全性登录配置检查；</w:t>
            </w:r>
          </w:p>
          <w:p w14:paraId="64229D43">
            <w:pPr>
              <w:widowControl/>
              <w:numPr>
                <w:ilvl w:val="1"/>
                <w:numId w:val="2"/>
              </w:numPr>
              <w:tabs>
                <w:tab w:val="left" w:pos="640"/>
              </w:tabs>
              <w:spacing w:line="360" w:lineRule="auto"/>
              <w:ind w:left="640" w:leftChars="0" w:hanging="640" w:firstLineChars="0"/>
              <w:jc w:val="left"/>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为强化系统认证安全性，可配置在检测到异常登录环境时，强制用户完成增强认证。异常环境包括：账号首次登录、新终端/新地点/非常用地点的登录、闲置账号登录、弱密码登录及异常时间登录。</w:t>
            </w:r>
          </w:p>
        </w:tc>
        <w:tc>
          <w:tcPr>
            <w:tcW w:w="728" w:type="dxa"/>
            <w:tcBorders>
              <w:top w:val="nil"/>
              <w:left w:val="nil"/>
              <w:bottom w:val="single" w:color="auto" w:sz="4" w:space="0"/>
              <w:right w:val="single" w:color="auto" w:sz="4" w:space="0"/>
            </w:tcBorders>
            <w:noWrap/>
            <w:vAlign w:val="center"/>
          </w:tcPr>
          <w:p w14:paraId="7740F070">
            <w:pPr>
              <w:widowControl/>
              <w:spacing w:line="360" w:lineRule="auto"/>
              <w:jc w:val="center"/>
              <w:rPr>
                <w:rFonts w:hint="eastAsia" w:ascii="仿宋" w:hAnsi="仿宋" w:eastAsia="仿宋" w:cs="仿宋"/>
                <w:color w:val="000000"/>
                <w:kern w:val="0"/>
                <w:sz w:val="24"/>
                <w:szCs w:val="24"/>
                <w:highlight w:val="none"/>
              </w:rPr>
            </w:pPr>
            <w:r>
              <w:rPr>
                <w:rFonts w:hint="eastAsia" w:ascii="仿宋" w:hAnsi="仿宋" w:eastAsia="仿宋" w:cs="仿宋"/>
                <w:color w:val="000000"/>
                <w:kern w:val="0"/>
                <w:sz w:val="24"/>
                <w:szCs w:val="24"/>
                <w:highlight w:val="none"/>
              </w:rPr>
              <w:t>台</w:t>
            </w:r>
          </w:p>
        </w:tc>
        <w:tc>
          <w:tcPr>
            <w:tcW w:w="743" w:type="dxa"/>
            <w:tcBorders>
              <w:top w:val="nil"/>
              <w:left w:val="nil"/>
              <w:bottom w:val="single" w:color="auto" w:sz="4" w:space="0"/>
              <w:right w:val="single" w:color="auto" w:sz="4" w:space="0"/>
            </w:tcBorders>
            <w:noWrap/>
            <w:vAlign w:val="center"/>
          </w:tcPr>
          <w:p w14:paraId="6468B4A6">
            <w:pPr>
              <w:widowControl/>
              <w:spacing w:line="360" w:lineRule="auto"/>
              <w:jc w:val="center"/>
              <w:rPr>
                <w:rFonts w:hint="eastAsia" w:ascii="仿宋" w:hAnsi="仿宋" w:eastAsia="仿宋" w:cs="仿宋"/>
                <w:color w:val="000000"/>
                <w:kern w:val="0"/>
                <w:sz w:val="24"/>
                <w:szCs w:val="24"/>
                <w:highlight w:val="none"/>
                <w:lang w:val="en-US" w:eastAsia="zh-CN"/>
              </w:rPr>
            </w:pPr>
            <w:r>
              <w:rPr>
                <w:rFonts w:hint="eastAsia" w:ascii="仿宋" w:hAnsi="仿宋" w:eastAsia="仿宋" w:cs="仿宋"/>
                <w:color w:val="000000"/>
                <w:kern w:val="0"/>
                <w:sz w:val="24"/>
                <w:szCs w:val="24"/>
                <w:highlight w:val="none"/>
                <w:lang w:val="en-US" w:eastAsia="zh-CN"/>
              </w:rPr>
              <w:t>1</w:t>
            </w:r>
          </w:p>
        </w:tc>
      </w:tr>
    </w:tbl>
    <w:p w14:paraId="7AF390C0">
      <w:pPr>
        <w:numPr>
          <w:ilvl w:val="0"/>
          <w:numId w:val="0"/>
        </w:numPr>
        <w:spacing w:line="360" w:lineRule="auto"/>
        <w:rPr>
          <w:rFonts w:hint="eastAsia" w:ascii="仿宋" w:hAnsi="仿宋" w:eastAsia="仿宋" w:cs="仿宋"/>
          <w:sz w:val="24"/>
          <w:szCs w:val="24"/>
          <w:highlight w:val="none"/>
          <w:lang w:val="en-US" w:eastAsia="zh-CN"/>
        </w:rPr>
      </w:pPr>
    </w:p>
    <w:p w14:paraId="0A2D5D0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（七）配套服务要求</w:t>
      </w:r>
    </w:p>
    <w:p w14:paraId="741E71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7.1 平台</w:t>
      </w:r>
    </w:p>
    <w:p w14:paraId="0CCB41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基础数据梳理，提供配合医院积进行组织架构、人员信息、权限分配、设备与建筑数据的梳理与配置的服务，确保基础数据结构规范化与安全合规。</w:t>
      </w:r>
    </w:p>
    <w:p w14:paraId="02C2FDB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指标梳理，提供指标梳理功能，根据医院实际需求，将各项原始数据经抽象、沉淀、标准化后形成各项指标，至少涵盖能源类指标、安全告警类指标、后勤服务类指标。</w:t>
      </w:r>
    </w:p>
    <w:p w14:paraId="76C26E4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流程梳理，基于医院管理流程，提供协助医院流程配置服务，至少涵盖告警推送流程、安全隐患单下发流程、能耗异常工单流程。</w:t>
      </w:r>
    </w:p>
    <w:p w14:paraId="197F81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p>
    <w:p w14:paraId="34A87F1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7.2 能源管理</w:t>
      </w:r>
    </w:p>
    <w:p w14:paraId="72D10E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能耗模型梳理，提供能耗模型梳理服务，保证高低压偏差率（供电局电表与变压器出线总表的偏差）&lt;2% ；总支偏差率（变压器总表与下级支路计量之和的偏差）&lt;3%；总分偏差率（变压器总表与三级计量电表之和的偏差）&lt;5%。</w:t>
      </w:r>
    </w:p>
    <w:p w14:paraId="61311A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能耗分摊规则梳理配置，基于医院管理要求，提供协助医院建立完善科室能耗分摊及核算策略，并进行分摊规则导入与线上调优服务，系统支持考核指标至少包含能耗量、单位面积能耗、能耗增长率、单位业务量能耗；考核对象至少包括水、电。</w:t>
      </w:r>
    </w:p>
    <w:p w14:paraId="0D8CBE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能耗异常，提供不少于9类异常用能告警模型，其中应必须包含能流平衡异常的告警、表计离线告警。</w:t>
      </w:r>
    </w:p>
    <w:p w14:paraId="1966773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7.3 安全管理</w:t>
      </w:r>
    </w:p>
    <w:p w14:paraId="3B79766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告警规则配置，结合医院的用能管理需求，梳理用能告警规则形成告警模型，并建立完善告警处理流程和联动体系，至少包含越限告警配置、开关量告警配置、事件告警配置、站点离线告警配置、设备离线告警。</w:t>
      </w:r>
    </w:p>
    <w:p w14:paraId="324FF4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告警推送规则配置，基于医院安全管理要求，提供不同告警等级推送规则配置服务，告警等级至少包含告警严重、重要、次要、提示4个等级。</w:t>
      </w:r>
    </w:p>
    <w:p w14:paraId="585E43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安全管理指标建立，协助院方建立安全管理BI指标体系，至少能够覆盖对告警类指标、设备预警指标、安保类指标等3大模块。</w:t>
      </w:r>
    </w:p>
    <w:p w14:paraId="15F74C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7.4 后勤服务</w:t>
      </w:r>
    </w:p>
    <w:p w14:paraId="429C0C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服务分析考核，基于医院管理需求，提供配合医院梳理后勤服务考核指标，并配置后勤服务分析服务，至少涵盖工单数、服务满意度、服务完成时间、服务完成率分析。</w:t>
      </w:r>
    </w:p>
    <w:p w14:paraId="22F8F8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设备健康分析，基于医院管理需求，提供后勤设备健康分析表。</w:t>
      </w:r>
    </w:p>
    <w:p w14:paraId="05214B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lang w:val="en-US" w:eastAsia="zh-CN"/>
        </w:rPr>
      </w:pPr>
    </w:p>
    <w:p w14:paraId="5D71861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（八）服务器及系统安全要求</w:t>
      </w:r>
    </w:p>
    <w:p w14:paraId="4A8822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8.1 项目本地化部署，服务器由招标方提供。</w:t>
      </w:r>
    </w:p>
    <w:p w14:paraId="3E2AA2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8.2 投标方应确保操作系统、数据库安全补丁升级后系统正常运行的要求。</w:t>
      </w:r>
    </w:p>
    <w:p w14:paraId="3AF9D6C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8.3 投标方应做好相关设置、安全补丁安装，按招标方需求，配合网络安全等级保护测评过程中产生的问题整改。</w:t>
      </w:r>
    </w:p>
    <w:p w14:paraId="4F3070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p>
    <w:p w14:paraId="2A02733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（九）培训要求</w:t>
      </w:r>
    </w:p>
    <w:p w14:paraId="1698A73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9.1 提供项目培训计划，中标方须为本项目中涉及的各个部门的管理员及使用人员组织详尽的培训，确保相关人员可以熟练正确的使用系统。</w:t>
      </w:r>
    </w:p>
    <w:p w14:paraId="2C9E8D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9.2 必须为所有被培训人员提供培训用文字资料和讲义等相关用品。</w:t>
      </w:r>
    </w:p>
    <w:p w14:paraId="6162AA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9.3 根据用户需要，提供后续培训任务。</w:t>
      </w:r>
    </w:p>
    <w:p w14:paraId="7C3F21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p>
    <w:p w14:paraId="0731E11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（十）实施要求</w:t>
      </w:r>
    </w:p>
    <w:p w14:paraId="5A37FF9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10.1 试运行期间，须保证无重大差错发生。试运行通过后经过1个月正常平稳运行后，可进行评估与验收。</w:t>
      </w:r>
    </w:p>
    <w:p w14:paraId="7E657DE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10.2 调研期间，投标方应根据招标方的需求，制定整体上线实施方案，提供详细实施方案与进度计划。</w:t>
      </w:r>
    </w:p>
    <w:p w14:paraId="47AC990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24"/>
          <w:szCs w:val="24"/>
          <w:highlight w:val="none"/>
          <w:lang w:val="en-US" w:eastAsia="zh-CN"/>
        </w:rPr>
      </w:pPr>
      <w:r>
        <w:rPr>
          <w:rFonts w:hint="eastAsia" w:ascii="仿宋" w:hAnsi="仿宋" w:eastAsia="仿宋" w:cs="仿宋"/>
          <w:b w:val="0"/>
          <w:bCs w:val="0"/>
          <w:sz w:val="24"/>
          <w:szCs w:val="24"/>
          <w:highlight w:val="none"/>
          <w:lang w:val="en-US" w:eastAsia="zh-CN"/>
        </w:rPr>
        <w:t>10.3 投标人须提供拥有丰富经验的实施团队完成本次项目实施，针对本项目成立项目小组，至少2人驻场实施，</w:t>
      </w:r>
      <w:r>
        <w:rPr>
          <w:rFonts w:hint="eastAsia" w:ascii="仿宋" w:hAnsi="仿宋" w:eastAsia="仿宋" w:cs="仿宋"/>
          <w:b/>
          <w:bCs/>
          <w:color w:val="FF0000"/>
          <w:sz w:val="24"/>
          <w:szCs w:val="24"/>
          <w:highlight w:val="none"/>
          <w:lang w:val="en-US" w:eastAsia="zh-CN"/>
        </w:rPr>
        <w:t>投标文件中须提供驻场实施人员名单和投标人在开标日期前3个月内任意1个月为</w:t>
      </w:r>
      <w:r>
        <w:rPr>
          <w:rFonts w:hint="eastAsia" w:ascii="仿宋" w:hAnsi="仿宋" w:eastAsia="仿宋" w:cs="仿宋"/>
          <w:b/>
          <w:bCs/>
          <w:color w:val="FF0000"/>
          <w:kern w:val="2"/>
          <w:sz w:val="24"/>
          <w:szCs w:val="24"/>
          <w:highlight w:val="none"/>
          <w:lang w:val="en-US" w:eastAsia="zh-CN" w:bidi="ar-SA"/>
        </w:rPr>
        <w:t>其缴纳的社保证明材料（</w:t>
      </w:r>
      <w:r>
        <w:rPr>
          <w:rFonts w:hint="eastAsia" w:ascii="仿宋" w:hAnsi="仿宋" w:eastAsia="仿宋" w:cs="仿宋"/>
          <w:b/>
          <w:bCs/>
          <w:color w:val="FF0000"/>
          <w:sz w:val="24"/>
          <w:szCs w:val="24"/>
          <w:highlight w:val="none"/>
          <w:lang w:val="en-US" w:eastAsia="zh-CN"/>
        </w:rPr>
        <w:t>缴费单位须为投标人，</w:t>
      </w:r>
      <w:r>
        <w:rPr>
          <w:rFonts w:hint="eastAsia" w:ascii="仿宋" w:hAnsi="仿宋" w:eastAsia="仿宋" w:cs="仿宋"/>
          <w:b/>
          <w:bCs/>
          <w:color w:val="FF0000"/>
          <w:kern w:val="2"/>
          <w:sz w:val="24"/>
          <w:szCs w:val="24"/>
          <w:highlight w:val="none"/>
          <w:lang w:val="en-US" w:eastAsia="zh-CN" w:bidi="ar-SA"/>
        </w:rPr>
        <w:t>提供任意五险之一的社保缴纳证明即可）</w:t>
      </w:r>
      <w:r>
        <w:rPr>
          <w:rFonts w:hint="eastAsia" w:ascii="仿宋" w:hAnsi="仿宋" w:eastAsia="仿宋" w:cs="仿宋"/>
          <w:b/>
          <w:bCs/>
          <w:color w:val="FF0000"/>
          <w:sz w:val="24"/>
          <w:szCs w:val="24"/>
          <w:highlight w:val="none"/>
          <w:lang w:val="en-US" w:eastAsia="zh-CN"/>
        </w:rPr>
        <w:t>，如未提供或提供的不符合要求的，作为无效标处理。</w:t>
      </w:r>
    </w:p>
    <w:p w14:paraId="1CCF520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b w:val="0"/>
          <w:bCs w:val="0"/>
          <w:sz w:val="24"/>
          <w:szCs w:val="24"/>
          <w:highlight w:val="none"/>
          <w:lang w:val="en-US" w:eastAsia="zh-CN"/>
        </w:rPr>
        <w:t>10.4 拟派人员一旦得到招标方确认，无特殊理由不得变动。但</w:t>
      </w:r>
      <w:r>
        <w:rPr>
          <w:rFonts w:hint="eastAsia" w:ascii="仿宋" w:hAnsi="仿宋" w:eastAsia="仿宋" w:cs="仿宋"/>
          <w:sz w:val="24"/>
          <w:szCs w:val="24"/>
          <w:highlight w:val="none"/>
          <w:lang w:val="en-US" w:eastAsia="zh-CN"/>
        </w:rPr>
        <w:t>招标方有权根据实施情况要求更换项目经理和实施人员。</w:t>
      </w:r>
    </w:p>
    <w:p w14:paraId="124FC2A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10.5 按招标方需求进行本地化开发。</w:t>
      </w:r>
    </w:p>
    <w:p w14:paraId="05DEB12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10.6 投标方需按照招标方的项目管理流程进行实施，验收前投标方需提供项目过程中所需审计材料并装订成册。</w:t>
      </w:r>
    </w:p>
    <w:p w14:paraId="5B2ACE8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10.7 如遇突发紧急事件，投标方应无条件配合加班。</w:t>
      </w:r>
    </w:p>
    <w:p w14:paraId="5D9FADD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10.8 设备提供安装。</w:t>
      </w:r>
    </w:p>
    <w:p w14:paraId="31F4AC2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仿宋" w:hAnsi="仿宋" w:eastAsia="仿宋" w:cs="仿宋"/>
          <w:sz w:val="24"/>
          <w:szCs w:val="24"/>
          <w:highlight w:val="none"/>
          <w:lang w:val="en-US" w:eastAsia="zh-CN"/>
        </w:rPr>
      </w:pPr>
    </w:p>
    <w:p w14:paraId="4B1CD54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仿宋" w:hAnsi="仿宋" w:eastAsia="仿宋" w:cs="仿宋"/>
          <w:b/>
          <w:bCs/>
          <w:sz w:val="24"/>
          <w:szCs w:val="24"/>
          <w:highlight w:val="none"/>
          <w:lang w:val="en-US" w:eastAsia="zh-CN"/>
        </w:rPr>
      </w:pPr>
      <w:r>
        <w:rPr>
          <w:rFonts w:hint="eastAsia" w:ascii="仿宋" w:hAnsi="仿宋" w:eastAsia="仿宋" w:cs="仿宋"/>
          <w:b/>
          <w:bCs/>
          <w:sz w:val="24"/>
          <w:szCs w:val="24"/>
          <w:highlight w:val="none"/>
          <w:lang w:val="en-US" w:eastAsia="zh-CN"/>
        </w:rPr>
        <w:t>（十一）维保服务要求</w:t>
      </w:r>
    </w:p>
    <w:p w14:paraId="70332A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11.1 提供7*24小时服务。对于系统在使用过程中软硬件出现的问题，在 30 分钟内响应。如遇与所供产品有关的重大问题在接用户通知后 1 小时内应赶到现场提供服务， 12 小时内应提供详细的应急解决方案， 服务完成后， 双方签署现场服务记录。 因投标方工作延误，造成采购人损失的，成交供应商应负赔偿责任。</w:t>
      </w:r>
    </w:p>
    <w:p w14:paraId="672F61D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11.2 提供运维客服1人。负责处理使用过程中的各项需求及问题。</w:t>
      </w:r>
    </w:p>
    <w:p w14:paraId="602887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11.3 现场服务：根据要求到达现场提供问题解决和支持服务。服务完成后，双方签署现场服务记录。</w:t>
      </w:r>
    </w:p>
    <w:p w14:paraId="7FC780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11.4 办公时间内的免费热线支持与E-mail支持。</w:t>
      </w:r>
    </w:p>
    <w:p w14:paraId="53D9A9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11.5 远程技术支持：通过网络远程通讯和远程控制的技术手段进行远程现场服务。</w:t>
      </w:r>
    </w:p>
    <w:p w14:paraId="1017C1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11.6 维保期内提供系统升级、软件功能修改、与第三方软件接口，以及其他的支持服务；服务年度内投标方至少应对系统每季度一次整体检修，多方位排查系统可能存在的潜在故障，以确保系统正常运行。</w:t>
      </w:r>
    </w:p>
    <w:p w14:paraId="0878BF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11.7 整体软硬件自验收之日起3年内，提供以上条款中系统维护的服务。</w:t>
      </w:r>
    </w:p>
    <w:p w14:paraId="72908661">
      <w:pPr>
        <w:widowControl/>
        <w:spacing w:line="360" w:lineRule="auto"/>
        <w:jc w:val="left"/>
        <w:rPr>
          <w:rFonts w:hint="eastAsia" w:ascii="仿宋" w:hAnsi="仿宋" w:eastAsia="仿宋" w:cs="仿宋"/>
          <w:color w:val="000000"/>
          <w:kern w:val="0"/>
          <w:sz w:val="24"/>
          <w:lang w:bidi="ar"/>
        </w:rPr>
      </w:pPr>
    </w:p>
    <w:p w14:paraId="51111CBE">
      <w:pPr>
        <w:pStyle w:val="5"/>
        <w:numPr>
          <w:ilvl w:val="0"/>
          <w:numId w:val="0"/>
        </w:numPr>
        <w:spacing w:line="360" w:lineRule="auto"/>
        <w:ind w:leftChars="0"/>
        <w:rPr>
          <w:rFonts w:hint="eastAsia" w:ascii="仿宋" w:hAnsi="仿宋" w:eastAsia="仿宋" w:cs="仿宋"/>
          <w:b/>
          <w:color w:val="000000"/>
          <w:sz w:val="24"/>
        </w:rPr>
      </w:pPr>
      <w:r>
        <w:rPr>
          <w:rFonts w:hint="eastAsia" w:ascii="仿宋" w:hAnsi="仿宋" w:eastAsia="仿宋" w:cs="仿宋"/>
          <w:b/>
          <w:color w:val="000000"/>
          <w:sz w:val="24"/>
          <w:lang w:val="en-US" w:eastAsia="zh-CN"/>
        </w:rPr>
        <w:t>5.</w:t>
      </w:r>
      <w:r>
        <w:rPr>
          <w:rFonts w:hint="eastAsia" w:ascii="仿宋" w:hAnsi="仿宋" w:eastAsia="仿宋" w:cs="仿宋"/>
          <w:b/>
          <w:color w:val="000000"/>
          <w:sz w:val="24"/>
        </w:rPr>
        <w:t>其他配套要求：</w:t>
      </w:r>
    </w:p>
    <w:p w14:paraId="426AB384">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（一）应急服务要求</w:t>
      </w:r>
    </w:p>
    <w:p w14:paraId="67C5BF5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1.备品备件：中标人提供能够满足质量保证期内的设备维修要求的备品备件，备品备件应是新品。中标人应保证10年以上零部件供应期，并对设备故障等突发状况及时响应。</w:t>
      </w:r>
    </w:p>
    <w:p w14:paraId="5ECFE3F4">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2.专用工具：中标人提供设备安装、调试、验收、维修、保养所必要的专用工具、仪器、仪表等工具。</w:t>
      </w:r>
    </w:p>
    <w:p w14:paraId="0FCB5EE9">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 接到报修后应及时响应，若未及时修复设备故障，应提供备用设备供院方使用。</w:t>
      </w:r>
    </w:p>
    <w:p w14:paraId="1FE670FF">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（二）安装调试、验收试验及质量保证</w:t>
      </w:r>
    </w:p>
    <w:p w14:paraId="417D3003">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1.中标人在设备安装地点负责安装、调试。</w:t>
      </w:r>
    </w:p>
    <w:p w14:paraId="2E6D221A">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2.具体设备验收标准和程序按采购人要求执行，下列验收程序可参照执行：</w:t>
      </w:r>
    </w:p>
    <w:p w14:paraId="1E1299D7">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2.1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涉及需要由质检或行业主管部门验收的项目，采购人须约请相关部门和专家参加项目验收。所有需要质检部门进行检测才能使用的设备，投标报价中必须包含首次检测费用；</w:t>
      </w:r>
    </w:p>
    <w:p w14:paraId="61649D41">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2.2货物在验收时，中标人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26AC1692">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2.3中标人应根据采购人使用单位的技术要求提供相应的产品。由中标人所提供的设备部件间的连线和插接件均应视为设备内部器件，包含在相应的设备之中；</w:t>
      </w:r>
    </w:p>
    <w:p w14:paraId="26D312AC">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2.4运行测试及最终验收。在系统安装、调试结束后，采购人对其进行全面的测试，对测试中暴露出来的问题，中标人应及时进行整改，系统最终测试完毕经验收合格后，采购人应向中标人签发最终验收证明；</w:t>
      </w:r>
    </w:p>
    <w:p w14:paraId="4855D00D">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2.5中标人应向采购人提供安装调试过程中的各种文档资料,以便采购人今后能掌握操作和维护方法。依据合同与合同有关条件、本招标文件的技术规范、系统配置要求、设备技术文件和系统说明书，以及国家和省部级等要求进行验收，验收分为预验收和竣工验收。</w:t>
      </w:r>
    </w:p>
    <w:p w14:paraId="35883FFD">
      <w:pPr>
        <w:widowControl/>
        <w:spacing w:line="360" w:lineRule="auto"/>
        <w:ind w:firstLine="480" w:firstLineChars="200"/>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2.6如设备在验收时有一个或多个指标未能达到要求而属于中标人责任时，则中标人自费采取有效措施，在规定时间内使之达到保证指标。如在规定的时间内仍达不到合格标准时，则中标人应向采购人赔偿。</w:t>
      </w:r>
    </w:p>
    <w:p w14:paraId="27123BC2">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（三）包装运输</w:t>
      </w:r>
    </w:p>
    <w:p w14:paraId="11A2C4F0">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1.中标人负责设备包装、办理运输和保险，将设备安全运抵交货地点。</w:t>
      </w:r>
    </w:p>
    <w:p w14:paraId="295A8380">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2.设备制造完成并通过试验后应及时包装，否则应得到切实的保护，确保其不受污损。</w:t>
      </w:r>
    </w:p>
    <w:p w14:paraId="03C31E2E">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3.在包装箱外应标明采购人的订货号、发货号。</w:t>
      </w:r>
    </w:p>
    <w:p w14:paraId="3AA5F40F">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4.各种包装应能确保各零部件在运输过程中不致遭到损坏、丢失、变形、受潮和腐蚀。</w:t>
      </w:r>
    </w:p>
    <w:p w14:paraId="7DF328AA">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5.包装箱上应有明显的包装储运图示标志。</w:t>
      </w:r>
    </w:p>
    <w:p w14:paraId="6B56EEA1">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6.整体产品或分别运输的部件都要适应运输和装载的要求。</w:t>
      </w:r>
    </w:p>
    <w:p w14:paraId="43150BBF">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7.随产品提供的技术资料应完整无缺。</w:t>
      </w:r>
    </w:p>
    <w:p w14:paraId="329DB0F2">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（四）培训要求</w:t>
      </w:r>
    </w:p>
    <w:p w14:paraId="29567C6B">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技术人员厂方培训：维修维护不少于1人，设备培训时间不低于3天，有详细的技术培训方案和完整规范的培训资料，培训结束获得厂方授权或资质许可，交通、食宿、资料、工具材料等所有与培训相关的费用包含在投标报价中。设备使用培训：不少于2-4人，直至完全掌握设备应用技术，并获厂方资质许可；交通、食宿、资料、工具材料等所有与培训相关的费用包含在投标报价中。</w:t>
      </w:r>
    </w:p>
    <w:p w14:paraId="3F3B0827">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（五）质保及售后服务</w:t>
      </w:r>
    </w:p>
    <w:p w14:paraId="04BF46E1">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1.自双方签订《验收报告》起进入免费质保期。</w:t>
      </w:r>
    </w:p>
    <w:p w14:paraId="25360374">
      <w:pPr>
        <w:widowControl/>
        <w:spacing w:line="360" w:lineRule="auto"/>
        <w:jc w:val="left"/>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2.在质保期间内，非采购人过失和故意并且在正常使用的情况下发现商品有缺陷，中标人将免费修理或替换该设备；在质保期间内，非采购人过失和故意并且在正常使用的情况下设备发生故障，中标人应及时提供免费服务。</w:t>
      </w:r>
    </w:p>
    <w:p w14:paraId="0A07623F">
      <w:pPr>
        <w:widowControl/>
        <w:spacing w:line="360" w:lineRule="auto"/>
        <w:jc w:val="left"/>
        <w:rPr>
          <w:rFonts w:hint="eastAsia" w:ascii="仿宋" w:hAnsi="仿宋" w:eastAsia="仿宋" w:cs="仿宋"/>
          <w:b/>
          <w:bCs/>
          <w:color w:val="000000"/>
          <w:kern w:val="0"/>
          <w:sz w:val="24"/>
          <w:lang w:bidi="ar"/>
        </w:rPr>
      </w:pPr>
      <w:r>
        <w:rPr>
          <w:rFonts w:hint="eastAsia" w:ascii="仿宋" w:hAnsi="仿宋" w:eastAsia="仿宋" w:cs="仿宋"/>
          <w:b/>
          <w:bCs/>
          <w:color w:val="000000"/>
          <w:kern w:val="0"/>
          <w:sz w:val="24"/>
          <w:lang w:bidi="ar"/>
        </w:rPr>
        <w:t>（六）其他</w:t>
      </w:r>
    </w:p>
    <w:p w14:paraId="1ACF9AF7">
      <w:r>
        <w:rPr>
          <w:rFonts w:hint="eastAsia" w:ascii="仿宋" w:hAnsi="仿宋" w:eastAsia="仿宋" w:cs="仿宋"/>
          <w:color w:val="000000"/>
          <w:kern w:val="0"/>
          <w:sz w:val="24"/>
          <w:lang w:bidi="ar"/>
        </w:rPr>
        <w:t>1.投标人所投产品应为性能稳定、安全的成熟设备，故障率低、维修便利，并在投标文件中针对所投产品技术先进性、设备性能、配置情况、设计等方面进行阐述说明，提供相应证明材料。</w:t>
      </w:r>
      <w:r>
        <w:rPr>
          <w:rFonts w:hint="eastAsia" w:ascii="宋体" w:hAnsi="宋体"/>
          <w:color w:val="000000"/>
        </w:rPr>
        <w:br w:type="page"/>
      </w:r>
      <w:bookmarkStart w:id="4" w:name="_GoBack"/>
      <w:bookmarkEnd w:id="4"/>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BCBEF7"/>
    <w:multiLevelType w:val="singleLevel"/>
    <w:tmpl w:val="14BCBEF7"/>
    <w:lvl w:ilvl="0" w:tentative="0">
      <w:start w:val="1"/>
      <w:numFmt w:val="chineseCounting"/>
      <w:suff w:val="nothing"/>
      <w:lvlText w:val="%1、"/>
      <w:lvlJc w:val="left"/>
      <w:rPr>
        <w:rFonts w:hint="eastAsia"/>
      </w:rPr>
    </w:lvl>
  </w:abstractNum>
  <w:abstractNum w:abstractNumId="1">
    <w:nsid w:val="473F55E7"/>
    <w:multiLevelType w:val="multilevel"/>
    <w:tmpl w:val="473F55E7"/>
    <w:lvl w:ilvl="0" w:tentative="0">
      <w:start w:val="1"/>
      <w:numFmt w:val="decimal"/>
      <w:lvlText w:val="%1."/>
      <w:lvlJc w:val="left"/>
      <w:pPr>
        <w:ind w:left="425" w:hanging="425"/>
      </w:pPr>
      <w:rPr>
        <w:rFonts w:hint="default"/>
      </w:rPr>
    </w:lvl>
    <w:lvl w:ilvl="1" w:tentative="0">
      <w:start w:val="1"/>
      <w:numFmt w:val="decimal"/>
      <w:lvlText w:val="%1.%2."/>
      <w:lvlJc w:val="left"/>
      <w:pPr>
        <w:ind w:left="567" w:hanging="567"/>
      </w:pPr>
      <w:rPr>
        <w:rFonts w:hint="default" w:ascii="宋体" w:hAnsi="宋体" w:eastAsia="宋体" w:cs="宋体"/>
        <w:sz w:val="24"/>
        <w:szCs w:val="24"/>
      </w:rPr>
    </w:lvl>
    <w:lvl w:ilvl="2" w:tentative="0">
      <w:start w:val="1"/>
      <w:numFmt w:val="decimal"/>
      <w:lvlText w:val="%1.%2.%3."/>
      <w:lvlJc w:val="left"/>
      <w:pPr>
        <w:ind w:left="709" w:hanging="709"/>
      </w:pPr>
      <w:rPr>
        <w:rFonts w:hint="default"/>
        <w:sz w:val="24"/>
        <w:szCs w:val="24"/>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numFmt w:val="decimalEnclosedCircleChinese"/>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BA23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beforeLines="0" w:after="330" w:afterLines="0" w:line="578" w:lineRule="auto"/>
      <w:outlineLvl w:val="0"/>
    </w:pPr>
    <w:rPr>
      <w:b/>
      <w:bCs/>
      <w:kern w:val="44"/>
      <w:sz w:val="44"/>
      <w:szCs w:val="44"/>
    </w:rPr>
  </w:style>
  <w:style w:type="paragraph" w:styleId="3">
    <w:name w:val="heading 2"/>
    <w:basedOn w:val="1"/>
    <w:next w:val="1"/>
    <w:qFormat/>
    <w:uiPriority w:val="9"/>
    <w:pPr>
      <w:keepNext/>
      <w:keepLines/>
      <w:spacing w:before="260" w:beforeLines="0" w:after="260" w:afterLines="0" w:line="416" w:lineRule="auto"/>
      <w:outlineLvl w:val="1"/>
    </w:pPr>
    <w:rPr>
      <w:rFonts w:ascii="Cambria" w:hAnsi="Cambria"/>
      <w:b/>
      <w:bCs/>
      <w:sz w:val="32"/>
      <w:szCs w:val="32"/>
    </w:rPr>
  </w:style>
  <w:style w:type="character" w:default="1" w:styleId="10">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4">
    <w:name w:val="toc 7"/>
    <w:basedOn w:val="1"/>
    <w:next w:val="1"/>
    <w:unhideWhenUsed/>
    <w:uiPriority w:val="39"/>
    <w:pPr>
      <w:ind w:left="1260"/>
      <w:jc w:val="left"/>
    </w:pPr>
    <w:rPr>
      <w:rFonts w:ascii="Calibri" w:hAnsi="Calibri"/>
      <w:sz w:val="18"/>
      <w:szCs w:val="18"/>
    </w:rPr>
  </w:style>
  <w:style w:type="paragraph" w:styleId="5">
    <w:name w:val="Normal Indent"/>
    <w:basedOn w:val="1"/>
    <w:next w:val="6"/>
    <w:qFormat/>
    <w:uiPriority w:val="0"/>
    <w:pPr>
      <w:ind w:firstLine="420" w:firstLineChars="200"/>
    </w:pPr>
  </w:style>
  <w:style w:type="paragraph" w:styleId="6">
    <w:name w:val="Body Text First Indent 2"/>
    <w:basedOn w:val="7"/>
    <w:qFormat/>
    <w:uiPriority w:val="99"/>
    <w:pPr>
      <w:spacing w:after="0"/>
      <w:ind w:left="0" w:leftChars="0" w:firstLine="420"/>
    </w:pPr>
    <w:rPr>
      <w:rFonts w:ascii="楷体_GB2312" w:eastAsia="楷体_GB2312"/>
      <w:sz w:val="32"/>
    </w:rPr>
  </w:style>
  <w:style w:type="paragraph" w:styleId="7">
    <w:name w:val="Body Text Indent"/>
    <w:basedOn w:val="1"/>
    <w:next w:val="8"/>
    <w:qFormat/>
    <w:uiPriority w:val="99"/>
    <w:pPr>
      <w:spacing w:after="120" w:afterLines="0"/>
      <w:ind w:left="420" w:leftChars="200"/>
    </w:pPr>
  </w:style>
  <w:style w:type="paragraph" w:styleId="8">
    <w:name w:val="envelope return"/>
    <w:basedOn w:val="1"/>
    <w:next w:val="4"/>
    <w:qFormat/>
    <w:uiPriority w:val="99"/>
    <w:pPr>
      <w:snapToGrid w:val="0"/>
    </w:pPr>
    <w:rPr>
      <w:rFonts w:ascii="Arial" w:hAnsi="Arial"/>
    </w:rPr>
  </w:style>
  <w:style w:type="character" w:customStyle="1" w:styleId="11">
    <w:name w:val="标题 2 Char Char"/>
    <w:uiPriority w:val="0"/>
    <w:rPr>
      <w:rFonts w:ascii="Arial" w:hAnsi="Arial" w:eastAsia="黑体" w:cs="Times New Roman"/>
      <w:b/>
      <w:bCs/>
      <w:kern w:val="2"/>
      <w:sz w:val="32"/>
      <w:szCs w:val="32"/>
      <w:lang w:val="en-US" w:eastAsia="zh-CN" w:bidi="ar-SA"/>
    </w:rPr>
  </w:style>
  <w:style w:type="paragraph" w:customStyle="1" w:styleId="12">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2026-09-17T07:12:12Z</dcterms:created>
  <dc:creator>admin</dc:creator>
  <cp:lastModifiedBy>豆奶是个小胖子</cp:lastModifiedBy>
  <dcterms:modified xsi:type="dcterms:W3CDTF">2026-09-17T07:13:07Z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eyJoZGlkIjoiNmExMjc1NzQ3NWFiZTgzMjNiYTYxNmEzOTMwZTVjYjAiLCJ1c2VySWQiOiIzMDI3OTc1ODcifQ==</vt:lpwstr>
  </property>
  <property fmtid="{D5CDD505-2E9C-101B-9397-08002B2CF9AE}" pid="4" name="ICV">
    <vt:lpwstr>FB5D5C7581414EE382AF2D85B4C2B177_12</vt:lpwstr>
  </property>
</Properties>
</file>