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BC747">
      <w:pPr>
        <w:pStyle w:val="2"/>
        <w:widowControl/>
        <w:snapToGrid w:val="0"/>
        <w:spacing w:before="0" w:after="0" w:line="360" w:lineRule="auto"/>
        <w:jc w:val="center"/>
        <w:rPr>
          <w:rFonts w:hint="eastAsia" w:ascii="宋体" w:hAnsi="宋体" w:eastAsia="仿宋"/>
          <w:color w:val="auto"/>
          <w:highlight w:val="none"/>
        </w:rPr>
      </w:pPr>
      <w:r>
        <w:rPr>
          <w:rFonts w:hint="eastAsia" w:ascii="宋体" w:hAnsi="宋体" w:eastAsia="仿宋"/>
          <w:color w:val="auto"/>
          <w:highlight w:val="none"/>
        </w:rPr>
        <w:t>采购需求</w:t>
      </w:r>
    </w:p>
    <w:p w14:paraId="4F38F8BB">
      <w:pPr>
        <w:pStyle w:val="3"/>
        <w:rPr>
          <w:rStyle w:val="7"/>
          <w:rFonts w:ascii="宋体" w:hAnsi="宋体" w:eastAsia="仿宋"/>
          <w:b/>
          <w:bCs/>
          <w:color w:val="auto"/>
          <w:sz w:val="24"/>
          <w:szCs w:val="24"/>
          <w:highlight w:val="none"/>
        </w:rPr>
      </w:pPr>
      <w:bookmarkStart w:id="0" w:name="_Toc455587089"/>
      <w:bookmarkStart w:id="1" w:name="_Toc466024556"/>
      <w:bookmarkStart w:id="2" w:name="_Toc455587273"/>
      <w:bookmarkStart w:id="3" w:name="_Toc445554747"/>
      <w:r>
        <w:rPr>
          <w:rStyle w:val="7"/>
          <w:rFonts w:hint="eastAsia" w:ascii="宋体" w:hAnsi="宋体" w:eastAsia="仿宋"/>
          <w:b/>
          <w:bCs/>
          <w:color w:val="auto"/>
          <w:sz w:val="24"/>
          <w:szCs w:val="24"/>
          <w:highlight w:val="none"/>
        </w:rPr>
        <w:t xml:space="preserve">1. </w:t>
      </w:r>
      <w:bookmarkEnd w:id="0"/>
      <w:bookmarkEnd w:id="1"/>
      <w:bookmarkEnd w:id="2"/>
      <w:r>
        <w:rPr>
          <w:rStyle w:val="7"/>
          <w:rFonts w:hint="eastAsia" w:ascii="宋体" w:hAnsi="宋体" w:eastAsia="仿宋"/>
          <w:b/>
          <w:bCs/>
          <w:color w:val="auto"/>
          <w:sz w:val="24"/>
          <w:szCs w:val="24"/>
          <w:highlight w:val="none"/>
        </w:rPr>
        <w:t>总体说明</w:t>
      </w:r>
    </w:p>
    <w:p w14:paraId="406A8F60">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50156F9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2A7EB0AF">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2AD6E950">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01DD18AF">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7918EB06">
      <w:pPr>
        <w:pStyle w:val="3"/>
        <w:rPr>
          <w:rStyle w:val="7"/>
          <w:rFonts w:hint="eastAsia" w:ascii="宋体" w:hAnsi="宋体" w:eastAsia="仿宋"/>
          <w:b/>
          <w:bCs/>
          <w:color w:val="auto"/>
          <w:sz w:val="24"/>
          <w:szCs w:val="24"/>
          <w:highlight w:val="none"/>
        </w:rPr>
      </w:pPr>
      <w:bookmarkStart w:id="4" w:name="_Toc455587274"/>
      <w:bookmarkStart w:id="5" w:name="_Toc466024557"/>
      <w:bookmarkStart w:id="6" w:name="_Toc455587090"/>
      <w:r>
        <w:rPr>
          <w:rStyle w:val="7"/>
          <w:rFonts w:hint="eastAsia" w:ascii="宋体" w:hAnsi="宋体" w:eastAsia="仿宋"/>
          <w:b/>
          <w:bCs/>
          <w:color w:val="auto"/>
          <w:sz w:val="24"/>
          <w:szCs w:val="24"/>
          <w:highlight w:val="none"/>
        </w:rPr>
        <w:t>2. 采购内容及范围</w:t>
      </w:r>
      <w:bookmarkEnd w:id="4"/>
      <w:bookmarkEnd w:id="5"/>
      <w:bookmarkEnd w:id="6"/>
    </w:p>
    <w:p w14:paraId="433043D5">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5"/>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945"/>
        <w:gridCol w:w="1620"/>
        <w:gridCol w:w="825"/>
        <w:gridCol w:w="1935"/>
        <w:gridCol w:w="1320"/>
        <w:gridCol w:w="1228"/>
      </w:tblGrid>
      <w:tr w14:paraId="11A2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0322F049">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5809815">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D23CA2A">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C1E4957">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7373A30">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总预算/最高投标限价（万元）</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4A8DE9D">
            <w:pPr>
              <w:jc w:val="center"/>
              <w:rPr>
                <w:rFonts w:hint="eastAsia" w:ascii="仿宋" w:hAnsi="仿宋" w:eastAsia="仿宋" w:cs="宋体"/>
                <w:color w:val="auto"/>
                <w:sz w:val="24"/>
                <w:highlight w:val="none"/>
              </w:rPr>
            </w:pPr>
            <w:r>
              <w:rPr>
                <w:rFonts w:hint="eastAsia" w:hAnsi="宋体" w:eastAsia="仿宋"/>
                <w:color w:val="auto"/>
                <w:sz w:val="24"/>
                <w:highlight w:val="none"/>
              </w:rPr>
              <w:t>所属行业</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4614CE38">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0314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vMerge w:val="restart"/>
            <w:tcBorders>
              <w:top w:val="single" w:color="auto" w:sz="4" w:space="0"/>
              <w:left w:val="single" w:color="auto" w:sz="4" w:space="0"/>
              <w:right w:val="single" w:color="auto" w:sz="4" w:space="0"/>
            </w:tcBorders>
            <w:noWrap w:val="0"/>
            <w:vAlign w:val="center"/>
          </w:tcPr>
          <w:p w14:paraId="28993398">
            <w:pPr>
              <w:jc w:val="center"/>
              <w:rPr>
                <w:rFonts w:ascii="仿宋" w:hAnsi="仿宋" w:eastAsia="仿宋" w:cs="宋体"/>
                <w:color w:val="auto"/>
                <w:sz w:val="24"/>
                <w:highlight w:val="none"/>
              </w:rPr>
            </w:pPr>
            <w:r>
              <w:rPr>
                <w:rFonts w:hint="eastAsia" w:ascii="仿宋" w:hAnsi="仿宋" w:eastAsia="仿宋" w:cs="宋体"/>
                <w:color w:val="auto"/>
                <w:sz w:val="24"/>
                <w:highlight w:val="none"/>
              </w:rPr>
              <w:t>1</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3B321B1">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7AAF4B1">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eastAsia="zh-CN" w:bidi="ar"/>
              </w:rPr>
              <w:t>移动式C型臂手术X射线机</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82CC077">
            <w:pPr>
              <w:widowControl/>
              <w:jc w:val="center"/>
              <w:textAlignment w:val="center"/>
              <w:rPr>
                <w:rFonts w:hint="default" w:ascii="仿宋" w:hAnsi="仿宋" w:eastAsia="仿宋" w:cs="宋体"/>
                <w:color w:val="auto"/>
                <w:kern w:val="0"/>
                <w:sz w:val="24"/>
                <w:highlight w:val="none"/>
                <w:lang w:val="en-US" w:bidi="ar"/>
              </w:rPr>
            </w:pPr>
            <w:r>
              <w:rPr>
                <w:rFonts w:hint="eastAsia" w:ascii="仿宋" w:hAnsi="仿宋" w:eastAsia="仿宋" w:cs="宋体"/>
                <w:color w:val="auto"/>
                <w:kern w:val="0"/>
                <w:sz w:val="24"/>
                <w:highlight w:val="none"/>
                <w:lang w:val="en-US" w:eastAsia="zh-CN" w:bidi="ar"/>
              </w:rPr>
              <w:t>1台</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8F5BDB7">
            <w:pPr>
              <w:widowControl/>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200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1CB8E77">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51C55158">
            <w:pPr>
              <w:widowControl/>
              <w:jc w:val="center"/>
              <w:textAlignment w:val="center"/>
              <w:rPr>
                <w:rFonts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r w14:paraId="6D46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vMerge w:val="continue"/>
            <w:tcBorders>
              <w:left w:val="single" w:color="auto" w:sz="4" w:space="0"/>
              <w:right w:val="single" w:color="auto" w:sz="4" w:space="0"/>
            </w:tcBorders>
            <w:noWrap w:val="0"/>
            <w:vAlign w:val="center"/>
          </w:tcPr>
          <w:p w14:paraId="55E2153E">
            <w:pPr>
              <w:jc w:val="center"/>
              <w:rPr>
                <w:rFonts w:hint="eastAsia" w:ascii="仿宋" w:hAnsi="仿宋" w:eastAsia="仿宋"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FFD8CC0">
            <w:pPr>
              <w:widowControl/>
              <w:jc w:val="center"/>
              <w:textAlignment w:val="center"/>
              <w:rPr>
                <w:rFonts w:hint="eastAsia"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C78032F">
            <w:pPr>
              <w:widowControl/>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eastAsia="zh-CN" w:bidi="ar"/>
              </w:rPr>
              <w:t>移动式C型臂手术X射线机</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61092C4">
            <w:pPr>
              <w:widowControl/>
              <w:jc w:val="center"/>
              <w:textAlignment w:val="center"/>
              <w:rPr>
                <w:rFonts w:hint="eastAsia"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1台</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0A6F41B">
            <w:pPr>
              <w:widowControl/>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200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DB0E47E">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69C4BB78">
            <w:pPr>
              <w:widowControl/>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bl>
    <w:p w14:paraId="3B5A5868">
      <w:pPr>
        <w:widowControl/>
        <w:tabs>
          <w:tab w:val="left" w:pos="1406"/>
        </w:tabs>
        <w:snapToGrid w:val="0"/>
        <w:spacing w:line="360" w:lineRule="auto"/>
        <w:ind w:firstLine="412" w:firstLineChars="171"/>
        <w:rPr>
          <w:rFonts w:hint="eastAsia" w:ascii="宋体" w:hAnsi="宋体" w:eastAsia="仿宋"/>
          <w:b/>
          <w:color w:val="auto"/>
          <w:sz w:val="24"/>
          <w:highlight w:val="none"/>
        </w:rPr>
      </w:pPr>
    </w:p>
    <w:p w14:paraId="704774FB">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2.2 采购范围</w:t>
      </w:r>
    </w:p>
    <w:p w14:paraId="1F499860">
      <w:pPr>
        <w:pStyle w:val="4"/>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w:t>
      </w:r>
      <w:r>
        <w:rPr>
          <w:rFonts w:hint="eastAsia" w:ascii="仿宋" w:hAnsi="仿宋" w:eastAsia="仿宋" w:cs="仿宋"/>
          <w:b w:val="0"/>
          <w:bCs w:val="0"/>
          <w:color w:val="auto"/>
          <w:sz w:val="24"/>
          <w:szCs w:val="24"/>
          <w:highlight w:val="none"/>
        </w:rPr>
        <w:t>点）、</w:t>
      </w:r>
      <w:r>
        <w:rPr>
          <w:rFonts w:hint="eastAsia" w:ascii="仿宋" w:hAnsi="仿宋" w:eastAsia="仿宋" w:cs="仿宋"/>
          <w:b w:val="0"/>
          <w:bCs w:val="0"/>
          <w:color w:val="auto"/>
          <w:sz w:val="24"/>
          <w:szCs w:val="24"/>
          <w:highlight w:val="none"/>
          <w:lang w:val="en-US" w:eastAsia="zh-CN"/>
        </w:rPr>
        <w:t>安装</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color w:val="auto"/>
          <w:sz w:val="24"/>
          <w:szCs w:val="24"/>
          <w:highlight w:val="none"/>
        </w:rPr>
        <w:t>调试、技术服务、培训、售后服务等所有内容。</w:t>
      </w:r>
    </w:p>
    <w:p w14:paraId="7D7BA5C9">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7B0C4E02">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54B1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1EF7D3AF">
            <w:pPr>
              <w:widowControl/>
              <w:jc w:val="left"/>
              <w:rPr>
                <w:rFonts w:hint="eastAsia" w:ascii="宋体" w:hAnsi="宋体" w:eastAsia="仿宋"/>
                <w:color w:val="auto"/>
                <w:sz w:val="24"/>
                <w:highlight w:val="none"/>
              </w:rPr>
            </w:pPr>
            <w:r>
              <w:rPr>
                <w:rFonts w:hint="eastAsia" w:ascii="宋体" w:hAnsi="宋体" w:eastAsia="仿宋"/>
                <w:color w:val="auto"/>
                <w:sz w:val="24"/>
                <w:highlight w:val="none"/>
              </w:rPr>
              <w:t>交付（实施）的时间（期限）</w:t>
            </w:r>
          </w:p>
        </w:tc>
        <w:tc>
          <w:tcPr>
            <w:tcW w:w="7479" w:type="dxa"/>
            <w:noWrap w:val="0"/>
            <w:vAlign w:val="top"/>
          </w:tcPr>
          <w:p w14:paraId="493B1C97">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0C2E0A4B">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33C17672">
            <w:pPr>
              <w:pStyle w:val="8"/>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37387357">
            <w:pPr>
              <w:pStyle w:val="8"/>
              <w:ind w:firstLine="2160" w:firstLineChars="900"/>
              <w:rPr>
                <w:rFonts w:hint="eastAsia"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1CD6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top"/>
          </w:tcPr>
          <w:p w14:paraId="6277ACFF">
            <w:pPr>
              <w:widowControl/>
              <w:jc w:val="left"/>
              <w:rPr>
                <w:rFonts w:hint="eastAsia" w:ascii="宋体" w:hAnsi="宋体" w:eastAsia="仿宋"/>
                <w:color w:val="auto"/>
                <w:sz w:val="24"/>
                <w:highlight w:val="none"/>
              </w:rPr>
            </w:pPr>
            <w:r>
              <w:rPr>
                <w:rFonts w:hint="eastAsia" w:ascii="宋体" w:hAnsi="宋体" w:eastAsia="仿宋"/>
                <w:color w:val="auto"/>
                <w:sz w:val="24"/>
                <w:highlight w:val="none"/>
              </w:rPr>
              <w:t>交付（实施）的地点（范围）</w:t>
            </w:r>
          </w:p>
        </w:tc>
        <w:tc>
          <w:tcPr>
            <w:tcW w:w="7479" w:type="dxa"/>
            <w:noWrap w:val="0"/>
            <w:vAlign w:val="top"/>
          </w:tcPr>
          <w:p w14:paraId="4E4A1C9A">
            <w:pPr>
              <w:pStyle w:val="8"/>
              <w:ind w:firstLine="0" w:firstLineChars="0"/>
              <w:rPr>
                <w:rFonts w:ascii="宋体" w:hAnsi="宋体" w:eastAsia="仿宋"/>
                <w:color w:val="auto"/>
                <w:sz w:val="24"/>
                <w:highlight w:val="none"/>
              </w:rPr>
            </w:pPr>
            <w:r>
              <w:rPr>
                <w:rFonts w:hint="eastAsia" w:ascii="宋体" w:hAnsi="宋体" w:eastAsia="仿宋"/>
                <w:color w:val="auto"/>
                <w:sz w:val="24"/>
                <w:highlight w:val="none"/>
              </w:rPr>
              <w:t>蚌埠医科大学第一附属医院</w:t>
            </w:r>
            <w:r>
              <w:rPr>
                <w:rFonts w:hint="eastAsia" w:ascii="宋体" w:hAnsi="宋体" w:eastAsia="仿宋"/>
                <w:color w:val="auto"/>
                <w:sz w:val="24"/>
                <w:highlight w:val="none"/>
                <w:lang w:val="en-US" w:eastAsia="zh-CN"/>
              </w:rPr>
              <w:t>内</w:t>
            </w:r>
            <w:r>
              <w:rPr>
                <w:rFonts w:hint="eastAsia" w:ascii="宋体" w:hAnsi="宋体" w:eastAsia="仿宋"/>
                <w:color w:val="auto"/>
                <w:sz w:val="24"/>
                <w:highlight w:val="none"/>
              </w:rPr>
              <w:t>，招标人指定地点</w:t>
            </w:r>
          </w:p>
        </w:tc>
      </w:tr>
      <w:tr w14:paraId="0DDC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2675F547">
            <w:pPr>
              <w:pStyle w:val="8"/>
              <w:ind w:firstLine="0" w:firstLineChars="0"/>
              <w:rPr>
                <w:rFonts w:ascii="宋体" w:hAnsi="宋体" w:eastAsia="仿宋"/>
                <w:color w:val="auto"/>
                <w:sz w:val="24"/>
                <w:highlight w:val="none"/>
              </w:rPr>
            </w:pPr>
            <w:r>
              <w:rPr>
                <w:rFonts w:hint="eastAsia" w:ascii="宋体" w:hAnsi="宋体" w:eastAsia="仿宋"/>
                <w:color w:val="auto"/>
                <w:sz w:val="24"/>
                <w:highlight w:val="none"/>
              </w:rPr>
              <w:t>付款方式</w:t>
            </w:r>
          </w:p>
        </w:tc>
        <w:tc>
          <w:tcPr>
            <w:tcW w:w="7479" w:type="dxa"/>
            <w:noWrap w:val="0"/>
            <w:vAlign w:val="top"/>
          </w:tcPr>
          <w:p w14:paraId="69802A6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预付款支付形式:</w:t>
            </w:r>
          </w:p>
          <w:p w14:paraId="52CB90BC">
            <w:pPr>
              <w:widowControl/>
              <w:adjustRightInd w:val="0"/>
              <w:snapToGrid w:val="0"/>
              <w:spacing w:line="288" w:lineRule="auto"/>
              <w:rPr>
                <w:rFonts w:hint="eastAsia" w:ascii="宋体" w:hAnsi="宋体" w:eastAsia="仿宋" w:cs="Calibri"/>
                <w:color w:val="auto"/>
                <w:sz w:val="24"/>
                <w:highlight w:val="none"/>
                <w:lang w:eastAsia="zh-CN"/>
              </w:rPr>
            </w:pPr>
            <w:r>
              <w:rPr>
                <w:rFonts w:hint="eastAsia" w:ascii="宋体" w:hAnsi="宋体" w:eastAsia="仿宋" w:cs="Calibri"/>
                <w:color w:val="auto"/>
                <w:sz w:val="24"/>
                <w:highlight w:val="none"/>
              </w:rPr>
              <w:t>1.如所投产品为中小企业生产的，合同生效后，预付合同款的40%(中标人向采购人提交等额的预付款保函或其他担保措施，见索即付，期限至设备到达采购人指定地点时)</w:t>
            </w:r>
            <w:r>
              <w:rPr>
                <w:rFonts w:hint="eastAsia" w:ascii="宋体" w:hAnsi="宋体" w:eastAsia="仿宋" w:cs="Calibri"/>
                <w:color w:val="auto"/>
                <w:sz w:val="24"/>
                <w:highlight w:val="none"/>
                <w:lang w:eastAsia="zh-CN"/>
              </w:rPr>
              <w:t>；</w:t>
            </w:r>
          </w:p>
          <w:p w14:paraId="296B0CF7">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2.如所投产品为非中小企业生产的，合同生效后，预付合同款的20%(中标人向采购人提交等额的预付款保函或其他担保措施，见索即付，期限至设备到达采购人指定地点时)。</w:t>
            </w:r>
          </w:p>
          <w:p w14:paraId="0E7D85F0">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预付款保函要求：</w:t>
            </w:r>
          </w:p>
          <w:p w14:paraId="73E8FC4E">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19E447E3">
            <w:pPr>
              <w:widowControl/>
              <w:adjustRightInd w:val="0"/>
              <w:snapToGrid w:val="0"/>
              <w:spacing w:line="288" w:lineRule="auto"/>
              <w:rPr>
                <w:rFonts w:ascii="宋体" w:hAnsi="宋体"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电子保函</w:t>
            </w:r>
          </w:p>
          <w:p w14:paraId="01C47D99">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5D7F1799">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①如采用银行保函，银行保函应为见索即付无条件独立保函，且应将原件交至采购人保管。</w:t>
            </w:r>
          </w:p>
          <w:p w14:paraId="0C150A17">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67FCACA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1421F88D">
            <w:pPr>
              <w:widowControl/>
              <w:adjustRightInd w:val="0"/>
              <w:snapToGrid w:val="0"/>
              <w:spacing w:line="288" w:lineRule="auto"/>
              <w:rPr>
                <w:rFonts w:hint="eastAsia" w:ascii="宋体" w:hAnsi="宋体" w:eastAsia="仿宋"/>
                <w:color w:val="auto"/>
                <w:sz w:val="24"/>
                <w:highlight w:val="none"/>
              </w:rPr>
            </w:pPr>
            <w:r>
              <w:rPr>
                <w:rFonts w:hint="eastAsia" w:ascii="仿宋" w:hAnsi="仿宋" w:eastAsia="仿宋" w:cs="仿宋"/>
                <w:color w:val="auto"/>
                <w:sz w:val="24"/>
                <w:highlight w:val="none"/>
                <w:lang w:bidi="ar"/>
              </w:rPr>
              <w:t>④</w:t>
            </w:r>
            <w:r>
              <w:rPr>
                <w:rFonts w:hint="eastAsia" w:ascii="宋体" w:hAnsi="宋体" w:eastAsia="仿宋" w:cs="Calibri"/>
                <w:color w:val="auto"/>
                <w:sz w:val="24"/>
                <w:highlight w:val="none"/>
                <w:lang w:bidi="ar"/>
              </w:rPr>
              <w:t>采用电子保函的，</w:t>
            </w:r>
            <w:r>
              <w:rPr>
                <w:rFonts w:hint="eastAsia" w:ascii="宋体" w:hAnsi="宋体" w:eastAsia="仿宋"/>
                <w:color w:val="auto"/>
                <w:sz w:val="24"/>
                <w:highlight w:val="none"/>
              </w:rPr>
              <w:t>可访问安徽省政府采购网“融资/保函”栏目进行申请。</w:t>
            </w:r>
          </w:p>
          <w:p w14:paraId="07F3F01B">
            <w:pPr>
              <w:widowControl/>
              <w:adjustRightInd w:val="0"/>
              <w:snapToGrid w:val="0"/>
              <w:spacing w:line="288"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设备完成安装并验收合格后开具全额发票后七个工作日内支付至合同总价的100%。</w:t>
            </w:r>
          </w:p>
          <w:p w14:paraId="47159FE2">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53CEBE28">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3935CD34">
            <w:pPr>
              <w:widowControl/>
              <w:adjustRightInd w:val="0"/>
              <w:snapToGrid w:val="0"/>
              <w:spacing w:line="288" w:lineRule="auto"/>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p>
        </w:tc>
      </w:tr>
      <w:tr w14:paraId="2885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24864BFE">
            <w:pPr>
              <w:pStyle w:val="8"/>
              <w:ind w:firstLine="0" w:firstLineChars="0"/>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免费质保期</w:t>
            </w:r>
          </w:p>
        </w:tc>
        <w:tc>
          <w:tcPr>
            <w:tcW w:w="7479" w:type="dxa"/>
            <w:noWrap w:val="0"/>
            <w:vAlign w:val="top"/>
          </w:tcPr>
          <w:p w14:paraId="639C4672">
            <w:pPr>
              <w:widowControl/>
              <w:adjustRightInd w:val="0"/>
              <w:snapToGrid w:val="0"/>
              <w:spacing w:line="288" w:lineRule="auto"/>
              <w:rPr>
                <w:rFonts w:hint="eastAsia" w:ascii="仿宋" w:hAnsi="仿宋" w:eastAsia="仿宋" w:cs="仿宋"/>
                <w:iCs/>
                <w:color w:val="auto"/>
                <w:sz w:val="24"/>
                <w:highlight w:val="none"/>
              </w:rPr>
            </w:pPr>
            <w:r>
              <w:rPr>
                <w:rFonts w:hint="eastAsia" w:ascii="宋体" w:hAnsi="宋体" w:eastAsia="仿宋"/>
                <w:color w:val="auto"/>
                <w:sz w:val="24"/>
                <w:highlight w:val="none"/>
                <w:lang w:val="en-US" w:eastAsia="zh-CN"/>
              </w:rPr>
              <w:t>免费质保期</w:t>
            </w:r>
            <w:r>
              <w:rPr>
                <w:rFonts w:hint="eastAsia" w:ascii="宋体" w:hAnsi="宋体" w:eastAsia="仿宋" w:cs="Calibri"/>
                <w:color w:val="auto"/>
                <w:sz w:val="24"/>
                <w:highlight w:val="none"/>
              </w:rPr>
              <w:t>：投标人自报，自验收合格之日起不少于</w:t>
            </w:r>
            <w:r>
              <w:rPr>
                <w:rFonts w:hint="eastAsia" w:ascii="宋体" w:hAnsi="宋体" w:eastAsia="仿宋" w:cs="Calibri"/>
                <w:color w:val="auto"/>
                <w:sz w:val="24"/>
                <w:highlight w:val="none"/>
                <w:lang w:val="en-US" w:eastAsia="zh-CN"/>
              </w:rPr>
              <w:t>2</w:t>
            </w:r>
            <w:r>
              <w:rPr>
                <w:rFonts w:hint="eastAsia" w:ascii="仿宋" w:hAnsi="仿宋" w:eastAsia="仿宋" w:cs="仿宋"/>
                <w:iCs/>
                <w:color w:val="auto"/>
                <w:sz w:val="24"/>
                <w:highlight w:val="none"/>
              </w:rPr>
              <w:t>年</w:t>
            </w:r>
          </w:p>
          <w:p w14:paraId="0782C9AA">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A7D519B">
            <w:pPr>
              <w:pStyle w:val="8"/>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C388611">
            <w:pPr>
              <w:pStyle w:val="8"/>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65B63464">
      <w:pPr>
        <w:pStyle w:val="8"/>
        <w:ind w:firstLine="480"/>
        <w:rPr>
          <w:rFonts w:ascii="宋体" w:hAnsi="宋体" w:eastAsia="仿宋"/>
          <w:color w:val="auto"/>
          <w:sz w:val="24"/>
          <w:highlight w:val="none"/>
        </w:rPr>
      </w:pPr>
    </w:p>
    <w:bookmarkEnd w:id="3"/>
    <w:p w14:paraId="2BEB6B15">
      <w:pPr>
        <w:pStyle w:val="4"/>
        <w:widowControl/>
        <w:snapToGrid w:val="0"/>
        <w:spacing w:line="360" w:lineRule="auto"/>
        <w:outlineLvl w:val="1"/>
        <w:rPr>
          <w:rStyle w:val="7"/>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7" w:name="_Toc466024558"/>
      <w:bookmarkStart w:id="8" w:name="_Toc455587091"/>
      <w:bookmarkStart w:id="9" w:name="_Toc445554749"/>
      <w:bookmarkStart w:id="10" w:name="_Toc455587275"/>
      <w:r>
        <w:rPr>
          <w:rStyle w:val="7"/>
          <w:rFonts w:hint="eastAsia" w:ascii="宋体" w:hAnsi="宋体" w:eastAsia="仿宋"/>
          <w:color w:val="auto"/>
          <w:sz w:val="24"/>
          <w:szCs w:val="24"/>
          <w:highlight w:val="none"/>
        </w:rPr>
        <w:t>4. 技术要求</w:t>
      </w:r>
      <w:bookmarkEnd w:id="7"/>
      <w:bookmarkEnd w:id="8"/>
      <w:bookmarkEnd w:id="9"/>
      <w:bookmarkEnd w:id="10"/>
    </w:p>
    <w:p w14:paraId="4B8B7A6E">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23"/>
        <w:gridCol w:w="5349"/>
      </w:tblGrid>
      <w:tr w14:paraId="0C1A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1" w:type="pct"/>
            <w:noWrap w:val="0"/>
            <w:vAlign w:val="center"/>
          </w:tcPr>
          <w:p w14:paraId="31A17B1A">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152E1A4F">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4677EE86">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3EB7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2D94052D">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773314D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3AD8619C">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264C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6B7A105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16BFD442">
            <w:pPr>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0A751C1B">
            <w:pPr>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59FE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2C4C256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7DBC9CC3">
            <w:pPr>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3DB18BA9">
            <w:pPr>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1FBF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567A201D">
            <w:pPr>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普通</w:t>
            </w:r>
            <w:r>
              <w:rPr>
                <w:rFonts w:hint="eastAsia" w:ascii="仿宋" w:hAnsi="仿宋" w:eastAsia="仿宋" w:cs="仿宋"/>
                <w:color w:val="auto"/>
                <w:sz w:val="24"/>
                <w:highlight w:val="none"/>
              </w:rPr>
              <w:t>参数</w:t>
            </w:r>
          </w:p>
        </w:tc>
        <w:tc>
          <w:tcPr>
            <w:tcW w:w="1530" w:type="dxa"/>
            <w:noWrap w:val="0"/>
            <w:vAlign w:val="center"/>
          </w:tcPr>
          <w:p w14:paraId="1B0E777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185" w:type="dxa"/>
            <w:noWrap w:val="0"/>
            <w:vAlign w:val="center"/>
          </w:tcPr>
          <w:p w14:paraId="31B9130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评分项</w:t>
            </w:r>
          </w:p>
        </w:tc>
      </w:tr>
      <w:tr w14:paraId="2BC4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3017789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001E11A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67F62627">
            <w:pPr>
              <w:jc w:val="center"/>
              <w:rPr>
                <w:rFonts w:hint="default" w:ascii="Times New Roman" w:hAnsi="Times New Roman" w:eastAsia="宋体"/>
                <w:color w:val="auto"/>
                <w:highlight w:val="none"/>
                <w:lang w:val="en-US" w:eastAsia="zh-CN"/>
              </w:rPr>
            </w:pPr>
            <w:r>
              <w:rPr>
                <w:rFonts w:hint="eastAsia" w:ascii="仿宋" w:hAnsi="仿宋" w:eastAsia="仿宋" w:cs="仿宋"/>
                <w:color w:val="auto"/>
                <w:sz w:val="24"/>
                <w:highlight w:val="none"/>
              </w:rPr>
              <w:t>评分项</w:t>
            </w:r>
          </w:p>
        </w:tc>
      </w:tr>
      <w:tr w14:paraId="48D4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5A2D47F8">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28A1929B">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4F3675F0">
            <w:pPr>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（2）须按照第六章投标文件格式十，提供技术要求偏离表和技术响应资料，如不提供视为投标无效。</w:t>
            </w:r>
          </w:p>
        </w:tc>
      </w:tr>
    </w:tbl>
    <w:p w14:paraId="2B1AF766">
      <w:pPr>
        <w:pStyle w:val="4"/>
        <w:widowControl/>
        <w:snapToGrid w:val="0"/>
        <w:spacing w:line="360" w:lineRule="auto"/>
        <w:ind w:firstLine="480" w:firstLineChars="200"/>
        <w:rPr>
          <w:rFonts w:hint="eastAsia" w:hAnsi="宋体" w:eastAsia="仿宋"/>
          <w:color w:val="auto"/>
          <w:sz w:val="24"/>
          <w:szCs w:val="24"/>
          <w:highlight w:val="none"/>
        </w:rPr>
      </w:pPr>
    </w:p>
    <w:p w14:paraId="58CC66A2">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tbl>
      <w:tblPr>
        <w:tblStyle w:val="5"/>
        <w:tblW w:w="90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1129"/>
        <w:gridCol w:w="4854"/>
        <w:gridCol w:w="3017"/>
      </w:tblGrid>
      <w:tr w14:paraId="5B1E4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CB8D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43B2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主要技术规格及功能</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A273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要求</w:t>
            </w:r>
          </w:p>
        </w:tc>
      </w:tr>
      <w:tr w14:paraId="4FE3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7037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配置一：</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4DFC6">
            <w:pPr>
              <w:rPr>
                <w:rFonts w:hint="eastAsia" w:ascii="仿宋" w:hAnsi="仿宋" w:eastAsia="仿宋" w:cs="仿宋"/>
                <w:b/>
                <w:bCs/>
                <w:i w:val="0"/>
                <w:iCs w:val="0"/>
                <w:color w:val="auto"/>
                <w:sz w:val="24"/>
                <w:szCs w:val="24"/>
                <w:u w:val="none"/>
              </w:rPr>
            </w:pPr>
            <w:r>
              <w:rPr>
                <w:rFonts w:hint="eastAsia" w:ascii="仿宋" w:hAnsi="仿宋" w:eastAsia="仿宋" w:cs="仿宋"/>
                <w:color w:val="auto"/>
                <w:sz w:val="24"/>
                <w:highlight w:val="none"/>
              </w:rPr>
              <w:t>▲</w:t>
            </w:r>
            <w:r>
              <w:rPr>
                <w:rFonts w:hint="eastAsia" w:ascii="仿宋" w:hAnsi="仿宋" w:eastAsia="仿宋" w:cs="宋体"/>
                <w:color w:val="auto"/>
                <w:kern w:val="0"/>
                <w:sz w:val="24"/>
                <w:highlight w:val="none"/>
                <w:lang w:eastAsia="zh-CN" w:bidi="ar"/>
              </w:rPr>
              <w:t>移动式C型臂手术X射线机</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5AF9A">
            <w:pPr>
              <w:rPr>
                <w:rFonts w:hint="eastAsia" w:ascii="仿宋" w:hAnsi="仿宋" w:eastAsia="仿宋" w:cs="仿宋"/>
                <w:i w:val="0"/>
                <w:iCs w:val="0"/>
                <w:color w:val="auto"/>
                <w:sz w:val="24"/>
                <w:szCs w:val="24"/>
                <w:u w:val="none"/>
              </w:rPr>
            </w:pPr>
          </w:p>
        </w:tc>
      </w:tr>
      <w:tr w14:paraId="4BE0A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91F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4D6E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总体要求</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F1D6D">
            <w:pPr>
              <w:rPr>
                <w:rFonts w:hint="eastAsia" w:ascii="仿宋" w:hAnsi="仿宋" w:eastAsia="仿宋" w:cs="仿宋"/>
                <w:i w:val="0"/>
                <w:iCs w:val="0"/>
                <w:color w:val="auto"/>
                <w:sz w:val="24"/>
                <w:szCs w:val="24"/>
                <w:u w:val="none"/>
              </w:rPr>
            </w:pPr>
          </w:p>
        </w:tc>
      </w:tr>
      <w:tr w14:paraId="4030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B8FD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75CE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用途</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18FD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能够在术中实时显示全身各部位横断位，矢状位，冠状位的CT断层图像，能实现任意斜面的图像重建功能，可实现二维图像与三维图像采集的任意切换。同时具备二维透视、摄影功能。</w:t>
            </w:r>
          </w:p>
        </w:tc>
      </w:tr>
      <w:tr w14:paraId="139C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6141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B54B1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台车工作站与C臂设计</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4064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分体式设计</w:t>
            </w:r>
          </w:p>
        </w:tc>
      </w:tr>
      <w:tr w14:paraId="00E5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963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2FBD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机器内置UPS不间断电源</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70A4B">
            <w:pPr>
              <w:rPr>
                <w:rFonts w:hint="eastAsia" w:ascii="仿宋" w:hAnsi="仿宋" w:eastAsia="仿宋" w:cs="仿宋"/>
                <w:i w:val="0"/>
                <w:iCs w:val="0"/>
                <w:color w:val="auto"/>
                <w:sz w:val="24"/>
                <w:szCs w:val="24"/>
                <w:u w:val="none"/>
              </w:rPr>
            </w:pPr>
          </w:p>
        </w:tc>
      </w:tr>
      <w:tr w14:paraId="73466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9B09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6672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导航接口</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1F6EB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提供导航接口，可与市场主流机器人（包含但不限于天智航）、导航厂家适配。</w:t>
            </w:r>
          </w:p>
        </w:tc>
      </w:tr>
      <w:tr w14:paraId="61190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4646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6323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主要技术规格及功能要求</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02BA2">
            <w:pPr>
              <w:rPr>
                <w:rFonts w:hint="eastAsia" w:ascii="仿宋" w:hAnsi="仿宋" w:eastAsia="仿宋" w:cs="仿宋"/>
                <w:i w:val="0"/>
                <w:iCs w:val="0"/>
                <w:color w:val="auto"/>
                <w:sz w:val="24"/>
                <w:szCs w:val="24"/>
                <w:u w:val="none"/>
              </w:rPr>
            </w:pPr>
          </w:p>
        </w:tc>
      </w:tr>
      <w:tr w14:paraId="39C8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760E5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C99C2">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C形臂主机架</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0ADF6">
            <w:pPr>
              <w:rPr>
                <w:rFonts w:hint="eastAsia" w:ascii="仿宋" w:hAnsi="仿宋" w:eastAsia="仿宋" w:cs="仿宋"/>
                <w:i w:val="0"/>
                <w:iCs w:val="0"/>
                <w:color w:val="auto"/>
                <w:sz w:val="24"/>
                <w:szCs w:val="24"/>
                <w:u w:val="none"/>
              </w:rPr>
            </w:pPr>
          </w:p>
        </w:tc>
      </w:tr>
      <w:tr w14:paraId="364D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D5FE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E414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采用等中心结构设计</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452B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6FF9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6A82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91A7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C臂开口尺寸</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9EC9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≥900mm</w:t>
            </w:r>
          </w:p>
        </w:tc>
      </w:tr>
      <w:tr w14:paraId="755D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81B73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7D4D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C臂弧深</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B486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≥740mm</w:t>
            </w:r>
          </w:p>
        </w:tc>
      </w:tr>
      <w:tr w14:paraId="6E82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CD3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32E2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垂直运动范围</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BFE8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≥450mm</w:t>
            </w:r>
          </w:p>
        </w:tc>
      </w:tr>
      <w:tr w14:paraId="6536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0F2E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6CAC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水平运动范围</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9280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≥200mm</w:t>
            </w:r>
          </w:p>
        </w:tc>
      </w:tr>
      <w:tr w14:paraId="0709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C6FB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62446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左右摆角</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7551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r>
      <w:tr w14:paraId="762E8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00FE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39B9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沿轨道旋转</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A379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≥200°</w:t>
            </w:r>
          </w:p>
        </w:tc>
      </w:tr>
      <w:tr w14:paraId="0155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9542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DFBA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轴向旋转</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81B8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≥360°</w:t>
            </w:r>
          </w:p>
        </w:tc>
      </w:tr>
      <w:tr w14:paraId="454A2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17DC7">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0CA2D">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X线发生器</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76256">
            <w:pPr>
              <w:rPr>
                <w:rFonts w:hint="eastAsia" w:ascii="仿宋" w:hAnsi="仿宋" w:eastAsia="仿宋" w:cs="仿宋"/>
                <w:i w:val="0"/>
                <w:iCs w:val="0"/>
                <w:color w:val="auto"/>
                <w:sz w:val="24"/>
                <w:szCs w:val="24"/>
                <w:u w:val="none"/>
              </w:rPr>
            </w:pPr>
          </w:p>
        </w:tc>
      </w:tr>
      <w:tr w14:paraId="47977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5AA9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84B0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最大输出功率（非等效功率）</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8C874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≥15kw</w:t>
            </w:r>
          </w:p>
        </w:tc>
      </w:tr>
      <w:tr w14:paraId="1E8D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77EF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6AAE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逆变频率</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0A5F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≥50kHz</w:t>
            </w:r>
          </w:p>
        </w:tc>
      </w:tr>
      <w:tr w14:paraId="1FB2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F698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82FF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最大管电压</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34F4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≥120kv</w:t>
            </w:r>
          </w:p>
        </w:tc>
      </w:tr>
      <w:tr w14:paraId="3295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42E7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3A84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最小管电压</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B50B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≤40Kv</w:t>
            </w:r>
          </w:p>
        </w:tc>
      </w:tr>
      <w:tr w14:paraId="395F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71DB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9728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最大透视电流</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19B2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≥110mA</w:t>
            </w:r>
          </w:p>
        </w:tc>
      </w:tr>
      <w:tr w14:paraId="1F1C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70F9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F44C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最小透视电流</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6320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≤3mA</w:t>
            </w:r>
          </w:p>
        </w:tc>
      </w:tr>
      <w:tr w14:paraId="5A944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185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B569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单幅点片最大电流</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4C9A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≥70mA</w:t>
            </w:r>
          </w:p>
        </w:tc>
      </w:tr>
      <w:tr w14:paraId="6166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3930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3772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单幅点片最小电流</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57B5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≤10mA</w:t>
            </w:r>
          </w:p>
        </w:tc>
      </w:tr>
      <w:tr w14:paraId="5CB13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D76D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AA35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最大脉冲频率</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FDDF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≥30fps</w:t>
            </w:r>
          </w:p>
        </w:tc>
      </w:tr>
      <w:tr w14:paraId="532C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97F8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2.10</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66A2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最小脉冲频率</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BDF7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≤1fps</w:t>
            </w:r>
          </w:p>
        </w:tc>
      </w:tr>
      <w:tr w14:paraId="4C20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8913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67F6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最小曝光时间</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0C3B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≤10ms</w:t>
            </w:r>
          </w:p>
        </w:tc>
      </w:tr>
      <w:tr w14:paraId="39FFE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62BDD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2F3E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连续不间断曝光时间</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F779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≥50min</w:t>
            </w:r>
          </w:p>
        </w:tc>
      </w:tr>
      <w:tr w14:paraId="6F1C8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4D55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0F818">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球管</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B1981">
            <w:pPr>
              <w:rPr>
                <w:rFonts w:hint="eastAsia" w:ascii="仿宋" w:hAnsi="仿宋" w:eastAsia="仿宋" w:cs="仿宋"/>
                <w:i w:val="0"/>
                <w:iCs w:val="0"/>
                <w:color w:val="auto"/>
                <w:sz w:val="24"/>
                <w:szCs w:val="24"/>
                <w:u w:val="none"/>
              </w:rPr>
            </w:pPr>
          </w:p>
        </w:tc>
      </w:tr>
      <w:tr w14:paraId="0B0E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CC76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6EAB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阳极类型</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BE80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旋转阳极</w:t>
            </w:r>
          </w:p>
        </w:tc>
      </w:tr>
      <w:tr w14:paraId="579D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80BB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B1D3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球管大焦点尺寸</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1C6C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≤0.6 mm</w:t>
            </w:r>
          </w:p>
        </w:tc>
      </w:tr>
      <w:tr w14:paraId="5C91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40BF1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61F1E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球管小焦点尺寸</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CABC1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≤0.3 mm</w:t>
            </w:r>
          </w:p>
        </w:tc>
      </w:tr>
      <w:tr w14:paraId="44B5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4787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D334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阳极热容量</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C023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≥300KHU</w:t>
            </w:r>
          </w:p>
        </w:tc>
      </w:tr>
      <w:tr w14:paraId="55FB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DA2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7ACD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阳极散热率</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8AE8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≥85KHU/min</w:t>
            </w:r>
          </w:p>
        </w:tc>
      </w:tr>
      <w:tr w14:paraId="0189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42DA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A38BA">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平板探测器</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07732">
            <w:pPr>
              <w:rPr>
                <w:rFonts w:hint="eastAsia" w:ascii="仿宋" w:hAnsi="仿宋" w:eastAsia="仿宋" w:cs="仿宋"/>
                <w:i w:val="0"/>
                <w:iCs w:val="0"/>
                <w:color w:val="auto"/>
                <w:sz w:val="24"/>
                <w:szCs w:val="24"/>
                <w:u w:val="none"/>
              </w:rPr>
            </w:pPr>
          </w:p>
        </w:tc>
      </w:tr>
      <w:tr w14:paraId="188C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4E1F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49BB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有效成像尺寸</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0B7D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≥30cm×30cm</w:t>
            </w:r>
          </w:p>
        </w:tc>
      </w:tr>
      <w:tr w14:paraId="12D3F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84CC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B98D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平板材质</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8F2B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CMOS晶体硅</w:t>
            </w:r>
          </w:p>
        </w:tc>
      </w:tr>
      <w:tr w14:paraId="4743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7DAD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2382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像素尺寸</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D491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≤200 µm</w:t>
            </w:r>
          </w:p>
        </w:tc>
      </w:tr>
      <w:tr w14:paraId="2492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3F1C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9884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图像采集灰阶</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FABC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≥16bit</w:t>
            </w:r>
          </w:p>
        </w:tc>
      </w:tr>
      <w:tr w14:paraId="5394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CA79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58A8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DQE</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57077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≥72%</w:t>
            </w:r>
          </w:p>
        </w:tc>
      </w:tr>
      <w:tr w14:paraId="047F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E0491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5</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9E213">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准直器及滤线栅</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89B35">
            <w:pPr>
              <w:rPr>
                <w:rFonts w:hint="eastAsia" w:ascii="仿宋" w:hAnsi="仿宋" w:eastAsia="仿宋" w:cs="仿宋"/>
                <w:i w:val="0"/>
                <w:iCs w:val="0"/>
                <w:color w:val="auto"/>
                <w:sz w:val="24"/>
                <w:szCs w:val="24"/>
                <w:u w:val="none"/>
              </w:rPr>
            </w:pPr>
          </w:p>
        </w:tc>
      </w:tr>
      <w:tr w14:paraId="5548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D2372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B7DF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双叶限束器</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55212">
            <w:pPr>
              <w:rPr>
                <w:rFonts w:hint="eastAsia" w:ascii="仿宋" w:hAnsi="仿宋" w:eastAsia="仿宋" w:cs="仿宋"/>
                <w:i w:val="0"/>
                <w:iCs w:val="0"/>
                <w:color w:val="auto"/>
                <w:sz w:val="24"/>
                <w:szCs w:val="24"/>
                <w:u w:val="none"/>
              </w:rPr>
            </w:pPr>
          </w:p>
        </w:tc>
      </w:tr>
      <w:tr w14:paraId="338AE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B94E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0A5B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可拆卸滤线栅</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5353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提供可拆卸滤物理滤线栅</w:t>
            </w:r>
          </w:p>
        </w:tc>
      </w:tr>
      <w:tr w14:paraId="2BC7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9956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9C03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滤线栅栅比</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AE71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w:t>
            </w:r>
          </w:p>
        </w:tc>
      </w:tr>
      <w:tr w14:paraId="7788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EFEF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1943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滤线栅密度</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66C1A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≥60L/cm</w:t>
            </w:r>
          </w:p>
        </w:tc>
      </w:tr>
      <w:tr w14:paraId="37D0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C400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6</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489B7">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激光定位灯</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A559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w:t>
            </w:r>
          </w:p>
        </w:tc>
      </w:tr>
      <w:tr w14:paraId="7B58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007EF">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7</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DAC1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操作触控屏</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9367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w:t>
            </w:r>
          </w:p>
        </w:tc>
      </w:tr>
      <w:tr w14:paraId="2DF1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DDA1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38FC3B">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影像工作站</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ACA12">
            <w:pPr>
              <w:rPr>
                <w:rFonts w:hint="eastAsia" w:ascii="仿宋" w:hAnsi="仿宋" w:eastAsia="仿宋" w:cs="仿宋"/>
                <w:i w:val="0"/>
                <w:iCs w:val="0"/>
                <w:color w:val="auto"/>
                <w:sz w:val="24"/>
                <w:szCs w:val="24"/>
                <w:u w:val="none"/>
              </w:rPr>
            </w:pPr>
          </w:p>
        </w:tc>
      </w:tr>
      <w:tr w14:paraId="10AA0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EB18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35F1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CPU</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BB2C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英特尔i5及以上</w:t>
            </w:r>
          </w:p>
        </w:tc>
      </w:tr>
      <w:tr w14:paraId="0CD6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FD35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D479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内存</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ACC6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≥16GB</w:t>
            </w:r>
          </w:p>
        </w:tc>
      </w:tr>
      <w:tr w14:paraId="2DC9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28D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EA0E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硬盘</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9666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≥1TB</w:t>
            </w:r>
          </w:p>
        </w:tc>
      </w:tr>
      <w:tr w14:paraId="6707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ABF3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129FC">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监视器</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DC4D2">
            <w:pPr>
              <w:rPr>
                <w:rFonts w:hint="eastAsia" w:ascii="仿宋" w:hAnsi="仿宋" w:eastAsia="仿宋" w:cs="仿宋"/>
                <w:i w:val="0"/>
                <w:iCs w:val="0"/>
                <w:color w:val="auto"/>
                <w:sz w:val="24"/>
                <w:szCs w:val="24"/>
                <w:u w:val="none"/>
              </w:rPr>
            </w:pPr>
          </w:p>
        </w:tc>
      </w:tr>
      <w:tr w14:paraId="3C28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079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16FB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监视器</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769F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提供≥19英寸2台或者≥32英寸一台</w:t>
            </w:r>
          </w:p>
        </w:tc>
      </w:tr>
      <w:tr w14:paraId="57FD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B1FD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1DB70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最大亮度</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74A8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≥600cd/m²</w:t>
            </w:r>
          </w:p>
        </w:tc>
      </w:tr>
      <w:tr w14:paraId="751E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71CD9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8.4.5</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4F57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监视器可旋转</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32D0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5EC3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EA9D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CD2A5">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图像资料存储系统</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A8508">
            <w:pPr>
              <w:rPr>
                <w:rFonts w:hint="eastAsia" w:ascii="仿宋" w:hAnsi="仿宋" w:eastAsia="仿宋" w:cs="仿宋"/>
                <w:i w:val="0"/>
                <w:iCs w:val="0"/>
                <w:color w:val="auto"/>
                <w:sz w:val="24"/>
                <w:szCs w:val="24"/>
                <w:u w:val="none"/>
              </w:rPr>
            </w:pPr>
          </w:p>
        </w:tc>
      </w:tr>
      <w:tr w14:paraId="0065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A8DC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D89D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Dicom发送功能</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1040A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58152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9716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BDFC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Dicom打印功能</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663CB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4A31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F355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08E9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存贮图像容量（内置工作站硬盘存储）</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9925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0ECE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12A7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289F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具备USB导出功能</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F54A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51D58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09C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85C572">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图像扫描与处理系统</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7897D">
            <w:pPr>
              <w:rPr>
                <w:rFonts w:hint="eastAsia" w:ascii="仿宋" w:hAnsi="仿宋" w:eastAsia="仿宋" w:cs="仿宋"/>
                <w:i w:val="0"/>
                <w:iCs w:val="0"/>
                <w:color w:val="auto"/>
                <w:sz w:val="24"/>
                <w:szCs w:val="24"/>
                <w:u w:val="none"/>
              </w:rPr>
            </w:pPr>
          </w:p>
        </w:tc>
      </w:tr>
      <w:tr w14:paraId="4F97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992B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FBB0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二维影像处理（以下所列软件，或具有有类似功能均可）</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943E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056AE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84A4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C82D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图象左右翻转、上下翻转、旋转、黑白翻转（负片）功能</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7B93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7A0D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12D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5B94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实时自动亮度对比度调整</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0C82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45E6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7ED8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7321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实时图像边缘增强技术</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2EDB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3C80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BEFB5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10.5</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E8FB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智能数字画笔技术</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1254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5C80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A68A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10.6</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A19D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末帧图像冻结</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958B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7E46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942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10.7</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0BCB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透视图像保存</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89263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3DB3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19D7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B5184">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三维图像处理</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48D5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45B18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77CF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D1B8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等中心旋转角度</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E6E2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≥190°</w:t>
            </w:r>
          </w:p>
        </w:tc>
      </w:tr>
      <w:tr w14:paraId="2061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D6AA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EC89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CT扫描时间</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D547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≤30s</w:t>
            </w:r>
          </w:p>
        </w:tc>
      </w:tr>
      <w:tr w14:paraId="51BF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109A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9471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高质量CT扫描模式投影数</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D243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≥400</w:t>
            </w:r>
          </w:p>
        </w:tc>
      </w:tr>
      <w:tr w14:paraId="496F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223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28E0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低剂量CT扫描模式投影数</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E4FB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≤200</w:t>
            </w:r>
          </w:p>
        </w:tc>
      </w:tr>
      <w:tr w14:paraId="3EFB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0FB7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■11.5</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4AD9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三维容积像素</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4430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≥512x512x512</w:t>
            </w:r>
          </w:p>
        </w:tc>
      </w:tr>
      <w:tr w14:paraId="7ED8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E22B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11.6</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4F84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三维容积重建技术</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1BD9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719D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2077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■11.7</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0622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三维重建视野（FOV）</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E086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≥19*19*19cm</w:t>
            </w:r>
          </w:p>
        </w:tc>
      </w:tr>
      <w:tr w14:paraId="4769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4DC1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11.8</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B1D7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最薄层厚</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4562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≤0.5mm</w:t>
            </w:r>
          </w:p>
        </w:tc>
      </w:tr>
      <w:tr w14:paraId="34D7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9D8D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11.9</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4A9D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无级动态调整任意断层层厚</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BFF3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4DFE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8EE2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11.10</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8F15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最高密度投影（MIP）功能或多平面成像技术（MPR）</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7AD0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1249F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95305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11.11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C5FC9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一键三维/二维切换功能</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C8BD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53AD8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nil"/>
              <w:left w:val="single" w:color="000000" w:sz="4" w:space="0"/>
              <w:bottom w:val="nil"/>
              <w:right w:val="single" w:color="000000" w:sz="4" w:space="0"/>
            </w:tcBorders>
            <w:shd w:val="clear" w:color="auto" w:fill="FFFFFF"/>
            <w:noWrap w:val="0"/>
            <w:vAlign w:val="center"/>
          </w:tcPr>
          <w:p w14:paraId="6A41A4C1">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配置二：</w:t>
            </w:r>
          </w:p>
        </w:tc>
        <w:tc>
          <w:tcPr>
            <w:tcW w:w="4854" w:type="dxa"/>
            <w:tcBorders>
              <w:top w:val="nil"/>
              <w:left w:val="nil"/>
              <w:bottom w:val="nil"/>
              <w:right w:val="nil"/>
            </w:tcBorders>
            <w:shd w:val="clear" w:color="auto" w:fill="FFFFFF"/>
            <w:noWrap w:val="0"/>
            <w:vAlign w:val="center"/>
          </w:tcPr>
          <w:p w14:paraId="707348BD">
            <w:pPr>
              <w:rPr>
                <w:rFonts w:hint="eastAsia" w:ascii="仿宋" w:hAnsi="仿宋" w:eastAsia="仿宋" w:cs="仿宋"/>
                <w:i w:val="0"/>
                <w:iCs w:val="0"/>
                <w:color w:val="auto"/>
                <w:sz w:val="24"/>
                <w:szCs w:val="24"/>
                <w:u w:val="none"/>
              </w:rPr>
            </w:pPr>
            <w:r>
              <w:rPr>
                <w:rFonts w:hint="eastAsia" w:ascii="仿宋" w:hAnsi="仿宋" w:eastAsia="仿宋" w:cs="宋体"/>
                <w:color w:val="auto"/>
                <w:kern w:val="0"/>
                <w:sz w:val="24"/>
                <w:highlight w:val="none"/>
                <w:lang w:eastAsia="zh-CN" w:bidi="ar"/>
              </w:rPr>
              <w:t>移动式C型臂手术X射线机</w:t>
            </w:r>
          </w:p>
        </w:tc>
        <w:tc>
          <w:tcPr>
            <w:tcW w:w="3017" w:type="dxa"/>
            <w:tcBorders>
              <w:top w:val="nil"/>
              <w:left w:val="nil"/>
              <w:bottom w:val="nil"/>
              <w:right w:val="nil"/>
            </w:tcBorders>
            <w:shd w:val="clear" w:color="auto" w:fill="FFFFFF"/>
            <w:noWrap w:val="0"/>
            <w:vAlign w:val="center"/>
          </w:tcPr>
          <w:p w14:paraId="708925CE">
            <w:pPr>
              <w:rPr>
                <w:rFonts w:hint="eastAsia" w:ascii="仿宋" w:hAnsi="仿宋" w:eastAsia="仿宋" w:cs="仿宋"/>
                <w:i w:val="0"/>
                <w:iCs w:val="0"/>
                <w:color w:val="auto"/>
                <w:sz w:val="24"/>
                <w:szCs w:val="24"/>
                <w:u w:val="none"/>
              </w:rPr>
            </w:pPr>
          </w:p>
        </w:tc>
      </w:tr>
      <w:tr w14:paraId="7DD0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1F58A">
            <w:pPr>
              <w:jc w:val="center"/>
              <w:rPr>
                <w:rFonts w:hint="eastAsia" w:ascii="仿宋" w:hAnsi="仿宋" w:eastAsia="仿宋" w:cs="仿宋"/>
                <w:i w:val="0"/>
                <w:iCs w:val="0"/>
                <w:color w:val="auto"/>
                <w:sz w:val="24"/>
                <w:szCs w:val="24"/>
                <w:u w:val="none"/>
              </w:rPr>
            </w:pP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2623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技术参数</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2F1E90">
            <w:pPr>
              <w:rPr>
                <w:rFonts w:hint="eastAsia" w:ascii="仿宋" w:hAnsi="仿宋" w:eastAsia="仿宋" w:cs="仿宋"/>
                <w:i w:val="0"/>
                <w:iCs w:val="0"/>
                <w:color w:val="auto"/>
                <w:sz w:val="24"/>
                <w:szCs w:val="24"/>
                <w:u w:val="none"/>
              </w:rPr>
            </w:pPr>
          </w:p>
        </w:tc>
      </w:tr>
      <w:tr w14:paraId="5F94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9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014B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1344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总体要求</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B6D12">
            <w:pPr>
              <w:rPr>
                <w:rFonts w:hint="eastAsia" w:ascii="仿宋" w:hAnsi="仿宋" w:eastAsia="仿宋" w:cs="仿宋"/>
                <w:i w:val="0"/>
                <w:iCs w:val="0"/>
                <w:color w:val="auto"/>
                <w:sz w:val="24"/>
                <w:szCs w:val="24"/>
                <w:u w:val="none"/>
              </w:rPr>
            </w:pPr>
          </w:p>
        </w:tc>
      </w:tr>
      <w:tr w14:paraId="2A48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E9F3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3BBA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用途</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B4BA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平板探测器C形臂，适用于高难度复杂骨科成像。</w:t>
            </w:r>
          </w:p>
        </w:tc>
      </w:tr>
      <w:tr w14:paraId="60D9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E7865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2259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台车工作站与C臂设计</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C932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分体机</w:t>
            </w:r>
          </w:p>
        </w:tc>
      </w:tr>
      <w:tr w14:paraId="2085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C517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F72B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机器内置UPS不间断电源</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0805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w:t>
            </w:r>
          </w:p>
        </w:tc>
      </w:tr>
      <w:tr w14:paraId="4D60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D5E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0E0C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配置二与配置一设备须同品牌</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B2EE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0247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2BBD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E4813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主要技术规格及功能要求</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8B0B5">
            <w:pPr>
              <w:rPr>
                <w:rFonts w:hint="eastAsia" w:ascii="仿宋" w:hAnsi="仿宋" w:eastAsia="仿宋" w:cs="仿宋"/>
                <w:i w:val="0"/>
                <w:iCs w:val="0"/>
                <w:color w:val="auto"/>
                <w:sz w:val="24"/>
                <w:szCs w:val="24"/>
                <w:u w:val="none"/>
              </w:rPr>
            </w:pPr>
          </w:p>
        </w:tc>
      </w:tr>
      <w:tr w14:paraId="2ADE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1063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CBDBF">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C形臂主机架</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FBAD7">
            <w:pPr>
              <w:rPr>
                <w:rFonts w:hint="eastAsia" w:ascii="仿宋" w:hAnsi="仿宋" w:eastAsia="仿宋" w:cs="仿宋"/>
                <w:i w:val="0"/>
                <w:iCs w:val="0"/>
                <w:color w:val="auto"/>
                <w:sz w:val="24"/>
                <w:szCs w:val="24"/>
                <w:u w:val="none"/>
              </w:rPr>
            </w:pPr>
          </w:p>
        </w:tc>
      </w:tr>
      <w:tr w14:paraId="0B9C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5CC5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22B9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C臂开口尺寸</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9E7A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≥780mm</w:t>
            </w:r>
          </w:p>
        </w:tc>
      </w:tr>
      <w:tr w14:paraId="10D3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D8F5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CA04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C臂弧深</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04BA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≥660mm</w:t>
            </w:r>
          </w:p>
        </w:tc>
      </w:tr>
      <w:tr w14:paraId="5691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B44D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F177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垂直运动范围</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443E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≥430mm</w:t>
            </w:r>
          </w:p>
        </w:tc>
      </w:tr>
      <w:tr w14:paraId="6B0AC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0DC9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C95F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水平运动范围</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C92E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≥200mm</w:t>
            </w:r>
          </w:p>
        </w:tc>
      </w:tr>
      <w:tr w14:paraId="1C4C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85AA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06B3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左右摆角</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B234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r>
      <w:tr w14:paraId="2B11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194FB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E2D8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沿轨道旋转</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4377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≥150°</w:t>
            </w:r>
          </w:p>
        </w:tc>
      </w:tr>
      <w:tr w14:paraId="6178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9F2C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F85D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轴向旋转</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938F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≥±190°</w:t>
            </w:r>
          </w:p>
        </w:tc>
      </w:tr>
      <w:tr w14:paraId="1374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22E14">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3DA46">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X线发生器</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57C69">
            <w:pPr>
              <w:rPr>
                <w:rFonts w:hint="eastAsia" w:ascii="仿宋" w:hAnsi="仿宋" w:eastAsia="仿宋" w:cs="仿宋"/>
                <w:i w:val="0"/>
                <w:iCs w:val="0"/>
                <w:color w:val="auto"/>
                <w:sz w:val="24"/>
                <w:szCs w:val="24"/>
                <w:u w:val="none"/>
              </w:rPr>
            </w:pPr>
          </w:p>
        </w:tc>
      </w:tr>
      <w:tr w14:paraId="4979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12C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67D1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最大输出功率（非等效功率）</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6770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≥2kw</w:t>
            </w:r>
          </w:p>
        </w:tc>
      </w:tr>
      <w:tr w14:paraId="47A7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D4CA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E8D9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逆变频率</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08C6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≥40KHz</w:t>
            </w:r>
          </w:p>
        </w:tc>
      </w:tr>
      <w:tr w14:paraId="71D4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FA70F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0FDA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最大管电压</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07CA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≥110KV </w:t>
            </w:r>
          </w:p>
        </w:tc>
      </w:tr>
      <w:tr w14:paraId="75C6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5276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97BA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最小管电压</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1339D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≤40kv</w:t>
            </w:r>
          </w:p>
        </w:tc>
      </w:tr>
      <w:tr w14:paraId="5E44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B2DC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2D51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最大透视电流</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E4CD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≥20mA</w:t>
            </w:r>
          </w:p>
        </w:tc>
      </w:tr>
      <w:tr w14:paraId="52F7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392E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3E96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单幅点片最大电流</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D859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≥20mA</w:t>
            </w:r>
          </w:p>
        </w:tc>
      </w:tr>
      <w:tr w14:paraId="15A4C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7824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BC7AE">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球管</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68C76">
            <w:pPr>
              <w:rPr>
                <w:rFonts w:hint="eastAsia" w:ascii="仿宋" w:hAnsi="仿宋" w:eastAsia="仿宋" w:cs="仿宋"/>
                <w:i w:val="0"/>
                <w:iCs w:val="0"/>
                <w:color w:val="auto"/>
                <w:sz w:val="24"/>
                <w:szCs w:val="24"/>
                <w:u w:val="none"/>
              </w:rPr>
            </w:pPr>
          </w:p>
        </w:tc>
      </w:tr>
      <w:tr w14:paraId="4883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601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1FF7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阳极热容量</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D014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≥100KHU</w:t>
            </w:r>
          </w:p>
        </w:tc>
      </w:tr>
      <w:tr w14:paraId="37FD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A17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9F9D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阳极散热率</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8FB4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≥50KHU/min</w:t>
            </w:r>
          </w:p>
        </w:tc>
      </w:tr>
      <w:tr w14:paraId="34DF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0116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4E074">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平板探测器</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22554">
            <w:pPr>
              <w:rPr>
                <w:rFonts w:hint="eastAsia" w:ascii="仿宋" w:hAnsi="仿宋" w:eastAsia="仿宋" w:cs="仿宋"/>
                <w:i w:val="0"/>
                <w:iCs w:val="0"/>
                <w:color w:val="auto"/>
                <w:sz w:val="24"/>
                <w:szCs w:val="24"/>
                <w:u w:val="none"/>
              </w:rPr>
            </w:pPr>
          </w:p>
        </w:tc>
      </w:tr>
      <w:tr w14:paraId="3D6FB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79D0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DDC2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有效成像尺寸</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D03A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≥21cm*21cm</w:t>
            </w:r>
          </w:p>
        </w:tc>
      </w:tr>
      <w:tr w14:paraId="7504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DEE1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5BB3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平板材质</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FE8B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CMOS晶体硅</w:t>
            </w:r>
          </w:p>
        </w:tc>
      </w:tr>
      <w:tr w14:paraId="3F2B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0E2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A911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像素尺寸</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7F85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≤210µm</w:t>
            </w:r>
          </w:p>
        </w:tc>
      </w:tr>
      <w:tr w14:paraId="3030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135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5F21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图像采集灰阶</w:t>
            </w:r>
          </w:p>
        </w:tc>
        <w:tc>
          <w:tcPr>
            <w:tcW w:w="0" w:type="auto"/>
            <w:tcBorders>
              <w:top w:val="nil"/>
              <w:left w:val="nil"/>
              <w:bottom w:val="nil"/>
              <w:right w:val="nil"/>
            </w:tcBorders>
            <w:shd w:val="clear" w:color="auto" w:fill="FFFFFF"/>
            <w:noWrap/>
            <w:vAlign w:val="center"/>
          </w:tcPr>
          <w:p w14:paraId="28AFF57D">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16bit</w:t>
            </w:r>
          </w:p>
        </w:tc>
      </w:tr>
      <w:tr w14:paraId="7029F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A6E3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952F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DQE</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E90F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≥72%</w:t>
            </w:r>
          </w:p>
        </w:tc>
      </w:tr>
      <w:tr w14:paraId="50E30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F7C6F">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5</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6A83E">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准直器及滤线栅</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FF52E">
            <w:pPr>
              <w:rPr>
                <w:rFonts w:hint="eastAsia" w:ascii="仿宋" w:hAnsi="仿宋" w:eastAsia="仿宋" w:cs="仿宋"/>
                <w:i w:val="0"/>
                <w:iCs w:val="0"/>
                <w:color w:val="auto"/>
                <w:sz w:val="24"/>
                <w:szCs w:val="24"/>
                <w:u w:val="none"/>
              </w:rPr>
            </w:pPr>
          </w:p>
        </w:tc>
      </w:tr>
      <w:tr w14:paraId="6C2F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97CF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2710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双叶限束器</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5E34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w:t>
            </w:r>
          </w:p>
        </w:tc>
      </w:tr>
      <w:tr w14:paraId="2418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B7EC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C1EB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可拆卸物理滤线栅</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76F7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w:t>
            </w:r>
          </w:p>
        </w:tc>
      </w:tr>
      <w:tr w14:paraId="1093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CC88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5.43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FA6D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滤线栅栅比</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8BE5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w:t>
            </w:r>
          </w:p>
        </w:tc>
      </w:tr>
      <w:tr w14:paraId="2808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0550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A0A3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滤线栅密度</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9FB2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≥70L/cm</w:t>
            </w:r>
          </w:p>
        </w:tc>
      </w:tr>
      <w:tr w14:paraId="21BBE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F4947">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6</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6C8D3">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激光定位灯（正侧位）</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E8DF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w:t>
            </w:r>
          </w:p>
        </w:tc>
      </w:tr>
      <w:tr w14:paraId="7155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9747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7</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21BB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操作触控屏（尺寸、分辨率、功能等自述）</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01AB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w:t>
            </w:r>
          </w:p>
        </w:tc>
      </w:tr>
      <w:tr w14:paraId="11DE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A98D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57BA9">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影像工作站</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3692B">
            <w:pPr>
              <w:rPr>
                <w:rFonts w:hint="eastAsia" w:ascii="仿宋" w:hAnsi="仿宋" w:eastAsia="仿宋" w:cs="仿宋"/>
                <w:i w:val="0"/>
                <w:iCs w:val="0"/>
                <w:color w:val="auto"/>
                <w:sz w:val="24"/>
                <w:szCs w:val="24"/>
                <w:u w:val="none"/>
              </w:rPr>
            </w:pPr>
          </w:p>
        </w:tc>
      </w:tr>
      <w:tr w14:paraId="46DA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CDB1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02A3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CPU</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4DF0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英特尔i5及以上</w:t>
            </w:r>
          </w:p>
        </w:tc>
      </w:tr>
      <w:tr w14:paraId="1BD6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B2E0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06B3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内存</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3AA0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≥8GB</w:t>
            </w:r>
          </w:p>
        </w:tc>
      </w:tr>
      <w:tr w14:paraId="6897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82E1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7DD1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硬盘</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8360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≥1TB</w:t>
            </w:r>
          </w:p>
        </w:tc>
      </w:tr>
      <w:tr w14:paraId="3264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F8ED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FCC1D">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监视器</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40BED">
            <w:pPr>
              <w:rPr>
                <w:rFonts w:hint="eastAsia" w:ascii="仿宋" w:hAnsi="仿宋" w:eastAsia="仿宋" w:cs="仿宋"/>
                <w:i w:val="0"/>
                <w:iCs w:val="0"/>
                <w:color w:val="auto"/>
                <w:sz w:val="24"/>
                <w:szCs w:val="24"/>
                <w:u w:val="none"/>
              </w:rPr>
            </w:pPr>
          </w:p>
        </w:tc>
      </w:tr>
      <w:tr w14:paraId="01F0D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408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E88C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监视器</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594F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提供≥19英寸2台或者≥27英寸一台</w:t>
            </w:r>
          </w:p>
        </w:tc>
      </w:tr>
      <w:tr w14:paraId="2F4FC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9464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B619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最大亮度</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A249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≥600cd/m²</w:t>
            </w:r>
          </w:p>
        </w:tc>
      </w:tr>
      <w:tr w14:paraId="66DF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3E99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831F9">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图像资料存储系统</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F7CCE">
            <w:pPr>
              <w:rPr>
                <w:rFonts w:hint="eastAsia" w:ascii="仿宋" w:hAnsi="仿宋" w:eastAsia="仿宋" w:cs="仿宋"/>
                <w:i w:val="0"/>
                <w:iCs w:val="0"/>
                <w:color w:val="auto"/>
                <w:sz w:val="24"/>
                <w:szCs w:val="24"/>
                <w:u w:val="none"/>
              </w:rPr>
            </w:pPr>
          </w:p>
        </w:tc>
      </w:tr>
      <w:tr w14:paraId="13C7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59A6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9A4C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Dicom发送功能</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626A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2A41C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85E3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C96A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Dicom打印功能</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DBE2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2E5B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4A7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EAA5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具备USB导出功能</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E825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2FDC8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6A4D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9525F">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图像扫描与处理系统</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EEBEC">
            <w:pPr>
              <w:rPr>
                <w:rFonts w:hint="eastAsia" w:ascii="仿宋" w:hAnsi="仿宋" w:eastAsia="仿宋" w:cs="仿宋"/>
                <w:i w:val="0"/>
                <w:iCs w:val="0"/>
                <w:color w:val="auto"/>
                <w:sz w:val="24"/>
                <w:szCs w:val="24"/>
                <w:u w:val="none"/>
              </w:rPr>
            </w:pPr>
          </w:p>
        </w:tc>
      </w:tr>
      <w:tr w14:paraId="6B34B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3A2A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D3BC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图象左右翻转、上下翻转、旋转、黑白翻转（负片）功能</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919C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29CB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FD47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10.2</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739C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实时边缘增强功能</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41E7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45570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F703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10.3</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9D47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实时自动、手动窗位调整功能</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8095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r w14:paraId="5C198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E148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10.4</w:t>
            </w:r>
          </w:p>
        </w:tc>
        <w:tc>
          <w:tcPr>
            <w:tcW w:w="4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FC94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剂量智能管理系统</w:t>
            </w:r>
          </w:p>
        </w:tc>
        <w:tc>
          <w:tcPr>
            <w:tcW w:w="30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9D93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具备</w:t>
            </w:r>
          </w:p>
        </w:tc>
      </w:tr>
    </w:tbl>
    <w:p w14:paraId="324D1C24">
      <w:pPr>
        <w:rPr>
          <w:rFonts w:hint="eastAsia" w:ascii="宋体" w:hAnsi="宋体" w:eastAsia="仿宋"/>
          <w:color w:val="auto"/>
          <w:highlight w:val="none"/>
        </w:rPr>
      </w:pPr>
    </w:p>
    <w:p w14:paraId="3A48A4DF">
      <w:pPr>
        <w:pStyle w:val="4"/>
        <w:widowControl/>
        <w:snapToGrid w:val="0"/>
        <w:spacing w:line="360" w:lineRule="auto"/>
        <w:rPr>
          <w:rFonts w:ascii="Times New Roman" w:hAnsi="Times New Roman"/>
          <w:color w:val="auto"/>
          <w:highlight w:val="none"/>
        </w:rPr>
      </w:pPr>
      <w:r>
        <w:rPr>
          <w:rFonts w:hint="eastAsia" w:ascii="Times New Roman" w:hAnsi="Times New Roman"/>
          <w:color w:val="auto"/>
          <w:highlight w:val="none"/>
        </w:rPr>
        <w:br w:type="page"/>
      </w:r>
      <w:r>
        <w:rPr>
          <w:rStyle w:val="7"/>
          <w:rFonts w:ascii="宋体" w:hAnsi="宋体" w:eastAsia="仿宋"/>
          <w:b/>
          <w:bCs/>
          <w:color w:val="auto"/>
          <w:sz w:val="24"/>
          <w:szCs w:val="24"/>
          <w:highlight w:val="none"/>
        </w:rPr>
        <w:t>5</w:t>
      </w:r>
      <w:r>
        <w:rPr>
          <w:rStyle w:val="7"/>
          <w:rFonts w:hint="eastAsia" w:ascii="宋体" w:hAnsi="宋体" w:eastAsia="仿宋"/>
          <w:b/>
          <w:bCs/>
          <w:color w:val="auto"/>
          <w:sz w:val="24"/>
          <w:szCs w:val="24"/>
          <w:highlight w:val="none"/>
          <w:lang w:val="en-US"/>
        </w:rPr>
        <w:t xml:space="preserve">. </w:t>
      </w:r>
      <w:r>
        <w:rPr>
          <w:rStyle w:val="7"/>
          <w:rFonts w:ascii="宋体" w:hAnsi="宋体" w:eastAsia="仿宋"/>
          <w:b/>
          <w:bCs/>
          <w:color w:val="auto"/>
          <w:sz w:val="24"/>
          <w:szCs w:val="24"/>
          <w:highlight w:val="none"/>
        </w:rPr>
        <w:t>技术支持和售后服务需求（本项需逐条应答）必须响应</w:t>
      </w:r>
    </w:p>
    <w:tbl>
      <w:tblPr>
        <w:tblStyle w:val="5"/>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52"/>
        <w:gridCol w:w="8409"/>
      </w:tblGrid>
      <w:tr w14:paraId="3C3066A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0601FBCC">
            <w:pPr>
              <w:rPr>
                <w:b/>
                <w:color w:val="auto"/>
                <w:sz w:val="24"/>
                <w:highlight w:val="none"/>
              </w:rPr>
            </w:pPr>
            <w:r>
              <w:rPr>
                <w:rFonts w:hint="eastAsia"/>
                <w:b/>
                <w:color w:val="auto"/>
                <w:sz w:val="24"/>
                <w:highlight w:val="none"/>
              </w:rPr>
              <w:t>序号</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4315FE30">
            <w:pPr>
              <w:pStyle w:val="9"/>
              <w:tabs>
                <w:tab w:val="left" w:pos="1180"/>
              </w:tabs>
              <w:adjustRightInd w:val="0"/>
              <w:snapToGrid w:val="0"/>
              <w:spacing w:line="360" w:lineRule="exact"/>
              <w:jc w:val="center"/>
              <w:rPr>
                <w:rFonts w:ascii="宋体" w:hAnsi="宋体" w:cs="宋体"/>
                <w:b/>
                <w:color w:val="auto"/>
                <w:sz w:val="24"/>
                <w:highlight w:val="none"/>
              </w:rPr>
            </w:pPr>
            <w:r>
              <w:rPr>
                <w:rFonts w:hint="eastAsia" w:ascii="宋体" w:hAnsi="宋体" w:cs="宋体"/>
                <w:b/>
                <w:color w:val="auto"/>
                <w:sz w:val="24"/>
                <w:highlight w:val="none"/>
              </w:rPr>
              <w:t>说明与要求</w:t>
            </w:r>
          </w:p>
        </w:tc>
      </w:tr>
      <w:tr w14:paraId="030AF09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332E3E79">
            <w:pPr>
              <w:pStyle w:val="9"/>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5EF7346">
            <w:pPr>
              <w:pStyle w:val="9"/>
              <w:spacing w:line="360" w:lineRule="exact"/>
              <w:rPr>
                <w:rFonts w:ascii="宋体" w:hAnsi="宋体" w:cs="宋体"/>
                <w:color w:val="auto"/>
                <w:sz w:val="24"/>
                <w:highlight w:val="none"/>
              </w:rPr>
            </w:pPr>
            <w:r>
              <w:rPr>
                <w:rFonts w:hint="eastAsia" w:ascii="宋体" w:hAnsi="宋体" w:cs="宋体"/>
                <w:color w:val="auto"/>
                <w:sz w:val="24"/>
                <w:highlight w:val="none"/>
              </w:rPr>
              <w:t>设备须是到货日前</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个月之内生产的全新产品，所有选配功能和部件均须列明清单，并详细说明各选配功能和部件的作用，未列入该清单的均视为标配内容包含在投标价格内。</w:t>
            </w:r>
          </w:p>
        </w:tc>
      </w:tr>
      <w:tr w14:paraId="364DD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1AC64A71">
            <w:pPr>
              <w:pStyle w:val="9"/>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563F259A">
            <w:pPr>
              <w:pStyle w:val="9"/>
              <w:spacing w:line="360" w:lineRule="exact"/>
              <w:rPr>
                <w:rFonts w:ascii="宋体" w:hAnsi="宋体" w:cs="宋体"/>
                <w:color w:val="auto"/>
                <w:sz w:val="24"/>
                <w:highlight w:val="none"/>
                <w:lang w:val="zh-CN"/>
              </w:rPr>
            </w:pPr>
            <w:r>
              <w:rPr>
                <w:rFonts w:hint="eastAsia" w:ascii="宋体" w:hAnsi="宋体" w:cs="宋体"/>
                <w:color w:val="auto"/>
                <w:sz w:val="24"/>
                <w:highlight w:val="none"/>
              </w:rPr>
              <w:t>进口产品须提供英文和中文对照版data sheet。投标文件中的外文内容，须提供内容相同的中文对照版。</w:t>
            </w:r>
          </w:p>
        </w:tc>
      </w:tr>
      <w:tr w14:paraId="7A2D80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2"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677AF28">
            <w:pPr>
              <w:pStyle w:val="9"/>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9EDD109">
            <w:pPr>
              <w:pStyle w:val="9"/>
              <w:spacing w:line="360" w:lineRule="exact"/>
              <w:rPr>
                <w:rFonts w:ascii="宋体" w:hAnsi="宋体" w:cs="宋体"/>
                <w:color w:val="auto"/>
                <w:sz w:val="24"/>
                <w:highlight w:val="none"/>
              </w:rPr>
            </w:pPr>
            <w:r>
              <w:rPr>
                <w:rFonts w:hint="eastAsia" w:ascii="宋体" w:hAnsi="宋体" w:cs="宋体"/>
                <w:color w:val="auto"/>
                <w:sz w:val="24"/>
                <w:highlight w:val="none"/>
              </w:rPr>
              <w:t>投标文件中提供产品彩色样本图。</w:t>
            </w:r>
          </w:p>
        </w:tc>
      </w:tr>
      <w:tr w14:paraId="711EFB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328AF8FA">
            <w:pPr>
              <w:pStyle w:val="9"/>
              <w:adjustRightInd w:val="0"/>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2914428F">
            <w:pPr>
              <w:pStyle w:val="9"/>
              <w:spacing w:line="360" w:lineRule="exact"/>
              <w:rPr>
                <w:rFonts w:ascii="宋体" w:hAnsi="宋体" w:cs="宋体"/>
                <w:color w:val="auto"/>
                <w:sz w:val="24"/>
                <w:highlight w:val="none"/>
              </w:rPr>
            </w:pPr>
            <w:r>
              <w:rPr>
                <w:rFonts w:hint="eastAsia" w:ascii="宋体" w:hAnsi="宋体" w:cs="宋体"/>
                <w:color w:val="auto"/>
                <w:sz w:val="24"/>
                <w:highlight w:val="none"/>
              </w:rPr>
              <w:t>整机原厂免费质保期（中标后合同签订前须提供原厂或原厂指定的售后服务商盖章确认的质保承诺函。免费质保期内，乙方免费提供不低于4次/年的标准化原厂预防性维护保养服务）≧2年，包括投标商提供的所有设备及附属配套部件，含第三方货物；免费质保期满后年维保费单独报价（不得高于投标总价的8%），不计入投标总价。</w:t>
            </w:r>
          </w:p>
        </w:tc>
      </w:tr>
      <w:tr w14:paraId="683B272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40EB8492">
            <w:pPr>
              <w:pStyle w:val="9"/>
              <w:adjustRightInd w:val="0"/>
              <w:snapToGrid w:val="0"/>
              <w:spacing w:line="36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3D07C35B">
            <w:pPr>
              <w:pStyle w:val="10"/>
              <w:widowControl/>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投标文件中提供质保期满后的单次维修人工费用报价，该报价不计入投标总价。</w:t>
            </w:r>
          </w:p>
        </w:tc>
      </w:tr>
      <w:tr w14:paraId="602E44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1A5C9AF6">
            <w:pPr>
              <w:pStyle w:val="9"/>
              <w:adjustRightInd w:val="0"/>
              <w:snapToGrid w:val="0"/>
              <w:spacing w:line="36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6E80A211">
            <w:pPr>
              <w:pStyle w:val="10"/>
              <w:widowControl/>
              <w:snapToGri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投标文件中提供所有价格超过1万元的维修配件清单，清单未提及的维修零配件视为价格低于1万元。</w:t>
            </w:r>
          </w:p>
        </w:tc>
      </w:tr>
      <w:tr w14:paraId="09DFF5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489DFB3">
            <w:pPr>
              <w:pStyle w:val="9"/>
              <w:adjustRightInd w:val="0"/>
              <w:snapToGrid w:val="0"/>
              <w:spacing w:line="3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A182942">
            <w:pPr>
              <w:pStyle w:val="10"/>
              <w:widowControl/>
              <w:snapToGrid w:val="0"/>
              <w:spacing w:line="360" w:lineRule="exact"/>
              <w:rPr>
                <w:rFonts w:ascii="宋体" w:hAnsi="宋体" w:cs="宋体"/>
                <w:color w:val="auto"/>
                <w:sz w:val="24"/>
                <w:highlight w:val="none"/>
              </w:rPr>
            </w:pPr>
            <w:r>
              <w:rPr>
                <w:rFonts w:hint="eastAsia" w:ascii="宋体" w:hAnsi="宋体" w:cs="宋体"/>
                <w:color w:val="auto"/>
                <w:sz w:val="24"/>
                <w:highlight w:val="none"/>
              </w:rPr>
              <w:t>提供本设备工作所需的所有消耗品和配套使用的耗材价格清单，价格清单未提及的消耗品和配套使用的耗材视为免费提供。</w:t>
            </w:r>
          </w:p>
        </w:tc>
      </w:tr>
      <w:tr w14:paraId="17A5CD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6CCDBC04">
            <w:pPr>
              <w:pStyle w:val="9"/>
              <w:adjustRightInd w:val="0"/>
              <w:snapToGrid w:val="0"/>
              <w:spacing w:line="3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033A862">
            <w:pPr>
              <w:pStyle w:val="9"/>
              <w:spacing w:line="360" w:lineRule="exact"/>
              <w:rPr>
                <w:rFonts w:ascii="宋体" w:hAnsi="宋体" w:cs="宋体"/>
                <w:bCs/>
                <w:color w:val="auto"/>
                <w:sz w:val="24"/>
                <w:highlight w:val="none"/>
                <w:u w:val="single"/>
              </w:rPr>
            </w:pPr>
            <w:r>
              <w:rPr>
                <w:rFonts w:hint="eastAsia" w:ascii="宋体" w:hAnsi="宋体" w:cs="宋体"/>
                <w:color w:val="auto"/>
                <w:sz w:val="24"/>
                <w:highlight w:val="none"/>
              </w:rPr>
              <w:t>免费提供设备操作使用说明书和维修手册。终身开放进入维修模式的密码和其他维修权限。免费提供远程维修支持。</w:t>
            </w:r>
          </w:p>
        </w:tc>
      </w:tr>
      <w:tr w14:paraId="528CED1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685977F5">
            <w:pPr>
              <w:pStyle w:val="9"/>
              <w:adjustRightInd w:val="0"/>
              <w:snapToGrid w:val="0"/>
              <w:spacing w:line="3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4C52AAE8">
            <w:pPr>
              <w:pStyle w:val="9"/>
              <w:adjustRightInd w:val="0"/>
              <w:snapToGrid w:val="0"/>
              <w:spacing w:line="360" w:lineRule="exact"/>
              <w:rPr>
                <w:rFonts w:ascii="宋体" w:hAnsi="宋体" w:cs="宋体"/>
                <w:color w:val="auto"/>
                <w:kern w:val="10"/>
                <w:sz w:val="24"/>
                <w:highlight w:val="none"/>
              </w:rPr>
            </w:pPr>
            <w:r>
              <w:rPr>
                <w:rFonts w:hint="eastAsia" w:ascii="宋体" w:hAnsi="宋体" w:cs="宋体"/>
                <w:color w:val="auto"/>
                <w:sz w:val="24"/>
                <w:highlight w:val="none"/>
              </w:rPr>
              <w:t>永久免费维护设备所配操作系统和应用软件，5年内免费升级应用软件至最新版本。</w:t>
            </w:r>
          </w:p>
        </w:tc>
      </w:tr>
      <w:tr w14:paraId="1E91071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305D8CF3">
            <w:pPr>
              <w:pStyle w:val="9"/>
              <w:adjustRightInd w:val="0"/>
              <w:snapToGrid w:val="0"/>
              <w:spacing w:line="3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10</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261D9F91">
            <w:pPr>
              <w:pStyle w:val="9"/>
              <w:spacing w:line="360" w:lineRule="exact"/>
              <w:rPr>
                <w:rFonts w:ascii="宋体" w:hAnsi="宋体" w:cs="宋体"/>
                <w:bCs/>
                <w:color w:val="auto"/>
                <w:sz w:val="24"/>
                <w:highlight w:val="none"/>
                <w:u w:val="single"/>
              </w:rPr>
            </w:pPr>
            <w:r>
              <w:rPr>
                <w:rFonts w:hint="eastAsia" w:ascii="宋体" w:hAnsi="宋体" w:cs="宋体"/>
                <w:bCs/>
                <w:color w:val="auto"/>
                <w:sz w:val="24"/>
                <w:highlight w:val="none"/>
                <w:u w:val="none"/>
              </w:rPr>
              <w:t>在</w:t>
            </w:r>
            <w:r>
              <w:rPr>
                <w:rFonts w:hint="eastAsia" w:ascii="宋体" w:hAnsi="宋体" w:cs="宋体"/>
                <w:bCs/>
                <w:color w:val="auto"/>
                <w:sz w:val="24"/>
                <w:highlight w:val="none"/>
                <w:u w:val="none"/>
                <w:lang w:eastAsia="zh-CN"/>
              </w:rPr>
              <w:t>免费质保期</w:t>
            </w:r>
            <w:r>
              <w:rPr>
                <w:rFonts w:hint="eastAsia" w:ascii="宋体" w:hAnsi="宋体" w:cs="宋体"/>
                <w:bCs/>
                <w:color w:val="auto"/>
                <w:sz w:val="24"/>
                <w:highlight w:val="none"/>
                <w:u w:val="none"/>
              </w:rPr>
              <w:t>内应确保开机率95%以上，即每年故障和维修时间少于18天，如超过，则按照1:5顺延保修时间。</w:t>
            </w:r>
          </w:p>
        </w:tc>
      </w:tr>
      <w:tr w14:paraId="56E6C7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AE2ED2F">
            <w:pPr>
              <w:pStyle w:val="9"/>
              <w:adjustRightInd w:val="0"/>
              <w:snapToGrid w:val="0"/>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05D64CBD">
            <w:pPr>
              <w:pStyle w:val="9"/>
              <w:spacing w:line="360" w:lineRule="exact"/>
              <w:rPr>
                <w:rFonts w:ascii="宋体" w:hAnsi="宋体" w:cs="宋体"/>
                <w:color w:val="auto"/>
                <w:sz w:val="24"/>
                <w:highlight w:val="none"/>
              </w:rPr>
            </w:pPr>
            <w:r>
              <w:rPr>
                <w:rFonts w:hint="eastAsia" w:ascii="宋体" w:hAnsi="宋体" w:cs="宋体"/>
                <w:color w:val="auto"/>
                <w:sz w:val="24"/>
                <w:highlight w:val="none"/>
              </w:rPr>
              <w:t>维修费用的支付：</w:t>
            </w:r>
            <w:r>
              <w:rPr>
                <w:rFonts w:hint="eastAsia" w:ascii="宋体" w:hAnsi="宋体" w:cs="宋体"/>
                <w:color w:val="auto"/>
                <w:sz w:val="24"/>
                <w:highlight w:val="none"/>
                <w:lang w:eastAsia="zh-CN"/>
              </w:rPr>
              <w:t>免费质保期</w:t>
            </w:r>
            <w:r>
              <w:rPr>
                <w:rFonts w:hint="eastAsia" w:ascii="宋体" w:hAnsi="宋体" w:cs="宋体"/>
                <w:color w:val="auto"/>
                <w:sz w:val="24"/>
                <w:highlight w:val="none"/>
              </w:rPr>
              <w:t>后的维修费用，先维修后付款；零备件的更换：先更换后付款。</w:t>
            </w:r>
          </w:p>
        </w:tc>
      </w:tr>
    </w:tbl>
    <w:p w14:paraId="0543B129">
      <w:pPr>
        <w:pStyle w:val="2"/>
        <w:widowControl/>
        <w:spacing w:before="0" w:after="0" w:line="240" w:lineRule="auto"/>
        <w:rPr>
          <w:rStyle w:val="7"/>
          <w:rFonts w:hint="eastAsia" w:ascii="宋体" w:hAnsi="宋体" w:eastAsia="仿宋"/>
          <w:b/>
          <w:bCs/>
          <w:color w:val="auto"/>
          <w:sz w:val="24"/>
          <w:szCs w:val="24"/>
          <w:highlight w:val="none"/>
          <w:lang w:val="en-US"/>
        </w:rPr>
      </w:pPr>
    </w:p>
    <w:p w14:paraId="63E8052E">
      <w:pPr>
        <w:pStyle w:val="2"/>
        <w:widowControl/>
        <w:numPr>
          <w:ilvl w:val="0"/>
          <w:numId w:val="0"/>
        </w:numPr>
        <w:spacing w:before="0" w:after="0" w:line="360" w:lineRule="auto"/>
        <w:rPr>
          <w:rStyle w:val="7"/>
          <w:rFonts w:hint="eastAsia" w:ascii="宋体" w:hAnsi="宋体"/>
          <w:b w:val="0"/>
          <w:bCs w:val="0"/>
          <w:color w:val="auto"/>
          <w:sz w:val="24"/>
          <w:szCs w:val="24"/>
          <w:highlight w:val="none"/>
        </w:rPr>
      </w:pPr>
      <w:r>
        <w:rPr>
          <w:rFonts w:hint="eastAsia" w:ascii="宋体" w:hAnsi="宋体" w:eastAsia="黑体" w:cs="Times New Roman"/>
          <w:b w:val="0"/>
          <w:bCs w:val="0"/>
          <w:color w:val="auto"/>
          <w:kern w:val="2"/>
          <w:sz w:val="24"/>
          <w:szCs w:val="24"/>
          <w:highlight w:val="none"/>
          <w:lang w:val="en-US" w:eastAsia="zh-CN" w:bidi="ar-SA"/>
        </w:rPr>
        <w:t>6.</w:t>
      </w:r>
      <w:r>
        <w:rPr>
          <w:rStyle w:val="7"/>
          <w:rFonts w:hint="eastAsia" w:ascii="宋体" w:hAnsi="宋体" w:eastAsia="仿宋"/>
          <w:b/>
          <w:bCs/>
          <w:color w:val="auto"/>
          <w:sz w:val="24"/>
          <w:szCs w:val="24"/>
          <w:highlight w:val="none"/>
        </w:rPr>
        <w:t>应急</w:t>
      </w:r>
      <w:r>
        <w:rPr>
          <w:rStyle w:val="7"/>
          <w:rFonts w:hint="eastAsia" w:ascii="宋体" w:hAnsi="宋体" w:eastAsia="仿宋"/>
          <w:b/>
          <w:bCs/>
          <w:color w:val="auto"/>
          <w:sz w:val="24"/>
          <w:szCs w:val="24"/>
          <w:highlight w:val="none"/>
          <w:lang w:val="en-US"/>
        </w:rPr>
        <w:t>服务要求</w:t>
      </w:r>
    </w:p>
    <w:p w14:paraId="4E8094FD">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6.</w:t>
      </w:r>
      <w:r>
        <w:rPr>
          <w:rFonts w:hint="eastAsia" w:ascii="宋体" w:hAnsi="宋体" w:eastAsia="仿宋" w:cs="Times New Roman"/>
          <w:b w:val="0"/>
          <w:bCs w:val="0"/>
          <w:color w:val="auto"/>
          <w:kern w:val="2"/>
          <w:sz w:val="24"/>
          <w:szCs w:val="24"/>
          <w:highlight w:val="none"/>
        </w:rPr>
        <w:t>1备品备件：中标人提供能够满足质量保证期内的设备维修要求的备品备件，备品备件应是新品。</w:t>
      </w:r>
      <w:r>
        <w:rPr>
          <w:rFonts w:hint="eastAsia" w:ascii="宋体" w:hAnsi="宋体" w:eastAsia="仿宋" w:cs="Times New Roman"/>
          <w:b w:val="0"/>
          <w:bCs w:val="0"/>
          <w:color w:val="auto"/>
          <w:kern w:val="2"/>
          <w:sz w:val="24"/>
          <w:szCs w:val="24"/>
          <w:highlight w:val="none"/>
          <w:lang w:val="en-US" w:eastAsia="zh-CN"/>
        </w:rPr>
        <w:t>中标人应</w:t>
      </w:r>
      <w:r>
        <w:rPr>
          <w:rFonts w:hint="eastAsia" w:ascii="宋体" w:hAnsi="宋体" w:eastAsia="仿宋" w:cs="Times New Roman"/>
          <w:b w:val="0"/>
          <w:bCs w:val="0"/>
          <w:color w:val="auto"/>
          <w:kern w:val="2"/>
          <w:sz w:val="24"/>
          <w:szCs w:val="24"/>
          <w:highlight w:val="none"/>
        </w:rPr>
        <w:t>保证10年以上零部件供应期，</w:t>
      </w:r>
      <w:r>
        <w:rPr>
          <w:rFonts w:hint="eastAsia" w:ascii="宋体" w:hAnsi="宋体" w:eastAsia="仿宋" w:cs="Times New Roman"/>
          <w:b w:val="0"/>
          <w:bCs w:val="0"/>
          <w:color w:val="auto"/>
          <w:kern w:val="2"/>
          <w:sz w:val="24"/>
          <w:szCs w:val="24"/>
          <w:highlight w:val="none"/>
          <w:lang w:val="en-US" w:eastAsia="zh-CN"/>
        </w:rPr>
        <w:t>并</w:t>
      </w:r>
      <w:r>
        <w:rPr>
          <w:rFonts w:hint="eastAsia" w:ascii="宋体" w:hAnsi="宋体" w:eastAsia="仿宋" w:cs="Times New Roman"/>
          <w:b w:val="0"/>
          <w:bCs w:val="0"/>
          <w:color w:val="auto"/>
          <w:kern w:val="2"/>
          <w:sz w:val="24"/>
          <w:szCs w:val="24"/>
          <w:highlight w:val="none"/>
        </w:rPr>
        <w:t>对设备故障等突发状况及时响应。</w:t>
      </w:r>
    </w:p>
    <w:p w14:paraId="34BE1F90">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6</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专用工具：中标人提供设备安装、调试、验收、维修、保养所必要的专用工具、仪器、仪表等工具。</w:t>
      </w:r>
    </w:p>
    <w:p w14:paraId="69D89E88">
      <w:pPr>
        <w:pStyle w:val="2"/>
        <w:widowControl/>
        <w:spacing w:before="0" w:after="0" w:line="360" w:lineRule="auto"/>
        <w:rPr>
          <w:rFonts w:hint="default" w:ascii="宋体" w:hAnsi="宋体" w:eastAsia="仿宋" w:cs="Times New Roman"/>
          <w:b w:val="0"/>
          <w:bCs w:val="0"/>
          <w:color w:val="auto"/>
          <w:kern w:val="2"/>
          <w:sz w:val="24"/>
          <w:szCs w:val="24"/>
          <w:highlight w:val="none"/>
          <w:lang w:val="en-US" w:eastAsia="zh-CN"/>
        </w:rPr>
      </w:pPr>
      <w:r>
        <w:rPr>
          <w:rFonts w:hint="eastAsia" w:ascii="宋体" w:hAnsi="宋体" w:eastAsia="仿宋" w:cs="Times New Roman"/>
          <w:b w:val="0"/>
          <w:bCs w:val="0"/>
          <w:color w:val="auto"/>
          <w:kern w:val="2"/>
          <w:sz w:val="24"/>
          <w:szCs w:val="24"/>
          <w:highlight w:val="none"/>
          <w:lang w:val="en-US" w:eastAsia="zh-CN"/>
        </w:rPr>
        <w:t xml:space="preserve">6.3 </w:t>
      </w:r>
      <w:r>
        <w:rPr>
          <w:rFonts w:hint="eastAsia" w:ascii="宋体" w:hAnsi="宋体" w:eastAsia="仿宋" w:cs="Times New Roman"/>
          <w:b w:val="0"/>
          <w:bCs w:val="0"/>
          <w:color w:val="auto"/>
          <w:kern w:val="2"/>
          <w:sz w:val="24"/>
          <w:szCs w:val="24"/>
          <w:highlight w:val="none"/>
        </w:rPr>
        <w:t>接到报修后应及时响应，若未</w:t>
      </w:r>
      <w:r>
        <w:rPr>
          <w:rFonts w:hint="eastAsia" w:ascii="宋体" w:hAnsi="宋体" w:eastAsia="仿宋" w:cs="Times New Roman"/>
          <w:b w:val="0"/>
          <w:bCs w:val="0"/>
          <w:color w:val="auto"/>
          <w:kern w:val="2"/>
          <w:sz w:val="24"/>
          <w:szCs w:val="24"/>
          <w:highlight w:val="none"/>
          <w:lang w:val="en-US" w:eastAsia="zh-CN"/>
        </w:rPr>
        <w:t>及时</w:t>
      </w:r>
      <w:r>
        <w:rPr>
          <w:rFonts w:hint="eastAsia" w:ascii="宋体" w:hAnsi="宋体" w:eastAsia="仿宋" w:cs="Times New Roman"/>
          <w:b w:val="0"/>
          <w:bCs w:val="0"/>
          <w:color w:val="auto"/>
          <w:kern w:val="2"/>
          <w:sz w:val="24"/>
          <w:szCs w:val="24"/>
          <w:highlight w:val="none"/>
        </w:rPr>
        <w:t>修复设备故障，</w:t>
      </w:r>
      <w:r>
        <w:rPr>
          <w:rFonts w:hint="eastAsia" w:ascii="宋体" w:hAnsi="宋体" w:eastAsia="仿宋" w:cs="Times New Roman"/>
          <w:b w:val="0"/>
          <w:bCs w:val="0"/>
          <w:color w:val="auto"/>
          <w:kern w:val="2"/>
          <w:sz w:val="24"/>
          <w:szCs w:val="24"/>
          <w:highlight w:val="none"/>
          <w:lang w:val="en-US" w:eastAsia="zh-CN"/>
        </w:rPr>
        <w:t>应</w:t>
      </w:r>
      <w:r>
        <w:rPr>
          <w:rFonts w:hint="eastAsia" w:ascii="宋体" w:hAnsi="宋体" w:eastAsia="仿宋" w:cs="Times New Roman"/>
          <w:b w:val="0"/>
          <w:bCs w:val="0"/>
          <w:color w:val="auto"/>
          <w:kern w:val="2"/>
          <w:sz w:val="24"/>
          <w:szCs w:val="24"/>
          <w:highlight w:val="none"/>
        </w:rPr>
        <w:t>提供备用设备供院方使用。</w:t>
      </w:r>
    </w:p>
    <w:p w14:paraId="2C0FECB7">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110F5855">
      <w:pPr>
        <w:pStyle w:val="2"/>
        <w:widowControl/>
        <w:numPr>
          <w:ilvl w:val="0"/>
          <w:numId w:val="0"/>
        </w:numPr>
        <w:spacing w:before="0" w:after="0" w:line="360" w:lineRule="auto"/>
        <w:rPr>
          <w:rStyle w:val="7"/>
          <w:rFonts w:ascii="宋体" w:hAnsi="宋体" w:eastAsia="仿宋"/>
          <w:b/>
          <w:bCs/>
          <w:color w:val="auto"/>
          <w:sz w:val="24"/>
          <w:szCs w:val="24"/>
          <w:highlight w:val="none"/>
        </w:rPr>
      </w:pPr>
      <w:r>
        <w:rPr>
          <w:rFonts w:ascii="宋体" w:hAnsi="宋体" w:eastAsia="仿宋" w:cs="Times New Roman"/>
          <w:b/>
          <w:bCs/>
          <w:color w:val="auto"/>
          <w:kern w:val="2"/>
          <w:sz w:val="24"/>
          <w:szCs w:val="24"/>
          <w:highlight w:val="none"/>
          <w:lang w:val="en-US" w:eastAsia="zh-CN" w:bidi="ar-SA"/>
        </w:rPr>
        <w:t>7.</w:t>
      </w:r>
      <w:r>
        <w:rPr>
          <w:rStyle w:val="7"/>
          <w:rFonts w:ascii="宋体" w:hAnsi="宋体" w:eastAsia="仿宋"/>
          <w:b/>
          <w:bCs/>
          <w:color w:val="auto"/>
          <w:sz w:val="24"/>
          <w:szCs w:val="24"/>
          <w:highlight w:val="none"/>
        </w:rPr>
        <w:t>安装调试、验收试验及质量保证</w:t>
      </w:r>
    </w:p>
    <w:p w14:paraId="05B09BAE">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.1</w:t>
      </w:r>
      <w:r>
        <w:rPr>
          <w:rFonts w:hint="eastAsia" w:ascii="宋体" w:hAnsi="宋体" w:eastAsia="仿宋" w:cs="Times New Roman"/>
          <w:b w:val="0"/>
          <w:bCs w:val="0"/>
          <w:color w:val="auto"/>
          <w:kern w:val="2"/>
          <w:sz w:val="24"/>
          <w:szCs w:val="24"/>
          <w:highlight w:val="none"/>
        </w:rPr>
        <w:t>中标人在设备安装地点负责安装、调试。</w:t>
      </w:r>
    </w:p>
    <w:p w14:paraId="196AFD82">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具体设备验收标准和程序按采购人要求执行，下列验收程序可参照执行：</w:t>
      </w:r>
    </w:p>
    <w:p w14:paraId="0EF59B75">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1）</w:t>
      </w:r>
      <w:r>
        <w:rPr>
          <w:rFonts w:hint="eastAsia" w:ascii="宋体" w:hAnsi="宋体" w:eastAsia="仿宋" w:cs="Times New Roman"/>
          <w:b w:val="0"/>
          <w:bCs w:val="0"/>
          <w:color w:val="auto"/>
          <w:kern w:val="2"/>
          <w:sz w:val="24"/>
          <w:szCs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E39F2EC">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5BD0D2F">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3）</w:t>
      </w:r>
      <w:r>
        <w:rPr>
          <w:rFonts w:hint="eastAsia" w:ascii="宋体" w:hAnsi="宋体" w:eastAsia="仿宋" w:cs="Times New Roman"/>
          <w:b w:val="0"/>
          <w:bCs w:val="0"/>
          <w:color w:val="auto"/>
          <w:kern w:val="2"/>
          <w:sz w:val="24"/>
          <w:szCs w:val="24"/>
          <w:highlight w:val="none"/>
        </w:rPr>
        <w:t>中标人应根据采购人使用单位的技术要求提供相应的产品。由中标人所提供的设备部件间的连线和插接件均应视为设备内部器件，包含在相应的设备之中。</w:t>
      </w:r>
    </w:p>
    <w:p w14:paraId="3EFD7D4D">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4）</w:t>
      </w:r>
      <w:r>
        <w:rPr>
          <w:rFonts w:hint="eastAsia" w:ascii="宋体" w:hAnsi="宋体" w:eastAsia="仿宋" w:cs="Times New Roman"/>
          <w:b w:val="0"/>
          <w:bCs w:val="0"/>
          <w:color w:val="auto"/>
          <w:kern w:val="2"/>
          <w:sz w:val="24"/>
          <w:szCs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2425448A">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5）</w:t>
      </w:r>
      <w:r>
        <w:rPr>
          <w:rFonts w:hint="eastAsia" w:ascii="宋体" w:hAnsi="宋体" w:eastAsia="仿宋" w:cs="Times New Roman"/>
          <w:b w:val="0"/>
          <w:bCs w:val="0"/>
          <w:color w:val="auto"/>
          <w:kern w:val="2"/>
          <w:sz w:val="24"/>
          <w:szCs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24182FC2">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.3</w:t>
      </w:r>
      <w:r>
        <w:rPr>
          <w:rFonts w:hint="eastAsia" w:ascii="宋体" w:hAnsi="宋体" w:eastAsia="仿宋" w:cs="Times New Roman"/>
          <w:b w:val="0"/>
          <w:bCs w:val="0"/>
          <w:color w:val="auto"/>
          <w:kern w:val="2"/>
          <w:sz w:val="24"/>
          <w:szCs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525351AE">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30B1C455">
      <w:pPr>
        <w:pStyle w:val="2"/>
        <w:widowControl/>
        <w:numPr>
          <w:ilvl w:val="0"/>
          <w:numId w:val="0"/>
        </w:numPr>
        <w:spacing w:before="0" w:after="0" w:line="360" w:lineRule="auto"/>
        <w:rPr>
          <w:rFonts w:hint="eastAsia" w:ascii="宋体" w:hAnsi="宋体" w:eastAsia="仿宋" w:cs="Times New Roman"/>
          <w:b/>
          <w:bCs/>
          <w:color w:val="auto"/>
          <w:kern w:val="2"/>
          <w:sz w:val="24"/>
          <w:szCs w:val="24"/>
          <w:highlight w:val="none"/>
        </w:rPr>
      </w:pPr>
      <w:r>
        <w:rPr>
          <w:rFonts w:hint="eastAsia" w:ascii="宋体" w:hAnsi="宋体" w:eastAsia="仿宋" w:cs="Times New Roman"/>
          <w:b/>
          <w:bCs/>
          <w:color w:val="auto"/>
          <w:kern w:val="2"/>
          <w:sz w:val="24"/>
          <w:szCs w:val="24"/>
          <w:highlight w:val="none"/>
          <w:lang w:val="en-US" w:eastAsia="zh-CN" w:bidi="ar-SA"/>
        </w:rPr>
        <w:t>8.</w:t>
      </w:r>
      <w:r>
        <w:rPr>
          <w:rFonts w:hint="eastAsia" w:ascii="宋体" w:hAnsi="宋体" w:eastAsia="仿宋" w:cs="Times New Roman"/>
          <w:b/>
          <w:bCs/>
          <w:color w:val="auto"/>
          <w:kern w:val="2"/>
          <w:sz w:val="24"/>
          <w:szCs w:val="24"/>
          <w:highlight w:val="none"/>
        </w:rPr>
        <w:t>包装运输</w:t>
      </w:r>
    </w:p>
    <w:p w14:paraId="55F660CE">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8.1 </w:t>
      </w:r>
      <w:r>
        <w:rPr>
          <w:rFonts w:hint="eastAsia" w:ascii="宋体" w:hAnsi="宋体" w:eastAsia="仿宋" w:cs="Times New Roman"/>
          <w:b w:val="0"/>
          <w:bCs w:val="0"/>
          <w:color w:val="auto"/>
          <w:kern w:val="2"/>
          <w:sz w:val="24"/>
          <w:szCs w:val="24"/>
          <w:highlight w:val="none"/>
        </w:rPr>
        <w:t>中标人负责设备包装、办理运输和保险，将设备安全运抵交货地点。</w:t>
      </w:r>
    </w:p>
    <w:p w14:paraId="57436C62">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8.2 </w:t>
      </w:r>
      <w:r>
        <w:rPr>
          <w:rFonts w:hint="eastAsia" w:ascii="宋体" w:hAnsi="宋体" w:eastAsia="仿宋" w:cs="Times New Roman"/>
          <w:b w:val="0"/>
          <w:bCs w:val="0"/>
          <w:color w:val="auto"/>
          <w:kern w:val="2"/>
          <w:sz w:val="24"/>
          <w:szCs w:val="24"/>
          <w:highlight w:val="none"/>
        </w:rPr>
        <w:t>设备制造完成并通过试验后应及时包装，否则应得到切实的保护，确保其不受污损。</w:t>
      </w:r>
    </w:p>
    <w:p w14:paraId="16B8AAD9">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8.3 </w:t>
      </w:r>
      <w:r>
        <w:rPr>
          <w:rFonts w:hint="eastAsia" w:ascii="宋体" w:hAnsi="宋体" w:eastAsia="仿宋" w:cs="Times New Roman"/>
          <w:b w:val="0"/>
          <w:bCs w:val="0"/>
          <w:color w:val="auto"/>
          <w:kern w:val="2"/>
          <w:sz w:val="24"/>
          <w:szCs w:val="24"/>
          <w:highlight w:val="none"/>
        </w:rPr>
        <w:t>在包装箱外应标明采购人的订货号、发货号。</w:t>
      </w:r>
    </w:p>
    <w:p w14:paraId="528B516C">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.4 </w:t>
      </w:r>
      <w:r>
        <w:rPr>
          <w:rFonts w:hint="eastAsia" w:ascii="宋体" w:hAnsi="宋体" w:eastAsia="仿宋" w:cs="Times New Roman"/>
          <w:b w:val="0"/>
          <w:bCs w:val="0"/>
          <w:color w:val="auto"/>
          <w:kern w:val="2"/>
          <w:sz w:val="24"/>
          <w:szCs w:val="24"/>
          <w:highlight w:val="none"/>
        </w:rPr>
        <w:t>各种包装应能确保各零部件在运输过程中不致遭到损坏、丢失、变形、受潮和腐蚀。</w:t>
      </w:r>
    </w:p>
    <w:p w14:paraId="719F5128">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.5 </w:t>
      </w:r>
      <w:r>
        <w:rPr>
          <w:rFonts w:hint="eastAsia" w:ascii="宋体" w:hAnsi="宋体" w:eastAsia="仿宋" w:cs="Times New Roman"/>
          <w:b w:val="0"/>
          <w:bCs w:val="0"/>
          <w:color w:val="auto"/>
          <w:kern w:val="2"/>
          <w:sz w:val="24"/>
          <w:szCs w:val="24"/>
          <w:highlight w:val="none"/>
        </w:rPr>
        <w:t>包装箱上应有明显的包装储运图示标志。</w:t>
      </w:r>
    </w:p>
    <w:p w14:paraId="58312FCC">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.6 </w:t>
      </w:r>
      <w:r>
        <w:rPr>
          <w:rFonts w:hint="eastAsia" w:ascii="宋体" w:hAnsi="宋体" w:eastAsia="仿宋" w:cs="Times New Roman"/>
          <w:b w:val="0"/>
          <w:bCs w:val="0"/>
          <w:color w:val="auto"/>
          <w:kern w:val="2"/>
          <w:sz w:val="24"/>
          <w:szCs w:val="24"/>
          <w:highlight w:val="none"/>
        </w:rPr>
        <w:t>整体产品或分别运输的部件都要适应运输和装载的要求。</w:t>
      </w:r>
    </w:p>
    <w:p w14:paraId="6B4CF4A3">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.7 </w:t>
      </w:r>
      <w:r>
        <w:rPr>
          <w:rFonts w:hint="eastAsia" w:ascii="宋体" w:hAnsi="宋体" w:eastAsia="仿宋" w:cs="Times New Roman"/>
          <w:b w:val="0"/>
          <w:bCs w:val="0"/>
          <w:color w:val="auto"/>
          <w:kern w:val="2"/>
          <w:sz w:val="24"/>
          <w:szCs w:val="24"/>
          <w:highlight w:val="none"/>
        </w:rPr>
        <w:t>随产品提供的技术资料应完整无缺。</w:t>
      </w:r>
    </w:p>
    <w:p w14:paraId="4118480A">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5EC561FB">
      <w:pPr>
        <w:pStyle w:val="2"/>
        <w:widowControl/>
        <w:numPr>
          <w:ilvl w:val="0"/>
          <w:numId w:val="0"/>
        </w:numPr>
        <w:spacing w:before="0" w:after="0" w:line="360" w:lineRule="auto"/>
        <w:rPr>
          <w:rFonts w:hint="default" w:ascii="宋体" w:hAnsi="宋体" w:eastAsia="仿宋" w:cs="Times New Roman"/>
          <w:b/>
          <w:bCs/>
          <w:color w:val="auto"/>
          <w:kern w:val="2"/>
          <w:sz w:val="24"/>
          <w:szCs w:val="24"/>
          <w:highlight w:val="none"/>
          <w:lang w:val="en-US" w:eastAsia="zh-CN"/>
        </w:rPr>
      </w:pPr>
      <w:r>
        <w:rPr>
          <w:rFonts w:hint="default" w:ascii="宋体" w:hAnsi="宋体" w:eastAsia="仿宋" w:cs="Times New Roman"/>
          <w:b/>
          <w:bCs/>
          <w:color w:val="auto"/>
          <w:kern w:val="2"/>
          <w:sz w:val="24"/>
          <w:szCs w:val="24"/>
          <w:highlight w:val="none"/>
          <w:lang w:val="en-US" w:eastAsia="zh-CN" w:bidi="ar-SA"/>
        </w:rPr>
        <w:t>9.</w:t>
      </w:r>
      <w:r>
        <w:rPr>
          <w:rFonts w:hint="eastAsia" w:ascii="宋体" w:hAnsi="宋体" w:eastAsia="仿宋" w:cs="Times New Roman"/>
          <w:b/>
          <w:bCs/>
          <w:color w:val="auto"/>
          <w:kern w:val="2"/>
          <w:sz w:val="24"/>
          <w:szCs w:val="24"/>
          <w:highlight w:val="none"/>
          <w:lang w:val="en-US" w:eastAsia="zh-CN"/>
        </w:rPr>
        <w:t>培训要求</w:t>
      </w:r>
    </w:p>
    <w:p w14:paraId="5B30D2C3">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9.1 </w:t>
      </w:r>
      <w:r>
        <w:rPr>
          <w:rFonts w:hint="eastAsia" w:ascii="宋体" w:hAnsi="宋体" w:eastAsia="仿宋" w:cs="Times New Roman"/>
          <w:b w:val="0"/>
          <w:bCs w:val="0"/>
          <w:color w:val="auto"/>
          <w:kern w:val="2"/>
          <w:sz w:val="24"/>
          <w:szCs w:val="24"/>
          <w:highlight w:val="none"/>
        </w:rPr>
        <w:t>技术人员厂方培训：维修维护</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1人，50万元以上的设备培训时间不低于1周，50万元以下的设备培训时间不低于3天，有详细的技术培训方案和完整规范的培训资料，培训结束获得厂方授权或资质许可，免一切费用(包含交通、食宿、资料、工具材料等所有与培训相关的费用)。设备使用培训：</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2人，直至完全掌握设备应用技术，并获厂方资质许可；免一切费用(包含交通、食宿、资料、工具材料等所有与培训相关的费用)。</w:t>
      </w:r>
    </w:p>
    <w:p w14:paraId="3CFE1D64">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9.2 </w:t>
      </w:r>
      <w:r>
        <w:rPr>
          <w:rFonts w:hint="eastAsia" w:ascii="宋体" w:hAnsi="宋体" w:eastAsia="仿宋" w:cs="Times New Roman"/>
          <w:b w:val="0"/>
          <w:bCs w:val="0"/>
          <w:color w:val="auto"/>
          <w:kern w:val="2"/>
          <w:sz w:val="24"/>
          <w:szCs w:val="24"/>
          <w:highlight w:val="none"/>
        </w:rPr>
        <w:t>设备使用培训：</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2人，直至完全掌握设备应用技术，并获厂方资质许可；免一切费用(包含交通、食宿、资料、工具材料等所有与培训相关的费用)。</w:t>
      </w:r>
    </w:p>
    <w:p w14:paraId="282264DF">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616D2675">
      <w:pPr>
        <w:numPr>
          <w:ilvl w:val="0"/>
          <w:numId w:val="0"/>
        </w:numPr>
        <w:adjustRightInd w:val="0"/>
        <w:snapToGrid w:val="0"/>
        <w:spacing w:line="360" w:lineRule="auto"/>
        <w:ind w:firstLine="0" w:firstLineChars="0"/>
        <w:rPr>
          <w:rFonts w:hint="eastAsia" w:ascii="宋体" w:hAnsi="宋体" w:eastAsia="仿宋" w:cs="Times New Roman"/>
          <w:b/>
          <w:bCs/>
          <w:color w:val="auto"/>
          <w:sz w:val="24"/>
          <w:szCs w:val="24"/>
          <w:highlight w:val="none"/>
        </w:rPr>
      </w:pPr>
      <w:r>
        <w:rPr>
          <w:rFonts w:hint="eastAsia" w:ascii="宋体" w:hAnsi="宋体" w:eastAsia="仿宋" w:cs="Times New Roman"/>
          <w:b/>
          <w:bCs/>
          <w:color w:val="auto"/>
          <w:kern w:val="2"/>
          <w:sz w:val="24"/>
          <w:szCs w:val="24"/>
          <w:highlight w:val="none"/>
          <w:lang w:val="en-US" w:eastAsia="zh-CN" w:bidi="ar-SA"/>
        </w:rPr>
        <w:t>10.</w:t>
      </w:r>
      <w:r>
        <w:rPr>
          <w:rFonts w:hint="eastAsia" w:ascii="宋体" w:hAnsi="宋体" w:eastAsia="仿宋" w:cs="Times New Roman"/>
          <w:b/>
          <w:bCs/>
          <w:color w:val="auto"/>
          <w:sz w:val="24"/>
          <w:szCs w:val="24"/>
          <w:highlight w:val="none"/>
        </w:rPr>
        <w:t>质保及售后服务</w:t>
      </w:r>
    </w:p>
    <w:p w14:paraId="4D3C3F8A">
      <w:pPr>
        <w:adjustRightInd w:val="0"/>
        <w:snapToGrid w:val="0"/>
        <w:spacing w:line="360" w:lineRule="auto"/>
        <w:ind w:firstLine="0" w:firstLineChars="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 xml:space="preserve">10.1 </w:t>
      </w:r>
      <w:r>
        <w:rPr>
          <w:rFonts w:hint="eastAsia" w:ascii="宋体" w:hAnsi="宋体" w:eastAsia="仿宋" w:cs="Times New Roman"/>
          <w:color w:val="auto"/>
          <w:sz w:val="24"/>
          <w:szCs w:val="24"/>
          <w:highlight w:val="none"/>
        </w:rPr>
        <w:t>自双方签订《验收报告》起进入免费质保期。</w:t>
      </w:r>
    </w:p>
    <w:p w14:paraId="04872D80">
      <w:pPr>
        <w:adjustRightInd w:val="0"/>
        <w:snapToGrid w:val="0"/>
        <w:spacing w:line="360" w:lineRule="auto"/>
        <w:ind w:firstLine="0" w:firstLineChars="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 xml:space="preserve">10.2 </w:t>
      </w:r>
      <w:r>
        <w:rPr>
          <w:rFonts w:hint="eastAsia" w:ascii="宋体" w:hAnsi="宋体" w:eastAsia="仿宋" w:cs="Times New Roman"/>
          <w:color w:val="auto"/>
          <w:sz w:val="24"/>
          <w:szCs w:val="24"/>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7F295852">
      <w:pPr>
        <w:spacing w:line="360" w:lineRule="auto"/>
        <w:jc w:val="left"/>
        <w:rPr>
          <w:rFonts w:hint="eastAsia" w:ascii="仿宋" w:hAnsi="仿宋" w:eastAsia="仿宋" w:cs="仿宋"/>
          <w:b/>
          <w:bCs/>
          <w:color w:val="auto"/>
          <w:sz w:val="24"/>
          <w:highlight w:val="none"/>
          <w:lang w:val="en-US" w:eastAsia="zh-CN"/>
        </w:rPr>
      </w:pPr>
    </w:p>
    <w:p w14:paraId="46B9B979">
      <w:pPr>
        <w:spacing w:line="36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11.其他</w:t>
      </w:r>
    </w:p>
    <w:p w14:paraId="14AB8478">
      <w:pPr>
        <w:widowControl/>
        <w:ind w:firstLine="480" w:firstLineChars="200"/>
        <w:rPr>
          <w:rFonts w:hint="eastAsia" w:ascii="宋体" w:hAnsi="宋体" w:eastAsia="仿宋" w:cs="Times New Roman"/>
          <w:color w:val="auto"/>
          <w:sz w:val="24"/>
          <w:szCs w:val="24"/>
          <w:highlight w:val="none"/>
        </w:rPr>
      </w:pPr>
      <w:r>
        <w:rPr>
          <w:rFonts w:hint="eastAsia" w:eastAsia="仿宋"/>
          <w:color w:val="auto"/>
          <w:sz w:val="24"/>
          <w:highlight w:val="none"/>
          <w:lang w:val="en-US" w:eastAsia="zh-CN"/>
        </w:rPr>
        <w:t>投标人所投产品应为性能稳定、安全的成熟设备，故障率低、维修便利，并在投标文件中针对所投产品技术先进性、设备性能、配置情况、设计等方面进行阐述说明，提供相应证明材料。</w:t>
      </w:r>
    </w:p>
    <w:p w14:paraId="1DD0B6B7">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MS UI Gothic"/>
    <w:panose1 w:val="02020609040205080304"/>
    <w:charset w:val="80"/>
    <w:family w:val="roma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57D75"/>
    <w:rsid w:val="1DC57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character" w:customStyle="1" w:styleId="7">
    <w:name w:val="标题 2 Char Char"/>
    <w:qFormat/>
    <w:uiPriority w:val="0"/>
    <w:rPr>
      <w:rFonts w:ascii="Arial" w:hAnsi="Arial" w:eastAsia="黑体" w:cs="Times New Roman"/>
      <w:b/>
      <w:bCs/>
      <w:kern w:val="2"/>
      <w:sz w:val="32"/>
      <w:szCs w:val="32"/>
      <w:lang w:val="en-US" w:eastAsia="zh-CN" w:bidi="ar-SA"/>
    </w:rPr>
  </w:style>
  <w:style w:type="paragraph" w:customStyle="1" w:styleId="8">
    <w:name w:val="列出段落1"/>
    <w:basedOn w:val="1"/>
    <w:qFormat/>
    <w:uiPriority w:val="0"/>
    <w:pPr>
      <w:ind w:firstLine="420" w:firstLineChars="200"/>
    </w:pPr>
  </w:style>
  <w:style w:type="paragraph" w:customStyle="1" w:styleId="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批注文字_0"/>
    <w:basedOn w:val="9"/>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2025-11-04T06:47:00Z</dcterms:created>
  <dc:creator>小俞</dc:creator>
  <cp:lastModifiedBy>小俞</cp:lastModifiedBy>
  <dcterms:modified xsi:type="dcterms:W3CDTF">2025-11-04T06:48:38Z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8CDC8C308D0641E9BBE4B92629C2D630_11</vt:lpwstr>
  </property>
  <property fmtid="{D5CDD505-2E9C-101B-9397-08002B2CF9AE}" pid="4" name="KSOTemplateDocerSaveRecord">
    <vt:lpwstr>eyJoZGlkIjoiOGRlZTYyZTIzNmNlYWFjOWUzMjVhYWU1Y2JiMGFhOGQiLCJ1c2VySWQiOiIyODQyMDI3NDcifQ==</vt:lpwstr>
  </property>
</Properties>
</file>