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F287B7F">
      <w:pPr>
        <w:shd w:val="clear"/>
        <w:tabs>
          <w:tab w:val="left" w:pos="315"/>
          <w:tab w:val="left" w:pos="8820"/>
        </w:tabs>
        <w:spacing w:before="312" w:beforeLines="100" w:after="156" w:afterLines="50" w:line="500" w:lineRule="exact"/>
        <w:ind w:right="267" w:rightChars="127"/>
        <w:jc w:val="center"/>
        <w:rPr>
          <w:rFonts w:ascii="宋体" w:hAnsi="宋体" w:eastAsia="宋体"/>
          <w:b/>
          <w:bCs/>
          <w:sz w:val="52"/>
          <w:szCs w:val="52"/>
          <w:highlight w:val="none"/>
        </w:rPr>
      </w:pPr>
      <w:r>
        <w:rPr>
          <w:rFonts w:hint="eastAsia" w:ascii="宋体" w:hAnsi="宋体" w:eastAsia="宋体"/>
          <w:b/>
          <w:bCs/>
          <w:sz w:val="52"/>
          <w:szCs w:val="52"/>
          <w:highlight w:val="none"/>
        </w:rPr>
        <w:t xml:space="preserve"> </w:t>
      </w:r>
    </w:p>
    <w:p w14:paraId="6725B9D7">
      <w:pPr>
        <w:shd w:val="clear"/>
        <w:tabs>
          <w:tab w:val="left" w:pos="315"/>
          <w:tab w:val="left" w:pos="8820"/>
        </w:tabs>
        <w:spacing w:before="312" w:beforeLines="100" w:after="156" w:afterLines="50" w:line="500" w:lineRule="exact"/>
        <w:ind w:right="267" w:rightChars="127"/>
        <w:jc w:val="center"/>
        <w:rPr>
          <w:rFonts w:ascii="宋体" w:hAnsi="宋体" w:eastAsia="宋体"/>
          <w:b/>
          <w:bCs/>
          <w:sz w:val="52"/>
          <w:szCs w:val="52"/>
          <w:highlight w:val="none"/>
        </w:rPr>
      </w:pPr>
    </w:p>
    <w:p w14:paraId="1ADDD8AC">
      <w:pPr>
        <w:shd w:val="clear"/>
        <w:tabs>
          <w:tab w:val="left" w:pos="315"/>
          <w:tab w:val="left" w:pos="8820"/>
        </w:tabs>
        <w:spacing w:before="312" w:beforeLines="100" w:after="156" w:afterLines="50" w:line="500" w:lineRule="exact"/>
        <w:ind w:right="267" w:rightChars="127"/>
        <w:jc w:val="center"/>
        <w:rPr>
          <w:rFonts w:ascii="宋体" w:hAnsi="宋体" w:eastAsia="宋体"/>
          <w:b/>
          <w:bCs/>
          <w:sz w:val="52"/>
          <w:szCs w:val="52"/>
          <w:highlight w:val="none"/>
        </w:rPr>
      </w:pPr>
      <w:bookmarkStart w:id="0" w:name="_Hlk9544796"/>
      <w:r>
        <w:rPr>
          <w:rFonts w:hint="eastAsia" w:ascii="宋体" w:hAnsi="宋体" w:eastAsia="宋体"/>
          <w:b/>
          <w:bCs/>
          <w:sz w:val="52"/>
          <w:szCs w:val="52"/>
          <w:highlight w:val="none"/>
        </w:rPr>
        <w:t>安徽省政府采购项目</w:t>
      </w:r>
    </w:p>
    <w:p w14:paraId="18B4A6B8">
      <w:pPr>
        <w:shd w:val="clear"/>
        <w:tabs>
          <w:tab w:val="left" w:pos="315"/>
          <w:tab w:val="left" w:pos="8820"/>
        </w:tabs>
        <w:spacing w:before="312" w:beforeLines="100" w:after="156" w:afterLines="50" w:line="500" w:lineRule="exact"/>
        <w:ind w:right="267" w:rightChars="127"/>
        <w:jc w:val="center"/>
        <w:rPr>
          <w:rFonts w:ascii="宋体" w:hAnsi="宋体" w:eastAsia="宋体"/>
          <w:b/>
          <w:bCs/>
          <w:sz w:val="52"/>
          <w:szCs w:val="52"/>
          <w:highlight w:val="none"/>
        </w:rPr>
      </w:pPr>
      <w:r>
        <w:rPr>
          <w:rFonts w:hint="eastAsia" w:ascii="宋体" w:hAnsi="宋体" w:eastAsia="宋体"/>
          <w:b/>
          <w:bCs/>
          <w:sz w:val="52"/>
          <w:szCs w:val="52"/>
          <w:highlight w:val="none"/>
        </w:rPr>
        <w:t>公开招标文件示范文</w:t>
      </w:r>
      <w:bookmarkStart w:id="289" w:name="_GoBack"/>
      <w:bookmarkEnd w:id="289"/>
      <w:r>
        <w:rPr>
          <w:rFonts w:hint="eastAsia" w:ascii="宋体" w:hAnsi="宋体" w:eastAsia="宋体"/>
          <w:b/>
          <w:bCs/>
          <w:sz w:val="52"/>
          <w:szCs w:val="52"/>
          <w:highlight w:val="none"/>
        </w:rPr>
        <w:t>本</w:t>
      </w:r>
      <w:bookmarkEnd w:id="0"/>
    </w:p>
    <w:p w14:paraId="34C1B8CD">
      <w:pPr>
        <w:shd w:val="clear"/>
        <w:tabs>
          <w:tab w:val="left" w:pos="315"/>
          <w:tab w:val="left" w:pos="8820"/>
        </w:tabs>
        <w:spacing w:before="312" w:beforeLines="100" w:after="156" w:afterLines="50" w:line="500" w:lineRule="exact"/>
        <w:ind w:right="267" w:rightChars="127"/>
        <w:jc w:val="center"/>
        <w:rPr>
          <w:rFonts w:ascii="宋体" w:hAnsi="宋体" w:eastAsia="宋体"/>
          <w:b/>
          <w:bCs/>
          <w:sz w:val="52"/>
          <w:szCs w:val="52"/>
          <w:highlight w:val="none"/>
        </w:rPr>
      </w:pPr>
      <w:r>
        <w:rPr>
          <w:rFonts w:hint="eastAsia" w:ascii="宋体" w:hAnsi="宋体" w:eastAsia="宋体"/>
          <w:b/>
          <w:bCs/>
          <w:sz w:val="52"/>
          <w:szCs w:val="52"/>
          <w:highlight w:val="none"/>
        </w:rPr>
        <w:t>（货物类）</w:t>
      </w:r>
    </w:p>
    <w:p w14:paraId="27483BD5">
      <w:pPr>
        <w:shd w:val="clear"/>
        <w:tabs>
          <w:tab w:val="left" w:pos="315"/>
          <w:tab w:val="left" w:pos="8820"/>
        </w:tabs>
        <w:spacing w:before="312" w:beforeLines="100" w:after="156" w:afterLines="50" w:line="500" w:lineRule="exact"/>
        <w:ind w:right="267" w:rightChars="127"/>
        <w:jc w:val="center"/>
        <w:rPr>
          <w:rFonts w:ascii="宋体" w:hAnsi="宋体" w:eastAsia="宋体"/>
          <w:b/>
          <w:bCs/>
          <w:sz w:val="44"/>
          <w:szCs w:val="44"/>
          <w:highlight w:val="none"/>
        </w:rPr>
      </w:pPr>
    </w:p>
    <w:p w14:paraId="2A6A03D6">
      <w:pPr>
        <w:shd w:val="clear"/>
        <w:tabs>
          <w:tab w:val="left" w:pos="315"/>
          <w:tab w:val="left" w:pos="8820"/>
        </w:tabs>
        <w:spacing w:before="312" w:beforeLines="100" w:after="156" w:afterLines="50" w:line="500" w:lineRule="exact"/>
        <w:ind w:right="267" w:rightChars="127"/>
        <w:jc w:val="center"/>
        <w:rPr>
          <w:rFonts w:ascii="宋体" w:hAnsi="宋体" w:eastAsia="宋体"/>
          <w:b/>
          <w:bCs/>
          <w:sz w:val="44"/>
          <w:szCs w:val="44"/>
          <w:highlight w:val="none"/>
        </w:rPr>
      </w:pPr>
    </w:p>
    <w:p w14:paraId="4B01004E">
      <w:pPr>
        <w:shd w:val="clear"/>
        <w:tabs>
          <w:tab w:val="left" w:pos="315"/>
          <w:tab w:val="left" w:pos="8820"/>
        </w:tabs>
        <w:spacing w:before="312" w:beforeLines="100" w:after="156" w:afterLines="50" w:line="500" w:lineRule="exact"/>
        <w:ind w:right="267" w:rightChars="127"/>
        <w:jc w:val="center"/>
        <w:rPr>
          <w:rFonts w:ascii="宋体" w:hAnsi="宋体" w:eastAsia="宋体"/>
          <w:b/>
          <w:bCs/>
          <w:sz w:val="44"/>
          <w:szCs w:val="44"/>
          <w:highlight w:val="none"/>
        </w:rPr>
      </w:pPr>
    </w:p>
    <w:p w14:paraId="6A1633E1">
      <w:pPr>
        <w:shd w:val="clear"/>
        <w:tabs>
          <w:tab w:val="left" w:pos="315"/>
          <w:tab w:val="left" w:pos="8820"/>
        </w:tabs>
        <w:spacing w:before="312" w:beforeLines="100" w:after="156" w:afterLines="50" w:line="500" w:lineRule="exact"/>
        <w:ind w:right="267" w:rightChars="127"/>
        <w:jc w:val="center"/>
        <w:rPr>
          <w:rFonts w:ascii="宋体" w:hAnsi="宋体" w:eastAsia="宋体"/>
          <w:b/>
          <w:bCs/>
          <w:sz w:val="44"/>
          <w:szCs w:val="44"/>
          <w:highlight w:val="none"/>
        </w:rPr>
      </w:pPr>
    </w:p>
    <w:p w14:paraId="071E930E">
      <w:pPr>
        <w:shd w:val="clear"/>
        <w:tabs>
          <w:tab w:val="left" w:pos="315"/>
          <w:tab w:val="left" w:pos="8820"/>
        </w:tabs>
        <w:spacing w:before="312" w:beforeLines="100" w:after="156" w:afterLines="50" w:line="500" w:lineRule="exact"/>
        <w:ind w:right="267" w:rightChars="127"/>
        <w:jc w:val="center"/>
        <w:rPr>
          <w:rFonts w:ascii="宋体" w:hAnsi="宋体" w:eastAsia="宋体"/>
          <w:b/>
          <w:bCs/>
          <w:sz w:val="44"/>
          <w:szCs w:val="44"/>
          <w:highlight w:val="none"/>
        </w:rPr>
      </w:pPr>
    </w:p>
    <w:p w14:paraId="19206662">
      <w:pPr>
        <w:shd w:val="clear"/>
        <w:tabs>
          <w:tab w:val="left" w:pos="2410"/>
        </w:tabs>
        <w:autoSpaceDE w:val="0"/>
        <w:autoSpaceDN w:val="0"/>
        <w:adjustRightInd w:val="0"/>
        <w:snapToGrid w:val="0"/>
        <w:spacing w:line="360" w:lineRule="auto"/>
        <w:ind w:firstLine="726"/>
        <w:rPr>
          <w:rFonts w:ascii="宋体" w:hAnsi="宋体" w:eastAsia="宋体"/>
          <w:b/>
          <w:spacing w:val="20"/>
          <w:kern w:val="0"/>
          <w:sz w:val="32"/>
          <w:szCs w:val="32"/>
          <w:highlight w:val="none"/>
          <w:u w:val="single"/>
        </w:rPr>
      </w:pPr>
      <w:r>
        <w:rPr>
          <w:rFonts w:hint="eastAsia" w:ascii="宋体" w:hAnsi="宋体" w:eastAsia="宋体"/>
          <w:b/>
          <w:spacing w:val="20"/>
          <w:kern w:val="0"/>
          <w:sz w:val="32"/>
          <w:szCs w:val="32"/>
          <w:highlight w:val="none"/>
        </w:rPr>
        <w:t>项目名称：</w:t>
      </w:r>
      <w:r>
        <w:rPr>
          <w:rFonts w:hint="eastAsia" w:ascii="宋体" w:hAnsi="宋体" w:eastAsia="宋体"/>
          <w:b/>
          <w:spacing w:val="20"/>
          <w:kern w:val="0"/>
          <w:sz w:val="32"/>
          <w:szCs w:val="32"/>
          <w:highlight w:val="none"/>
          <w:u w:val="single"/>
        </w:rPr>
        <w:t>安徽中医药大学第二附属医院智慧中药房建设系统采购项目</w:t>
      </w:r>
    </w:p>
    <w:p w14:paraId="6C819E3F">
      <w:pPr>
        <w:shd w:val="clear"/>
        <w:tabs>
          <w:tab w:val="left" w:pos="2410"/>
        </w:tabs>
        <w:wordWrap w:val="0"/>
        <w:autoSpaceDE w:val="0"/>
        <w:autoSpaceDN w:val="0"/>
        <w:adjustRightInd w:val="0"/>
        <w:snapToGrid w:val="0"/>
        <w:spacing w:line="360" w:lineRule="auto"/>
        <w:ind w:firstLine="726"/>
        <w:rPr>
          <w:rFonts w:hint="eastAsia" w:ascii="宋体" w:hAnsi="宋体" w:eastAsia="宋体"/>
          <w:b/>
          <w:spacing w:val="20"/>
          <w:kern w:val="0"/>
          <w:sz w:val="32"/>
          <w:szCs w:val="32"/>
          <w:highlight w:val="none"/>
          <w:u w:val="single"/>
          <w:lang w:eastAsia="zh-CN"/>
        </w:rPr>
      </w:pPr>
      <w:r>
        <w:rPr>
          <w:rFonts w:hint="eastAsia" w:ascii="宋体" w:hAnsi="宋体" w:eastAsia="宋体"/>
          <w:b/>
          <w:spacing w:val="20"/>
          <w:kern w:val="0"/>
          <w:sz w:val="32"/>
          <w:szCs w:val="32"/>
          <w:highlight w:val="none"/>
        </w:rPr>
        <w:t>项目编号：</w:t>
      </w:r>
      <w:r>
        <w:rPr>
          <w:rFonts w:hint="eastAsia" w:ascii="宋体" w:hAnsi="宋体" w:eastAsia="宋体"/>
          <w:b/>
          <w:spacing w:val="20"/>
          <w:kern w:val="0"/>
          <w:sz w:val="32"/>
          <w:szCs w:val="32"/>
          <w:highlight w:val="none"/>
          <w:u w:val="single"/>
          <w:lang w:eastAsia="zh-CN"/>
        </w:rPr>
        <w:t>ZF2026-32-1064</w:t>
      </w:r>
    </w:p>
    <w:p w14:paraId="3BEAE170">
      <w:pPr>
        <w:shd w:val="clear"/>
        <w:tabs>
          <w:tab w:val="left" w:pos="2410"/>
        </w:tabs>
        <w:autoSpaceDE w:val="0"/>
        <w:autoSpaceDN w:val="0"/>
        <w:adjustRightInd w:val="0"/>
        <w:snapToGrid w:val="0"/>
        <w:spacing w:line="360" w:lineRule="auto"/>
        <w:ind w:firstLine="726"/>
        <w:rPr>
          <w:rFonts w:ascii="宋体" w:hAnsi="宋体" w:eastAsia="宋体"/>
          <w:b/>
          <w:spacing w:val="20"/>
          <w:kern w:val="0"/>
          <w:sz w:val="32"/>
          <w:szCs w:val="32"/>
          <w:highlight w:val="none"/>
        </w:rPr>
      </w:pPr>
      <w:r>
        <w:rPr>
          <w:rFonts w:hint="eastAsia" w:ascii="宋体" w:hAnsi="宋体" w:eastAsia="宋体"/>
          <w:b/>
          <w:spacing w:val="20"/>
          <w:kern w:val="0"/>
          <w:sz w:val="32"/>
          <w:szCs w:val="32"/>
          <w:highlight w:val="none"/>
        </w:rPr>
        <w:t>采 购 人：</w:t>
      </w:r>
      <w:r>
        <w:rPr>
          <w:rFonts w:hint="eastAsia" w:ascii="宋体" w:hAnsi="宋体" w:eastAsia="宋体"/>
          <w:b/>
          <w:spacing w:val="20"/>
          <w:kern w:val="0"/>
          <w:sz w:val="32"/>
          <w:szCs w:val="32"/>
          <w:highlight w:val="none"/>
          <w:u w:val="single"/>
        </w:rPr>
        <w:t>安徽中医药大学第二附属医院</w:t>
      </w:r>
    </w:p>
    <w:p w14:paraId="049BF065">
      <w:pPr>
        <w:shd w:val="clear"/>
        <w:tabs>
          <w:tab w:val="left" w:pos="2410"/>
        </w:tabs>
        <w:autoSpaceDE w:val="0"/>
        <w:autoSpaceDN w:val="0"/>
        <w:adjustRightInd w:val="0"/>
        <w:snapToGrid w:val="0"/>
        <w:spacing w:line="360" w:lineRule="auto"/>
        <w:ind w:firstLine="723" w:firstLineChars="200"/>
        <w:rPr>
          <w:rFonts w:ascii="宋体" w:hAnsi="宋体" w:eastAsia="宋体"/>
          <w:b/>
          <w:spacing w:val="20"/>
          <w:kern w:val="0"/>
          <w:sz w:val="32"/>
          <w:szCs w:val="32"/>
          <w:highlight w:val="none"/>
        </w:rPr>
      </w:pPr>
      <w:r>
        <w:rPr>
          <w:rFonts w:hint="eastAsia" w:ascii="宋体" w:hAnsi="宋体" w:eastAsia="宋体"/>
          <w:b/>
          <w:spacing w:val="20"/>
          <w:kern w:val="0"/>
          <w:sz w:val="32"/>
          <w:szCs w:val="32"/>
          <w:highlight w:val="none"/>
        </w:rPr>
        <w:t>采购代理机构：</w:t>
      </w:r>
      <w:r>
        <w:rPr>
          <w:rFonts w:hint="eastAsia" w:ascii="宋体" w:hAnsi="宋体" w:eastAsia="宋体"/>
          <w:b/>
          <w:spacing w:val="20"/>
          <w:kern w:val="0"/>
          <w:sz w:val="32"/>
          <w:szCs w:val="32"/>
          <w:highlight w:val="none"/>
          <w:u w:val="single"/>
        </w:rPr>
        <w:t>安徽省招标集团股份有限公司</w:t>
      </w:r>
    </w:p>
    <w:p w14:paraId="2993693E">
      <w:pPr>
        <w:shd w:val="clear"/>
        <w:tabs>
          <w:tab w:val="left" w:pos="315"/>
          <w:tab w:val="left" w:pos="8820"/>
        </w:tabs>
        <w:spacing w:before="312" w:beforeLines="100" w:after="156" w:afterLines="50" w:line="500" w:lineRule="exact"/>
        <w:ind w:right="267" w:rightChars="127"/>
        <w:jc w:val="center"/>
        <w:rPr>
          <w:rFonts w:ascii="宋体" w:hAnsi="宋体" w:eastAsia="宋体"/>
          <w:b/>
          <w:bCs/>
          <w:sz w:val="44"/>
          <w:szCs w:val="44"/>
          <w:highlight w:val="none"/>
        </w:rPr>
      </w:pPr>
    </w:p>
    <w:p w14:paraId="3F546446">
      <w:pPr>
        <w:shd w:val="clear"/>
        <w:adjustRightInd w:val="0"/>
        <w:snapToGrid w:val="0"/>
        <w:spacing w:line="360" w:lineRule="auto"/>
        <w:ind w:left="480" w:firstLine="420"/>
        <w:jc w:val="center"/>
        <w:rPr>
          <w:rFonts w:ascii="宋体" w:hAnsi="宋体" w:eastAsia="宋体"/>
          <w:b/>
          <w:sz w:val="36"/>
          <w:highlight w:val="none"/>
        </w:rPr>
      </w:pPr>
      <w:r>
        <w:rPr>
          <w:rFonts w:hint="eastAsia" w:ascii="宋体" w:hAnsi="宋体" w:eastAsia="宋体"/>
          <w:b/>
          <w:sz w:val="36"/>
          <w:highlight w:val="none"/>
          <w:u w:val="single"/>
        </w:rPr>
        <w:t xml:space="preserve"> 2026 </w:t>
      </w:r>
      <w:r>
        <w:rPr>
          <w:rFonts w:hint="eastAsia" w:ascii="宋体" w:hAnsi="宋体" w:eastAsia="宋体"/>
          <w:b/>
          <w:sz w:val="36"/>
          <w:highlight w:val="none"/>
        </w:rPr>
        <w:t>年</w:t>
      </w:r>
      <w:r>
        <w:rPr>
          <w:rFonts w:hint="eastAsia" w:ascii="宋体" w:hAnsi="宋体" w:eastAsia="宋体"/>
          <w:b/>
          <w:sz w:val="36"/>
          <w:highlight w:val="none"/>
          <w:u w:val="single"/>
        </w:rPr>
        <w:t xml:space="preserve"> </w:t>
      </w:r>
      <w:r>
        <w:rPr>
          <w:rFonts w:hint="eastAsia" w:ascii="宋体" w:hAnsi="宋体" w:eastAsia="宋体"/>
          <w:b/>
          <w:sz w:val="36"/>
          <w:highlight w:val="none"/>
          <w:u w:val="single"/>
          <w:lang w:val="en-US" w:eastAsia="zh-CN"/>
        </w:rPr>
        <w:t>8</w:t>
      </w:r>
      <w:r>
        <w:rPr>
          <w:rFonts w:hint="eastAsia" w:ascii="宋体" w:hAnsi="宋体" w:eastAsia="宋体"/>
          <w:b/>
          <w:sz w:val="36"/>
          <w:highlight w:val="none"/>
          <w:u w:val="single"/>
        </w:rPr>
        <w:t xml:space="preserve"> </w:t>
      </w:r>
      <w:r>
        <w:rPr>
          <w:rFonts w:hint="eastAsia" w:ascii="宋体" w:hAnsi="宋体" w:eastAsia="宋体"/>
          <w:b/>
          <w:sz w:val="36"/>
          <w:highlight w:val="none"/>
        </w:rPr>
        <w:t>月</w:t>
      </w:r>
    </w:p>
    <w:p w14:paraId="23F69A60">
      <w:pPr>
        <w:shd w:val="clear"/>
        <w:adjustRightInd w:val="0"/>
        <w:snapToGrid w:val="0"/>
        <w:spacing w:line="360" w:lineRule="auto"/>
        <w:ind w:left="480" w:firstLine="420"/>
        <w:jc w:val="center"/>
        <w:rPr>
          <w:rFonts w:ascii="宋体" w:hAnsi="宋体" w:eastAsia="宋体"/>
          <w:b/>
          <w:sz w:val="36"/>
          <w:highlight w:val="none"/>
        </w:rPr>
      </w:pPr>
    </w:p>
    <w:p w14:paraId="0F176D08">
      <w:pPr>
        <w:shd w:val="clear"/>
        <w:adjustRightInd w:val="0"/>
        <w:snapToGrid w:val="0"/>
        <w:spacing w:line="360" w:lineRule="auto"/>
        <w:ind w:left="480" w:firstLine="420"/>
        <w:jc w:val="center"/>
        <w:rPr>
          <w:rFonts w:ascii="宋体" w:hAnsi="宋体" w:eastAsia="宋体"/>
          <w:b/>
          <w:sz w:val="36"/>
          <w:highlight w:val="none"/>
        </w:rPr>
        <w:sectPr>
          <w:headerReference r:id="rId5" w:type="default"/>
          <w:footerReference r:id="rId6" w:type="default"/>
          <w:pgSz w:w="11906" w:h="16838"/>
          <w:pgMar w:top="1440" w:right="1800" w:bottom="1440" w:left="1800" w:header="851" w:footer="992" w:gutter="0"/>
          <w:cols w:space="425" w:num="1"/>
          <w:docGrid w:type="lines" w:linePitch="312" w:charSpace="0"/>
        </w:sectPr>
      </w:pPr>
    </w:p>
    <w:p w14:paraId="386F6220">
      <w:pPr>
        <w:shd w:val="clear"/>
        <w:adjustRightInd w:val="0"/>
        <w:snapToGrid w:val="0"/>
        <w:spacing w:line="360" w:lineRule="auto"/>
        <w:jc w:val="center"/>
        <w:rPr>
          <w:rFonts w:ascii="华文中宋" w:hAnsi="华文中宋" w:eastAsia="华文中宋" w:cs="Times New Roman"/>
          <w:b/>
          <w:bCs/>
          <w:kern w:val="44"/>
          <w:sz w:val="44"/>
          <w:szCs w:val="44"/>
          <w:highlight w:val="none"/>
        </w:rPr>
      </w:pPr>
      <w:r>
        <w:rPr>
          <w:rFonts w:hint="eastAsia" w:ascii="华文中宋" w:hAnsi="华文中宋" w:eastAsia="华文中宋" w:cs="Times New Roman"/>
          <w:b/>
          <w:bCs/>
          <w:kern w:val="44"/>
          <w:sz w:val="44"/>
          <w:szCs w:val="44"/>
          <w:highlight w:val="none"/>
        </w:rPr>
        <w:t>安徽中医药大学第二附属医院智慧中药房建设系统采购项目招标公告</w:t>
      </w:r>
    </w:p>
    <w:p w14:paraId="3D5B0CBF">
      <w:pPr>
        <w:pBdr>
          <w:top w:val="single" w:color="auto" w:sz="4" w:space="1"/>
          <w:left w:val="single" w:color="auto" w:sz="4" w:space="4"/>
          <w:bottom w:val="single" w:color="auto" w:sz="4" w:space="1"/>
          <w:right w:val="single" w:color="auto" w:sz="4" w:space="4"/>
        </w:pBdr>
        <w:shd w:val="clear"/>
        <w:spacing w:line="560" w:lineRule="exact"/>
        <w:ind w:left="482" w:firstLine="560" w:firstLineChars="200"/>
        <w:rPr>
          <w:rFonts w:ascii="仿宋" w:hAnsi="仿宋" w:eastAsia="仿宋" w:cs="仿宋"/>
          <w:sz w:val="28"/>
          <w:szCs w:val="28"/>
          <w:highlight w:val="none"/>
          <w:lang w:bidi="ar"/>
        </w:rPr>
      </w:pPr>
      <w:bookmarkStart w:id="1" w:name="OLE_LINK1"/>
      <w:r>
        <w:rPr>
          <w:rFonts w:hint="eastAsia" w:ascii="仿宋" w:hAnsi="仿宋" w:eastAsia="仿宋" w:cs="仿宋"/>
          <w:sz w:val="28"/>
          <w:szCs w:val="28"/>
          <w:highlight w:val="none"/>
          <w:lang w:bidi="ar"/>
        </w:rPr>
        <w:t>项目概况</w:t>
      </w:r>
    </w:p>
    <w:p w14:paraId="44AB3497">
      <w:pPr>
        <w:pBdr>
          <w:top w:val="single" w:color="auto" w:sz="4" w:space="1"/>
          <w:left w:val="single" w:color="auto" w:sz="4" w:space="4"/>
          <w:bottom w:val="single" w:color="auto" w:sz="4" w:space="1"/>
          <w:right w:val="single" w:color="auto" w:sz="4" w:space="4"/>
        </w:pBdr>
        <w:shd w:val="clear"/>
        <w:spacing w:line="560" w:lineRule="exact"/>
        <w:ind w:left="482" w:firstLine="560" w:firstLineChars="200"/>
        <w:rPr>
          <w:rFonts w:ascii="宋体" w:hAnsi="宋体" w:eastAsia="宋体" w:cs="Times New Roman"/>
          <w:szCs w:val="21"/>
          <w:highlight w:val="none"/>
        </w:rPr>
      </w:pPr>
      <w:r>
        <w:rPr>
          <w:rFonts w:hint="eastAsia" w:ascii="仿宋" w:hAnsi="仿宋" w:eastAsia="仿宋" w:cs="仿宋"/>
          <w:sz w:val="28"/>
          <w:szCs w:val="28"/>
          <w:highlight w:val="none"/>
          <w:lang w:bidi="ar"/>
        </w:rPr>
        <w:t>安徽中医药大学第二附属医院智慧中药房建设系统采购项目招标项目的潜在投标人应在优质采云采购平台（www.youzhicai.com）获取招标文件，并于</w:t>
      </w:r>
      <w:r>
        <w:rPr>
          <w:rFonts w:hint="eastAsia" w:ascii="仿宋" w:hAnsi="仿宋" w:eastAsia="仿宋" w:cs="仿宋"/>
          <w:sz w:val="28"/>
          <w:szCs w:val="28"/>
          <w:highlight w:val="none"/>
          <w:lang w:val="en-US" w:eastAsia="zh-CN" w:bidi="ar"/>
        </w:rPr>
        <w:t>2026</w:t>
      </w:r>
      <w:r>
        <w:rPr>
          <w:rFonts w:hint="eastAsia" w:ascii="仿宋" w:hAnsi="仿宋" w:eastAsia="仿宋" w:cs="仿宋"/>
          <w:sz w:val="28"/>
          <w:szCs w:val="28"/>
          <w:highlight w:val="none"/>
          <w:lang w:bidi="ar"/>
        </w:rPr>
        <w:t>年</w:t>
      </w:r>
      <w:r>
        <w:rPr>
          <w:rFonts w:hint="eastAsia" w:ascii="仿宋" w:hAnsi="仿宋" w:eastAsia="仿宋" w:cs="仿宋"/>
          <w:sz w:val="28"/>
          <w:szCs w:val="28"/>
          <w:highlight w:val="none"/>
          <w:lang w:val="en-US" w:eastAsia="zh-CN" w:bidi="ar"/>
        </w:rPr>
        <w:t>9</w:t>
      </w:r>
      <w:r>
        <w:rPr>
          <w:rFonts w:hint="eastAsia" w:ascii="仿宋" w:hAnsi="仿宋" w:eastAsia="仿宋" w:cs="仿宋"/>
          <w:sz w:val="28"/>
          <w:szCs w:val="28"/>
          <w:highlight w:val="none"/>
          <w:lang w:bidi="ar"/>
        </w:rPr>
        <w:t>月</w:t>
      </w:r>
      <w:r>
        <w:rPr>
          <w:rFonts w:hint="eastAsia" w:ascii="仿宋" w:hAnsi="仿宋" w:eastAsia="仿宋" w:cs="仿宋"/>
          <w:sz w:val="28"/>
          <w:szCs w:val="28"/>
          <w:highlight w:val="none"/>
          <w:lang w:val="en-US" w:eastAsia="zh-CN" w:bidi="ar"/>
        </w:rPr>
        <w:t>18</w:t>
      </w:r>
      <w:r>
        <w:rPr>
          <w:rFonts w:hint="eastAsia" w:ascii="仿宋" w:hAnsi="仿宋" w:eastAsia="仿宋" w:cs="仿宋"/>
          <w:sz w:val="28"/>
          <w:szCs w:val="28"/>
          <w:highlight w:val="none"/>
          <w:lang w:bidi="ar"/>
        </w:rPr>
        <w:t>日</w:t>
      </w:r>
      <w:r>
        <w:rPr>
          <w:rFonts w:hint="eastAsia" w:ascii="仿宋" w:hAnsi="仿宋" w:eastAsia="仿宋" w:cs="仿宋"/>
          <w:sz w:val="28"/>
          <w:szCs w:val="28"/>
          <w:highlight w:val="none"/>
          <w:lang w:val="en-US" w:eastAsia="zh-CN" w:bidi="ar"/>
        </w:rPr>
        <w:t>9</w:t>
      </w:r>
      <w:r>
        <w:rPr>
          <w:rFonts w:hint="eastAsia" w:ascii="仿宋" w:hAnsi="仿宋" w:eastAsia="仿宋" w:cs="仿宋"/>
          <w:sz w:val="28"/>
          <w:szCs w:val="28"/>
          <w:highlight w:val="none"/>
          <w:lang w:bidi="ar"/>
        </w:rPr>
        <w:t>点</w:t>
      </w:r>
      <w:r>
        <w:rPr>
          <w:rFonts w:hint="eastAsia" w:ascii="仿宋" w:hAnsi="仿宋" w:eastAsia="仿宋" w:cs="仿宋"/>
          <w:sz w:val="28"/>
          <w:szCs w:val="28"/>
          <w:highlight w:val="none"/>
          <w:lang w:val="en-US" w:eastAsia="zh-CN" w:bidi="ar"/>
        </w:rPr>
        <w:t>30</w:t>
      </w:r>
      <w:r>
        <w:rPr>
          <w:rFonts w:hint="eastAsia" w:ascii="仿宋" w:hAnsi="仿宋" w:eastAsia="仿宋" w:cs="仿宋"/>
          <w:sz w:val="28"/>
          <w:szCs w:val="28"/>
          <w:highlight w:val="none"/>
          <w:lang w:bidi="ar"/>
        </w:rPr>
        <w:t>分（北京时间）前递交投标文件。</w:t>
      </w:r>
    </w:p>
    <w:p w14:paraId="668F3856">
      <w:pPr>
        <w:shd w:val="clear"/>
        <w:adjustRightInd w:val="0"/>
        <w:snapToGrid w:val="0"/>
        <w:spacing w:line="360" w:lineRule="auto"/>
        <w:ind w:left="480" w:firstLine="420"/>
        <w:rPr>
          <w:rFonts w:ascii="宋体" w:hAnsi="宋体" w:eastAsia="宋体" w:cs="Times New Roman"/>
          <w:szCs w:val="21"/>
          <w:highlight w:val="none"/>
        </w:rPr>
      </w:pPr>
    </w:p>
    <w:p w14:paraId="10EA09F7">
      <w:pPr>
        <w:keepNext/>
        <w:keepLines/>
        <w:shd w:val="clear"/>
        <w:spacing w:line="560" w:lineRule="exact"/>
        <w:outlineLvl w:val="1"/>
        <w:rPr>
          <w:rFonts w:ascii="黑体" w:hAnsi="黑体" w:eastAsia="黑体" w:cs="黑体"/>
          <w:bCs/>
          <w:sz w:val="28"/>
          <w:szCs w:val="28"/>
          <w:highlight w:val="none"/>
          <w:lang w:val="zh-CN" w:bidi="ar"/>
        </w:rPr>
      </w:pPr>
      <w:bookmarkStart w:id="2" w:name="_Toc35393790"/>
      <w:bookmarkStart w:id="3" w:name="_Toc35393621"/>
      <w:bookmarkStart w:id="4" w:name="_Toc28359002"/>
      <w:bookmarkStart w:id="5" w:name="_Toc178465374"/>
      <w:bookmarkStart w:id="6" w:name="_Toc28359079"/>
      <w:bookmarkStart w:id="7" w:name="_Hlk24379207"/>
      <w:r>
        <w:rPr>
          <w:rFonts w:hint="eastAsia" w:ascii="黑体" w:hAnsi="黑体" w:eastAsia="黑体" w:cs="黑体"/>
          <w:bCs/>
          <w:sz w:val="28"/>
          <w:szCs w:val="28"/>
          <w:highlight w:val="none"/>
          <w:lang w:val="zh-CN" w:bidi="ar"/>
        </w:rPr>
        <w:t>一、项目基本情况</w:t>
      </w:r>
      <w:bookmarkEnd w:id="2"/>
      <w:bookmarkEnd w:id="3"/>
      <w:bookmarkEnd w:id="4"/>
      <w:bookmarkEnd w:id="5"/>
      <w:bookmarkEnd w:id="6"/>
    </w:p>
    <w:p w14:paraId="6E4BA7A0">
      <w:pPr>
        <w:shd w:val="clear"/>
        <w:spacing w:line="560" w:lineRule="exact"/>
        <w:ind w:firstLine="560" w:firstLineChars="200"/>
        <w:rPr>
          <w:rFonts w:hint="eastAsia" w:ascii="仿宋" w:hAnsi="仿宋" w:eastAsia="仿宋" w:cs="仿宋"/>
          <w:sz w:val="28"/>
          <w:szCs w:val="28"/>
          <w:highlight w:val="none"/>
          <w:lang w:eastAsia="zh-CN" w:bidi="ar"/>
        </w:rPr>
      </w:pPr>
      <w:r>
        <w:rPr>
          <w:rFonts w:hint="eastAsia" w:ascii="仿宋" w:hAnsi="仿宋" w:eastAsia="仿宋" w:cs="仿宋"/>
          <w:sz w:val="28"/>
          <w:szCs w:val="28"/>
          <w:highlight w:val="none"/>
          <w:lang w:bidi="ar"/>
        </w:rPr>
        <w:t>项目编号：</w:t>
      </w:r>
      <w:r>
        <w:rPr>
          <w:rFonts w:hint="eastAsia" w:ascii="仿宋" w:hAnsi="仿宋" w:eastAsia="仿宋" w:cs="仿宋"/>
          <w:sz w:val="28"/>
          <w:szCs w:val="28"/>
          <w:highlight w:val="none"/>
          <w:lang w:eastAsia="zh-CN" w:bidi="ar"/>
        </w:rPr>
        <w:t>ZF2026-32-1064</w:t>
      </w:r>
    </w:p>
    <w:p w14:paraId="7DA854ED">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项目名称：安徽中医药大学第二附属医院智慧中药房建设系统采购项目</w:t>
      </w:r>
    </w:p>
    <w:bookmarkEnd w:id="7"/>
    <w:p w14:paraId="0F2FA898">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预算金额：185万元</w:t>
      </w:r>
    </w:p>
    <w:p w14:paraId="70A542AC">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最高限价：185万元</w:t>
      </w:r>
    </w:p>
    <w:p w14:paraId="71892028">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采购需求：安徽中医药大学第二附属医院（软件含本部和新院区）智慧中药房建设系统采购项目，具体内容详见招标文件。</w:t>
      </w:r>
    </w:p>
    <w:p w14:paraId="58002A31">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合同履行期限：合同签订生效后，接采购人通知后 60 个日历天内完成上线。</w:t>
      </w:r>
    </w:p>
    <w:p w14:paraId="15381CB5">
      <w:pPr>
        <w:shd w:val="clear"/>
        <w:spacing w:line="560" w:lineRule="exact"/>
        <w:ind w:firstLine="560" w:firstLineChars="200"/>
        <w:rPr>
          <w:rFonts w:ascii="宋体" w:hAnsi="宋体" w:eastAsia="宋体" w:cs="Times New Roman"/>
          <w:sz w:val="28"/>
          <w:szCs w:val="28"/>
          <w:highlight w:val="none"/>
        </w:rPr>
      </w:pPr>
      <w:r>
        <w:rPr>
          <w:rFonts w:hint="eastAsia" w:ascii="仿宋" w:hAnsi="仿宋" w:eastAsia="仿宋" w:cs="仿宋"/>
          <w:sz w:val="28"/>
          <w:szCs w:val="28"/>
          <w:highlight w:val="none"/>
          <w:lang w:bidi="ar"/>
        </w:rPr>
        <w:t>本项目不接受联合体投标。</w:t>
      </w:r>
      <w:bookmarkStart w:id="8" w:name="_Toc35393791"/>
      <w:bookmarkStart w:id="9" w:name="_Toc28359080"/>
      <w:bookmarkStart w:id="10" w:name="_Toc28359003"/>
      <w:bookmarkStart w:id="11" w:name="_Toc35393622"/>
    </w:p>
    <w:p w14:paraId="532F70B1">
      <w:pPr>
        <w:keepNext/>
        <w:keepLines/>
        <w:shd w:val="clear"/>
        <w:spacing w:line="560" w:lineRule="exact"/>
        <w:outlineLvl w:val="1"/>
        <w:rPr>
          <w:rFonts w:ascii="黑体" w:hAnsi="黑体" w:eastAsia="黑体" w:cs="黑体"/>
          <w:bCs/>
          <w:sz w:val="28"/>
          <w:szCs w:val="28"/>
          <w:highlight w:val="none"/>
          <w:lang w:val="zh-CN" w:bidi="ar"/>
        </w:rPr>
      </w:pPr>
      <w:bookmarkStart w:id="12" w:name="_Toc178465375"/>
      <w:r>
        <w:rPr>
          <w:rFonts w:hint="eastAsia" w:ascii="黑体" w:hAnsi="黑体" w:eastAsia="黑体" w:cs="黑体"/>
          <w:bCs/>
          <w:sz w:val="28"/>
          <w:szCs w:val="28"/>
          <w:highlight w:val="none"/>
          <w:lang w:val="zh-CN" w:bidi="ar"/>
        </w:rPr>
        <w:t>二、申请人的资格要求：</w:t>
      </w:r>
      <w:bookmarkEnd w:id="8"/>
      <w:bookmarkEnd w:id="9"/>
      <w:bookmarkEnd w:id="10"/>
      <w:bookmarkEnd w:id="11"/>
      <w:bookmarkEnd w:id="12"/>
    </w:p>
    <w:p w14:paraId="44147E4A">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1.满足《中华人民共和国政府采购法》第二十二条规定。</w:t>
      </w:r>
    </w:p>
    <w:p w14:paraId="71EBE2B9">
      <w:pPr>
        <w:shd w:val="clear"/>
        <w:spacing w:line="560" w:lineRule="exact"/>
        <w:ind w:firstLine="560" w:firstLineChars="200"/>
        <w:rPr>
          <w:rFonts w:ascii="仿宋" w:hAnsi="仿宋" w:eastAsia="仿宋" w:cs="仿宋"/>
          <w:sz w:val="28"/>
          <w:szCs w:val="28"/>
          <w:highlight w:val="none"/>
          <w:lang w:bidi="ar"/>
        </w:rPr>
      </w:pPr>
      <w:bookmarkStart w:id="13" w:name="_Toc28359081"/>
      <w:bookmarkStart w:id="14" w:name="_Toc28359004"/>
      <w:r>
        <w:rPr>
          <w:rFonts w:hint="eastAsia" w:ascii="仿宋" w:hAnsi="仿宋" w:eastAsia="仿宋" w:cs="仿宋"/>
          <w:sz w:val="28"/>
          <w:szCs w:val="28"/>
          <w:highlight w:val="none"/>
          <w:lang w:bidi="ar"/>
        </w:rPr>
        <w:t>2.落实政府采购政策需满足的资格要求：</w:t>
      </w:r>
      <w:bookmarkStart w:id="15" w:name="_Toc35393623"/>
      <w:bookmarkStart w:id="16" w:name="_Toc35393792"/>
      <w:r>
        <w:rPr>
          <w:rFonts w:hint="eastAsia" w:ascii="仿宋" w:hAnsi="仿宋" w:eastAsia="仿宋" w:cs="仿宋"/>
          <w:sz w:val="28"/>
          <w:szCs w:val="28"/>
          <w:highlight w:val="none"/>
          <w:lang w:bidi="ar"/>
        </w:rPr>
        <w:t>本项目专门面向中小企业采购，投标人提供的货物全部由符合政策要求的中小企业制造。</w:t>
      </w:r>
    </w:p>
    <w:p w14:paraId="6539E59B">
      <w:pPr>
        <w:shd w:val="clear"/>
        <w:spacing w:line="560" w:lineRule="exact"/>
        <w:ind w:firstLine="560" w:firstLineChars="200"/>
        <w:rPr>
          <w:rFonts w:ascii="宋体" w:hAnsi="宋体" w:eastAsia="宋体" w:cs="Times New Roman"/>
          <w:szCs w:val="21"/>
          <w:highlight w:val="none"/>
        </w:rPr>
      </w:pPr>
      <w:r>
        <w:rPr>
          <w:rFonts w:hint="eastAsia" w:ascii="仿宋" w:hAnsi="仿宋" w:eastAsia="仿宋" w:cs="仿宋"/>
          <w:sz w:val="28"/>
          <w:szCs w:val="28"/>
          <w:highlight w:val="none"/>
          <w:lang w:bidi="ar"/>
        </w:rPr>
        <w:t>3.本项目的特定资格要求：无。</w:t>
      </w:r>
    </w:p>
    <w:p w14:paraId="18C1F4A4">
      <w:pPr>
        <w:keepNext/>
        <w:keepLines/>
        <w:shd w:val="clear"/>
        <w:spacing w:line="560" w:lineRule="exact"/>
        <w:outlineLvl w:val="1"/>
        <w:rPr>
          <w:rFonts w:ascii="黑体" w:hAnsi="黑体" w:eastAsia="黑体" w:cs="黑体"/>
          <w:bCs/>
          <w:sz w:val="28"/>
          <w:szCs w:val="28"/>
          <w:highlight w:val="none"/>
          <w:lang w:val="zh-CN" w:bidi="ar"/>
        </w:rPr>
      </w:pPr>
      <w:bookmarkStart w:id="17" w:name="_Toc178465376"/>
      <w:r>
        <w:rPr>
          <w:rFonts w:hint="eastAsia" w:ascii="黑体" w:hAnsi="黑体" w:eastAsia="黑体" w:cs="黑体"/>
          <w:bCs/>
          <w:sz w:val="28"/>
          <w:szCs w:val="28"/>
          <w:highlight w:val="none"/>
          <w:lang w:val="zh-CN" w:bidi="ar"/>
        </w:rPr>
        <w:t>三、获取招标文件</w:t>
      </w:r>
      <w:bookmarkEnd w:id="13"/>
      <w:bookmarkEnd w:id="14"/>
      <w:bookmarkEnd w:id="15"/>
      <w:bookmarkEnd w:id="16"/>
      <w:bookmarkEnd w:id="17"/>
    </w:p>
    <w:p w14:paraId="5E146BE7">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 xml:space="preserve">时间：2026年 </w:t>
      </w:r>
      <w:r>
        <w:rPr>
          <w:rFonts w:hint="eastAsia" w:ascii="仿宋" w:hAnsi="仿宋" w:eastAsia="仿宋" w:cs="仿宋"/>
          <w:sz w:val="28"/>
          <w:szCs w:val="28"/>
          <w:highlight w:val="none"/>
          <w:lang w:val="en-US" w:eastAsia="zh-CN" w:bidi="ar"/>
        </w:rPr>
        <w:t>8</w:t>
      </w:r>
      <w:r>
        <w:rPr>
          <w:rFonts w:hint="eastAsia" w:ascii="仿宋" w:hAnsi="仿宋" w:eastAsia="仿宋" w:cs="仿宋"/>
          <w:sz w:val="28"/>
          <w:szCs w:val="28"/>
          <w:highlight w:val="none"/>
          <w:lang w:bidi="ar"/>
        </w:rPr>
        <w:t xml:space="preserve"> 月 </w:t>
      </w:r>
      <w:r>
        <w:rPr>
          <w:rFonts w:hint="eastAsia" w:ascii="仿宋" w:hAnsi="仿宋" w:eastAsia="仿宋" w:cs="仿宋"/>
          <w:sz w:val="28"/>
          <w:szCs w:val="28"/>
          <w:highlight w:val="none"/>
          <w:lang w:val="en-US" w:eastAsia="zh-CN" w:bidi="ar"/>
        </w:rPr>
        <w:t>28</w:t>
      </w:r>
      <w:r>
        <w:rPr>
          <w:rFonts w:hint="eastAsia" w:ascii="仿宋" w:hAnsi="仿宋" w:eastAsia="仿宋" w:cs="仿宋"/>
          <w:sz w:val="28"/>
          <w:szCs w:val="28"/>
          <w:highlight w:val="none"/>
          <w:lang w:bidi="ar"/>
        </w:rPr>
        <w:t xml:space="preserve"> 日至2026年 </w:t>
      </w:r>
      <w:r>
        <w:rPr>
          <w:rFonts w:hint="eastAsia" w:ascii="仿宋" w:hAnsi="仿宋" w:eastAsia="仿宋" w:cs="仿宋"/>
          <w:sz w:val="28"/>
          <w:szCs w:val="28"/>
          <w:highlight w:val="none"/>
          <w:lang w:val="en-US" w:eastAsia="zh-CN" w:bidi="ar"/>
        </w:rPr>
        <w:t>9</w:t>
      </w:r>
      <w:r>
        <w:rPr>
          <w:rFonts w:hint="eastAsia" w:ascii="仿宋" w:hAnsi="仿宋" w:eastAsia="仿宋" w:cs="仿宋"/>
          <w:sz w:val="28"/>
          <w:szCs w:val="28"/>
          <w:highlight w:val="none"/>
          <w:lang w:bidi="ar"/>
        </w:rPr>
        <w:t xml:space="preserve"> 月 </w:t>
      </w:r>
      <w:r>
        <w:rPr>
          <w:rFonts w:hint="eastAsia" w:ascii="仿宋" w:hAnsi="仿宋" w:eastAsia="仿宋" w:cs="仿宋"/>
          <w:sz w:val="28"/>
          <w:szCs w:val="28"/>
          <w:highlight w:val="none"/>
          <w:lang w:val="en-US" w:eastAsia="zh-CN" w:bidi="ar"/>
        </w:rPr>
        <w:t>4</w:t>
      </w:r>
      <w:r>
        <w:rPr>
          <w:rFonts w:hint="eastAsia" w:ascii="仿宋" w:hAnsi="仿宋" w:eastAsia="仿宋" w:cs="仿宋"/>
          <w:sz w:val="28"/>
          <w:szCs w:val="28"/>
          <w:highlight w:val="none"/>
          <w:lang w:bidi="ar"/>
        </w:rPr>
        <w:t xml:space="preserve"> 日，每天上午00:00至12:00，下午12:00至23:59（北京时间，法定节假日除外）。</w:t>
      </w:r>
    </w:p>
    <w:p w14:paraId="44A1D764">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地点：优质采云采购平台（www.youzhicai.com）</w:t>
      </w:r>
    </w:p>
    <w:p w14:paraId="1CB6F2B1">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方式：在线下载</w:t>
      </w:r>
    </w:p>
    <w:p w14:paraId="027654FF">
      <w:pPr>
        <w:shd w:val="clear"/>
        <w:spacing w:line="560" w:lineRule="exact"/>
        <w:ind w:firstLine="560" w:firstLineChars="200"/>
        <w:rPr>
          <w:rFonts w:ascii="宋体" w:hAnsi="宋体" w:eastAsia="宋体" w:cs="Times New Roman"/>
          <w:szCs w:val="21"/>
          <w:highlight w:val="none"/>
        </w:rPr>
      </w:pPr>
      <w:r>
        <w:rPr>
          <w:rFonts w:hint="eastAsia" w:ascii="仿宋" w:hAnsi="仿宋" w:eastAsia="仿宋" w:cs="仿宋"/>
          <w:sz w:val="28"/>
          <w:szCs w:val="28"/>
          <w:highlight w:val="none"/>
          <w:lang w:bidi="ar"/>
        </w:rPr>
        <w:t>售价（元）：0</w:t>
      </w:r>
    </w:p>
    <w:p w14:paraId="79ECC527">
      <w:pPr>
        <w:keepNext/>
        <w:keepLines/>
        <w:shd w:val="clear"/>
        <w:spacing w:line="560" w:lineRule="exact"/>
        <w:outlineLvl w:val="1"/>
        <w:rPr>
          <w:rFonts w:ascii="黑体" w:hAnsi="黑体" w:eastAsia="黑体" w:cs="黑体"/>
          <w:bCs/>
          <w:sz w:val="28"/>
          <w:szCs w:val="28"/>
          <w:highlight w:val="none"/>
          <w:lang w:val="zh-CN" w:bidi="ar"/>
        </w:rPr>
      </w:pPr>
      <w:bookmarkStart w:id="18" w:name="_Toc28359082"/>
      <w:bookmarkStart w:id="19" w:name="_Toc28359005"/>
      <w:bookmarkStart w:id="20" w:name="_Toc35393624"/>
      <w:bookmarkStart w:id="21" w:name="_Toc178465377"/>
      <w:bookmarkStart w:id="22" w:name="_Toc35393793"/>
      <w:r>
        <w:rPr>
          <w:rFonts w:hint="eastAsia" w:ascii="黑体" w:hAnsi="黑体" w:eastAsia="黑体" w:cs="黑体"/>
          <w:bCs/>
          <w:sz w:val="28"/>
          <w:szCs w:val="28"/>
          <w:highlight w:val="none"/>
          <w:lang w:val="zh-CN" w:bidi="ar"/>
        </w:rPr>
        <w:t>四、提交投标文件</w:t>
      </w:r>
      <w:bookmarkEnd w:id="18"/>
      <w:bookmarkEnd w:id="19"/>
      <w:r>
        <w:rPr>
          <w:rFonts w:hint="eastAsia" w:ascii="黑体" w:hAnsi="黑体" w:eastAsia="黑体" w:cs="黑体"/>
          <w:bCs/>
          <w:sz w:val="28"/>
          <w:szCs w:val="28"/>
          <w:highlight w:val="none"/>
          <w:lang w:val="zh-CN" w:bidi="ar"/>
        </w:rPr>
        <w:t>截止时间、开标时间和地点</w:t>
      </w:r>
      <w:bookmarkEnd w:id="20"/>
      <w:bookmarkEnd w:id="21"/>
      <w:bookmarkEnd w:id="22"/>
    </w:p>
    <w:p w14:paraId="15A32C9F">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 xml:space="preserve">时间：2026年 </w:t>
      </w:r>
      <w:r>
        <w:rPr>
          <w:rFonts w:hint="eastAsia" w:ascii="仿宋" w:hAnsi="仿宋" w:eastAsia="仿宋" w:cs="仿宋"/>
          <w:sz w:val="28"/>
          <w:szCs w:val="28"/>
          <w:highlight w:val="none"/>
          <w:lang w:val="en-US" w:eastAsia="zh-CN" w:bidi="ar"/>
        </w:rPr>
        <w:t>9</w:t>
      </w:r>
      <w:r>
        <w:rPr>
          <w:rFonts w:hint="eastAsia" w:ascii="仿宋" w:hAnsi="仿宋" w:eastAsia="仿宋" w:cs="仿宋"/>
          <w:sz w:val="28"/>
          <w:szCs w:val="28"/>
          <w:highlight w:val="none"/>
          <w:lang w:bidi="ar"/>
        </w:rPr>
        <w:t xml:space="preserve"> 月 </w:t>
      </w:r>
      <w:r>
        <w:rPr>
          <w:rFonts w:hint="eastAsia" w:ascii="仿宋" w:hAnsi="仿宋" w:eastAsia="仿宋" w:cs="仿宋"/>
          <w:sz w:val="28"/>
          <w:szCs w:val="28"/>
          <w:highlight w:val="none"/>
          <w:lang w:val="en-US" w:eastAsia="zh-CN" w:bidi="ar"/>
        </w:rPr>
        <w:t>18</w:t>
      </w:r>
      <w:r>
        <w:rPr>
          <w:rFonts w:hint="eastAsia" w:ascii="仿宋" w:hAnsi="仿宋" w:eastAsia="仿宋" w:cs="仿宋"/>
          <w:sz w:val="28"/>
          <w:szCs w:val="28"/>
          <w:highlight w:val="none"/>
          <w:lang w:bidi="ar"/>
        </w:rPr>
        <w:t xml:space="preserve"> 日 </w:t>
      </w:r>
      <w:r>
        <w:rPr>
          <w:rFonts w:hint="eastAsia" w:ascii="仿宋" w:hAnsi="仿宋" w:eastAsia="仿宋" w:cs="仿宋"/>
          <w:sz w:val="28"/>
          <w:szCs w:val="28"/>
          <w:highlight w:val="none"/>
          <w:lang w:val="en-US" w:eastAsia="zh-CN" w:bidi="ar"/>
        </w:rPr>
        <w:t>9</w:t>
      </w:r>
      <w:r>
        <w:rPr>
          <w:rFonts w:hint="eastAsia" w:ascii="仿宋" w:hAnsi="仿宋" w:eastAsia="仿宋" w:cs="仿宋"/>
          <w:sz w:val="28"/>
          <w:szCs w:val="28"/>
          <w:highlight w:val="none"/>
          <w:lang w:bidi="ar"/>
        </w:rPr>
        <w:t xml:space="preserve"> 点 </w:t>
      </w:r>
      <w:r>
        <w:rPr>
          <w:rFonts w:hint="eastAsia" w:ascii="仿宋" w:hAnsi="仿宋" w:eastAsia="仿宋" w:cs="仿宋"/>
          <w:sz w:val="28"/>
          <w:szCs w:val="28"/>
          <w:highlight w:val="none"/>
          <w:lang w:val="en-US" w:eastAsia="zh-CN" w:bidi="ar"/>
        </w:rPr>
        <w:t>30</w:t>
      </w:r>
      <w:r>
        <w:rPr>
          <w:rFonts w:hint="eastAsia" w:ascii="仿宋" w:hAnsi="仿宋" w:eastAsia="仿宋" w:cs="仿宋"/>
          <w:sz w:val="28"/>
          <w:szCs w:val="28"/>
          <w:highlight w:val="none"/>
          <w:lang w:bidi="ar"/>
        </w:rPr>
        <w:t xml:space="preserve"> 分（北京时间）</w:t>
      </w:r>
    </w:p>
    <w:p w14:paraId="6DDEF121">
      <w:pPr>
        <w:shd w:val="clear"/>
        <w:spacing w:line="560" w:lineRule="exact"/>
        <w:ind w:firstLine="560" w:firstLineChars="200"/>
        <w:rPr>
          <w:rFonts w:ascii="宋体" w:hAnsi="宋体" w:eastAsia="宋体" w:cs="Times New Roman"/>
          <w:szCs w:val="21"/>
          <w:highlight w:val="none"/>
        </w:rPr>
      </w:pPr>
      <w:r>
        <w:rPr>
          <w:rFonts w:hint="eastAsia" w:ascii="仿宋" w:hAnsi="仿宋" w:eastAsia="仿宋" w:cs="仿宋"/>
          <w:sz w:val="28"/>
          <w:szCs w:val="28"/>
          <w:highlight w:val="none"/>
          <w:lang w:bidi="ar"/>
        </w:rPr>
        <w:t>地点：</w:t>
      </w:r>
      <w:bookmarkStart w:id="23" w:name="_Hlk44253880"/>
      <w:r>
        <w:rPr>
          <w:rFonts w:hint="eastAsia" w:ascii="仿宋" w:hAnsi="仿宋" w:eastAsia="仿宋" w:cs="仿宋"/>
          <w:sz w:val="28"/>
          <w:szCs w:val="28"/>
          <w:highlight w:val="none"/>
          <w:lang w:bidi="ar"/>
        </w:rPr>
        <w:t>优质采云采购平台（ www.youzhicai.com）</w:t>
      </w:r>
    </w:p>
    <w:bookmarkEnd w:id="23"/>
    <w:p w14:paraId="13EBE4E5">
      <w:pPr>
        <w:keepNext/>
        <w:keepLines/>
        <w:shd w:val="clear"/>
        <w:spacing w:line="560" w:lineRule="exact"/>
        <w:outlineLvl w:val="1"/>
        <w:rPr>
          <w:rFonts w:ascii="黑体" w:hAnsi="黑体" w:eastAsia="黑体" w:cs="黑体"/>
          <w:bCs/>
          <w:sz w:val="28"/>
          <w:szCs w:val="28"/>
          <w:highlight w:val="none"/>
          <w:lang w:val="zh-CN" w:bidi="ar"/>
        </w:rPr>
      </w:pPr>
      <w:bookmarkStart w:id="24" w:name="_Toc28359007"/>
      <w:bookmarkStart w:id="25" w:name="_Toc178465378"/>
      <w:bookmarkStart w:id="26" w:name="_Toc35393625"/>
      <w:bookmarkStart w:id="27" w:name="_Toc35393794"/>
      <w:bookmarkStart w:id="28" w:name="_Toc28359084"/>
      <w:r>
        <w:rPr>
          <w:rFonts w:hint="eastAsia" w:ascii="黑体" w:hAnsi="黑体" w:eastAsia="黑体" w:cs="黑体"/>
          <w:bCs/>
          <w:sz w:val="28"/>
          <w:szCs w:val="28"/>
          <w:highlight w:val="none"/>
          <w:lang w:val="zh-CN" w:bidi="ar"/>
        </w:rPr>
        <w:t>五、公告期限</w:t>
      </w:r>
      <w:bookmarkEnd w:id="24"/>
      <w:bookmarkEnd w:id="25"/>
      <w:bookmarkEnd w:id="26"/>
      <w:bookmarkEnd w:id="27"/>
      <w:bookmarkEnd w:id="28"/>
    </w:p>
    <w:p w14:paraId="081B5623">
      <w:pPr>
        <w:shd w:val="clear"/>
        <w:spacing w:line="560" w:lineRule="exact"/>
        <w:ind w:firstLine="560" w:firstLineChars="200"/>
        <w:rPr>
          <w:rFonts w:ascii="宋体" w:hAnsi="宋体" w:eastAsia="宋体" w:cs="Times New Roman"/>
          <w:szCs w:val="21"/>
          <w:highlight w:val="none"/>
        </w:rPr>
      </w:pPr>
      <w:r>
        <w:rPr>
          <w:rFonts w:hint="eastAsia" w:ascii="仿宋" w:hAnsi="仿宋" w:eastAsia="仿宋" w:cs="仿宋"/>
          <w:sz w:val="28"/>
          <w:szCs w:val="28"/>
          <w:highlight w:val="none"/>
          <w:lang w:bidi="ar"/>
        </w:rPr>
        <w:t>自本公告发布之日起5个工作日。</w:t>
      </w:r>
    </w:p>
    <w:p w14:paraId="2F7CD229">
      <w:pPr>
        <w:keepNext/>
        <w:keepLines/>
        <w:shd w:val="clear"/>
        <w:spacing w:line="560" w:lineRule="exact"/>
        <w:outlineLvl w:val="1"/>
        <w:rPr>
          <w:rFonts w:ascii="黑体" w:hAnsi="黑体" w:eastAsia="黑体" w:cs="黑体"/>
          <w:bCs/>
          <w:sz w:val="28"/>
          <w:szCs w:val="28"/>
          <w:highlight w:val="none"/>
          <w:lang w:bidi="ar"/>
        </w:rPr>
      </w:pPr>
      <w:bookmarkStart w:id="29" w:name="_Toc178465379"/>
      <w:r>
        <w:rPr>
          <w:rFonts w:hint="eastAsia" w:ascii="黑体" w:hAnsi="黑体" w:eastAsia="黑体" w:cs="黑体"/>
          <w:bCs/>
          <w:sz w:val="28"/>
          <w:szCs w:val="28"/>
          <w:highlight w:val="none"/>
          <w:lang w:val="zh-CN" w:bidi="ar"/>
        </w:rPr>
        <w:t>六、其他补充事宜</w:t>
      </w:r>
      <w:bookmarkEnd w:id="29"/>
    </w:p>
    <w:p w14:paraId="103406B1">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1.公告发布媒介：安徽省政府采购网（www.ccgp-anhui.gov.cn）、优质采云采购平台（www.youzhicai.com）、优质采招标采购平台（www.yzczb.com）。</w:t>
      </w:r>
    </w:p>
    <w:p w14:paraId="481322B9">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2.本项目需落实的节能环保、中小企业扶持等相关政府采购政策详见招标文件。</w:t>
      </w:r>
    </w:p>
    <w:p w14:paraId="7FA7922E">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3.按照财政部、工业和信息化部制定的《政府采购促进中小企业发展管理办法》，本项目为专门面向中小企业采购项目。企业划型标准按照《关于印发中小企业划型标准规定的通知》（工信部联企业[2011]300号)规定执行。</w:t>
      </w:r>
    </w:p>
    <w:p w14:paraId="14943F13">
      <w:pPr>
        <w:shd w:val="clear"/>
        <w:wordWrap w:val="0"/>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4.电子化交易要求：</w:t>
      </w:r>
    </w:p>
    <w:p w14:paraId="21F6755E">
      <w:pPr>
        <w:shd w:val="clear"/>
        <w:wordWrap w:val="0"/>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1）潜在投标人/供应商须登录“优质采云采购平台”（网址：www.youzhicai.com，以下称“优质采平台”）参与本项目招标采购活动。首次登录须办理注册手续，请务必选择注册为“投标人角色”类型。注册流程见优质采平台“用户注册”栏目，咨询电话：400-0099-555。因未及时办理注册手续影响参加招标采购活动的，责任自负。</w:t>
      </w:r>
    </w:p>
    <w:p w14:paraId="47AADE56">
      <w:pPr>
        <w:shd w:val="clear"/>
        <w:wordWrap w:val="0"/>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2）已注册的潜在投标人/供应商可登录优质采平台获取招标采购文件，本项目的招标采购文件及其他资料（含澄清、答疑及相关补充文件）通过优质采平台发布，采购人/代理机构不再另行书面通知，潜在投标人/供应商应及时关注、查阅优质采平台。因未及时查看导致不利后果的，责任自负。</w:t>
      </w:r>
    </w:p>
    <w:p w14:paraId="1F900901">
      <w:pPr>
        <w:shd w:val="clear"/>
        <w:wordWrap w:val="0"/>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（3）已注册的潜在投标人/供应商若注册信息发生变更（如：与初始注册信息不一致），应及时网上提交变更申请。因未及时变更导致不利后果的，责任自负。</w:t>
      </w:r>
    </w:p>
    <w:p w14:paraId="05582AA9">
      <w:pPr>
        <w:shd w:val="clear"/>
        <w:wordWrap w:val="0"/>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4）本项目采用全流程电子化招标采购方式，潜在投标人/供应商须办理CA数字证书（以下简称CA），CA用于电子投标/响应文件的签章及上传（上传投标/响应文件需使用CA进行加密）；CA办理详见《关于优质采平台数字证书办理的须知》（www.youzhicai.com/nd/a_8f80a7ec-911f-4c4d-a123-f8849880f045.html）；咨询热线：0551-62220091、400-0099-555。</w:t>
      </w:r>
    </w:p>
    <w:p w14:paraId="3D5D3A9A">
      <w:pPr>
        <w:shd w:val="clear"/>
        <w:wordWrap w:val="0"/>
        <w:spacing w:line="560" w:lineRule="exact"/>
        <w:ind w:firstLine="560" w:firstLineChars="200"/>
        <w:rPr>
          <w:rFonts w:ascii="宋体" w:hAnsi="宋体" w:eastAsia="宋体" w:cs="Times New Roman"/>
          <w:szCs w:val="21"/>
          <w:highlight w:val="none"/>
        </w:rPr>
      </w:pPr>
      <w:r>
        <w:rPr>
          <w:rFonts w:hint="eastAsia" w:ascii="仿宋" w:hAnsi="仿宋" w:eastAsia="仿宋" w:cs="仿宋"/>
          <w:sz w:val="28"/>
          <w:szCs w:val="28"/>
          <w:highlight w:val="none"/>
        </w:rPr>
        <w:t>（5）电子投标/响应文件必须使用优质采“投标文件编制工具V3.0（智能交易系统适配版）”（以下简称“投标工具”）制作电子投标文件，下载地址：</w:t>
      </w:r>
      <w:r>
        <w:rPr>
          <w:highlight w:val="none"/>
        </w:rPr>
        <w:fldChar w:fldCharType="begin"/>
      </w:r>
      <w:r>
        <w:rPr>
          <w:highlight w:val="none"/>
        </w:rPr>
        <w:instrText xml:space="preserve"> HYPERLINK "https://toolcdn.youzhicai.com/tools/BidderTools.zip" </w:instrText>
      </w:r>
      <w:r>
        <w:rPr>
          <w:highlight w:val="none"/>
        </w:rPr>
        <w:fldChar w:fldCharType="separate"/>
      </w:r>
      <w:r>
        <w:rPr>
          <w:rFonts w:hint="eastAsia" w:ascii="仿宋" w:hAnsi="仿宋" w:eastAsia="仿宋" w:cs="仿宋"/>
          <w:sz w:val="28"/>
          <w:szCs w:val="28"/>
          <w:highlight w:val="none"/>
        </w:rPr>
        <w:t>https://toolcdn.youzhicai.com/tools/BidderTools.zip</w:t>
      </w:r>
      <w:r>
        <w:rPr>
          <w:rFonts w:hint="eastAsia" w:ascii="仿宋" w:hAnsi="仿宋" w:eastAsia="仿宋" w:cs="仿宋"/>
          <w:sz w:val="28"/>
          <w:szCs w:val="28"/>
          <w:highlight w:val="none"/>
        </w:rPr>
        <w:fldChar w:fldCharType="end"/>
      </w:r>
      <w:r>
        <w:rPr>
          <w:rFonts w:hint="eastAsia" w:ascii="仿宋" w:hAnsi="仿宋" w:eastAsia="仿宋" w:cs="仿宋"/>
          <w:sz w:val="28"/>
          <w:szCs w:val="28"/>
          <w:highlight w:val="none"/>
        </w:rPr>
        <w:t>。</w:t>
      </w:r>
    </w:p>
    <w:p w14:paraId="0031687B">
      <w:pPr>
        <w:keepNext/>
        <w:keepLines/>
        <w:shd w:val="clear"/>
        <w:wordWrap w:val="0"/>
        <w:spacing w:line="560" w:lineRule="exact"/>
        <w:outlineLvl w:val="1"/>
        <w:rPr>
          <w:rFonts w:ascii="黑体" w:hAnsi="黑体" w:eastAsia="黑体" w:cs="黑体"/>
          <w:bCs/>
          <w:sz w:val="28"/>
          <w:szCs w:val="28"/>
          <w:highlight w:val="none"/>
          <w:lang w:val="zh-CN" w:bidi="ar"/>
        </w:rPr>
      </w:pPr>
      <w:bookmarkStart w:id="30" w:name="_Toc35393796"/>
      <w:bookmarkStart w:id="31" w:name="_Toc28359085"/>
      <w:bookmarkStart w:id="32" w:name="_Toc178465380"/>
      <w:bookmarkStart w:id="33" w:name="_Toc28359008"/>
      <w:bookmarkStart w:id="34" w:name="_Toc35393627"/>
      <w:r>
        <w:rPr>
          <w:rFonts w:hint="eastAsia" w:ascii="黑体" w:hAnsi="黑体" w:eastAsia="黑体" w:cs="黑体"/>
          <w:bCs/>
          <w:sz w:val="28"/>
          <w:szCs w:val="28"/>
          <w:highlight w:val="none"/>
          <w:lang w:val="zh-CN" w:bidi="ar"/>
        </w:rPr>
        <w:t>七、对本次招标提出询问，请按以下方式联系。</w:t>
      </w:r>
      <w:bookmarkEnd w:id="30"/>
      <w:bookmarkEnd w:id="31"/>
      <w:bookmarkEnd w:id="32"/>
      <w:bookmarkEnd w:id="33"/>
      <w:bookmarkEnd w:id="34"/>
    </w:p>
    <w:p w14:paraId="5AF156F6">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1.采购人信息</w:t>
      </w:r>
    </w:p>
    <w:p w14:paraId="53BD0E7B">
      <w:pPr>
        <w:shd w:val="clear"/>
        <w:spacing w:line="560" w:lineRule="exact"/>
        <w:ind w:firstLine="560" w:firstLineChars="200"/>
        <w:rPr>
          <w:rFonts w:ascii="仿宋" w:hAnsi="仿宋" w:eastAsia="仿宋" w:cs="仿宋"/>
          <w:sz w:val="28"/>
          <w:szCs w:val="28"/>
          <w:highlight w:val="none"/>
          <w:lang w:bidi="ar"/>
        </w:rPr>
      </w:pPr>
      <w:bookmarkStart w:id="35" w:name="_Toc28359086"/>
      <w:bookmarkStart w:id="36" w:name="_Toc28359009"/>
      <w:r>
        <w:rPr>
          <w:rFonts w:hint="eastAsia" w:ascii="仿宋" w:hAnsi="仿宋" w:eastAsia="仿宋" w:cs="仿宋"/>
          <w:sz w:val="28"/>
          <w:szCs w:val="28"/>
          <w:highlight w:val="none"/>
          <w:lang w:bidi="ar"/>
        </w:rPr>
        <w:t>名称：安徽中医药大学第二附属医院</w:t>
      </w:r>
    </w:p>
    <w:p w14:paraId="751F1FB4">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地址：合肥市庐阳区寿春路300号</w:t>
      </w:r>
    </w:p>
    <w:p w14:paraId="483165F7">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联系方式：0551-62668571</w:t>
      </w:r>
    </w:p>
    <w:p w14:paraId="28CA1AD9">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2.采购代理机构信息</w:t>
      </w:r>
      <w:bookmarkEnd w:id="35"/>
      <w:bookmarkEnd w:id="36"/>
    </w:p>
    <w:p w14:paraId="6B834638">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名称：安徽省招标集团股份有限公司</w:t>
      </w:r>
    </w:p>
    <w:p w14:paraId="33FC96EA">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地址：安徽省合肥市包河区紫云路888号</w:t>
      </w:r>
    </w:p>
    <w:p w14:paraId="2D50A3CC">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联系方式：</w:t>
      </w:r>
      <w:bookmarkStart w:id="37" w:name="_Toc28359087"/>
      <w:bookmarkStart w:id="38" w:name="_Toc28359010"/>
      <w:r>
        <w:rPr>
          <w:rFonts w:hint="eastAsia" w:ascii="仿宋" w:hAnsi="仿宋" w:eastAsia="仿宋" w:cs="仿宋"/>
          <w:sz w:val="28"/>
          <w:szCs w:val="28"/>
          <w:highlight w:val="none"/>
          <w:lang w:bidi="ar"/>
        </w:rPr>
        <w:t>0551-66061272</w:t>
      </w:r>
    </w:p>
    <w:p w14:paraId="05689CD8">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3.项目联系方式</w:t>
      </w:r>
      <w:bookmarkEnd w:id="37"/>
      <w:bookmarkEnd w:id="38"/>
    </w:p>
    <w:p w14:paraId="0DFB2CCC">
      <w:pPr>
        <w:shd w:val="clear"/>
        <w:spacing w:line="560" w:lineRule="exact"/>
        <w:ind w:firstLine="560" w:firstLineChars="200"/>
        <w:rPr>
          <w:rFonts w:ascii="仿宋" w:hAnsi="仿宋" w:eastAsia="仿宋" w:cs="仿宋"/>
          <w:sz w:val="28"/>
          <w:szCs w:val="28"/>
          <w:highlight w:val="none"/>
          <w:lang w:bidi="ar"/>
        </w:rPr>
      </w:pPr>
      <w:r>
        <w:rPr>
          <w:rFonts w:hint="eastAsia" w:ascii="仿宋" w:hAnsi="仿宋" w:eastAsia="仿宋" w:cs="仿宋"/>
          <w:sz w:val="28"/>
          <w:szCs w:val="28"/>
          <w:highlight w:val="none"/>
          <w:lang w:bidi="ar"/>
        </w:rPr>
        <w:t>项目联系人：彭鑫雨、宋健波</w:t>
      </w:r>
    </w:p>
    <w:p w14:paraId="49F88FBD">
      <w:pPr>
        <w:shd w:val="clear"/>
        <w:spacing w:line="560" w:lineRule="exact"/>
        <w:ind w:firstLine="560" w:firstLineChars="200"/>
        <w:rPr>
          <w:rFonts w:ascii="Times New Roman" w:hAnsi="Times New Roman" w:eastAsia="宋体" w:cs="Times New Roman"/>
          <w:kern w:val="0"/>
          <w:sz w:val="24"/>
          <w:szCs w:val="24"/>
          <w:highlight w:val="none"/>
        </w:rPr>
      </w:pPr>
      <w:r>
        <w:rPr>
          <w:rFonts w:hint="eastAsia" w:ascii="仿宋" w:hAnsi="仿宋" w:eastAsia="仿宋" w:cs="仿宋"/>
          <w:sz w:val="28"/>
          <w:szCs w:val="28"/>
          <w:highlight w:val="none"/>
          <w:lang w:bidi="ar"/>
        </w:rPr>
        <w:t>电话：</w:t>
      </w:r>
      <w:bookmarkEnd w:id="1"/>
      <w:r>
        <w:rPr>
          <w:rFonts w:hint="eastAsia" w:ascii="仿宋" w:hAnsi="仿宋" w:eastAsia="仿宋" w:cs="仿宋"/>
          <w:sz w:val="28"/>
          <w:szCs w:val="28"/>
          <w:highlight w:val="none"/>
          <w:lang w:bidi="ar"/>
        </w:rPr>
        <w:t>0551-66061279</w:t>
      </w:r>
    </w:p>
    <w:p w14:paraId="43CC367E">
      <w:pPr>
        <w:shd w:val="clear"/>
        <w:tabs>
          <w:tab w:val="left" w:pos="2410"/>
        </w:tabs>
        <w:autoSpaceDE w:val="0"/>
        <w:autoSpaceDN w:val="0"/>
        <w:adjustRightInd w:val="0"/>
        <w:snapToGrid w:val="0"/>
        <w:spacing w:line="360" w:lineRule="auto"/>
        <w:jc w:val="center"/>
        <w:rPr>
          <w:rFonts w:ascii="宋体" w:hAnsi="宋体" w:eastAsia="宋体"/>
          <w:b/>
          <w:sz w:val="28"/>
          <w:highlight w:val="none"/>
        </w:rPr>
      </w:pPr>
    </w:p>
    <w:p w14:paraId="206ABA13">
      <w:pPr>
        <w:shd w:val="clear"/>
        <w:rPr>
          <w:rFonts w:ascii="宋体" w:hAnsi="宋体" w:eastAsia="宋体"/>
          <w:b/>
          <w:sz w:val="28"/>
          <w:highlight w:val="none"/>
        </w:rPr>
      </w:pPr>
      <w:r>
        <w:rPr>
          <w:rFonts w:hint="eastAsia" w:ascii="宋体" w:hAnsi="宋体" w:eastAsia="宋体"/>
          <w:b/>
          <w:sz w:val="28"/>
          <w:highlight w:val="none"/>
        </w:rPr>
        <w:br w:type="page"/>
      </w:r>
    </w:p>
    <w:p w14:paraId="61384983">
      <w:pPr>
        <w:shd w:val="clear"/>
        <w:tabs>
          <w:tab w:val="left" w:pos="2410"/>
        </w:tabs>
        <w:autoSpaceDE w:val="0"/>
        <w:autoSpaceDN w:val="0"/>
        <w:adjustRightInd w:val="0"/>
        <w:snapToGrid w:val="0"/>
        <w:spacing w:line="360" w:lineRule="auto"/>
        <w:jc w:val="center"/>
        <w:rPr>
          <w:rFonts w:ascii="宋体" w:hAnsi="宋体" w:eastAsia="宋体"/>
          <w:b/>
          <w:sz w:val="28"/>
          <w:highlight w:val="none"/>
        </w:rPr>
      </w:pPr>
      <w:r>
        <w:rPr>
          <w:rFonts w:hint="eastAsia" w:ascii="宋体" w:hAnsi="宋体" w:eastAsia="宋体"/>
          <w:b/>
          <w:sz w:val="28"/>
          <w:highlight w:val="none"/>
        </w:rPr>
        <w:t>目  录</w:t>
      </w:r>
    </w:p>
    <w:p w14:paraId="6908259D">
      <w:pPr>
        <w:pStyle w:val="17"/>
        <w:shd w:val="clear"/>
        <w:tabs>
          <w:tab w:val="right" w:leader="dot" w:pos="8306"/>
        </w:tabs>
        <w:rPr>
          <w:highlight w:val="none"/>
        </w:rPr>
      </w:pPr>
      <w:r>
        <w:rPr>
          <w:rFonts w:asciiTheme="minorEastAsia" w:hAnsiTheme="minorEastAsia"/>
          <w:b/>
          <w:sz w:val="24"/>
          <w:szCs w:val="24"/>
          <w:highlight w:val="none"/>
        </w:rPr>
        <w:fldChar w:fldCharType="begin"/>
      </w:r>
      <w:r>
        <w:rPr>
          <w:rFonts w:asciiTheme="minorEastAsia" w:hAnsiTheme="minorEastAsia"/>
          <w:b/>
          <w:sz w:val="24"/>
          <w:szCs w:val="24"/>
          <w:highlight w:val="none"/>
        </w:rPr>
        <w:instrText xml:space="preserve"> </w:instrText>
      </w:r>
      <w:r>
        <w:rPr>
          <w:rFonts w:hint="eastAsia" w:asciiTheme="minorEastAsia" w:hAnsiTheme="minorEastAsia"/>
          <w:b/>
          <w:sz w:val="24"/>
          <w:szCs w:val="24"/>
          <w:highlight w:val="none"/>
        </w:rPr>
        <w:instrText xml:space="preserve">TOC \o "1-2" \h \z \u</w:instrText>
      </w:r>
      <w:r>
        <w:rPr>
          <w:rFonts w:asciiTheme="minorEastAsia" w:hAnsiTheme="minorEastAsia"/>
          <w:b/>
          <w:sz w:val="24"/>
          <w:szCs w:val="24"/>
          <w:highlight w:val="none"/>
        </w:rPr>
        <w:instrText xml:space="preserve"> </w:instrText>
      </w:r>
      <w:r>
        <w:rPr>
          <w:rFonts w:asciiTheme="minorEastAsia" w:hAnsiTheme="minorEastAsia"/>
          <w:b/>
          <w:sz w:val="24"/>
          <w:szCs w:val="24"/>
          <w:highlight w:val="none"/>
        </w:rPr>
        <w:fldChar w:fldCharType="separate"/>
      </w:r>
      <w:r>
        <w:rPr>
          <w:highlight w:val="none"/>
        </w:rPr>
        <w:fldChar w:fldCharType="begin"/>
      </w:r>
      <w:r>
        <w:rPr>
          <w:highlight w:val="none"/>
        </w:rPr>
        <w:instrText xml:space="preserve"> HYPERLINK \l "_Toc23443" </w:instrText>
      </w:r>
      <w:r>
        <w:rPr>
          <w:highlight w:val="none"/>
        </w:rPr>
        <w:fldChar w:fldCharType="separate"/>
      </w:r>
      <w:r>
        <w:rPr>
          <w:rFonts w:hint="eastAsia" w:asciiTheme="minorEastAsia" w:hAnsiTheme="minorEastAsia"/>
          <w:highlight w:val="none"/>
        </w:rPr>
        <w:t xml:space="preserve">第一章 </w:t>
      </w:r>
      <w:r>
        <w:rPr>
          <w:rFonts w:asciiTheme="minorEastAsia" w:hAnsiTheme="minorEastAsia"/>
          <w:highlight w:val="none"/>
        </w:rPr>
        <w:t xml:space="preserve"> 投标邀请</w:t>
      </w:r>
      <w:r>
        <w:rPr>
          <w:highlight w:val="none"/>
        </w:rPr>
        <w:tab/>
      </w:r>
      <w:r>
        <w:rPr>
          <w:highlight w:val="none"/>
        </w:rPr>
        <w:fldChar w:fldCharType="begin"/>
      </w:r>
      <w:r>
        <w:rPr>
          <w:highlight w:val="none"/>
        </w:rPr>
        <w:instrText xml:space="preserve"> PAGEREF _Toc23443 \h </w:instrText>
      </w:r>
      <w:r>
        <w:rPr>
          <w:highlight w:val="none"/>
        </w:rPr>
        <w:fldChar w:fldCharType="separate"/>
      </w:r>
      <w:r>
        <w:rPr>
          <w:highlight w:val="none"/>
        </w:rPr>
        <w:t>6</w:t>
      </w:r>
      <w:r>
        <w:rPr>
          <w:highlight w:val="none"/>
        </w:rPr>
        <w:fldChar w:fldCharType="end"/>
      </w:r>
      <w:r>
        <w:rPr>
          <w:highlight w:val="none"/>
        </w:rPr>
        <w:fldChar w:fldCharType="end"/>
      </w:r>
    </w:p>
    <w:p w14:paraId="38C6091F">
      <w:pPr>
        <w:pStyle w:val="17"/>
        <w:shd w:val="clear"/>
        <w:tabs>
          <w:tab w:val="right" w:leader="dot" w:pos="8306"/>
        </w:tabs>
        <w:rPr>
          <w:highlight w:val="none"/>
        </w:rPr>
      </w:pPr>
      <w:r>
        <w:rPr>
          <w:highlight w:val="none"/>
        </w:rPr>
        <w:fldChar w:fldCharType="begin"/>
      </w:r>
      <w:r>
        <w:rPr>
          <w:highlight w:val="none"/>
        </w:rPr>
        <w:instrText xml:space="preserve"> HYPERLINK \l "_Toc31935" </w:instrText>
      </w:r>
      <w:r>
        <w:rPr>
          <w:highlight w:val="none"/>
        </w:rPr>
        <w:fldChar w:fldCharType="separate"/>
      </w:r>
      <w:r>
        <w:rPr>
          <w:rFonts w:hint="eastAsia" w:asciiTheme="minorEastAsia" w:hAnsiTheme="minorEastAsia"/>
          <w:highlight w:val="none"/>
        </w:rPr>
        <w:t>第二章</w:t>
      </w:r>
      <w:r>
        <w:rPr>
          <w:rFonts w:asciiTheme="minorEastAsia" w:hAnsiTheme="minorEastAsia"/>
          <w:highlight w:val="none"/>
        </w:rPr>
        <w:t xml:space="preserve"> </w:t>
      </w:r>
      <w:r>
        <w:rPr>
          <w:rFonts w:hint="eastAsia" w:asciiTheme="minorEastAsia" w:hAnsiTheme="minorEastAsia"/>
          <w:highlight w:val="none"/>
        </w:rPr>
        <w:t xml:space="preserve"> </w:t>
      </w:r>
      <w:r>
        <w:rPr>
          <w:rFonts w:asciiTheme="minorEastAsia" w:hAnsiTheme="minorEastAsia"/>
          <w:highlight w:val="none"/>
        </w:rPr>
        <w:t>投标人须知</w:t>
      </w:r>
      <w:r>
        <w:rPr>
          <w:highlight w:val="none"/>
        </w:rPr>
        <w:tab/>
      </w:r>
      <w:r>
        <w:rPr>
          <w:highlight w:val="none"/>
        </w:rPr>
        <w:fldChar w:fldCharType="begin"/>
      </w:r>
      <w:r>
        <w:rPr>
          <w:highlight w:val="none"/>
        </w:rPr>
        <w:instrText xml:space="preserve"> PAGEREF _Toc31935 \h </w:instrText>
      </w:r>
      <w:r>
        <w:rPr>
          <w:highlight w:val="none"/>
        </w:rPr>
        <w:fldChar w:fldCharType="separate"/>
      </w:r>
      <w:r>
        <w:rPr>
          <w:highlight w:val="none"/>
        </w:rPr>
        <w:t>10</w:t>
      </w:r>
      <w:r>
        <w:rPr>
          <w:highlight w:val="none"/>
        </w:rPr>
        <w:fldChar w:fldCharType="end"/>
      </w:r>
      <w:r>
        <w:rPr>
          <w:highlight w:val="none"/>
        </w:rPr>
        <w:fldChar w:fldCharType="end"/>
      </w:r>
    </w:p>
    <w:p w14:paraId="540DF2B9">
      <w:pPr>
        <w:pStyle w:val="17"/>
        <w:shd w:val="clear"/>
        <w:tabs>
          <w:tab w:val="right" w:leader="dot" w:pos="8306"/>
        </w:tabs>
        <w:rPr>
          <w:highlight w:val="none"/>
        </w:rPr>
      </w:pPr>
      <w:r>
        <w:rPr>
          <w:highlight w:val="none"/>
        </w:rPr>
        <w:fldChar w:fldCharType="begin"/>
      </w:r>
      <w:r>
        <w:rPr>
          <w:highlight w:val="none"/>
        </w:rPr>
        <w:instrText xml:space="preserve"> HYPERLINK \l "_Toc10891" </w:instrText>
      </w:r>
      <w:r>
        <w:rPr>
          <w:highlight w:val="none"/>
        </w:rPr>
        <w:fldChar w:fldCharType="separate"/>
      </w:r>
      <w:r>
        <w:rPr>
          <w:rFonts w:hint="eastAsia" w:asciiTheme="minorEastAsia" w:hAnsiTheme="minorEastAsia"/>
          <w:highlight w:val="none"/>
        </w:rPr>
        <w:t>第三章  采购需求</w:t>
      </w:r>
      <w:r>
        <w:rPr>
          <w:highlight w:val="none"/>
        </w:rPr>
        <w:tab/>
      </w:r>
      <w:r>
        <w:rPr>
          <w:highlight w:val="none"/>
        </w:rPr>
        <w:fldChar w:fldCharType="begin"/>
      </w:r>
      <w:r>
        <w:rPr>
          <w:highlight w:val="none"/>
        </w:rPr>
        <w:instrText xml:space="preserve"> PAGEREF _Toc10891 \h </w:instrText>
      </w:r>
      <w:r>
        <w:rPr>
          <w:highlight w:val="none"/>
        </w:rPr>
        <w:fldChar w:fldCharType="separate"/>
      </w:r>
      <w:r>
        <w:rPr>
          <w:highlight w:val="none"/>
        </w:rPr>
        <w:t>31</w:t>
      </w:r>
      <w:r>
        <w:rPr>
          <w:highlight w:val="none"/>
        </w:rPr>
        <w:fldChar w:fldCharType="end"/>
      </w:r>
      <w:r>
        <w:rPr>
          <w:highlight w:val="none"/>
        </w:rPr>
        <w:fldChar w:fldCharType="end"/>
      </w:r>
    </w:p>
    <w:p w14:paraId="2309FF48">
      <w:pPr>
        <w:pStyle w:val="17"/>
        <w:shd w:val="clear"/>
        <w:tabs>
          <w:tab w:val="right" w:leader="dot" w:pos="8306"/>
        </w:tabs>
        <w:rPr>
          <w:highlight w:val="none"/>
        </w:rPr>
      </w:pPr>
      <w:r>
        <w:rPr>
          <w:highlight w:val="none"/>
        </w:rPr>
        <w:fldChar w:fldCharType="begin"/>
      </w:r>
      <w:r>
        <w:rPr>
          <w:highlight w:val="none"/>
        </w:rPr>
        <w:instrText xml:space="preserve"> HYPERLINK \l "_Toc16417" </w:instrText>
      </w:r>
      <w:r>
        <w:rPr>
          <w:highlight w:val="none"/>
        </w:rPr>
        <w:fldChar w:fldCharType="separate"/>
      </w:r>
      <w:r>
        <w:rPr>
          <w:rFonts w:hint="eastAsia" w:asciiTheme="minorEastAsia" w:hAnsiTheme="minorEastAsia"/>
          <w:highlight w:val="none"/>
        </w:rPr>
        <w:t>第四章  评标方法和标准（综合评分法）</w:t>
      </w:r>
      <w:r>
        <w:rPr>
          <w:highlight w:val="none"/>
        </w:rPr>
        <w:tab/>
      </w:r>
      <w:r>
        <w:rPr>
          <w:highlight w:val="none"/>
        </w:rPr>
        <w:fldChar w:fldCharType="begin"/>
      </w:r>
      <w:r>
        <w:rPr>
          <w:highlight w:val="none"/>
        </w:rPr>
        <w:instrText xml:space="preserve"> PAGEREF _Toc16417 \h </w:instrText>
      </w:r>
      <w:r>
        <w:rPr>
          <w:highlight w:val="none"/>
        </w:rPr>
        <w:fldChar w:fldCharType="separate"/>
      </w:r>
      <w:r>
        <w:rPr>
          <w:highlight w:val="none"/>
        </w:rPr>
        <w:t>47</w:t>
      </w:r>
      <w:r>
        <w:rPr>
          <w:highlight w:val="none"/>
        </w:rPr>
        <w:fldChar w:fldCharType="end"/>
      </w:r>
      <w:r>
        <w:rPr>
          <w:highlight w:val="none"/>
        </w:rPr>
        <w:fldChar w:fldCharType="end"/>
      </w:r>
    </w:p>
    <w:p w14:paraId="59DCF857">
      <w:pPr>
        <w:pStyle w:val="17"/>
        <w:shd w:val="clear"/>
        <w:tabs>
          <w:tab w:val="right" w:leader="dot" w:pos="8306"/>
        </w:tabs>
        <w:rPr>
          <w:highlight w:val="none"/>
        </w:rPr>
      </w:pPr>
      <w:r>
        <w:rPr>
          <w:highlight w:val="none"/>
        </w:rPr>
        <w:fldChar w:fldCharType="begin"/>
      </w:r>
      <w:r>
        <w:rPr>
          <w:highlight w:val="none"/>
        </w:rPr>
        <w:instrText xml:space="preserve"> HYPERLINK \l "_Toc4682" </w:instrText>
      </w:r>
      <w:r>
        <w:rPr>
          <w:highlight w:val="none"/>
        </w:rPr>
        <w:fldChar w:fldCharType="separate"/>
      </w:r>
      <w:r>
        <w:rPr>
          <w:rFonts w:hint="eastAsia" w:asciiTheme="minorEastAsia" w:hAnsiTheme="minorEastAsia"/>
          <w:highlight w:val="none"/>
        </w:rPr>
        <w:t xml:space="preserve">第五章  </w:t>
      </w:r>
      <w:r>
        <w:rPr>
          <w:rFonts w:asciiTheme="minorEastAsia" w:hAnsiTheme="minorEastAsia"/>
          <w:highlight w:val="none"/>
        </w:rPr>
        <w:t>政府采购合同</w:t>
      </w:r>
      <w:r>
        <w:rPr>
          <w:highlight w:val="none"/>
        </w:rPr>
        <w:tab/>
      </w:r>
      <w:r>
        <w:rPr>
          <w:highlight w:val="none"/>
        </w:rPr>
        <w:fldChar w:fldCharType="begin"/>
      </w:r>
      <w:r>
        <w:rPr>
          <w:highlight w:val="none"/>
        </w:rPr>
        <w:instrText xml:space="preserve"> PAGEREF _Toc4682 \h </w:instrText>
      </w:r>
      <w:r>
        <w:rPr>
          <w:highlight w:val="none"/>
        </w:rPr>
        <w:fldChar w:fldCharType="separate"/>
      </w:r>
      <w:r>
        <w:rPr>
          <w:highlight w:val="none"/>
        </w:rPr>
        <w:t>56</w:t>
      </w:r>
      <w:r>
        <w:rPr>
          <w:highlight w:val="none"/>
        </w:rPr>
        <w:fldChar w:fldCharType="end"/>
      </w:r>
      <w:r>
        <w:rPr>
          <w:highlight w:val="none"/>
        </w:rPr>
        <w:fldChar w:fldCharType="end"/>
      </w:r>
    </w:p>
    <w:p w14:paraId="3A96B3E5">
      <w:pPr>
        <w:pStyle w:val="17"/>
        <w:shd w:val="clear"/>
        <w:tabs>
          <w:tab w:val="right" w:leader="dot" w:pos="8306"/>
        </w:tabs>
        <w:rPr>
          <w:highlight w:val="none"/>
        </w:rPr>
      </w:pPr>
      <w:r>
        <w:rPr>
          <w:highlight w:val="none"/>
        </w:rPr>
        <w:fldChar w:fldCharType="begin"/>
      </w:r>
      <w:r>
        <w:rPr>
          <w:highlight w:val="none"/>
        </w:rPr>
        <w:instrText xml:space="preserve"> HYPERLINK \l "_Toc22492" </w:instrText>
      </w:r>
      <w:r>
        <w:rPr>
          <w:highlight w:val="none"/>
        </w:rPr>
        <w:fldChar w:fldCharType="separate"/>
      </w:r>
      <w:r>
        <w:rPr>
          <w:rFonts w:hint="eastAsia" w:asciiTheme="minorEastAsia" w:hAnsiTheme="minorEastAsia"/>
          <w:highlight w:val="none"/>
        </w:rPr>
        <w:t>第六章  投标文件格式</w:t>
      </w:r>
      <w:r>
        <w:rPr>
          <w:highlight w:val="none"/>
        </w:rPr>
        <w:tab/>
      </w:r>
      <w:r>
        <w:rPr>
          <w:highlight w:val="none"/>
        </w:rPr>
        <w:fldChar w:fldCharType="begin"/>
      </w:r>
      <w:r>
        <w:rPr>
          <w:highlight w:val="none"/>
        </w:rPr>
        <w:instrText xml:space="preserve"> PAGEREF _Toc22492 \h </w:instrText>
      </w:r>
      <w:r>
        <w:rPr>
          <w:highlight w:val="none"/>
        </w:rPr>
        <w:fldChar w:fldCharType="separate"/>
      </w:r>
      <w:r>
        <w:rPr>
          <w:highlight w:val="none"/>
        </w:rPr>
        <w:t>56</w:t>
      </w:r>
      <w:r>
        <w:rPr>
          <w:highlight w:val="none"/>
        </w:rPr>
        <w:fldChar w:fldCharType="end"/>
      </w:r>
      <w:r>
        <w:rPr>
          <w:highlight w:val="none"/>
        </w:rPr>
        <w:fldChar w:fldCharType="end"/>
      </w:r>
    </w:p>
    <w:p w14:paraId="5E839302">
      <w:pPr>
        <w:pStyle w:val="17"/>
        <w:shd w:val="clear"/>
        <w:tabs>
          <w:tab w:val="right" w:leader="dot" w:pos="8306"/>
        </w:tabs>
        <w:rPr>
          <w:highlight w:val="none"/>
        </w:rPr>
      </w:pPr>
      <w:r>
        <w:rPr>
          <w:highlight w:val="none"/>
        </w:rPr>
        <w:fldChar w:fldCharType="begin"/>
      </w:r>
      <w:r>
        <w:rPr>
          <w:highlight w:val="none"/>
        </w:rPr>
        <w:instrText xml:space="preserve"> HYPERLINK \l "_Toc18131" </w:instrText>
      </w:r>
      <w:r>
        <w:rPr>
          <w:highlight w:val="none"/>
        </w:rPr>
        <w:fldChar w:fldCharType="separate"/>
      </w:r>
      <w:r>
        <w:rPr>
          <w:rFonts w:hint="eastAsia" w:asciiTheme="minorEastAsia" w:hAnsiTheme="minorEastAsia"/>
          <w:highlight w:val="none"/>
        </w:rPr>
        <w:t>第七章</w:t>
      </w:r>
      <w:r>
        <w:rPr>
          <w:rFonts w:hint="eastAsia" w:ascii="宋体" w:hAnsi="宋体" w:eastAsia="宋体"/>
          <w:bCs/>
          <w:highlight w:val="none"/>
        </w:rPr>
        <w:t xml:space="preserve">  政府采购</w:t>
      </w:r>
      <w:r>
        <w:rPr>
          <w:rFonts w:hint="eastAsia" w:asciiTheme="minorEastAsia" w:hAnsiTheme="minorEastAsia"/>
          <w:highlight w:val="none"/>
        </w:rPr>
        <w:t>供应</w:t>
      </w:r>
      <w:r>
        <w:rPr>
          <w:rFonts w:hint="eastAsia" w:ascii="宋体" w:hAnsi="宋体" w:eastAsia="宋体"/>
          <w:bCs/>
          <w:highlight w:val="none"/>
        </w:rPr>
        <w:t>商询问函和质疑函范本</w:t>
      </w:r>
      <w:r>
        <w:rPr>
          <w:highlight w:val="none"/>
        </w:rPr>
        <w:tab/>
      </w:r>
      <w:r>
        <w:rPr>
          <w:highlight w:val="none"/>
        </w:rPr>
        <w:fldChar w:fldCharType="begin"/>
      </w:r>
      <w:r>
        <w:rPr>
          <w:highlight w:val="none"/>
        </w:rPr>
        <w:instrText xml:space="preserve"> PAGEREF _Toc18131 \h </w:instrText>
      </w:r>
      <w:r>
        <w:rPr>
          <w:highlight w:val="none"/>
        </w:rPr>
        <w:fldChar w:fldCharType="separate"/>
      </w:r>
      <w:r>
        <w:rPr>
          <w:highlight w:val="none"/>
        </w:rPr>
        <w:t>84</w:t>
      </w:r>
      <w:r>
        <w:rPr>
          <w:highlight w:val="none"/>
        </w:rPr>
        <w:fldChar w:fldCharType="end"/>
      </w:r>
      <w:r>
        <w:rPr>
          <w:highlight w:val="none"/>
        </w:rPr>
        <w:fldChar w:fldCharType="end"/>
      </w:r>
    </w:p>
    <w:p w14:paraId="48105DB2">
      <w:pPr>
        <w:shd w:val="clear"/>
        <w:spacing w:line="360" w:lineRule="auto"/>
        <w:jc w:val="center"/>
        <w:rPr>
          <w:rFonts w:asciiTheme="minorEastAsia" w:hAnsiTheme="minorEastAsia" w:eastAsiaTheme="minorEastAsia"/>
          <w:szCs w:val="24"/>
          <w:highlight w:val="none"/>
        </w:rPr>
      </w:pPr>
      <w:r>
        <w:rPr>
          <w:rFonts w:asciiTheme="minorEastAsia" w:hAnsiTheme="minorEastAsia" w:eastAsiaTheme="minorEastAsia"/>
          <w:szCs w:val="24"/>
          <w:highlight w:val="none"/>
        </w:rPr>
        <w:fldChar w:fldCharType="end"/>
      </w:r>
      <w:bookmarkStart w:id="39" w:name="_Toc23443"/>
    </w:p>
    <w:p w14:paraId="46191B99">
      <w:pPr>
        <w:shd w:val="clear"/>
        <w:rPr>
          <w:rFonts w:asciiTheme="minorEastAsia" w:hAnsiTheme="minorEastAsia" w:eastAsiaTheme="minorEastAsia"/>
          <w:szCs w:val="24"/>
          <w:highlight w:val="none"/>
        </w:rPr>
      </w:pPr>
      <w:r>
        <w:rPr>
          <w:rFonts w:asciiTheme="minorEastAsia" w:hAnsiTheme="minorEastAsia" w:eastAsiaTheme="minorEastAsia"/>
          <w:szCs w:val="24"/>
          <w:highlight w:val="none"/>
        </w:rPr>
        <w:br w:type="page"/>
      </w:r>
    </w:p>
    <w:p w14:paraId="5720CCCC">
      <w:pPr>
        <w:shd w:val="clear"/>
        <w:spacing w:line="360" w:lineRule="auto"/>
        <w:jc w:val="center"/>
        <w:outlineLvl w:val="0"/>
        <w:rPr>
          <w:rFonts w:asciiTheme="minorEastAsia" w:hAnsiTheme="minorEastAsia" w:eastAsiaTheme="minorEastAsia"/>
          <w:b/>
          <w:sz w:val="28"/>
          <w:highlight w:val="none"/>
        </w:rPr>
      </w:pPr>
      <w:r>
        <w:rPr>
          <w:rFonts w:hint="eastAsia" w:asciiTheme="minorEastAsia" w:hAnsiTheme="minorEastAsia" w:eastAsiaTheme="minorEastAsia"/>
          <w:b/>
          <w:sz w:val="28"/>
          <w:highlight w:val="none"/>
        </w:rPr>
        <w:t xml:space="preserve">第一章 </w:t>
      </w:r>
      <w:r>
        <w:rPr>
          <w:rFonts w:asciiTheme="minorEastAsia" w:hAnsiTheme="minorEastAsia" w:eastAsiaTheme="minorEastAsia"/>
          <w:b/>
          <w:sz w:val="28"/>
          <w:highlight w:val="none"/>
        </w:rPr>
        <w:t xml:space="preserve"> 投标邀请</w:t>
      </w:r>
      <w:bookmarkEnd w:id="39"/>
    </w:p>
    <w:p w14:paraId="67B94087">
      <w:pPr>
        <w:shd w:val="clear"/>
        <w:spacing w:line="360" w:lineRule="auto"/>
        <w:ind w:firstLine="437"/>
        <w:outlineLvl w:val="1"/>
        <w:rPr>
          <w:rFonts w:ascii="宋体" w:hAnsi="宋体" w:eastAsia="宋体"/>
          <w:b/>
          <w:bCs/>
          <w:sz w:val="24"/>
          <w:szCs w:val="18"/>
          <w:highlight w:val="none"/>
        </w:rPr>
      </w:pPr>
      <w:bookmarkStart w:id="40" w:name="_Toc1381"/>
      <w:bookmarkStart w:id="41" w:name="_Toc5842"/>
      <w:r>
        <w:rPr>
          <w:rFonts w:hint="eastAsia" w:ascii="宋体" w:hAnsi="宋体" w:eastAsia="宋体"/>
          <w:b/>
          <w:bCs/>
          <w:sz w:val="24"/>
          <w:szCs w:val="18"/>
          <w:highlight w:val="none"/>
        </w:rPr>
        <w:t>一、</w:t>
      </w:r>
      <w:bookmarkEnd w:id="40"/>
      <w:r>
        <w:rPr>
          <w:rFonts w:hint="eastAsia" w:ascii="宋体" w:hAnsi="宋体" w:eastAsia="宋体"/>
          <w:b/>
          <w:bCs/>
          <w:sz w:val="24"/>
          <w:szCs w:val="18"/>
          <w:highlight w:val="none"/>
        </w:rPr>
        <w:t>项目基本情况</w:t>
      </w:r>
      <w:bookmarkEnd w:id="41"/>
    </w:p>
    <w:p w14:paraId="6CF39A4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1.项目编号：</w:t>
      </w:r>
      <w:r>
        <w:rPr>
          <w:rFonts w:hint="eastAsia" w:asciiTheme="minorEastAsia" w:hAnsiTheme="minorEastAsia" w:eastAsiaTheme="minorEastAsia" w:cstheme="minorEastAsia"/>
          <w:sz w:val="24"/>
          <w:szCs w:val="24"/>
          <w:highlight w:val="none"/>
          <w:u w:val="single"/>
        </w:rPr>
        <w:t>详见招标公告</w:t>
      </w:r>
    </w:p>
    <w:p w14:paraId="5CDF36A0">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2.项目名称：</w:t>
      </w:r>
      <w:r>
        <w:rPr>
          <w:rFonts w:hint="eastAsia" w:asciiTheme="minorEastAsia" w:hAnsiTheme="minorEastAsia" w:eastAsiaTheme="minorEastAsia" w:cstheme="minorEastAsia"/>
          <w:sz w:val="24"/>
          <w:szCs w:val="24"/>
          <w:highlight w:val="none"/>
          <w:u w:val="single"/>
        </w:rPr>
        <w:t>详见招标公告</w:t>
      </w:r>
    </w:p>
    <w:p w14:paraId="0286646D">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3.预算金额：</w:t>
      </w:r>
      <w:r>
        <w:rPr>
          <w:rFonts w:hint="eastAsia" w:asciiTheme="minorEastAsia" w:hAnsiTheme="minorEastAsia" w:eastAsiaTheme="minorEastAsia" w:cstheme="minorEastAsia"/>
          <w:sz w:val="24"/>
          <w:szCs w:val="24"/>
          <w:highlight w:val="none"/>
          <w:u w:val="single"/>
        </w:rPr>
        <w:t>详见招标公告</w:t>
      </w:r>
    </w:p>
    <w:p w14:paraId="747D5EE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4.最高限价：</w:t>
      </w:r>
      <w:r>
        <w:rPr>
          <w:rFonts w:hint="eastAsia" w:asciiTheme="minorEastAsia" w:hAnsiTheme="minorEastAsia" w:eastAsiaTheme="minorEastAsia" w:cstheme="minorEastAsia"/>
          <w:sz w:val="24"/>
          <w:szCs w:val="24"/>
          <w:highlight w:val="none"/>
          <w:u w:val="single"/>
        </w:rPr>
        <w:t>详见招标公告</w:t>
      </w:r>
    </w:p>
    <w:p w14:paraId="1FF7CDA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5.采购需求：</w:t>
      </w:r>
      <w:r>
        <w:rPr>
          <w:rFonts w:hint="eastAsia" w:asciiTheme="minorEastAsia" w:hAnsiTheme="minorEastAsia" w:eastAsiaTheme="minorEastAsia" w:cstheme="minorEastAsia"/>
          <w:sz w:val="24"/>
          <w:szCs w:val="24"/>
          <w:highlight w:val="none"/>
          <w:u w:val="single"/>
        </w:rPr>
        <w:t>详见招标公告</w:t>
      </w:r>
    </w:p>
    <w:p w14:paraId="03E4C21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6.合同履行期限：</w:t>
      </w:r>
      <w:r>
        <w:rPr>
          <w:rFonts w:hint="eastAsia" w:asciiTheme="minorEastAsia" w:hAnsiTheme="minorEastAsia" w:eastAsiaTheme="minorEastAsia" w:cstheme="minorEastAsia"/>
          <w:sz w:val="24"/>
          <w:szCs w:val="24"/>
          <w:highlight w:val="none"/>
          <w:u w:val="single"/>
        </w:rPr>
        <w:t>详见招标公告</w:t>
      </w:r>
    </w:p>
    <w:p w14:paraId="22848A5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7.本项目</w:t>
      </w:r>
      <w:r>
        <w:rPr>
          <w:rFonts w:hint="eastAsia" w:ascii="宋体" w:hAnsi="宋体" w:eastAsia="宋体" w:cs="宋体"/>
          <w:sz w:val="24"/>
          <w:szCs w:val="24"/>
          <w:highlight w:val="none"/>
        </w:rPr>
        <w:t>（</w:t>
      </w:r>
      <w:r>
        <w:rPr>
          <w:rFonts w:hint="eastAsia" w:ascii="宋体" w:hAnsi="宋体" w:eastAsia="宋体" w:cs="宋体"/>
          <w:sz w:val="24"/>
          <w:szCs w:val="24"/>
          <w:highlight w:val="none"/>
        </w:rPr>
        <w:sym w:font="Wingdings" w:char="F0A8"/>
      </w:r>
      <w:r>
        <w:rPr>
          <w:rFonts w:hint="eastAsia" w:ascii="宋体" w:hAnsi="宋体" w:eastAsia="宋体" w:cs="宋体"/>
          <w:sz w:val="24"/>
          <w:szCs w:val="24"/>
          <w:highlight w:val="none"/>
        </w:rPr>
        <w:t>是/</w:t>
      </w:r>
      <w:r>
        <w:rPr>
          <w:rFonts w:hint="eastAsia" w:ascii="宋体" w:hAnsi="宋体" w:eastAsia="宋体" w:cs="宋体"/>
          <w:sz w:val="24"/>
          <w:szCs w:val="24"/>
          <w:highlight w:val="none"/>
        </w:rPr>
        <w:sym w:font="Wingdings 2" w:char="F052"/>
      </w:r>
      <w:r>
        <w:rPr>
          <w:rFonts w:hint="eastAsia" w:ascii="宋体" w:hAnsi="宋体" w:eastAsia="宋体" w:cs="宋体"/>
          <w:sz w:val="24"/>
          <w:szCs w:val="24"/>
          <w:highlight w:val="none"/>
        </w:rPr>
        <w:t>否）</w:t>
      </w:r>
      <w:r>
        <w:rPr>
          <w:rFonts w:hint="eastAsia" w:asciiTheme="minorEastAsia" w:hAnsiTheme="minorEastAsia" w:eastAsiaTheme="minorEastAsia"/>
          <w:sz w:val="24"/>
          <w:highlight w:val="none"/>
        </w:rPr>
        <w:t>接受联合体投标。</w:t>
      </w:r>
    </w:p>
    <w:p w14:paraId="07547E18">
      <w:pPr>
        <w:shd w:val="clear"/>
        <w:spacing w:line="360" w:lineRule="auto"/>
        <w:ind w:firstLine="437"/>
        <w:outlineLvl w:val="1"/>
        <w:rPr>
          <w:rFonts w:ascii="宋体" w:hAnsi="宋体" w:eastAsia="宋体"/>
          <w:b/>
          <w:bCs/>
          <w:sz w:val="24"/>
          <w:szCs w:val="18"/>
          <w:highlight w:val="none"/>
        </w:rPr>
      </w:pPr>
      <w:bookmarkStart w:id="42" w:name="_Toc13530"/>
      <w:bookmarkStart w:id="43" w:name="_Toc26178"/>
      <w:r>
        <w:rPr>
          <w:rFonts w:hint="eastAsia" w:ascii="宋体" w:hAnsi="宋体" w:eastAsia="宋体"/>
          <w:b/>
          <w:bCs/>
          <w:sz w:val="24"/>
          <w:szCs w:val="18"/>
          <w:highlight w:val="none"/>
        </w:rPr>
        <w:t>二、</w:t>
      </w:r>
      <w:bookmarkEnd w:id="42"/>
      <w:r>
        <w:rPr>
          <w:rFonts w:hint="eastAsia" w:ascii="宋体" w:hAnsi="宋体" w:eastAsia="宋体"/>
          <w:b/>
          <w:bCs/>
          <w:sz w:val="24"/>
          <w:szCs w:val="18"/>
          <w:highlight w:val="none"/>
        </w:rPr>
        <w:t>申请人的资格要求</w:t>
      </w:r>
      <w:bookmarkEnd w:id="43"/>
    </w:p>
    <w:p w14:paraId="1322A7EB">
      <w:pPr>
        <w:shd w:val="clear"/>
        <w:spacing w:line="360" w:lineRule="auto"/>
        <w:ind w:firstLine="435"/>
        <w:rPr>
          <w:rFonts w:eastAsiaTheme="minorEastAsia"/>
          <w:highlight w:val="none"/>
        </w:rPr>
      </w:pPr>
      <w:r>
        <w:rPr>
          <w:rFonts w:hint="eastAsia" w:asciiTheme="minorEastAsia" w:hAnsiTheme="minorEastAsia" w:eastAsiaTheme="minorEastAsia" w:cstheme="minorEastAsia"/>
          <w:sz w:val="24"/>
          <w:szCs w:val="24"/>
          <w:highlight w:val="none"/>
          <w:u w:val="single"/>
        </w:rPr>
        <w:t>详见招标公告中申请人的资格要求</w:t>
      </w:r>
      <w:r>
        <w:rPr>
          <w:rFonts w:hint="eastAsia" w:asciiTheme="minorEastAsia" w:hAnsiTheme="minorEastAsia" w:eastAsiaTheme="minorEastAsia"/>
          <w:sz w:val="24"/>
          <w:highlight w:val="none"/>
        </w:rPr>
        <w:t>。</w:t>
      </w:r>
    </w:p>
    <w:p w14:paraId="3C4AAEE9">
      <w:pPr>
        <w:shd w:val="clear"/>
        <w:spacing w:line="360" w:lineRule="auto"/>
        <w:ind w:firstLine="437"/>
        <w:outlineLvl w:val="1"/>
        <w:rPr>
          <w:rFonts w:ascii="宋体" w:hAnsi="宋体" w:eastAsia="宋体"/>
          <w:b/>
          <w:bCs/>
          <w:sz w:val="24"/>
          <w:szCs w:val="18"/>
          <w:highlight w:val="none"/>
        </w:rPr>
      </w:pPr>
      <w:bookmarkStart w:id="44" w:name="_Toc30110"/>
      <w:bookmarkStart w:id="45" w:name="_Toc32089"/>
      <w:r>
        <w:rPr>
          <w:rFonts w:hint="eastAsia" w:ascii="宋体" w:hAnsi="宋体" w:eastAsia="宋体"/>
          <w:b/>
          <w:bCs/>
          <w:sz w:val="24"/>
          <w:szCs w:val="18"/>
          <w:highlight w:val="none"/>
        </w:rPr>
        <w:t>三、</w:t>
      </w:r>
      <w:bookmarkEnd w:id="44"/>
      <w:r>
        <w:rPr>
          <w:rFonts w:hint="eastAsia" w:ascii="宋体" w:hAnsi="宋体" w:eastAsia="宋体"/>
          <w:b/>
          <w:bCs/>
          <w:sz w:val="24"/>
          <w:szCs w:val="18"/>
          <w:highlight w:val="none"/>
        </w:rPr>
        <w:t>获取招标文件</w:t>
      </w:r>
      <w:bookmarkEnd w:id="45"/>
    </w:p>
    <w:p w14:paraId="05586C79">
      <w:pPr>
        <w:shd w:val="clear"/>
        <w:spacing w:line="360" w:lineRule="auto"/>
        <w:ind w:firstLine="540"/>
        <w:rPr>
          <w:rFonts w:asciiTheme="minorEastAsia" w:hAnsiTheme="minorEastAsia" w:eastAsiaTheme="minorEastAsia" w:cstheme="minorEastAsia"/>
          <w:sz w:val="24"/>
          <w:szCs w:val="24"/>
          <w:highlight w:val="none"/>
        </w:rPr>
      </w:pPr>
      <w:bookmarkStart w:id="46" w:name="_Toc7957"/>
      <w:r>
        <w:rPr>
          <w:rFonts w:hint="eastAsia" w:asciiTheme="minorEastAsia" w:hAnsiTheme="minorEastAsia" w:eastAsiaTheme="minorEastAsia" w:cstheme="minorEastAsia"/>
          <w:sz w:val="24"/>
          <w:szCs w:val="24"/>
          <w:highlight w:val="none"/>
        </w:rPr>
        <w:t>时间：</w:t>
      </w:r>
      <w:r>
        <w:rPr>
          <w:rFonts w:hint="eastAsia" w:asciiTheme="minorEastAsia" w:hAnsiTheme="minorEastAsia" w:eastAsiaTheme="minorEastAsia" w:cstheme="minorEastAsia"/>
          <w:sz w:val="24"/>
          <w:szCs w:val="24"/>
          <w:highlight w:val="none"/>
          <w:u w:val="single"/>
        </w:rPr>
        <w:t>详见招标公告</w:t>
      </w:r>
    </w:p>
    <w:p w14:paraId="103A367C">
      <w:pPr>
        <w:shd w:val="clear"/>
        <w:spacing w:line="360" w:lineRule="auto"/>
        <w:ind w:firstLine="540"/>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sz w:val="24"/>
          <w:szCs w:val="24"/>
          <w:highlight w:val="none"/>
        </w:rPr>
        <w:t>地点：</w:t>
      </w:r>
      <w:r>
        <w:rPr>
          <w:rFonts w:hint="eastAsia" w:asciiTheme="minorEastAsia" w:hAnsiTheme="minorEastAsia" w:eastAsiaTheme="minorEastAsia" w:cstheme="minorEastAsia"/>
          <w:sz w:val="24"/>
          <w:szCs w:val="24"/>
          <w:highlight w:val="none"/>
          <w:u w:val="single"/>
        </w:rPr>
        <w:t>详见招标公告</w:t>
      </w:r>
    </w:p>
    <w:p w14:paraId="7B9F9D68">
      <w:pPr>
        <w:shd w:val="clear"/>
        <w:spacing w:line="360" w:lineRule="auto"/>
        <w:ind w:firstLine="540"/>
        <w:rPr>
          <w:rFonts w:asciiTheme="minorEastAsia" w:hAnsiTheme="minorEastAsia" w:eastAsiaTheme="minorEastAsia" w:cstheme="minorEastAsia"/>
          <w:sz w:val="24"/>
          <w:szCs w:val="24"/>
          <w:highlight w:val="none"/>
          <w:u w:val="single"/>
        </w:rPr>
      </w:pPr>
      <w:r>
        <w:rPr>
          <w:rFonts w:hint="eastAsia" w:asciiTheme="minorEastAsia" w:hAnsiTheme="minorEastAsia" w:eastAsiaTheme="minorEastAsia" w:cstheme="minorEastAsia"/>
          <w:sz w:val="24"/>
          <w:szCs w:val="24"/>
          <w:highlight w:val="none"/>
        </w:rPr>
        <w:t>方式：</w:t>
      </w:r>
      <w:r>
        <w:rPr>
          <w:rFonts w:hint="eastAsia" w:asciiTheme="minorEastAsia" w:hAnsiTheme="minorEastAsia" w:eastAsiaTheme="minorEastAsia" w:cstheme="minorEastAsia"/>
          <w:sz w:val="24"/>
          <w:szCs w:val="24"/>
          <w:highlight w:val="none"/>
          <w:u w:val="single"/>
        </w:rPr>
        <w:t>详见招标公告</w:t>
      </w:r>
    </w:p>
    <w:p w14:paraId="2C8EDA05">
      <w:pPr>
        <w:shd w:val="clear"/>
        <w:spacing w:line="360" w:lineRule="auto"/>
        <w:ind w:firstLine="437"/>
        <w:outlineLvl w:val="1"/>
        <w:rPr>
          <w:rFonts w:ascii="宋体" w:hAnsi="宋体" w:eastAsia="宋体"/>
          <w:b/>
          <w:bCs/>
          <w:sz w:val="24"/>
          <w:szCs w:val="18"/>
          <w:highlight w:val="none"/>
        </w:rPr>
      </w:pPr>
      <w:bookmarkStart w:id="47" w:name="_Toc19726"/>
      <w:r>
        <w:rPr>
          <w:rFonts w:hint="eastAsia" w:ascii="宋体" w:hAnsi="宋体" w:eastAsia="宋体"/>
          <w:b/>
          <w:bCs/>
          <w:sz w:val="24"/>
          <w:szCs w:val="18"/>
          <w:highlight w:val="none"/>
        </w:rPr>
        <w:t>四、</w:t>
      </w:r>
      <w:bookmarkEnd w:id="46"/>
      <w:r>
        <w:rPr>
          <w:rFonts w:hint="eastAsia" w:ascii="宋体" w:hAnsi="宋体" w:eastAsia="宋体"/>
          <w:b/>
          <w:bCs/>
          <w:sz w:val="24"/>
          <w:szCs w:val="18"/>
          <w:highlight w:val="none"/>
        </w:rPr>
        <w:t>提交投标文件截止时间、开标时间和地点</w:t>
      </w:r>
      <w:bookmarkEnd w:id="47"/>
    </w:p>
    <w:p w14:paraId="244A8579">
      <w:pPr>
        <w:shd w:val="clear"/>
        <w:spacing w:line="360" w:lineRule="auto"/>
        <w:ind w:firstLine="480" w:firstLineChars="200"/>
        <w:rPr>
          <w:rFonts w:asciiTheme="minorEastAsia" w:hAnsiTheme="minorEastAsia" w:eastAsiaTheme="minorEastAsia" w:cstheme="minorEastAsia"/>
          <w:bCs/>
          <w:sz w:val="24"/>
          <w:szCs w:val="24"/>
          <w:highlight w:val="none"/>
          <w:u w:val="single"/>
        </w:rPr>
      </w:pPr>
      <w:bookmarkStart w:id="48" w:name="_Toc178465386"/>
      <w:bookmarkStart w:id="49" w:name="_Toc5082"/>
      <w:r>
        <w:rPr>
          <w:rFonts w:hint="eastAsia" w:asciiTheme="minorEastAsia" w:hAnsiTheme="minorEastAsia" w:eastAsiaTheme="minorEastAsia" w:cstheme="minorEastAsia"/>
          <w:bCs/>
          <w:sz w:val="24"/>
          <w:szCs w:val="24"/>
          <w:highlight w:val="none"/>
        </w:rPr>
        <w:t>时间：</w:t>
      </w:r>
      <w:r>
        <w:rPr>
          <w:rFonts w:hint="eastAsia" w:asciiTheme="minorEastAsia" w:hAnsiTheme="minorEastAsia" w:eastAsiaTheme="minorEastAsia" w:cstheme="minorEastAsia"/>
          <w:bCs/>
          <w:sz w:val="24"/>
          <w:szCs w:val="24"/>
          <w:highlight w:val="none"/>
          <w:u w:val="single"/>
        </w:rPr>
        <w:t>详见招标公告</w:t>
      </w:r>
      <w:bookmarkEnd w:id="48"/>
    </w:p>
    <w:p w14:paraId="41684D8E">
      <w:pPr>
        <w:shd w:val="clear"/>
        <w:spacing w:line="360" w:lineRule="auto"/>
        <w:ind w:firstLine="480" w:firstLineChars="200"/>
        <w:rPr>
          <w:rFonts w:asciiTheme="minorEastAsia" w:hAnsiTheme="minorEastAsia" w:eastAsiaTheme="minorEastAsia" w:cstheme="minorEastAsia"/>
          <w:bCs/>
          <w:sz w:val="24"/>
          <w:szCs w:val="24"/>
          <w:highlight w:val="none"/>
          <w:u w:val="single"/>
        </w:rPr>
      </w:pPr>
      <w:bookmarkStart w:id="50" w:name="_Toc178465387"/>
      <w:r>
        <w:rPr>
          <w:rFonts w:hint="eastAsia" w:asciiTheme="minorEastAsia" w:hAnsiTheme="minorEastAsia" w:eastAsiaTheme="minorEastAsia" w:cstheme="minorEastAsia"/>
          <w:bCs/>
          <w:sz w:val="24"/>
          <w:szCs w:val="24"/>
          <w:highlight w:val="none"/>
        </w:rPr>
        <w:t>地点：</w:t>
      </w:r>
      <w:r>
        <w:rPr>
          <w:rFonts w:hint="eastAsia" w:asciiTheme="minorEastAsia" w:hAnsiTheme="minorEastAsia" w:eastAsiaTheme="minorEastAsia" w:cstheme="minorEastAsia"/>
          <w:bCs/>
          <w:sz w:val="24"/>
          <w:szCs w:val="24"/>
          <w:highlight w:val="none"/>
          <w:u w:val="single"/>
        </w:rPr>
        <w:t>详见招标公告</w:t>
      </w:r>
      <w:bookmarkEnd w:id="50"/>
    </w:p>
    <w:p w14:paraId="5E0C0E8E">
      <w:pPr>
        <w:shd w:val="clear"/>
        <w:spacing w:line="360" w:lineRule="auto"/>
        <w:ind w:firstLine="437"/>
        <w:outlineLvl w:val="1"/>
        <w:rPr>
          <w:rFonts w:ascii="宋体" w:hAnsi="宋体" w:eastAsia="宋体"/>
          <w:b/>
          <w:bCs/>
          <w:sz w:val="24"/>
          <w:szCs w:val="18"/>
          <w:highlight w:val="none"/>
        </w:rPr>
      </w:pPr>
      <w:bookmarkStart w:id="51" w:name="_Toc28531"/>
      <w:r>
        <w:rPr>
          <w:rFonts w:hint="eastAsia" w:ascii="宋体" w:hAnsi="宋体" w:eastAsia="宋体"/>
          <w:b/>
          <w:bCs/>
          <w:sz w:val="24"/>
          <w:szCs w:val="18"/>
          <w:highlight w:val="none"/>
        </w:rPr>
        <w:t>五、</w:t>
      </w:r>
      <w:bookmarkEnd w:id="49"/>
      <w:r>
        <w:rPr>
          <w:rFonts w:hint="eastAsia" w:ascii="宋体" w:hAnsi="宋体" w:eastAsia="宋体"/>
          <w:b/>
          <w:bCs/>
          <w:sz w:val="24"/>
          <w:szCs w:val="18"/>
          <w:highlight w:val="none"/>
        </w:rPr>
        <w:t>公告期限</w:t>
      </w:r>
      <w:bookmarkEnd w:id="51"/>
    </w:p>
    <w:p w14:paraId="65085C72">
      <w:pPr>
        <w:shd w:val="clear"/>
        <w:spacing w:line="360" w:lineRule="auto"/>
        <w:ind w:firstLine="437"/>
        <w:rPr>
          <w:rFonts w:ascii="宋体" w:hAnsi="宋体" w:eastAsia="宋体"/>
          <w:sz w:val="24"/>
          <w:szCs w:val="18"/>
          <w:highlight w:val="none"/>
        </w:rPr>
      </w:pPr>
      <w:bookmarkStart w:id="52" w:name="_Toc1215"/>
      <w:r>
        <w:rPr>
          <w:rFonts w:hint="eastAsia" w:ascii="宋体" w:hAnsi="宋体" w:eastAsia="宋体"/>
          <w:sz w:val="24"/>
          <w:szCs w:val="18"/>
          <w:highlight w:val="none"/>
        </w:rPr>
        <w:t>自本公告发布之日起5个工作日。</w:t>
      </w:r>
    </w:p>
    <w:p w14:paraId="565A1032">
      <w:pPr>
        <w:shd w:val="clear"/>
        <w:spacing w:line="360" w:lineRule="auto"/>
        <w:ind w:firstLine="437"/>
        <w:outlineLvl w:val="1"/>
        <w:rPr>
          <w:rFonts w:ascii="宋体" w:hAnsi="宋体" w:eastAsia="宋体"/>
          <w:b/>
          <w:bCs/>
          <w:sz w:val="24"/>
          <w:szCs w:val="18"/>
          <w:highlight w:val="none"/>
        </w:rPr>
      </w:pPr>
      <w:bookmarkStart w:id="53" w:name="_Toc8807"/>
      <w:bookmarkStart w:id="54" w:name="_Toc35393795"/>
      <w:bookmarkStart w:id="55" w:name="_Toc35393626"/>
      <w:r>
        <w:rPr>
          <w:rFonts w:hint="eastAsia" w:ascii="宋体" w:hAnsi="宋体" w:eastAsia="宋体"/>
          <w:b/>
          <w:bCs/>
          <w:sz w:val="24"/>
          <w:szCs w:val="18"/>
          <w:highlight w:val="none"/>
        </w:rPr>
        <w:t>六、其他补充事宜</w:t>
      </w:r>
      <w:bookmarkEnd w:id="53"/>
      <w:bookmarkEnd w:id="54"/>
      <w:bookmarkEnd w:id="55"/>
    </w:p>
    <w:p w14:paraId="78D953FD">
      <w:pPr>
        <w:pStyle w:val="8"/>
        <w:shd w:val="clear"/>
        <w:spacing w:after="0" w:line="360" w:lineRule="auto"/>
        <w:ind w:firstLine="480" w:firstLineChars="200"/>
        <w:rPr>
          <w:rFonts w:ascii="宋体" w:hAnsi="宋体" w:eastAsia="宋体"/>
          <w:sz w:val="24"/>
          <w:szCs w:val="18"/>
          <w:highlight w:val="none"/>
          <w:u w:val="single"/>
          <w:lang w:val="en-US"/>
        </w:rPr>
      </w:pPr>
      <w:r>
        <w:rPr>
          <w:rFonts w:hint="eastAsia" w:ascii="宋体" w:hAnsi="宋体" w:eastAsia="宋体"/>
          <w:sz w:val="24"/>
          <w:szCs w:val="18"/>
          <w:highlight w:val="none"/>
          <w:u w:val="single"/>
          <w:lang w:val="en-US"/>
        </w:rPr>
        <w:t>详见招标公告</w:t>
      </w:r>
    </w:p>
    <w:bookmarkEnd w:id="52"/>
    <w:p w14:paraId="1A07881E">
      <w:pPr>
        <w:shd w:val="clear"/>
        <w:spacing w:line="360" w:lineRule="auto"/>
        <w:ind w:firstLine="437"/>
        <w:outlineLvl w:val="1"/>
        <w:rPr>
          <w:rFonts w:ascii="宋体" w:hAnsi="宋体" w:eastAsia="宋体"/>
          <w:b/>
          <w:bCs/>
          <w:sz w:val="24"/>
          <w:szCs w:val="18"/>
          <w:highlight w:val="none"/>
        </w:rPr>
      </w:pPr>
      <w:bookmarkStart w:id="56" w:name="_Toc7265"/>
      <w:bookmarkStart w:id="57" w:name="_Toc3854"/>
      <w:r>
        <w:rPr>
          <w:rFonts w:hint="eastAsia" w:ascii="宋体" w:hAnsi="宋体" w:eastAsia="宋体"/>
          <w:b/>
          <w:bCs/>
          <w:sz w:val="24"/>
          <w:szCs w:val="18"/>
          <w:highlight w:val="none"/>
        </w:rPr>
        <w:t>七、</w:t>
      </w:r>
      <w:bookmarkEnd w:id="56"/>
      <w:r>
        <w:rPr>
          <w:rFonts w:hint="eastAsia" w:ascii="宋体" w:hAnsi="宋体" w:eastAsia="宋体"/>
          <w:b/>
          <w:bCs/>
          <w:sz w:val="24"/>
          <w:szCs w:val="18"/>
          <w:highlight w:val="none"/>
        </w:rPr>
        <w:t>对本次招标提出询问，请按以下方式联系</w:t>
      </w:r>
      <w:bookmarkEnd w:id="57"/>
    </w:p>
    <w:p w14:paraId="17163C33">
      <w:pPr>
        <w:shd w:val="clear"/>
        <w:spacing w:line="360" w:lineRule="auto"/>
        <w:ind w:firstLine="437"/>
        <w:outlineLvl w:val="2"/>
        <w:rPr>
          <w:rFonts w:ascii="宋体" w:hAnsi="宋体" w:eastAsia="宋体"/>
          <w:sz w:val="24"/>
          <w:szCs w:val="18"/>
          <w:highlight w:val="none"/>
        </w:rPr>
      </w:pPr>
      <w:r>
        <w:rPr>
          <w:rFonts w:hint="eastAsia" w:ascii="宋体" w:hAnsi="宋体" w:eastAsia="宋体"/>
          <w:sz w:val="24"/>
          <w:szCs w:val="18"/>
          <w:highlight w:val="none"/>
        </w:rPr>
        <w:t>1.采购人信息</w:t>
      </w:r>
    </w:p>
    <w:p w14:paraId="7B51F399">
      <w:pPr>
        <w:shd w:val="clear"/>
        <w:spacing w:line="360" w:lineRule="auto"/>
        <w:ind w:firstLine="435"/>
        <w:rPr>
          <w:rFonts w:ascii="宋体" w:hAnsi="宋体" w:eastAsia="宋体"/>
          <w:sz w:val="24"/>
          <w:szCs w:val="18"/>
          <w:highlight w:val="none"/>
        </w:rPr>
      </w:pPr>
      <w:r>
        <w:rPr>
          <w:rFonts w:hint="eastAsia" w:ascii="宋体" w:hAnsi="宋体" w:eastAsia="宋体" w:cs="宋体"/>
          <w:sz w:val="24"/>
          <w:szCs w:val="24"/>
          <w:highlight w:val="none"/>
        </w:rPr>
        <w:t>名  称</w:t>
      </w:r>
      <w:r>
        <w:rPr>
          <w:rFonts w:hint="eastAsia" w:ascii="宋体" w:hAnsi="宋体" w:eastAsia="宋体"/>
          <w:sz w:val="24"/>
          <w:szCs w:val="18"/>
          <w:highlight w:val="none"/>
        </w:rPr>
        <w:t>：</w:t>
      </w:r>
      <w:r>
        <w:rPr>
          <w:rFonts w:hint="eastAsia" w:ascii="宋体" w:hAnsi="宋体" w:eastAsia="宋体"/>
          <w:sz w:val="24"/>
          <w:szCs w:val="18"/>
          <w:highlight w:val="none"/>
          <w:u w:val="single"/>
        </w:rPr>
        <w:t>安徽中医药大学第二附属医院</w:t>
      </w:r>
    </w:p>
    <w:p w14:paraId="2F66E8F6">
      <w:pPr>
        <w:shd w:val="clear"/>
        <w:spacing w:line="360" w:lineRule="auto"/>
        <w:ind w:firstLine="435"/>
        <w:rPr>
          <w:rFonts w:ascii="宋体" w:hAnsi="宋体" w:eastAsia="宋体"/>
          <w:sz w:val="24"/>
          <w:szCs w:val="18"/>
          <w:highlight w:val="none"/>
          <w:u w:val="single"/>
        </w:rPr>
      </w:pPr>
      <w:r>
        <w:rPr>
          <w:rFonts w:hint="eastAsia" w:ascii="宋体" w:hAnsi="宋体" w:eastAsia="宋体"/>
          <w:sz w:val="24"/>
          <w:szCs w:val="18"/>
          <w:highlight w:val="none"/>
        </w:rPr>
        <w:t xml:space="preserve">地 </w:t>
      </w:r>
      <w:r>
        <w:rPr>
          <w:rFonts w:ascii="宋体" w:hAnsi="宋体" w:eastAsia="宋体"/>
          <w:sz w:val="24"/>
          <w:szCs w:val="18"/>
          <w:highlight w:val="none"/>
        </w:rPr>
        <w:t xml:space="preserve"> </w:t>
      </w:r>
      <w:r>
        <w:rPr>
          <w:rFonts w:hint="eastAsia" w:ascii="宋体" w:hAnsi="宋体" w:eastAsia="宋体"/>
          <w:sz w:val="24"/>
          <w:szCs w:val="18"/>
          <w:highlight w:val="none"/>
        </w:rPr>
        <w:t>址：</w:t>
      </w:r>
      <w:r>
        <w:rPr>
          <w:rFonts w:hint="eastAsia" w:ascii="宋体" w:hAnsi="宋体" w:eastAsia="宋体"/>
          <w:sz w:val="24"/>
          <w:szCs w:val="18"/>
          <w:highlight w:val="none"/>
          <w:u w:val="single"/>
        </w:rPr>
        <w:t>合肥市庐阳区寿春路300号</w:t>
      </w:r>
    </w:p>
    <w:p w14:paraId="1999B4CF">
      <w:pPr>
        <w:shd w:val="clear"/>
        <w:spacing w:line="360" w:lineRule="auto"/>
        <w:ind w:firstLine="435"/>
        <w:rPr>
          <w:rFonts w:ascii="宋体" w:hAnsi="宋体" w:eastAsia="宋体"/>
          <w:sz w:val="24"/>
          <w:szCs w:val="18"/>
          <w:highlight w:val="none"/>
        </w:rPr>
      </w:pPr>
      <w:r>
        <w:rPr>
          <w:rFonts w:hint="eastAsia" w:ascii="宋体" w:hAnsi="宋体" w:eastAsia="宋体"/>
          <w:sz w:val="24"/>
          <w:szCs w:val="18"/>
          <w:highlight w:val="none"/>
        </w:rPr>
        <w:t>联系人：</w:t>
      </w:r>
      <w:r>
        <w:rPr>
          <w:rFonts w:hint="eastAsia" w:ascii="宋体" w:hAnsi="宋体" w:eastAsia="宋体"/>
          <w:sz w:val="24"/>
          <w:szCs w:val="18"/>
          <w:highlight w:val="none"/>
          <w:u w:val="single"/>
        </w:rPr>
        <w:t>高老师</w:t>
      </w:r>
    </w:p>
    <w:p w14:paraId="100942C8">
      <w:pPr>
        <w:shd w:val="clear"/>
        <w:spacing w:line="360" w:lineRule="auto"/>
        <w:ind w:firstLine="435"/>
        <w:rPr>
          <w:rFonts w:ascii="宋体" w:hAnsi="宋体" w:eastAsia="宋体"/>
          <w:sz w:val="24"/>
          <w:szCs w:val="18"/>
          <w:highlight w:val="none"/>
          <w:u w:val="single"/>
        </w:rPr>
      </w:pPr>
      <w:r>
        <w:rPr>
          <w:rFonts w:hint="eastAsia" w:ascii="宋体" w:hAnsi="宋体" w:eastAsia="宋体"/>
          <w:sz w:val="24"/>
          <w:szCs w:val="18"/>
          <w:highlight w:val="none"/>
        </w:rPr>
        <w:t>联系方式：</w:t>
      </w:r>
      <w:r>
        <w:rPr>
          <w:rFonts w:hint="eastAsia" w:ascii="宋体" w:hAnsi="宋体" w:eastAsia="宋体"/>
          <w:sz w:val="24"/>
          <w:szCs w:val="18"/>
          <w:highlight w:val="none"/>
          <w:u w:val="single"/>
        </w:rPr>
        <w:t>0551-62668571</w:t>
      </w:r>
    </w:p>
    <w:p w14:paraId="0ED5D257">
      <w:pPr>
        <w:shd w:val="clear"/>
        <w:spacing w:line="360" w:lineRule="auto"/>
        <w:rPr>
          <w:rFonts w:ascii="宋体" w:hAnsi="宋体" w:eastAsia="宋体"/>
          <w:sz w:val="24"/>
          <w:szCs w:val="18"/>
          <w:highlight w:val="none"/>
        </w:rPr>
      </w:pPr>
    </w:p>
    <w:p w14:paraId="72CE88C6">
      <w:pPr>
        <w:shd w:val="clear"/>
        <w:spacing w:line="360" w:lineRule="auto"/>
        <w:ind w:firstLine="437"/>
        <w:outlineLvl w:val="2"/>
        <w:rPr>
          <w:rFonts w:ascii="宋体" w:hAnsi="宋体" w:eastAsia="宋体"/>
          <w:sz w:val="24"/>
          <w:szCs w:val="18"/>
          <w:highlight w:val="none"/>
        </w:rPr>
      </w:pPr>
      <w:r>
        <w:rPr>
          <w:rFonts w:ascii="宋体" w:hAnsi="宋体" w:eastAsia="宋体"/>
          <w:sz w:val="24"/>
          <w:szCs w:val="18"/>
          <w:highlight w:val="none"/>
        </w:rPr>
        <w:t>2.采购代理机构</w:t>
      </w:r>
      <w:r>
        <w:rPr>
          <w:rFonts w:hint="eastAsia" w:ascii="宋体" w:hAnsi="宋体" w:eastAsia="宋体"/>
          <w:sz w:val="24"/>
          <w:szCs w:val="18"/>
          <w:highlight w:val="none"/>
        </w:rPr>
        <w:t>信息</w:t>
      </w:r>
    </w:p>
    <w:p w14:paraId="153A5225">
      <w:pPr>
        <w:shd w:val="clear"/>
        <w:spacing w:line="360" w:lineRule="auto"/>
        <w:ind w:firstLine="435"/>
        <w:rPr>
          <w:rFonts w:ascii="宋体" w:hAnsi="宋体" w:eastAsia="宋体"/>
          <w:sz w:val="24"/>
          <w:szCs w:val="18"/>
          <w:highlight w:val="none"/>
        </w:rPr>
      </w:pPr>
      <w:r>
        <w:rPr>
          <w:rFonts w:hint="eastAsia" w:ascii="宋体" w:hAnsi="宋体" w:eastAsia="宋体" w:cs="宋体"/>
          <w:sz w:val="24"/>
          <w:szCs w:val="24"/>
          <w:highlight w:val="none"/>
        </w:rPr>
        <w:t>名  称</w:t>
      </w:r>
      <w:r>
        <w:rPr>
          <w:rFonts w:hint="eastAsia" w:ascii="宋体" w:hAnsi="宋体" w:eastAsia="宋体"/>
          <w:sz w:val="24"/>
          <w:szCs w:val="18"/>
          <w:highlight w:val="none"/>
        </w:rPr>
        <w:t>：</w:t>
      </w:r>
      <w:r>
        <w:rPr>
          <w:rFonts w:hint="eastAsia" w:ascii="宋体" w:hAnsi="宋体" w:eastAsia="宋体"/>
          <w:sz w:val="24"/>
          <w:szCs w:val="18"/>
          <w:highlight w:val="none"/>
          <w:u w:val="single"/>
        </w:rPr>
        <w:t>安徽省招标集团股份有限公司</w:t>
      </w:r>
    </w:p>
    <w:p w14:paraId="6330F5D7">
      <w:pPr>
        <w:shd w:val="clear"/>
        <w:spacing w:line="360" w:lineRule="auto"/>
        <w:ind w:firstLine="435"/>
        <w:rPr>
          <w:rFonts w:ascii="宋体" w:hAnsi="宋体" w:eastAsia="宋体"/>
          <w:sz w:val="24"/>
          <w:szCs w:val="18"/>
          <w:highlight w:val="none"/>
          <w:u w:val="single"/>
        </w:rPr>
      </w:pPr>
      <w:r>
        <w:rPr>
          <w:rFonts w:hint="eastAsia" w:ascii="宋体" w:hAnsi="宋体" w:eastAsia="宋体"/>
          <w:sz w:val="24"/>
          <w:szCs w:val="18"/>
          <w:highlight w:val="none"/>
        </w:rPr>
        <w:t>地</w:t>
      </w:r>
      <w:r>
        <w:rPr>
          <w:rFonts w:ascii="宋体" w:hAnsi="宋体" w:eastAsia="宋体"/>
          <w:sz w:val="24"/>
          <w:szCs w:val="18"/>
          <w:highlight w:val="none"/>
        </w:rPr>
        <w:t xml:space="preserve">  址：</w:t>
      </w:r>
      <w:r>
        <w:rPr>
          <w:rFonts w:hint="eastAsia" w:ascii="宋体" w:hAnsi="宋体" w:eastAsia="宋体"/>
          <w:sz w:val="24"/>
          <w:szCs w:val="18"/>
          <w:highlight w:val="none"/>
          <w:u w:val="single"/>
        </w:rPr>
        <w:t>安徽省合肥市包河区紫云路888号</w:t>
      </w:r>
    </w:p>
    <w:p w14:paraId="16569BBF">
      <w:pPr>
        <w:shd w:val="clear"/>
        <w:spacing w:line="360" w:lineRule="auto"/>
        <w:ind w:firstLine="435"/>
        <w:rPr>
          <w:highlight w:val="none"/>
        </w:rPr>
      </w:pPr>
      <w:r>
        <w:rPr>
          <w:rFonts w:hint="eastAsia" w:ascii="宋体" w:hAnsi="宋体" w:eastAsia="宋体"/>
          <w:sz w:val="24"/>
          <w:szCs w:val="18"/>
          <w:highlight w:val="none"/>
        </w:rPr>
        <w:t>联系人：</w:t>
      </w:r>
      <w:r>
        <w:rPr>
          <w:rFonts w:hint="eastAsia" w:ascii="宋体" w:hAnsi="宋体" w:eastAsia="宋体"/>
          <w:sz w:val="24"/>
          <w:szCs w:val="18"/>
          <w:highlight w:val="none"/>
          <w:u w:val="single"/>
        </w:rPr>
        <w:t>彭鑫雨、宋健波</w:t>
      </w:r>
    </w:p>
    <w:p w14:paraId="23D72F95">
      <w:pPr>
        <w:shd w:val="clear"/>
        <w:spacing w:line="360" w:lineRule="auto"/>
        <w:ind w:firstLine="435"/>
        <w:rPr>
          <w:rFonts w:hint="eastAsia" w:ascii="宋体" w:hAnsi="宋体" w:eastAsia="宋体"/>
          <w:sz w:val="24"/>
          <w:szCs w:val="18"/>
          <w:highlight w:val="none"/>
          <w:lang w:eastAsia="zh-CN"/>
        </w:rPr>
      </w:pPr>
      <w:r>
        <w:rPr>
          <w:rFonts w:hint="eastAsia" w:ascii="宋体" w:hAnsi="宋体" w:eastAsia="宋体"/>
          <w:sz w:val="24"/>
          <w:szCs w:val="18"/>
          <w:highlight w:val="none"/>
        </w:rPr>
        <w:t>联系方式：</w:t>
      </w:r>
      <w:r>
        <w:rPr>
          <w:rFonts w:hint="eastAsia" w:ascii="宋体" w:hAnsi="宋体" w:eastAsia="宋体"/>
          <w:sz w:val="24"/>
          <w:szCs w:val="18"/>
          <w:highlight w:val="none"/>
          <w:u w:val="single"/>
        </w:rPr>
        <w:t>0551-66061279、0551-6606127</w:t>
      </w:r>
      <w:r>
        <w:rPr>
          <w:rFonts w:hint="eastAsia" w:ascii="宋体" w:hAnsi="宋体" w:eastAsia="宋体"/>
          <w:sz w:val="24"/>
          <w:szCs w:val="18"/>
          <w:highlight w:val="none"/>
          <w:u w:val="single"/>
          <w:lang w:val="en-US" w:eastAsia="zh-CN"/>
        </w:rPr>
        <w:t>2</w:t>
      </w:r>
    </w:p>
    <w:p w14:paraId="154F4FDE">
      <w:pPr>
        <w:shd w:val="clear"/>
        <w:spacing w:line="360" w:lineRule="auto"/>
        <w:ind w:firstLine="437"/>
        <w:outlineLvl w:val="2"/>
        <w:rPr>
          <w:rFonts w:ascii="宋体" w:hAnsi="宋体" w:eastAsia="宋体"/>
          <w:b/>
          <w:sz w:val="24"/>
          <w:szCs w:val="18"/>
          <w:highlight w:val="none"/>
        </w:rPr>
      </w:pPr>
      <w:r>
        <w:rPr>
          <w:rFonts w:hint="eastAsia" w:ascii="宋体" w:hAnsi="宋体" w:eastAsia="宋体"/>
          <w:bCs/>
          <w:sz w:val="24"/>
          <w:szCs w:val="18"/>
          <w:highlight w:val="none"/>
        </w:rPr>
        <w:t>3</w:t>
      </w:r>
      <w:r>
        <w:rPr>
          <w:rFonts w:hint="eastAsia" w:ascii="宋体" w:hAnsi="宋体" w:eastAsia="宋体"/>
          <w:b/>
          <w:sz w:val="24"/>
          <w:szCs w:val="18"/>
          <w:highlight w:val="none"/>
        </w:rPr>
        <w:t>.</w:t>
      </w:r>
      <w:r>
        <w:rPr>
          <w:rFonts w:hint="eastAsia" w:ascii="宋体" w:hAnsi="宋体" w:eastAsia="宋体"/>
          <w:sz w:val="24"/>
          <w:szCs w:val="18"/>
          <w:highlight w:val="none"/>
        </w:rPr>
        <w:t>政府采购监督管理部门信息</w:t>
      </w:r>
    </w:p>
    <w:p w14:paraId="461A317E">
      <w:pPr>
        <w:shd w:val="clear"/>
        <w:spacing w:line="360" w:lineRule="auto"/>
        <w:ind w:firstLine="435"/>
        <w:rPr>
          <w:rFonts w:ascii="宋体" w:hAnsi="宋体" w:eastAsia="宋体"/>
          <w:sz w:val="24"/>
          <w:szCs w:val="18"/>
          <w:highlight w:val="none"/>
        </w:rPr>
      </w:pPr>
      <w:r>
        <w:rPr>
          <w:rFonts w:hint="eastAsia" w:ascii="宋体" w:hAnsi="宋体" w:eastAsia="宋体" w:cs="宋体"/>
          <w:sz w:val="24"/>
          <w:szCs w:val="24"/>
          <w:highlight w:val="none"/>
        </w:rPr>
        <w:t>名  称</w:t>
      </w:r>
      <w:r>
        <w:rPr>
          <w:rFonts w:hint="eastAsia" w:ascii="宋体" w:hAnsi="宋体" w:eastAsia="宋体"/>
          <w:sz w:val="24"/>
          <w:szCs w:val="18"/>
          <w:highlight w:val="none"/>
        </w:rPr>
        <w:t>：</w:t>
      </w:r>
      <w:r>
        <w:rPr>
          <w:rFonts w:hint="eastAsia" w:ascii="宋体" w:hAnsi="宋体" w:eastAsia="宋体"/>
          <w:sz w:val="24"/>
          <w:szCs w:val="18"/>
          <w:highlight w:val="none"/>
          <w:u w:val="single"/>
        </w:rPr>
        <w:t>安徽省财政厅</w:t>
      </w:r>
    </w:p>
    <w:p w14:paraId="748FB2C4">
      <w:pPr>
        <w:shd w:val="clear"/>
        <w:spacing w:line="360" w:lineRule="auto"/>
        <w:ind w:firstLine="435"/>
        <w:rPr>
          <w:rFonts w:ascii="宋体" w:hAnsi="宋体" w:eastAsia="宋体"/>
          <w:sz w:val="24"/>
          <w:szCs w:val="18"/>
          <w:highlight w:val="none"/>
        </w:rPr>
      </w:pPr>
      <w:r>
        <w:rPr>
          <w:rFonts w:hint="eastAsia" w:ascii="宋体" w:hAnsi="宋体" w:eastAsia="宋体"/>
          <w:sz w:val="24"/>
          <w:szCs w:val="18"/>
          <w:highlight w:val="none"/>
        </w:rPr>
        <w:t>地  址：</w:t>
      </w:r>
      <w:r>
        <w:rPr>
          <w:rFonts w:hint="eastAsia" w:ascii="宋体" w:hAnsi="宋体" w:eastAsia="宋体"/>
          <w:sz w:val="24"/>
          <w:szCs w:val="18"/>
          <w:highlight w:val="none"/>
          <w:u w:val="single"/>
        </w:rPr>
        <w:t>合肥市阜南西路238号</w:t>
      </w:r>
    </w:p>
    <w:p w14:paraId="00606153">
      <w:pPr>
        <w:shd w:val="clear"/>
        <w:spacing w:line="360" w:lineRule="auto"/>
        <w:ind w:firstLine="435"/>
        <w:rPr>
          <w:rFonts w:ascii="宋体" w:hAnsi="宋体" w:eastAsia="宋体"/>
          <w:sz w:val="24"/>
          <w:szCs w:val="18"/>
          <w:highlight w:val="none"/>
          <w:u w:val="single"/>
        </w:rPr>
      </w:pPr>
      <w:r>
        <w:rPr>
          <w:rFonts w:hint="eastAsia" w:ascii="宋体" w:hAnsi="宋体" w:eastAsia="宋体"/>
          <w:sz w:val="24"/>
          <w:szCs w:val="18"/>
          <w:highlight w:val="none"/>
        </w:rPr>
        <w:t>联系方式：</w:t>
      </w:r>
      <w:r>
        <w:rPr>
          <w:rFonts w:hint="eastAsia" w:ascii="宋体" w:hAnsi="宋体" w:eastAsia="宋体"/>
          <w:sz w:val="24"/>
          <w:szCs w:val="18"/>
          <w:highlight w:val="none"/>
          <w:u w:val="single"/>
        </w:rPr>
        <w:t>0551-68150413</w:t>
      </w:r>
    </w:p>
    <w:p w14:paraId="6E44BB6D">
      <w:pPr>
        <w:shd w:val="clear"/>
        <w:rPr>
          <w:rFonts w:ascii="宋体" w:hAnsi="宋体" w:eastAsia="宋体"/>
          <w:sz w:val="24"/>
          <w:szCs w:val="18"/>
          <w:highlight w:val="none"/>
        </w:rPr>
      </w:pPr>
      <w:r>
        <w:rPr>
          <w:rFonts w:ascii="宋体" w:hAnsi="宋体" w:eastAsia="宋体"/>
          <w:sz w:val="24"/>
          <w:szCs w:val="18"/>
          <w:highlight w:val="none"/>
        </w:rPr>
        <w:br w:type="page"/>
      </w:r>
    </w:p>
    <w:p w14:paraId="4B189EC6">
      <w:pPr>
        <w:pageBreakBefore/>
        <w:shd w:val="clear"/>
        <w:jc w:val="center"/>
        <w:rPr>
          <w:rFonts w:ascii="Times New Roman" w:hAnsi="Times New Roman" w:eastAsia="黑体" w:cs="Times New Roman"/>
          <w:sz w:val="44"/>
          <w:szCs w:val="44"/>
          <w:highlight w:val="none"/>
        </w:rPr>
      </w:pPr>
      <w:r>
        <w:rPr>
          <w:rFonts w:ascii="Times New Roman" w:hAnsi="Times New Roman" w:eastAsia="黑体" w:cs="Times New Roman"/>
          <w:sz w:val="44"/>
          <w:szCs w:val="44"/>
          <w:highlight w:val="none"/>
        </w:rPr>
        <w:t>附件：</w:t>
      </w:r>
      <w:r>
        <w:rPr>
          <w:rFonts w:hint="eastAsia" w:ascii="Times New Roman" w:hAnsi="Times New Roman" w:eastAsia="黑体" w:cs="Times New Roman"/>
          <w:sz w:val="44"/>
          <w:szCs w:val="44"/>
          <w:highlight w:val="none"/>
        </w:rPr>
        <w:t>全流程电子招标采购</w:t>
      </w:r>
      <w:r>
        <w:rPr>
          <w:rFonts w:ascii="Times New Roman" w:hAnsi="Times New Roman" w:eastAsia="黑体" w:cs="Times New Roman"/>
          <w:sz w:val="44"/>
          <w:szCs w:val="44"/>
          <w:highlight w:val="none"/>
        </w:rPr>
        <w:t>具体要求</w:t>
      </w:r>
    </w:p>
    <w:p w14:paraId="50EE381E">
      <w:pPr>
        <w:shd w:val="clear"/>
        <w:spacing w:line="400" w:lineRule="exact"/>
        <w:ind w:firstLine="420" w:firstLineChars="200"/>
        <w:rPr>
          <w:rFonts w:ascii="黑体" w:hAnsi="黑体" w:eastAsia="黑体" w:cs="Times New Roman"/>
          <w:szCs w:val="24"/>
          <w:highlight w:val="none"/>
        </w:rPr>
      </w:pPr>
      <w:r>
        <w:rPr>
          <w:rFonts w:hint="eastAsia" w:ascii="黑体" w:hAnsi="黑体" w:eastAsia="黑体" w:cs="Times New Roman"/>
          <w:szCs w:val="24"/>
          <w:highlight w:val="none"/>
        </w:rPr>
        <w:t>说明：当采用非招标方式进行全流程电子采购活动时，按照本规定执行，其中本要求“投标人”按“供应商”理解，“投标文件”按“响应文件”理解，“招标文件”按“采购文件”理解，“投标文件递交截止时间”按“首次递交响应文件截止时间”理解，“开标”按“开启响应文件”理解，“</w:t>
      </w:r>
      <w:r>
        <w:rPr>
          <w:rFonts w:ascii="黑体" w:hAnsi="黑体" w:eastAsia="黑体" w:cs="Times New Roman"/>
          <w:szCs w:val="24"/>
          <w:highlight w:val="none"/>
        </w:rPr>
        <w:t>评标委员会</w:t>
      </w:r>
      <w:r>
        <w:rPr>
          <w:rFonts w:hint="eastAsia" w:ascii="黑体" w:hAnsi="黑体" w:eastAsia="黑体" w:cs="Times New Roman"/>
          <w:szCs w:val="24"/>
          <w:highlight w:val="none"/>
        </w:rPr>
        <w:t>”按“评审小组”理解，“投标无效”按“响应文件无效”理解。</w:t>
      </w:r>
    </w:p>
    <w:p w14:paraId="4E376D0C">
      <w:pPr>
        <w:shd w:val="clear"/>
        <w:spacing w:line="400" w:lineRule="exact"/>
        <w:ind w:firstLine="420" w:firstLineChars="200"/>
        <w:rPr>
          <w:rFonts w:ascii="黑体" w:hAnsi="黑体" w:eastAsia="黑体" w:cs="Times New Roman"/>
          <w:szCs w:val="24"/>
          <w:highlight w:val="none"/>
        </w:rPr>
      </w:pPr>
    </w:p>
    <w:p w14:paraId="1BD05149">
      <w:pPr>
        <w:shd w:val="clear"/>
        <w:spacing w:line="400" w:lineRule="exact"/>
        <w:ind w:firstLine="420" w:firstLineChars="200"/>
        <w:rPr>
          <w:rFonts w:ascii="黑体" w:hAnsi="黑体" w:eastAsia="黑体" w:cs="Times New Roman"/>
          <w:szCs w:val="24"/>
          <w:highlight w:val="none"/>
        </w:rPr>
      </w:pPr>
      <w:r>
        <w:rPr>
          <w:rFonts w:hint="eastAsia" w:ascii="黑体" w:hAnsi="黑体" w:eastAsia="黑体" w:cs="Times New Roman"/>
          <w:szCs w:val="24"/>
          <w:highlight w:val="none"/>
        </w:rPr>
        <w:t>一</w:t>
      </w:r>
      <w:r>
        <w:rPr>
          <w:rFonts w:ascii="黑体" w:hAnsi="黑体" w:eastAsia="黑体" w:cs="Times New Roman"/>
          <w:szCs w:val="24"/>
          <w:highlight w:val="none"/>
        </w:rPr>
        <w:t>、</w:t>
      </w:r>
      <w:r>
        <w:rPr>
          <w:rFonts w:hint="eastAsia" w:ascii="Calibri" w:hAnsi="Calibri" w:eastAsia="宋体" w:cs="Times New Roman"/>
          <w:szCs w:val="22"/>
          <w:highlight w:val="none"/>
        </w:rPr>
        <w:t>CA</w:t>
      </w:r>
      <w:r>
        <w:rPr>
          <w:rFonts w:hint="eastAsia" w:ascii="黑体" w:hAnsi="黑体" w:eastAsia="黑体" w:cs="Times New Roman"/>
          <w:szCs w:val="24"/>
          <w:highlight w:val="none"/>
        </w:rPr>
        <w:t>证书办理和</w:t>
      </w:r>
      <w:r>
        <w:rPr>
          <w:rFonts w:ascii="黑体" w:hAnsi="黑体" w:eastAsia="黑体" w:cs="Times New Roman"/>
          <w:szCs w:val="24"/>
          <w:highlight w:val="none"/>
        </w:rPr>
        <w:t>注意事项</w:t>
      </w:r>
    </w:p>
    <w:p w14:paraId="01C62E2C">
      <w:pPr>
        <w:shd w:val="clear"/>
        <w:spacing w:line="400" w:lineRule="exact"/>
        <w:ind w:firstLine="420" w:firstLineChars="200"/>
        <w:rPr>
          <w:rFonts w:ascii="Calibri" w:hAnsi="Calibri" w:eastAsia="宋体" w:cs="Times New Roman"/>
          <w:szCs w:val="22"/>
          <w:highlight w:val="none"/>
        </w:rPr>
      </w:pPr>
      <w:r>
        <w:rPr>
          <w:rFonts w:ascii="宋体" w:hAnsi="宋体" w:eastAsia="宋体" w:cs="Times New Roman"/>
          <w:szCs w:val="24"/>
          <w:highlight w:val="none"/>
        </w:rPr>
        <w:t>1.</w:t>
      </w:r>
      <w:r>
        <w:rPr>
          <w:rFonts w:hint="eastAsia" w:ascii="宋体" w:hAnsi="宋体" w:eastAsia="宋体" w:cs="Times New Roman"/>
          <w:szCs w:val="24"/>
          <w:highlight w:val="none"/>
        </w:rPr>
        <w:t>本项目采用全流程电子招标采购方式，</w:t>
      </w:r>
      <w:r>
        <w:rPr>
          <w:rFonts w:hint="eastAsia" w:ascii="Calibri" w:hAnsi="Calibri" w:eastAsia="宋体" w:cs="Times New Roman"/>
          <w:szCs w:val="22"/>
          <w:highlight w:val="none"/>
        </w:rPr>
        <w:t>潜在投标人应及时办理CA证书，用于对电子投标文件进行电子签章及加、解密。</w:t>
      </w:r>
    </w:p>
    <w:p w14:paraId="6C77BDEE">
      <w:pPr>
        <w:shd w:val="clear"/>
        <w:spacing w:line="400" w:lineRule="exact"/>
        <w:ind w:firstLine="420" w:firstLineChars="200"/>
        <w:rPr>
          <w:rFonts w:ascii="Calibri" w:hAnsi="Calibri" w:eastAsia="宋体" w:cs="Times New Roman"/>
          <w:bCs/>
          <w:szCs w:val="22"/>
          <w:highlight w:val="none"/>
        </w:rPr>
      </w:pPr>
      <w:r>
        <w:rPr>
          <w:rFonts w:ascii="宋体" w:hAnsi="宋体" w:eastAsia="宋体" w:cs="Times New Roman"/>
          <w:szCs w:val="24"/>
          <w:highlight w:val="none"/>
        </w:rPr>
        <w:t>2.</w:t>
      </w:r>
      <w:r>
        <w:rPr>
          <w:rFonts w:hint="eastAsia" w:ascii="宋体" w:hAnsi="宋体" w:eastAsia="宋体" w:cs="Times New Roman"/>
          <w:szCs w:val="24"/>
          <w:highlight w:val="none"/>
        </w:rPr>
        <w:t>CA</w:t>
      </w:r>
      <w:r>
        <w:rPr>
          <w:rFonts w:hint="eastAsia" w:ascii="Calibri" w:hAnsi="Calibri" w:eastAsia="宋体" w:cs="Times New Roman"/>
          <w:szCs w:val="22"/>
          <w:highlight w:val="none"/>
        </w:rPr>
        <w:t>证书</w:t>
      </w:r>
      <w:r>
        <w:rPr>
          <w:rFonts w:hint="eastAsia" w:ascii="宋体" w:hAnsi="宋体" w:eastAsia="宋体" w:cs="Times New Roman"/>
          <w:szCs w:val="24"/>
          <w:highlight w:val="none"/>
        </w:rPr>
        <w:t>办理详见</w:t>
      </w:r>
      <w:r>
        <w:rPr>
          <w:rFonts w:hint="eastAsia" w:ascii="宋体" w:hAnsi="宋体" w:eastAsia="宋体" w:cs="Times New Roman"/>
          <w:szCs w:val="22"/>
          <w:highlight w:val="none"/>
        </w:rPr>
        <w:t>《</w:t>
      </w:r>
      <w:r>
        <w:rPr>
          <w:rFonts w:ascii="宋体" w:hAnsi="宋体" w:eastAsia="宋体" w:cs="Times New Roman"/>
          <w:szCs w:val="22"/>
          <w:highlight w:val="none"/>
        </w:rPr>
        <w:t>优质采平台CA数字证书办理说明</w:t>
      </w:r>
      <w:r>
        <w:rPr>
          <w:rFonts w:hint="eastAsia" w:ascii="宋体" w:hAnsi="宋体" w:eastAsia="宋体" w:cs="Times New Roman"/>
          <w:szCs w:val="22"/>
          <w:highlight w:val="none"/>
        </w:rPr>
        <w:t>》</w:t>
      </w:r>
      <w:r>
        <w:rPr>
          <w:rFonts w:hint="eastAsia" w:ascii="Calibri" w:hAnsi="Calibri" w:eastAsia="宋体" w:cs="Times New Roman"/>
          <w:bCs/>
          <w:szCs w:val="22"/>
          <w:highlight w:val="none"/>
        </w:rPr>
        <w:t>：</w:t>
      </w:r>
    </w:p>
    <w:p w14:paraId="6A1AC64B">
      <w:pPr>
        <w:shd w:val="clear"/>
        <w:spacing w:line="400" w:lineRule="exact"/>
        <w:ind w:firstLine="420" w:firstLineChars="200"/>
        <w:rPr>
          <w:rFonts w:ascii="Calibri" w:hAnsi="Calibri" w:eastAsia="宋体" w:cs="Times New Roman"/>
          <w:bCs/>
          <w:szCs w:val="22"/>
          <w:highlight w:val="none"/>
          <w:u w:val="single"/>
        </w:rPr>
      </w:pPr>
      <w:r>
        <w:rPr>
          <w:rFonts w:hint="eastAsia" w:ascii="宋体" w:hAnsi="宋体" w:eastAsia="宋体" w:cs="Times New Roman"/>
          <w:szCs w:val="22"/>
          <w:highlight w:val="none"/>
        </w:rPr>
        <w:t>http://www.youzhicai.com/nd/a_8f80a7ec-911f-4c4d-a123-f8849880f045.html。</w:t>
      </w:r>
    </w:p>
    <w:p w14:paraId="20924B01">
      <w:pPr>
        <w:shd w:val="clear"/>
        <w:spacing w:line="400" w:lineRule="exact"/>
        <w:ind w:firstLine="420" w:firstLineChars="200"/>
        <w:rPr>
          <w:rFonts w:ascii="Calibri" w:hAnsi="Calibri" w:eastAsia="宋体" w:cs="Times New Roman"/>
          <w:szCs w:val="22"/>
          <w:highlight w:val="none"/>
        </w:rPr>
      </w:pPr>
      <w:r>
        <w:rPr>
          <w:rFonts w:ascii="宋体" w:hAnsi="宋体" w:eastAsia="宋体" w:cs="Times New Roman"/>
          <w:szCs w:val="24"/>
          <w:highlight w:val="none"/>
        </w:rPr>
        <w:t>3.</w:t>
      </w:r>
      <w:r>
        <w:rPr>
          <w:rFonts w:hint="eastAsia" w:ascii="宋体" w:hAnsi="宋体" w:eastAsia="宋体" w:cs="Times New Roman"/>
          <w:szCs w:val="24"/>
          <w:highlight w:val="none"/>
        </w:rPr>
        <w:t>潜在投标人在递交投标文件时，需确保CA证书在开标时可正常使用，无更换、过期、企业信息变更等情况。若因上述情况导致投标文件无法解密，由投标人自行承担责任。</w:t>
      </w:r>
    </w:p>
    <w:p w14:paraId="14CDAD17">
      <w:pPr>
        <w:shd w:val="clear"/>
        <w:spacing w:line="400" w:lineRule="exact"/>
        <w:ind w:firstLine="420"/>
        <w:rPr>
          <w:rFonts w:ascii="宋体" w:hAnsi="宋体" w:eastAsia="宋体" w:cs="Times New Roman"/>
          <w:szCs w:val="24"/>
          <w:highlight w:val="none"/>
        </w:rPr>
      </w:pPr>
      <w:r>
        <w:rPr>
          <w:rFonts w:hint="eastAsia" w:ascii="宋体" w:hAnsi="宋体" w:eastAsia="宋体" w:cs="Times New Roman"/>
          <w:szCs w:val="24"/>
          <w:highlight w:val="none"/>
        </w:rPr>
        <w:t>4</w:t>
      </w:r>
      <w:r>
        <w:rPr>
          <w:rFonts w:ascii="宋体" w:hAnsi="宋体" w:eastAsia="宋体" w:cs="Times New Roman"/>
          <w:szCs w:val="24"/>
          <w:highlight w:val="none"/>
        </w:rPr>
        <w:t>.</w:t>
      </w:r>
      <w:r>
        <w:rPr>
          <w:rFonts w:hint="eastAsia" w:ascii="Calibri" w:hAnsi="Calibri" w:eastAsia="宋体" w:cs="Times New Roman"/>
          <w:szCs w:val="22"/>
          <w:highlight w:val="none"/>
        </w:rPr>
        <w:t>需注意，</w:t>
      </w:r>
      <w:r>
        <w:rPr>
          <w:rFonts w:hint="eastAsia" w:ascii="宋体" w:hAnsi="宋体" w:eastAsia="宋体" w:cs="Times New Roman"/>
          <w:szCs w:val="24"/>
          <w:highlight w:val="none"/>
        </w:rPr>
        <w:t>加密和解密投标文件</w:t>
      </w:r>
      <w:r>
        <w:rPr>
          <w:rFonts w:hint="eastAsia" w:ascii="Calibri" w:hAnsi="Calibri" w:eastAsia="宋体" w:cs="Times New Roman"/>
          <w:szCs w:val="22"/>
          <w:highlight w:val="none"/>
        </w:rPr>
        <w:t>必须使用同一个CA证书</w:t>
      </w:r>
      <w:r>
        <w:rPr>
          <w:rFonts w:hint="eastAsia" w:ascii="宋体" w:hAnsi="宋体" w:eastAsia="宋体" w:cs="Times New Roman"/>
          <w:szCs w:val="24"/>
          <w:highlight w:val="none"/>
        </w:rPr>
        <w:t>。</w:t>
      </w:r>
      <w:r>
        <w:rPr>
          <w:rFonts w:hint="eastAsia" w:ascii="宋体" w:hAnsi="宋体" w:eastAsia="宋体" w:cs="Times New Roman"/>
          <w:b/>
          <w:bCs/>
          <w:szCs w:val="24"/>
          <w:highlight w:val="none"/>
        </w:rPr>
        <w:t>即：使用硬件锁加密，则必须使用同一个硬件锁解密；使用手机扫码加密，则必须使用手机扫码解密</w:t>
      </w:r>
      <w:r>
        <w:rPr>
          <w:rFonts w:hint="eastAsia" w:ascii="宋体" w:hAnsi="宋体" w:eastAsia="宋体" w:cs="Times New Roman"/>
          <w:szCs w:val="24"/>
          <w:highlight w:val="none"/>
        </w:rPr>
        <w:t>。</w:t>
      </w:r>
    </w:p>
    <w:p w14:paraId="1D931276">
      <w:pPr>
        <w:shd w:val="clear"/>
        <w:spacing w:line="400" w:lineRule="exact"/>
        <w:ind w:firstLine="420" w:firstLineChars="200"/>
        <w:rPr>
          <w:rFonts w:ascii="黑体" w:hAnsi="黑体" w:eastAsia="黑体" w:cs="Times New Roman"/>
          <w:szCs w:val="24"/>
          <w:highlight w:val="none"/>
        </w:rPr>
      </w:pPr>
      <w:r>
        <w:rPr>
          <w:rFonts w:hint="eastAsia" w:ascii="黑体" w:hAnsi="黑体" w:eastAsia="黑体" w:cs="Times New Roman"/>
          <w:szCs w:val="24"/>
          <w:highlight w:val="none"/>
        </w:rPr>
        <w:t>二</w:t>
      </w:r>
      <w:r>
        <w:rPr>
          <w:rFonts w:ascii="黑体" w:hAnsi="黑体" w:eastAsia="黑体" w:cs="Times New Roman"/>
          <w:szCs w:val="24"/>
          <w:highlight w:val="none"/>
        </w:rPr>
        <w:t>、电子投标文件</w:t>
      </w:r>
      <w:r>
        <w:rPr>
          <w:rFonts w:hint="eastAsia" w:ascii="黑体" w:hAnsi="黑体" w:eastAsia="黑体" w:cs="Times New Roman"/>
          <w:szCs w:val="24"/>
          <w:highlight w:val="none"/>
        </w:rPr>
        <w:t>递交</w:t>
      </w:r>
    </w:p>
    <w:p w14:paraId="0814E2A9">
      <w:pPr>
        <w:shd w:val="clear"/>
        <w:wordWrap w:val="0"/>
        <w:spacing w:line="400" w:lineRule="exact"/>
        <w:ind w:firstLine="420" w:firstLineChars="200"/>
        <w:rPr>
          <w:rFonts w:ascii="宋体" w:hAnsi="宋体" w:eastAsia="宋体" w:cs="Times New Roman"/>
          <w:szCs w:val="24"/>
          <w:highlight w:val="none"/>
        </w:rPr>
      </w:pPr>
      <w:r>
        <w:rPr>
          <w:rFonts w:hint="eastAsia" w:ascii="宋体" w:hAnsi="宋体" w:eastAsia="宋体" w:cs="Times New Roman"/>
          <w:szCs w:val="24"/>
          <w:highlight w:val="none"/>
        </w:rPr>
        <w:t>5</w:t>
      </w:r>
      <w:r>
        <w:rPr>
          <w:rFonts w:ascii="宋体" w:hAnsi="宋体" w:eastAsia="宋体" w:cs="Times New Roman"/>
          <w:szCs w:val="24"/>
          <w:highlight w:val="none"/>
        </w:rPr>
        <w:t>.</w:t>
      </w:r>
      <w:r>
        <w:rPr>
          <w:rFonts w:hint="eastAsia" w:ascii="宋体" w:hAnsi="宋体" w:eastAsia="宋体" w:cs="Times New Roman"/>
          <w:szCs w:val="24"/>
          <w:highlight w:val="none"/>
        </w:rPr>
        <w:t>潜在</w:t>
      </w:r>
      <w:r>
        <w:rPr>
          <w:rFonts w:hint="eastAsia" w:ascii="Calibri" w:hAnsi="Calibri" w:eastAsia="宋体" w:cs="Times New Roman"/>
          <w:szCs w:val="22"/>
          <w:highlight w:val="none"/>
        </w:rPr>
        <w:t>投标人需使用</w:t>
      </w:r>
      <w:r>
        <w:rPr>
          <w:rFonts w:ascii="宋体" w:hAnsi="宋体" w:eastAsia="宋体" w:cs="Times New Roman"/>
          <w:szCs w:val="24"/>
          <w:highlight w:val="none"/>
        </w:rPr>
        <w:t>优质采</w:t>
      </w:r>
      <w:r>
        <w:rPr>
          <w:rFonts w:hint="eastAsia" w:ascii="宋体" w:hAnsi="宋体" w:eastAsia="宋体" w:cs="Times New Roman"/>
          <w:szCs w:val="24"/>
          <w:highlight w:val="none"/>
        </w:rPr>
        <w:t>“</w:t>
      </w:r>
      <w:r>
        <w:rPr>
          <w:rFonts w:ascii="宋体" w:hAnsi="宋体" w:eastAsia="宋体" w:cs="Times New Roman"/>
          <w:b/>
          <w:bCs/>
          <w:szCs w:val="24"/>
          <w:highlight w:val="none"/>
        </w:rPr>
        <w:t>投标文件编制工具V3.0（智能交易系统适配版）</w:t>
      </w:r>
      <w:r>
        <w:rPr>
          <w:rFonts w:hint="eastAsia" w:ascii="宋体" w:hAnsi="宋体" w:eastAsia="宋体" w:cs="Times New Roman"/>
          <w:szCs w:val="24"/>
          <w:highlight w:val="none"/>
        </w:rPr>
        <w:t>”（以下简称“投标工具”）制作</w:t>
      </w:r>
      <w:r>
        <w:rPr>
          <w:rFonts w:ascii="Calibri" w:hAnsi="Calibri" w:eastAsia="宋体" w:cs="Times New Roman"/>
          <w:szCs w:val="22"/>
          <w:highlight w:val="none"/>
        </w:rPr>
        <w:t>电子投标文件</w:t>
      </w:r>
      <w:r>
        <w:rPr>
          <w:rFonts w:hint="eastAsia" w:ascii="Calibri" w:hAnsi="Calibri" w:eastAsia="宋体" w:cs="Times New Roman"/>
          <w:szCs w:val="22"/>
          <w:highlight w:val="none"/>
        </w:rPr>
        <w:t>，</w:t>
      </w:r>
      <w:r>
        <w:rPr>
          <w:rFonts w:hint="eastAsia" w:ascii="宋体" w:hAnsi="宋体" w:eastAsia="宋体" w:cs="Times New Roman"/>
          <w:szCs w:val="24"/>
          <w:highlight w:val="none"/>
        </w:rPr>
        <w:t>下载地址：</w:t>
      </w:r>
      <w:r>
        <w:rPr>
          <w:highlight w:val="none"/>
        </w:rPr>
        <w:fldChar w:fldCharType="begin"/>
      </w:r>
      <w:r>
        <w:rPr>
          <w:highlight w:val="none"/>
        </w:rPr>
        <w:instrText xml:space="preserve"> HYPERLINK "https://toolcdn.youzhicai.com/tools/BidderTools.zip" </w:instrText>
      </w:r>
      <w:r>
        <w:rPr>
          <w:highlight w:val="none"/>
        </w:rPr>
        <w:fldChar w:fldCharType="separate"/>
      </w:r>
      <w:r>
        <w:rPr>
          <w:rFonts w:hint="eastAsia" w:ascii="Calibri" w:hAnsi="Calibri" w:eastAsia="宋体" w:cs="Times New Roman"/>
          <w:szCs w:val="22"/>
          <w:highlight w:val="none"/>
          <w:u w:val="single"/>
        </w:rPr>
        <w:t>https://toolcdn.youzhicai.com/tools/BidderTools.zip</w:t>
      </w:r>
      <w:r>
        <w:rPr>
          <w:rFonts w:hint="eastAsia" w:ascii="Calibri" w:hAnsi="Calibri" w:eastAsia="宋体" w:cs="Times New Roman"/>
          <w:szCs w:val="22"/>
          <w:highlight w:val="none"/>
          <w:u w:val="single"/>
        </w:rPr>
        <w:fldChar w:fldCharType="end"/>
      </w:r>
      <w:r>
        <w:rPr>
          <w:rFonts w:hint="eastAsia" w:ascii="宋体" w:hAnsi="宋体" w:eastAsia="宋体" w:cs="Times New Roman"/>
          <w:szCs w:val="24"/>
          <w:highlight w:val="none"/>
        </w:rPr>
        <w:t>。</w:t>
      </w:r>
    </w:p>
    <w:p w14:paraId="16009C64">
      <w:pPr>
        <w:shd w:val="clear"/>
        <w:wordWrap w:val="0"/>
        <w:spacing w:line="400" w:lineRule="exact"/>
        <w:ind w:left="420" w:leftChars="200"/>
        <w:rPr>
          <w:rFonts w:ascii="Calibri" w:hAnsi="Calibri" w:eastAsia="宋体" w:cs="Times New Roman"/>
          <w:szCs w:val="22"/>
          <w:highlight w:val="none"/>
        </w:rPr>
      </w:pPr>
      <w:r>
        <w:rPr>
          <w:rFonts w:hint="eastAsia" w:ascii="Calibri" w:hAnsi="Calibri" w:eastAsia="宋体" w:cs="Times New Roman"/>
          <w:szCs w:val="22"/>
          <w:highlight w:val="none"/>
        </w:rPr>
        <w:t>（1）</w:t>
      </w:r>
      <w:r>
        <w:rPr>
          <w:rFonts w:ascii="Calibri" w:hAnsi="Calibri" w:eastAsia="宋体" w:cs="Times New Roman"/>
          <w:szCs w:val="22"/>
          <w:highlight w:val="none"/>
        </w:rPr>
        <w:t>投标工具建议在window7或</w:t>
      </w:r>
      <w:r>
        <w:rPr>
          <w:rFonts w:ascii="Calibri" w:hAnsi="Calibri" w:eastAsia="宋体" w:cs="Times New Roman"/>
          <w:b/>
          <w:bCs/>
          <w:szCs w:val="22"/>
          <w:highlight w:val="none"/>
        </w:rPr>
        <w:t>windows10</w:t>
      </w:r>
      <w:r>
        <w:rPr>
          <w:rFonts w:hint="eastAsia" w:ascii="Calibri" w:hAnsi="Calibri" w:eastAsia="宋体" w:cs="Times New Roman"/>
          <w:b/>
          <w:bCs/>
          <w:szCs w:val="22"/>
          <w:highlight w:val="none"/>
        </w:rPr>
        <w:t>及以上</w:t>
      </w:r>
      <w:r>
        <w:rPr>
          <w:rFonts w:hint="eastAsia" w:ascii="Calibri" w:hAnsi="Calibri" w:eastAsia="宋体" w:cs="Times New Roman"/>
          <w:szCs w:val="22"/>
          <w:highlight w:val="none"/>
        </w:rPr>
        <w:t>版本操作系统使用</w:t>
      </w:r>
      <w:r>
        <w:rPr>
          <w:rFonts w:ascii="Calibri" w:hAnsi="Calibri" w:eastAsia="宋体" w:cs="Times New Roman"/>
          <w:szCs w:val="22"/>
          <w:highlight w:val="none"/>
        </w:rPr>
        <w:t>；</w:t>
      </w:r>
    </w:p>
    <w:p w14:paraId="7BE53888">
      <w:pPr>
        <w:shd w:val="clear"/>
        <w:wordWrap w:val="0"/>
        <w:spacing w:line="400" w:lineRule="exact"/>
        <w:ind w:left="420" w:leftChars="200"/>
        <w:rPr>
          <w:rFonts w:ascii="Calibri" w:hAnsi="Calibri" w:eastAsia="宋体" w:cs="Times New Roman"/>
          <w:bCs/>
          <w:color w:val="0000FF"/>
          <w:sz w:val="18"/>
          <w:szCs w:val="22"/>
          <w:highlight w:val="none"/>
        </w:rPr>
      </w:pPr>
      <w:r>
        <w:rPr>
          <w:rFonts w:hint="eastAsia" w:ascii="Calibri" w:hAnsi="Calibri" w:eastAsia="宋体" w:cs="Times New Roman"/>
          <w:szCs w:val="22"/>
          <w:highlight w:val="none"/>
        </w:rPr>
        <w:t>（2）</w:t>
      </w:r>
      <w:r>
        <w:rPr>
          <w:rFonts w:ascii="Calibri" w:hAnsi="Calibri" w:eastAsia="宋体" w:cs="Times New Roman"/>
          <w:szCs w:val="22"/>
          <w:highlight w:val="none"/>
        </w:rPr>
        <w:t>电子投标文件</w:t>
      </w:r>
      <w:r>
        <w:rPr>
          <w:rFonts w:hint="eastAsia" w:ascii="Calibri" w:hAnsi="Calibri" w:eastAsia="宋体" w:cs="Times New Roman"/>
          <w:szCs w:val="22"/>
          <w:highlight w:val="none"/>
        </w:rPr>
        <w:t>建议在</w:t>
      </w:r>
      <w:r>
        <w:rPr>
          <w:rFonts w:ascii="Calibri" w:hAnsi="Calibri" w:eastAsia="宋体" w:cs="Times New Roman"/>
          <w:b/>
          <w:bCs/>
          <w:szCs w:val="22"/>
          <w:highlight w:val="none"/>
        </w:rPr>
        <w:t>office2010</w:t>
      </w:r>
      <w:r>
        <w:rPr>
          <w:rFonts w:hint="eastAsia" w:ascii="Calibri" w:hAnsi="Calibri" w:eastAsia="宋体" w:cs="Times New Roman"/>
          <w:b/>
          <w:bCs/>
          <w:szCs w:val="22"/>
          <w:highlight w:val="none"/>
        </w:rPr>
        <w:t>及以上</w:t>
      </w:r>
      <w:r>
        <w:rPr>
          <w:rFonts w:ascii="Calibri" w:hAnsi="Calibri" w:eastAsia="宋体" w:cs="Times New Roman"/>
          <w:b/>
          <w:bCs/>
          <w:szCs w:val="22"/>
          <w:highlight w:val="none"/>
        </w:rPr>
        <w:t>版本</w:t>
      </w:r>
      <w:r>
        <w:rPr>
          <w:rFonts w:ascii="Calibri" w:hAnsi="Calibri" w:eastAsia="宋体" w:cs="Times New Roman"/>
          <w:szCs w:val="22"/>
          <w:highlight w:val="none"/>
        </w:rPr>
        <w:t>编制。</w:t>
      </w:r>
    </w:p>
    <w:p w14:paraId="152FD8EF">
      <w:pPr>
        <w:shd w:val="clear"/>
        <w:wordWrap w:val="0"/>
        <w:spacing w:line="400" w:lineRule="exact"/>
        <w:rPr>
          <w:rFonts w:ascii="Calibri" w:hAnsi="Calibri" w:eastAsia="宋体" w:cs="Times New Roman"/>
          <w:bCs/>
          <w:color w:val="0000FF"/>
          <w:szCs w:val="22"/>
          <w:highlight w:val="none"/>
        </w:rPr>
      </w:pPr>
      <w:r>
        <w:rPr>
          <w:rFonts w:ascii="宋体" w:hAnsi="宋体" w:eastAsia="宋体" w:cs="Times New Roman"/>
          <w:szCs w:val="24"/>
          <w:highlight w:val="none"/>
        </w:rPr>
        <w:tab/>
      </w:r>
      <w:r>
        <w:rPr>
          <w:rFonts w:hint="eastAsia" w:ascii="宋体" w:hAnsi="宋体" w:eastAsia="宋体" w:cs="Times New Roman"/>
          <w:szCs w:val="24"/>
          <w:highlight w:val="none"/>
        </w:rPr>
        <w:t>6</w:t>
      </w:r>
      <w:r>
        <w:rPr>
          <w:rFonts w:ascii="宋体" w:hAnsi="宋体" w:eastAsia="宋体" w:cs="Times New Roman"/>
          <w:szCs w:val="24"/>
          <w:highlight w:val="none"/>
        </w:rPr>
        <w:t>.</w:t>
      </w:r>
      <w:r>
        <w:rPr>
          <w:rFonts w:hint="eastAsia" w:ascii="Calibri" w:hAnsi="Calibri" w:eastAsia="宋体" w:cs="Times New Roman"/>
          <w:szCs w:val="22"/>
          <w:highlight w:val="none"/>
        </w:rPr>
        <w:t xml:space="preserve"> 潜在投标人在</w:t>
      </w:r>
      <w:r>
        <w:rPr>
          <w:rFonts w:hint="eastAsia" w:ascii="宋体" w:hAnsi="宋体" w:eastAsia="宋体" w:cs="Times New Roman"/>
          <w:szCs w:val="24"/>
          <w:highlight w:val="none"/>
        </w:rPr>
        <w:t>投标工具使用</w:t>
      </w:r>
      <w:r>
        <w:rPr>
          <w:rFonts w:hint="eastAsia" w:ascii="Calibri" w:hAnsi="Calibri" w:eastAsia="宋体" w:cs="Times New Roman"/>
          <w:szCs w:val="22"/>
          <w:highlight w:val="none"/>
        </w:rPr>
        <w:t>CA</w:t>
      </w:r>
      <w:r>
        <w:rPr>
          <w:rFonts w:hint="eastAsia" w:ascii="宋体" w:hAnsi="宋体" w:eastAsia="宋体" w:cs="Times New Roman"/>
          <w:szCs w:val="24"/>
          <w:highlight w:val="none"/>
        </w:rPr>
        <w:t>证书</w:t>
      </w:r>
      <w:r>
        <w:rPr>
          <w:rFonts w:hint="eastAsia" w:ascii="Calibri" w:hAnsi="Calibri" w:eastAsia="宋体" w:cs="Times New Roman"/>
          <w:szCs w:val="22"/>
          <w:highlight w:val="none"/>
        </w:rPr>
        <w:t>对</w:t>
      </w:r>
      <w:r>
        <w:rPr>
          <w:rFonts w:ascii="Calibri" w:hAnsi="Calibri" w:eastAsia="宋体" w:cs="Times New Roman"/>
          <w:szCs w:val="22"/>
          <w:highlight w:val="none"/>
        </w:rPr>
        <w:t>电子</w:t>
      </w:r>
      <w:r>
        <w:rPr>
          <w:rFonts w:hint="eastAsia" w:ascii="Calibri" w:hAnsi="Calibri" w:eastAsia="宋体" w:cs="Times New Roman"/>
          <w:szCs w:val="22"/>
          <w:highlight w:val="none"/>
        </w:rPr>
        <w:t>投标文件进行电子签章及加密时，需安装“优质采数字证书助手”</w:t>
      </w:r>
      <w:r>
        <w:rPr>
          <w:rFonts w:hint="eastAsia" w:ascii="宋体" w:hAnsi="宋体" w:eastAsia="宋体" w:cs="Times New Roman"/>
          <w:szCs w:val="24"/>
          <w:highlight w:val="none"/>
        </w:rPr>
        <w:t>（即数字证书驱动）</w:t>
      </w:r>
      <w:r>
        <w:rPr>
          <w:rFonts w:hint="eastAsia" w:ascii="Calibri" w:hAnsi="Calibri" w:eastAsia="宋体" w:cs="Times New Roman"/>
          <w:szCs w:val="22"/>
          <w:highlight w:val="none"/>
        </w:rPr>
        <w:t>，下载地址：</w:t>
      </w:r>
      <w:r>
        <w:rPr>
          <w:highlight w:val="none"/>
        </w:rPr>
        <w:fldChar w:fldCharType="begin"/>
      </w:r>
      <w:r>
        <w:rPr>
          <w:highlight w:val="none"/>
        </w:rPr>
        <w:instrText xml:space="preserve"> HYPERLINK "https://toolcdn.youzhicai.com/ca.zip" </w:instrText>
      </w:r>
      <w:r>
        <w:rPr>
          <w:highlight w:val="none"/>
        </w:rPr>
        <w:fldChar w:fldCharType="separate"/>
      </w:r>
      <w:r>
        <w:rPr>
          <w:rFonts w:hint="eastAsia" w:ascii="Calibri" w:hAnsi="Calibri" w:eastAsia="宋体" w:cs="Times New Roman"/>
          <w:szCs w:val="22"/>
          <w:highlight w:val="none"/>
          <w:u w:val="single"/>
        </w:rPr>
        <w:t>https://toolcdn.youzhicai.com/ca.zip</w:t>
      </w:r>
      <w:r>
        <w:rPr>
          <w:rFonts w:hint="eastAsia" w:ascii="Calibri" w:hAnsi="Calibri" w:eastAsia="宋体" w:cs="Times New Roman"/>
          <w:szCs w:val="22"/>
          <w:highlight w:val="none"/>
          <w:u w:val="single"/>
        </w:rPr>
        <w:fldChar w:fldCharType="end"/>
      </w:r>
      <w:r>
        <w:rPr>
          <w:rFonts w:hint="eastAsia" w:ascii="Calibri" w:hAnsi="Calibri" w:eastAsia="宋体" w:cs="Times New Roman"/>
          <w:szCs w:val="22"/>
          <w:highlight w:val="none"/>
        </w:rPr>
        <w:t>。</w:t>
      </w:r>
    </w:p>
    <w:p w14:paraId="687037B4">
      <w:pPr>
        <w:shd w:val="clear"/>
        <w:wordWrap w:val="0"/>
        <w:spacing w:line="400" w:lineRule="exact"/>
        <w:rPr>
          <w:rFonts w:ascii="宋体" w:hAnsi="宋体" w:eastAsia="宋体" w:cs="Times New Roman"/>
          <w:szCs w:val="24"/>
          <w:highlight w:val="none"/>
        </w:rPr>
      </w:pPr>
      <w:r>
        <w:rPr>
          <w:rFonts w:ascii="Calibri" w:hAnsi="Calibri" w:eastAsia="宋体" w:cs="Times New Roman"/>
          <w:szCs w:val="22"/>
          <w:highlight w:val="none"/>
        </w:rPr>
        <w:tab/>
      </w:r>
      <w:r>
        <w:rPr>
          <w:rFonts w:hint="eastAsia" w:ascii="宋体" w:hAnsi="宋体" w:eastAsia="宋体" w:cs="Times New Roman"/>
          <w:szCs w:val="24"/>
          <w:highlight w:val="none"/>
        </w:rPr>
        <w:t>7</w:t>
      </w:r>
      <w:r>
        <w:rPr>
          <w:rFonts w:ascii="宋体" w:hAnsi="宋体" w:eastAsia="宋体" w:cs="Times New Roman"/>
          <w:szCs w:val="24"/>
          <w:highlight w:val="none"/>
        </w:rPr>
        <w:t>.</w:t>
      </w:r>
      <w:r>
        <w:rPr>
          <w:rFonts w:hint="eastAsia" w:ascii="Calibri" w:hAnsi="Calibri" w:eastAsia="宋体" w:cs="Times New Roman"/>
          <w:szCs w:val="22"/>
          <w:highlight w:val="none"/>
        </w:rPr>
        <w:t xml:space="preserve"> </w:t>
      </w:r>
      <w:r>
        <w:rPr>
          <w:rFonts w:hint="eastAsia" w:ascii="宋体" w:hAnsi="宋体" w:eastAsia="宋体" w:cs="Times New Roman"/>
          <w:szCs w:val="24"/>
          <w:highlight w:val="none"/>
        </w:rPr>
        <w:t>潜在投标人需在</w:t>
      </w:r>
      <w:r>
        <w:rPr>
          <w:rFonts w:hint="eastAsia" w:ascii="Calibri" w:hAnsi="Calibri" w:eastAsia="宋体" w:cs="Times New Roman"/>
          <w:szCs w:val="22"/>
          <w:highlight w:val="none"/>
        </w:rPr>
        <w:t>招标文件规定的投标截止时间前完成电子投标文件的上传</w:t>
      </w:r>
      <w:r>
        <w:rPr>
          <w:rFonts w:hint="eastAsia" w:ascii="宋体" w:hAnsi="宋体" w:eastAsia="宋体" w:cs="Times New Roman"/>
          <w:szCs w:val="24"/>
          <w:highlight w:val="none"/>
        </w:rPr>
        <w:t>，如未在投标截止时间前完成上传的，视为没有递交投标文件</w:t>
      </w:r>
      <w:r>
        <w:rPr>
          <w:rFonts w:hint="eastAsia" w:ascii="Calibri" w:hAnsi="Calibri" w:eastAsia="宋体" w:cs="Times New Roman"/>
          <w:szCs w:val="22"/>
          <w:highlight w:val="none"/>
        </w:rPr>
        <w:t>。</w:t>
      </w:r>
      <w:r>
        <w:rPr>
          <w:rFonts w:hint="eastAsia" w:ascii="宋体" w:hAnsi="宋体" w:eastAsia="宋体" w:cs="Times New Roman"/>
          <w:szCs w:val="24"/>
          <w:highlight w:val="none"/>
        </w:rPr>
        <w:t>投标截止时间以优质采招标采购平台（</w:t>
      </w:r>
      <w:r>
        <w:rPr>
          <w:rFonts w:ascii="宋体" w:hAnsi="宋体" w:eastAsia="宋体" w:cs="Times New Roman"/>
          <w:szCs w:val="24"/>
          <w:highlight w:val="none"/>
        </w:rPr>
        <w:t>www.</w:t>
      </w:r>
      <w:r>
        <w:rPr>
          <w:rFonts w:hint="eastAsia" w:ascii="宋体" w:hAnsi="宋体" w:eastAsia="宋体" w:cs="Times New Roman"/>
          <w:szCs w:val="24"/>
          <w:highlight w:val="none"/>
        </w:rPr>
        <w:t>yzczb</w:t>
      </w:r>
      <w:r>
        <w:rPr>
          <w:rFonts w:ascii="宋体" w:hAnsi="宋体" w:eastAsia="宋体" w:cs="Times New Roman"/>
          <w:szCs w:val="24"/>
          <w:highlight w:val="none"/>
        </w:rPr>
        <w:t>.com</w:t>
      </w:r>
      <w:r>
        <w:rPr>
          <w:rFonts w:hint="eastAsia" w:ascii="宋体" w:hAnsi="宋体" w:eastAsia="宋体" w:cs="Times New Roman"/>
          <w:szCs w:val="24"/>
          <w:highlight w:val="none"/>
        </w:rPr>
        <w:t>）时间为准。</w:t>
      </w:r>
    </w:p>
    <w:p w14:paraId="38D67235">
      <w:pPr>
        <w:shd w:val="clear"/>
        <w:wordWrap w:val="0"/>
        <w:spacing w:line="400" w:lineRule="exact"/>
        <w:ind w:firstLine="420"/>
        <w:rPr>
          <w:rFonts w:ascii="宋体" w:hAnsi="宋体" w:eastAsia="宋体" w:cs="Times New Roman"/>
          <w:szCs w:val="24"/>
          <w:highlight w:val="none"/>
        </w:rPr>
      </w:pPr>
      <w:r>
        <w:rPr>
          <w:rFonts w:hint="eastAsia" w:ascii="宋体" w:hAnsi="宋体" w:eastAsia="宋体" w:cs="Times New Roman"/>
          <w:szCs w:val="24"/>
          <w:highlight w:val="none"/>
        </w:rPr>
        <w:t>8</w:t>
      </w:r>
      <w:r>
        <w:rPr>
          <w:rFonts w:ascii="宋体" w:hAnsi="宋体" w:eastAsia="宋体" w:cs="Times New Roman"/>
          <w:szCs w:val="24"/>
          <w:highlight w:val="none"/>
        </w:rPr>
        <w:t>.</w:t>
      </w:r>
      <w:r>
        <w:rPr>
          <w:rFonts w:hint="eastAsia" w:ascii="宋体" w:hAnsi="宋体" w:eastAsia="宋体" w:cs="Times New Roman"/>
          <w:szCs w:val="24"/>
          <w:highlight w:val="none"/>
        </w:rPr>
        <w:t>潜在投标人在投标文件递交截止时间前，可以对电子投标文件进行撤回并重新上传。</w:t>
      </w:r>
    </w:p>
    <w:p w14:paraId="5C0C12E5">
      <w:pPr>
        <w:shd w:val="clear"/>
        <w:wordWrap w:val="0"/>
        <w:spacing w:line="400" w:lineRule="exact"/>
        <w:ind w:firstLine="420" w:firstLineChars="200"/>
        <w:rPr>
          <w:rFonts w:ascii="宋体" w:hAnsi="宋体" w:eastAsia="宋体" w:cs="Times New Roman"/>
          <w:szCs w:val="24"/>
          <w:highlight w:val="none"/>
        </w:rPr>
      </w:pPr>
      <w:r>
        <w:rPr>
          <w:rFonts w:hint="eastAsia" w:ascii="宋体" w:hAnsi="宋体" w:eastAsia="宋体" w:cs="Times New Roman"/>
          <w:szCs w:val="24"/>
          <w:highlight w:val="none"/>
        </w:rPr>
        <w:t>9</w:t>
      </w:r>
      <w:r>
        <w:rPr>
          <w:rFonts w:ascii="宋体" w:hAnsi="宋体" w:eastAsia="宋体" w:cs="Times New Roman"/>
          <w:szCs w:val="24"/>
          <w:highlight w:val="none"/>
        </w:rPr>
        <w:t>.</w:t>
      </w:r>
      <w:r>
        <w:rPr>
          <w:rFonts w:hint="eastAsia" w:ascii="宋体" w:hAnsi="宋体" w:eastAsia="宋体" w:cs="Times New Roman"/>
          <w:szCs w:val="24"/>
          <w:highlight w:val="none"/>
        </w:rPr>
        <w:t>潜在投标人在制作、签章、加密、上传电子投标文件过程中，若存在技术操作问题，请及时联系优质采招标采购平台客服人员，客服电话：</w:t>
      </w:r>
      <w:r>
        <w:rPr>
          <w:rFonts w:ascii="宋体" w:hAnsi="宋体" w:eastAsia="宋体" w:cs="Times New Roman"/>
          <w:szCs w:val="24"/>
          <w:highlight w:val="none"/>
        </w:rPr>
        <w:t>0551-62220164</w:t>
      </w:r>
      <w:r>
        <w:rPr>
          <w:rFonts w:hint="eastAsia" w:ascii="宋体" w:hAnsi="宋体" w:eastAsia="宋体" w:cs="Times New Roman"/>
          <w:szCs w:val="24"/>
          <w:highlight w:val="none"/>
        </w:rPr>
        <w:t>。</w:t>
      </w:r>
    </w:p>
    <w:p w14:paraId="2ABA36DF">
      <w:pPr>
        <w:shd w:val="clear"/>
        <w:wordWrap w:val="0"/>
        <w:spacing w:line="400" w:lineRule="exact"/>
        <w:ind w:firstLine="420" w:firstLineChars="200"/>
        <w:rPr>
          <w:rFonts w:ascii="黑体" w:hAnsi="黑体" w:eastAsia="黑体" w:cs="Times New Roman"/>
          <w:szCs w:val="24"/>
          <w:highlight w:val="none"/>
        </w:rPr>
      </w:pPr>
      <w:r>
        <w:rPr>
          <w:rFonts w:hint="eastAsia" w:ascii="黑体" w:hAnsi="黑体" w:eastAsia="黑体" w:cs="Times New Roman"/>
          <w:szCs w:val="24"/>
          <w:highlight w:val="none"/>
        </w:rPr>
        <w:t>三</w:t>
      </w:r>
      <w:r>
        <w:rPr>
          <w:rFonts w:ascii="黑体" w:hAnsi="黑体" w:eastAsia="黑体" w:cs="Times New Roman"/>
          <w:szCs w:val="24"/>
          <w:highlight w:val="none"/>
        </w:rPr>
        <w:t>、</w:t>
      </w:r>
      <w:r>
        <w:rPr>
          <w:rFonts w:hint="eastAsia" w:ascii="黑体" w:hAnsi="黑体" w:eastAsia="黑体" w:cs="Times New Roman"/>
          <w:szCs w:val="24"/>
          <w:highlight w:val="none"/>
        </w:rPr>
        <w:t>开标</w:t>
      </w:r>
      <w:r>
        <w:rPr>
          <w:rFonts w:ascii="黑体" w:hAnsi="黑体" w:eastAsia="黑体" w:cs="Times New Roman"/>
          <w:szCs w:val="24"/>
          <w:highlight w:val="none"/>
        </w:rPr>
        <w:t>和解密</w:t>
      </w:r>
    </w:p>
    <w:p w14:paraId="2621AB06">
      <w:pPr>
        <w:shd w:val="clear"/>
        <w:wordWrap w:val="0"/>
        <w:spacing w:line="400" w:lineRule="exact"/>
        <w:ind w:firstLine="420" w:firstLineChars="200"/>
        <w:rPr>
          <w:rFonts w:ascii="宋体" w:hAnsi="宋体" w:eastAsia="宋体" w:cs="Times New Roman"/>
          <w:szCs w:val="24"/>
          <w:highlight w:val="none"/>
        </w:rPr>
      </w:pPr>
      <w:r>
        <w:rPr>
          <w:rFonts w:ascii="宋体" w:hAnsi="宋体" w:eastAsia="宋体" w:cs="Times New Roman"/>
          <w:szCs w:val="24"/>
          <w:highlight w:val="none"/>
        </w:rPr>
        <w:t>1</w:t>
      </w:r>
      <w:r>
        <w:rPr>
          <w:rFonts w:hint="eastAsia" w:ascii="宋体" w:hAnsi="宋体" w:eastAsia="宋体" w:cs="Times New Roman"/>
          <w:szCs w:val="24"/>
          <w:highlight w:val="none"/>
        </w:rPr>
        <w:t>0</w:t>
      </w:r>
      <w:r>
        <w:rPr>
          <w:rFonts w:ascii="宋体" w:hAnsi="宋体" w:eastAsia="宋体" w:cs="Times New Roman"/>
          <w:szCs w:val="24"/>
          <w:highlight w:val="none"/>
        </w:rPr>
        <w:t>.</w:t>
      </w:r>
      <w:r>
        <w:rPr>
          <w:rFonts w:hint="eastAsia" w:ascii="宋体" w:hAnsi="宋体" w:eastAsia="宋体" w:cs="Times New Roman"/>
          <w:szCs w:val="24"/>
          <w:highlight w:val="none"/>
        </w:rPr>
        <w:t>招标人或招标代理机构工作人员（以下简称工作人员）登录优质采招标采购平台组织开标。开标时投标人</w:t>
      </w:r>
      <w:r>
        <w:rPr>
          <w:rFonts w:ascii="宋体" w:hAnsi="宋体" w:eastAsia="宋体" w:cs="Times New Roman"/>
          <w:szCs w:val="24"/>
          <w:highlight w:val="none"/>
        </w:rPr>
        <w:t>登录优质采招标采购平台</w:t>
      </w:r>
      <w:r>
        <w:rPr>
          <w:rFonts w:hint="eastAsia" w:ascii="宋体" w:hAnsi="宋体" w:eastAsia="宋体" w:cs="Times New Roman"/>
          <w:szCs w:val="24"/>
          <w:highlight w:val="none"/>
        </w:rPr>
        <w:t>开标大厅，并使用</w:t>
      </w:r>
      <w:r>
        <w:rPr>
          <w:rFonts w:hint="eastAsia" w:ascii="Calibri" w:hAnsi="Calibri" w:eastAsia="宋体" w:cs="Times New Roman"/>
          <w:szCs w:val="22"/>
          <w:highlight w:val="none"/>
        </w:rPr>
        <w:t>CA证书</w:t>
      </w:r>
      <w:r>
        <w:rPr>
          <w:rFonts w:hint="eastAsia" w:ascii="宋体" w:hAnsi="宋体" w:eastAsia="宋体" w:cs="Times New Roman"/>
          <w:szCs w:val="24"/>
          <w:highlight w:val="none"/>
        </w:rPr>
        <w:t>解密投标文件，工作人员公布开标结果。</w:t>
      </w:r>
    </w:p>
    <w:p w14:paraId="0627D6F6">
      <w:pPr>
        <w:shd w:val="clear"/>
        <w:wordWrap w:val="0"/>
        <w:spacing w:line="400" w:lineRule="exact"/>
        <w:ind w:firstLine="420" w:firstLineChars="200"/>
        <w:rPr>
          <w:rFonts w:ascii="宋体" w:hAnsi="宋体" w:eastAsia="宋体" w:cs="Times New Roman"/>
          <w:szCs w:val="24"/>
          <w:highlight w:val="none"/>
        </w:rPr>
      </w:pPr>
      <w:r>
        <w:rPr>
          <w:rFonts w:ascii="宋体" w:hAnsi="宋体" w:eastAsia="宋体" w:cs="Times New Roman"/>
          <w:szCs w:val="24"/>
          <w:highlight w:val="none"/>
        </w:rPr>
        <w:t>1</w:t>
      </w:r>
      <w:r>
        <w:rPr>
          <w:rFonts w:hint="eastAsia" w:ascii="宋体" w:hAnsi="宋体" w:eastAsia="宋体" w:cs="Times New Roman"/>
          <w:szCs w:val="24"/>
          <w:highlight w:val="none"/>
        </w:rPr>
        <w:t>1</w:t>
      </w:r>
      <w:r>
        <w:rPr>
          <w:rFonts w:ascii="宋体" w:hAnsi="宋体" w:eastAsia="宋体" w:cs="Times New Roman"/>
          <w:szCs w:val="24"/>
          <w:highlight w:val="none"/>
        </w:rPr>
        <w:t>.</w:t>
      </w:r>
      <w:r>
        <w:rPr>
          <w:rFonts w:hint="eastAsia" w:ascii="宋体" w:hAnsi="宋体" w:eastAsia="宋体" w:cs="Times New Roman"/>
          <w:szCs w:val="24"/>
          <w:highlight w:val="none"/>
        </w:rPr>
        <w:t>投标人须在投标文件解密时限内完成投标文件解密，未能成功解密的视为放弃投标。若解密时出现异常情况，且招标文件“投标人须知”中对投标文件解密设有线下补救方案的，执行该补救方案。</w:t>
      </w:r>
    </w:p>
    <w:p w14:paraId="4FE6C553">
      <w:pPr>
        <w:shd w:val="clear"/>
        <w:wordWrap w:val="0"/>
        <w:spacing w:line="400" w:lineRule="exact"/>
        <w:ind w:firstLine="420" w:firstLineChars="200"/>
        <w:rPr>
          <w:rFonts w:ascii="宋体" w:hAnsi="宋体" w:eastAsia="宋体" w:cs="Times New Roman"/>
          <w:szCs w:val="24"/>
          <w:highlight w:val="none"/>
        </w:rPr>
      </w:pPr>
      <w:r>
        <w:rPr>
          <w:rFonts w:ascii="宋体" w:hAnsi="宋体" w:eastAsia="宋体" w:cs="Times New Roman"/>
          <w:szCs w:val="24"/>
          <w:highlight w:val="none"/>
        </w:rPr>
        <w:t>1</w:t>
      </w:r>
      <w:r>
        <w:rPr>
          <w:rFonts w:hint="eastAsia" w:ascii="宋体" w:hAnsi="宋体" w:eastAsia="宋体" w:cs="Times New Roman"/>
          <w:szCs w:val="24"/>
          <w:highlight w:val="none"/>
        </w:rPr>
        <w:t>2</w:t>
      </w:r>
      <w:r>
        <w:rPr>
          <w:rFonts w:ascii="宋体" w:hAnsi="宋体" w:eastAsia="宋体" w:cs="Times New Roman"/>
          <w:szCs w:val="24"/>
          <w:highlight w:val="none"/>
        </w:rPr>
        <w:t>.</w:t>
      </w:r>
      <w:r>
        <w:rPr>
          <w:rFonts w:hint="eastAsia" w:ascii="宋体" w:hAnsi="宋体" w:eastAsia="宋体" w:cs="Times New Roman"/>
          <w:szCs w:val="24"/>
          <w:highlight w:val="none"/>
        </w:rPr>
        <w:t>投标人须保持优质采招标采购平台开标大厅为登录状态，并关注开标互动大厅消息直到项目评审结束。</w:t>
      </w:r>
    </w:p>
    <w:p w14:paraId="3C14C80A">
      <w:pPr>
        <w:shd w:val="clear"/>
        <w:wordWrap w:val="0"/>
        <w:spacing w:line="400" w:lineRule="exact"/>
        <w:ind w:firstLine="420" w:firstLineChars="200"/>
        <w:rPr>
          <w:rFonts w:ascii="黑体" w:hAnsi="黑体" w:eastAsia="黑体" w:cs="Times New Roman"/>
          <w:szCs w:val="24"/>
          <w:highlight w:val="none"/>
        </w:rPr>
      </w:pPr>
      <w:r>
        <w:rPr>
          <w:rFonts w:hint="eastAsia" w:ascii="黑体" w:hAnsi="黑体" w:eastAsia="黑体" w:cs="Times New Roman"/>
          <w:szCs w:val="24"/>
          <w:highlight w:val="none"/>
        </w:rPr>
        <w:t>四</w:t>
      </w:r>
      <w:r>
        <w:rPr>
          <w:rFonts w:ascii="黑体" w:hAnsi="黑体" w:eastAsia="黑体" w:cs="Times New Roman"/>
          <w:szCs w:val="24"/>
          <w:highlight w:val="none"/>
        </w:rPr>
        <w:t>、</w:t>
      </w:r>
      <w:r>
        <w:rPr>
          <w:rFonts w:hint="eastAsia" w:ascii="黑体" w:hAnsi="黑体" w:eastAsia="黑体" w:cs="Times New Roman"/>
          <w:szCs w:val="24"/>
          <w:highlight w:val="none"/>
        </w:rPr>
        <w:t>评标</w:t>
      </w:r>
      <w:r>
        <w:rPr>
          <w:rFonts w:ascii="黑体" w:hAnsi="黑体" w:eastAsia="黑体" w:cs="Times New Roman"/>
          <w:szCs w:val="24"/>
          <w:highlight w:val="none"/>
        </w:rPr>
        <w:t>和询标</w:t>
      </w:r>
    </w:p>
    <w:p w14:paraId="2A73EBAB">
      <w:pPr>
        <w:shd w:val="clear"/>
        <w:wordWrap w:val="0"/>
        <w:spacing w:line="400" w:lineRule="exact"/>
        <w:ind w:firstLine="420" w:firstLineChars="200"/>
        <w:rPr>
          <w:rFonts w:ascii="宋体" w:hAnsi="宋体" w:eastAsia="宋体" w:cs="Times New Roman"/>
          <w:szCs w:val="24"/>
          <w:highlight w:val="none"/>
        </w:rPr>
      </w:pPr>
      <w:r>
        <w:rPr>
          <w:rFonts w:ascii="宋体" w:hAnsi="宋体" w:eastAsia="宋体" w:cs="Times New Roman"/>
          <w:szCs w:val="24"/>
          <w:highlight w:val="none"/>
        </w:rPr>
        <w:t>1</w:t>
      </w:r>
      <w:r>
        <w:rPr>
          <w:rFonts w:hint="eastAsia" w:ascii="宋体" w:hAnsi="宋体" w:eastAsia="宋体" w:cs="Times New Roman"/>
          <w:szCs w:val="24"/>
          <w:highlight w:val="none"/>
        </w:rPr>
        <w:t>3</w:t>
      </w:r>
      <w:r>
        <w:rPr>
          <w:rFonts w:ascii="宋体" w:hAnsi="宋体" w:eastAsia="宋体" w:cs="Times New Roman"/>
          <w:szCs w:val="24"/>
          <w:highlight w:val="none"/>
        </w:rPr>
        <w:t>.</w:t>
      </w:r>
      <w:r>
        <w:rPr>
          <w:rFonts w:hint="eastAsia" w:ascii="Calibri" w:hAnsi="Calibri" w:eastAsia="宋体" w:cs="Times New Roman"/>
          <w:szCs w:val="22"/>
          <w:highlight w:val="none"/>
        </w:rPr>
        <w:t xml:space="preserve"> </w:t>
      </w:r>
      <w:r>
        <w:rPr>
          <w:rFonts w:hint="eastAsia" w:ascii="宋体" w:hAnsi="宋体" w:eastAsia="宋体" w:cs="Times New Roman"/>
          <w:szCs w:val="24"/>
          <w:highlight w:val="none"/>
        </w:rPr>
        <w:t>投标人在接收到询标函时，需在询标函载明的时间内登录优质采招标采购平台进行回复。若投标人未及时回复，视为放弃澄清。</w:t>
      </w:r>
    </w:p>
    <w:p w14:paraId="1EFFABEC">
      <w:pPr>
        <w:shd w:val="clear"/>
        <w:wordWrap w:val="0"/>
        <w:spacing w:line="400" w:lineRule="exact"/>
        <w:ind w:firstLine="420" w:firstLineChars="200"/>
        <w:rPr>
          <w:rFonts w:ascii="黑体" w:hAnsi="黑体" w:eastAsia="黑体" w:cs="Times New Roman"/>
          <w:szCs w:val="22"/>
          <w:highlight w:val="none"/>
        </w:rPr>
      </w:pPr>
      <w:r>
        <w:rPr>
          <w:rFonts w:hint="eastAsia" w:ascii="黑体" w:hAnsi="黑体" w:eastAsia="黑体" w:cs="Times New Roman"/>
          <w:szCs w:val="22"/>
          <w:highlight w:val="none"/>
        </w:rPr>
        <w:t>五、异常情形</w:t>
      </w:r>
    </w:p>
    <w:p w14:paraId="737D8B80">
      <w:pPr>
        <w:shd w:val="clear"/>
        <w:wordWrap w:val="0"/>
        <w:spacing w:line="400" w:lineRule="exact"/>
        <w:ind w:firstLine="420" w:firstLineChars="200"/>
        <w:rPr>
          <w:rFonts w:ascii="宋体" w:hAnsi="宋体" w:eastAsia="宋体" w:cs="Times New Roman"/>
          <w:szCs w:val="24"/>
          <w:highlight w:val="none"/>
        </w:rPr>
      </w:pPr>
      <w:r>
        <w:rPr>
          <w:rFonts w:hint="eastAsia" w:ascii="宋体" w:hAnsi="宋体" w:eastAsia="宋体" w:cs="Times New Roman"/>
          <w:szCs w:val="24"/>
          <w:highlight w:val="none"/>
        </w:rPr>
        <w:t>14.出现下列情形导致电子交易系统无法正常运行，影响招投标过程的公平、公正和信息安全，经第三方机构认定后，各方当事人免责：</w:t>
      </w:r>
    </w:p>
    <w:p w14:paraId="3CA86E8E">
      <w:pPr>
        <w:shd w:val="clear"/>
        <w:wordWrap w:val="0"/>
        <w:spacing w:line="400" w:lineRule="exact"/>
        <w:ind w:firstLine="420" w:firstLineChars="200"/>
        <w:rPr>
          <w:rFonts w:ascii="宋体" w:hAnsi="宋体" w:eastAsia="宋体" w:cs="Times New Roman"/>
          <w:szCs w:val="24"/>
          <w:highlight w:val="none"/>
        </w:rPr>
      </w:pPr>
      <w:r>
        <w:rPr>
          <w:rFonts w:hint="eastAsia" w:ascii="宋体" w:hAnsi="宋体" w:eastAsia="宋体" w:cs="Times New Roman"/>
          <w:szCs w:val="24"/>
          <w:highlight w:val="none"/>
        </w:rPr>
        <w:t>(1)网络、服务器、数据库发生故障造成无法访问或使用的；</w:t>
      </w:r>
    </w:p>
    <w:p w14:paraId="63808048">
      <w:pPr>
        <w:shd w:val="clear"/>
        <w:wordWrap w:val="0"/>
        <w:spacing w:line="400" w:lineRule="exact"/>
        <w:ind w:firstLine="420" w:firstLineChars="200"/>
        <w:rPr>
          <w:rFonts w:ascii="宋体" w:hAnsi="宋体" w:eastAsia="宋体" w:cs="Times New Roman"/>
          <w:szCs w:val="24"/>
          <w:highlight w:val="none"/>
        </w:rPr>
      </w:pPr>
      <w:r>
        <w:rPr>
          <w:rFonts w:hint="eastAsia" w:ascii="宋体" w:hAnsi="宋体" w:eastAsia="宋体" w:cs="Times New Roman"/>
          <w:szCs w:val="24"/>
          <w:highlight w:val="none"/>
        </w:rPr>
        <w:t>(2)电力系统发生故障导致电子服务系统或电子交易系统无法运行；</w:t>
      </w:r>
    </w:p>
    <w:p w14:paraId="720EBF96">
      <w:pPr>
        <w:shd w:val="clear"/>
        <w:wordWrap w:val="0"/>
        <w:spacing w:line="400" w:lineRule="exact"/>
        <w:ind w:firstLine="420" w:firstLineChars="200"/>
        <w:rPr>
          <w:rFonts w:ascii="宋体" w:hAnsi="宋体" w:eastAsia="宋体" w:cs="Times New Roman"/>
          <w:szCs w:val="24"/>
          <w:highlight w:val="none"/>
        </w:rPr>
      </w:pPr>
      <w:r>
        <w:rPr>
          <w:rFonts w:hint="eastAsia" w:ascii="宋体" w:hAnsi="宋体" w:eastAsia="宋体" w:cs="Times New Roman"/>
          <w:szCs w:val="24"/>
          <w:highlight w:val="none"/>
        </w:rPr>
        <w:t>(3)出现网络攻击、病毒入侵以及电子服务系统或电子交易系统安全漏洞导致无法正常提供服务的；</w:t>
      </w:r>
    </w:p>
    <w:p w14:paraId="728D1B24">
      <w:pPr>
        <w:shd w:val="clear"/>
        <w:wordWrap w:val="0"/>
        <w:spacing w:line="400" w:lineRule="exact"/>
        <w:ind w:firstLine="420" w:firstLineChars="200"/>
        <w:rPr>
          <w:rFonts w:ascii="宋体" w:hAnsi="宋体" w:eastAsia="宋体" w:cs="Times New Roman"/>
          <w:szCs w:val="24"/>
          <w:highlight w:val="none"/>
        </w:rPr>
      </w:pPr>
      <w:r>
        <w:rPr>
          <w:rFonts w:hint="eastAsia" w:ascii="宋体" w:hAnsi="宋体" w:eastAsia="宋体" w:cs="Times New Roman"/>
          <w:szCs w:val="24"/>
          <w:highlight w:val="none"/>
        </w:rPr>
        <w:t>(4)其他无法保证招投标过程公平、公正和信息安全的情形。</w:t>
      </w:r>
    </w:p>
    <w:p w14:paraId="514E19B7">
      <w:pPr>
        <w:shd w:val="clear"/>
        <w:wordWrap w:val="0"/>
        <w:spacing w:line="400" w:lineRule="exact"/>
        <w:ind w:firstLine="420" w:firstLineChars="200"/>
        <w:rPr>
          <w:rFonts w:ascii="黑体" w:hAnsi="黑体" w:eastAsia="黑体" w:cs="Times New Roman"/>
          <w:szCs w:val="22"/>
          <w:highlight w:val="none"/>
        </w:rPr>
      </w:pPr>
      <w:r>
        <w:rPr>
          <w:rFonts w:hint="eastAsia" w:ascii="黑体" w:hAnsi="黑体" w:eastAsia="黑体" w:cs="Times New Roman"/>
          <w:szCs w:val="22"/>
          <w:highlight w:val="none"/>
        </w:rPr>
        <w:t>六、异常情形处理</w:t>
      </w:r>
    </w:p>
    <w:p w14:paraId="0C19D347">
      <w:pPr>
        <w:shd w:val="clear"/>
        <w:wordWrap w:val="0"/>
        <w:spacing w:line="400" w:lineRule="exact"/>
        <w:ind w:firstLine="420" w:firstLineChars="200"/>
        <w:rPr>
          <w:rFonts w:ascii="Calibri" w:hAnsi="Calibri" w:eastAsia="宋体" w:cs="Times New Roman"/>
          <w:szCs w:val="22"/>
          <w:highlight w:val="none"/>
        </w:rPr>
      </w:pPr>
      <w:r>
        <w:rPr>
          <w:rFonts w:hint="eastAsia" w:ascii="Calibri" w:hAnsi="Calibri" w:eastAsia="宋体" w:cs="Times New Roman"/>
          <w:szCs w:val="22"/>
          <w:highlight w:val="none"/>
        </w:rPr>
        <w:t>15.出现上述情形，优质采招标采购平台及时组织相关方查明原因，排除故障。若能保证在开标前恢复系统运行的，招投标程序继续进行；若导致开评标程序无法按时开展，但能在原开标时间后2小时内恢复系统运行的，招投标程序继续进行；若导致开评标程序无法按时开展，在原开标时间后2小时内无法恢复系统运行的，按以下程序操作：</w:t>
      </w:r>
    </w:p>
    <w:p w14:paraId="33FF5D82">
      <w:pPr>
        <w:shd w:val="clear"/>
        <w:wordWrap w:val="0"/>
        <w:spacing w:line="400" w:lineRule="exact"/>
        <w:ind w:firstLine="420" w:firstLineChars="200"/>
        <w:rPr>
          <w:rFonts w:ascii="Calibri" w:hAnsi="Calibri" w:eastAsia="宋体" w:cs="Times New Roman"/>
          <w:szCs w:val="22"/>
          <w:highlight w:val="none"/>
        </w:rPr>
      </w:pPr>
      <w:r>
        <w:rPr>
          <w:rFonts w:hint="eastAsia" w:ascii="Calibri" w:hAnsi="Calibri" w:eastAsia="宋体" w:cs="Times New Roman"/>
          <w:szCs w:val="22"/>
          <w:highlight w:val="none"/>
        </w:rPr>
        <w:t>（1）项目中止，中止期限由招标人或招标代理机构根据项目具体情况确定。中止期限届满后中止情形尚未消除的，招标人或代理机构可以根据实际情况决定延长中止期限。决定延长中止期限的，应向投标人发出延长中止期限通知，并发布公告。</w:t>
      </w:r>
    </w:p>
    <w:p w14:paraId="67B5CE49">
      <w:pPr>
        <w:shd w:val="clear"/>
        <w:wordWrap w:val="0"/>
        <w:spacing w:line="400" w:lineRule="exact"/>
        <w:ind w:firstLine="420" w:firstLineChars="200"/>
        <w:rPr>
          <w:rFonts w:ascii="Calibri" w:hAnsi="Calibri" w:eastAsia="宋体" w:cs="Times New Roman"/>
          <w:szCs w:val="22"/>
          <w:highlight w:val="none"/>
        </w:rPr>
      </w:pPr>
      <w:r>
        <w:rPr>
          <w:rFonts w:hint="eastAsia" w:ascii="Calibri" w:hAnsi="Calibri" w:eastAsia="宋体" w:cs="Times New Roman"/>
          <w:szCs w:val="22"/>
          <w:highlight w:val="none"/>
        </w:rPr>
        <w:t>（2）项目恢复，导致项目中止的情形消除后，招标人或代理机构应当尽快恢复招投标程序，向投标人发出恢复交易通知，并发布公告；已发出延长中止期限通知的，按通知执行。</w:t>
      </w:r>
    </w:p>
    <w:p w14:paraId="5427966C">
      <w:pPr>
        <w:shd w:val="clear"/>
        <w:wordWrap w:val="0"/>
        <w:rPr>
          <w:rFonts w:ascii="宋体" w:hAnsi="宋体" w:eastAsia="宋体"/>
          <w:sz w:val="24"/>
          <w:szCs w:val="18"/>
          <w:highlight w:val="none"/>
        </w:rPr>
      </w:pPr>
      <w:r>
        <w:rPr>
          <w:rFonts w:ascii="宋体" w:hAnsi="宋体" w:eastAsia="宋体"/>
          <w:sz w:val="24"/>
          <w:szCs w:val="18"/>
          <w:highlight w:val="none"/>
        </w:rPr>
        <w:br w:type="page"/>
      </w:r>
    </w:p>
    <w:p w14:paraId="17281442">
      <w:pPr>
        <w:shd w:val="clear"/>
        <w:spacing w:line="360" w:lineRule="auto"/>
        <w:jc w:val="center"/>
        <w:outlineLvl w:val="0"/>
        <w:rPr>
          <w:rFonts w:asciiTheme="minorEastAsia" w:hAnsiTheme="minorEastAsia" w:eastAsiaTheme="minorEastAsia"/>
          <w:b/>
          <w:sz w:val="28"/>
          <w:highlight w:val="none"/>
        </w:rPr>
      </w:pPr>
      <w:bookmarkStart w:id="58" w:name="_Toc31935"/>
      <w:r>
        <w:rPr>
          <w:rFonts w:hint="eastAsia" w:asciiTheme="minorEastAsia" w:hAnsiTheme="minorEastAsia" w:eastAsiaTheme="minorEastAsia"/>
          <w:b/>
          <w:sz w:val="28"/>
          <w:highlight w:val="none"/>
        </w:rPr>
        <w:t>第二章</w:t>
      </w:r>
      <w:r>
        <w:rPr>
          <w:rFonts w:asciiTheme="minorEastAsia" w:hAnsiTheme="minorEastAsia" w:eastAsiaTheme="minorEastAsia"/>
          <w:b/>
          <w:sz w:val="28"/>
          <w:highlight w:val="none"/>
        </w:rPr>
        <w:t xml:space="preserve"> </w:t>
      </w:r>
      <w:r>
        <w:rPr>
          <w:rFonts w:hint="eastAsia" w:asciiTheme="minorEastAsia" w:hAnsiTheme="minorEastAsia" w:eastAsiaTheme="minorEastAsia"/>
          <w:b/>
          <w:sz w:val="28"/>
          <w:highlight w:val="none"/>
        </w:rPr>
        <w:t xml:space="preserve"> </w:t>
      </w:r>
      <w:r>
        <w:rPr>
          <w:rFonts w:asciiTheme="minorEastAsia" w:hAnsiTheme="minorEastAsia" w:eastAsiaTheme="minorEastAsia"/>
          <w:b/>
          <w:sz w:val="28"/>
          <w:highlight w:val="none"/>
        </w:rPr>
        <w:t>投标人须知</w:t>
      </w:r>
      <w:bookmarkEnd w:id="58"/>
    </w:p>
    <w:p w14:paraId="1C2B44DB">
      <w:pPr>
        <w:shd w:val="clear"/>
        <w:spacing w:line="360" w:lineRule="auto"/>
        <w:jc w:val="center"/>
        <w:outlineLvl w:val="1"/>
        <w:rPr>
          <w:rFonts w:asciiTheme="minorEastAsia" w:hAnsiTheme="minorEastAsia" w:eastAsiaTheme="minorEastAsia"/>
          <w:b/>
          <w:sz w:val="24"/>
          <w:highlight w:val="none"/>
        </w:rPr>
      </w:pPr>
      <w:bookmarkStart w:id="59" w:name="_Toc7178"/>
      <w:bookmarkStart w:id="60" w:name="_Toc3114"/>
      <w:r>
        <w:rPr>
          <w:rFonts w:hint="eastAsia" w:asciiTheme="minorEastAsia" w:hAnsiTheme="minorEastAsia" w:eastAsiaTheme="minorEastAsia"/>
          <w:b/>
          <w:sz w:val="24"/>
          <w:highlight w:val="none"/>
        </w:rPr>
        <w:t>一、</w:t>
      </w:r>
      <w:r>
        <w:rPr>
          <w:rFonts w:asciiTheme="minorEastAsia" w:hAnsiTheme="minorEastAsia" w:eastAsiaTheme="minorEastAsia"/>
          <w:b/>
          <w:sz w:val="24"/>
          <w:highlight w:val="none"/>
        </w:rPr>
        <w:t>投标人须知前附表</w:t>
      </w:r>
      <w:bookmarkEnd w:id="59"/>
      <w:bookmarkEnd w:id="60"/>
    </w:p>
    <w:p w14:paraId="13C5CDE9">
      <w:pPr>
        <w:shd w:val="clear"/>
        <w:spacing w:line="360" w:lineRule="auto"/>
        <w:ind w:firstLine="435"/>
        <w:rPr>
          <w:rFonts w:ascii="宋体" w:hAnsi="宋体" w:eastAsia="宋体"/>
          <w:sz w:val="24"/>
          <w:szCs w:val="18"/>
          <w:highlight w:val="none"/>
        </w:rPr>
      </w:pPr>
      <w:r>
        <w:rPr>
          <w:rFonts w:hint="eastAsia" w:ascii="宋体" w:hAnsi="宋体" w:eastAsia="宋体"/>
          <w:b/>
          <w:bCs/>
          <w:sz w:val="24"/>
          <w:szCs w:val="18"/>
          <w:highlight w:val="none"/>
        </w:rPr>
        <w:t>注：</w:t>
      </w:r>
      <w:r>
        <w:rPr>
          <w:rFonts w:hint="eastAsia" w:ascii="宋体" w:hAnsi="宋体" w:eastAsia="宋体"/>
          <w:sz w:val="24"/>
          <w:szCs w:val="18"/>
          <w:highlight w:val="none"/>
        </w:rPr>
        <w:t>本表是本项目的具体要求，是对投标人须知的具体补充和修改，如有不一致，以本表为准。</w:t>
      </w:r>
    </w:p>
    <w:tbl>
      <w:tblPr>
        <w:tblStyle w:val="25"/>
        <w:tblW w:w="507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61"/>
        <w:gridCol w:w="1990"/>
        <w:gridCol w:w="5706"/>
      </w:tblGrid>
      <w:tr w14:paraId="37E4D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216F6B5C">
            <w:pPr>
              <w:pStyle w:val="37"/>
              <w:widowControl w:val="0"/>
              <w:shd w:val="clear"/>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条款号</w:t>
            </w:r>
          </w:p>
        </w:tc>
        <w:tc>
          <w:tcPr>
            <w:tcW w:w="1174" w:type="pct"/>
            <w:vAlign w:val="center"/>
          </w:tcPr>
          <w:p w14:paraId="6B4D4B7D">
            <w:pPr>
              <w:pStyle w:val="37"/>
              <w:widowControl w:val="0"/>
              <w:shd w:val="clear"/>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条款名称</w:t>
            </w:r>
          </w:p>
        </w:tc>
        <w:tc>
          <w:tcPr>
            <w:tcW w:w="3245" w:type="pct"/>
            <w:vAlign w:val="center"/>
          </w:tcPr>
          <w:p w14:paraId="467D9BEB">
            <w:pPr>
              <w:pStyle w:val="37"/>
              <w:widowControl w:val="0"/>
              <w:shd w:val="clear"/>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内容、说明与要求</w:t>
            </w:r>
          </w:p>
        </w:tc>
      </w:tr>
      <w:tr w14:paraId="224813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580" w:type="pct"/>
            <w:vAlign w:val="center"/>
          </w:tcPr>
          <w:p w14:paraId="3EB3A31A">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5</w:t>
            </w:r>
            <w:r>
              <w:rPr>
                <w:rFonts w:ascii="宋体" w:hAnsi="宋体" w:eastAsia="宋体"/>
                <w:bCs/>
                <w:kern w:val="2"/>
                <w:highlight w:val="none"/>
              </w:rPr>
              <w:t>.</w:t>
            </w:r>
            <w:r>
              <w:rPr>
                <w:rFonts w:hint="eastAsia" w:ascii="宋体" w:hAnsi="宋体" w:eastAsia="宋体"/>
                <w:bCs/>
                <w:kern w:val="2"/>
                <w:highlight w:val="none"/>
              </w:rPr>
              <w:t>2</w:t>
            </w:r>
          </w:p>
        </w:tc>
        <w:tc>
          <w:tcPr>
            <w:tcW w:w="1174" w:type="pct"/>
            <w:vAlign w:val="center"/>
          </w:tcPr>
          <w:p w14:paraId="2B65B3B9">
            <w:pPr>
              <w:pStyle w:val="37"/>
              <w:widowControl w:val="0"/>
              <w:shd w:val="clear"/>
              <w:spacing w:before="0" w:beforeAutospacing="0" w:after="0" w:afterAutospacing="0" w:line="360" w:lineRule="auto"/>
              <w:jc w:val="left"/>
              <w:rPr>
                <w:rFonts w:ascii="宋体" w:hAnsi="宋体" w:eastAsia="宋体"/>
                <w:b w:val="0"/>
                <w:sz w:val="24"/>
                <w:highlight w:val="none"/>
              </w:rPr>
            </w:pPr>
            <w:r>
              <w:rPr>
                <w:rFonts w:hint="eastAsia" w:ascii="宋体" w:hAnsi="宋体" w:eastAsia="宋体"/>
                <w:b w:val="0"/>
                <w:sz w:val="24"/>
                <w:highlight w:val="none"/>
              </w:rPr>
              <w:t>现场考察或标前答疑会</w:t>
            </w:r>
          </w:p>
        </w:tc>
        <w:tc>
          <w:tcPr>
            <w:tcW w:w="3245" w:type="pct"/>
            <w:vAlign w:val="center"/>
          </w:tcPr>
          <w:p w14:paraId="3BA8AFBF">
            <w:pPr>
              <w:shd w:val="clear"/>
              <w:spacing w:line="360" w:lineRule="auto"/>
              <w:rPr>
                <w:rFonts w:ascii="宋体" w:hAnsi="宋体" w:eastAsia="宋体"/>
                <w:bCs/>
                <w:sz w:val="24"/>
                <w:highlight w:val="none"/>
              </w:rPr>
            </w:pPr>
            <w:r>
              <w:rPr>
                <w:rFonts w:hint="eastAsia" w:ascii="宋体" w:hAnsi="宋体" w:eastAsia="宋体"/>
                <w:bCs/>
                <w:sz w:val="24"/>
                <w:szCs w:val="24"/>
                <w:highlight w:val="none"/>
              </w:rPr>
              <w:t>☑</w:t>
            </w:r>
            <w:r>
              <w:rPr>
                <w:rFonts w:hint="eastAsia" w:ascii="宋体" w:hAnsi="宋体" w:eastAsia="宋体"/>
                <w:sz w:val="24"/>
                <w:highlight w:val="none"/>
              </w:rPr>
              <w:t>不组织或不召开</w:t>
            </w:r>
          </w:p>
          <w:p w14:paraId="3C0A8BF0">
            <w:pPr>
              <w:shd w:val="clear"/>
              <w:spacing w:line="360" w:lineRule="auto"/>
              <w:rPr>
                <w:rFonts w:ascii="宋体" w:hAnsi="宋体" w:eastAsia="宋体"/>
                <w:bCs/>
                <w:sz w:val="24"/>
                <w:highlight w:val="none"/>
              </w:rPr>
            </w:pPr>
            <w:r>
              <w:rPr>
                <w:rFonts w:hint="eastAsia" w:ascii="宋体" w:hAnsi="宋体" w:eastAsia="宋体"/>
                <w:sz w:val="24"/>
                <w:highlight w:val="none"/>
              </w:rPr>
              <w:t>□</w:t>
            </w:r>
            <w:r>
              <w:rPr>
                <w:rFonts w:hint="eastAsia" w:ascii="宋体" w:hAnsi="宋体" w:eastAsia="宋体"/>
                <w:bCs/>
                <w:sz w:val="24"/>
                <w:highlight w:val="none"/>
              </w:rPr>
              <w:t>统一组织或统一召开</w:t>
            </w:r>
          </w:p>
          <w:p w14:paraId="43E4B47F">
            <w:pPr>
              <w:shd w:val="clear"/>
              <w:spacing w:line="360" w:lineRule="auto"/>
              <w:rPr>
                <w:rFonts w:ascii="宋体" w:hAnsi="宋体" w:eastAsia="宋体"/>
                <w:bCs/>
                <w:sz w:val="24"/>
                <w:highlight w:val="none"/>
                <w:u w:val="single"/>
              </w:rPr>
            </w:pPr>
            <w:r>
              <w:rPr>
                <w:rFonts w:hint="eastAsia" w:ascii="宋体" w:hAnsi="宋体" w:eastAsia="宋体"/>
                <w:bCs/>
                <w:sz w:val="24"/>
                <w:highlight w:val="none"/>
              </w:rPr>
              <w:t>时间：</w:t>
            </w:r>
            <w:r>
              <w:rPr>
                <w:rFonts w:hint="eastAsia" w:ascii="宋体" w:hAnsi="宋体" w:eastAsia="宋体"/>
                <w:bCs/>
                <w:sz w:val="24"/>
                <w:highlight w:val="none"/>
                <w:u w:val="single"/>
              </w:rPr>
              <w:t xml:space="preserve"> </w:t>
            </w:r>
            <w:r>
              <w:rPr>
                <w:rFonts w:ascii="宋体" w:hAnsi="宋体" w:eastAsia="宋体"/>
                <w:bCs/>
                <w:sz w:val="24"/>
                <w:highlight w:val="none"/>
                <w:u w:val="single"/>
              </w:rPr>
              <w:t xml:space="preserve"> </w:t>
            </w:r>
            <w:r>
              <w:rPr>
                <w:rFonts w:hint="eastAsia" w:ascii="宋体" w:hAnsi="宋体" w:eastAsia="宋体"/>
                <w:bCs/>
                <w:sz w:val="24"/>
                <w:highlight w:val="none"/>
                <w:u w:val="single"/>
              </w:rPr>
              <w:t>/</w:t>
            </w:r>
            <w:r>
              <w:rPr>
                <w:rFonts w:ascii="宋体" w:hAnsi="宋体" w:eastAsia="宋体"/>
                <w:bCs/>
                <w:sz w:val="24"/>
                <w:highlight w:val="none"/>
                <w:u w:val="single"/>
              </w:rPr>
              <w:t xml:space="preserve">  </w:t>
            </w:r>
            <w:r>
              <w:rPr>
                <w:rFonts w:hint="eastAsia" w:ascii="宋体" w:hAnsi="宋体" w:eastAsia="宋体"/>
                <w:bCs/>
                <w:sz w:val="24"/>
                <w:highlight w:val="none"/>
              </w:rPr>
              <w:t>年</w:t>
            </w:r>
            <w:r>
              <w:rPr>
                <w:rFonts w:hint="eastAsia" w:ascii="宋体" w:hAnsi="宋体" w:eastAsia="宋体"/>
                <w:bCs/>
                <w:sz w:val="24"/>
                <w:highlight w:val="none"/>
                <w:u w:val="single"/>
              </w:rPr>
              <w:t xml:space="preserve"> /</w:t>
            </w:r>
            <w:r>
              <w:rPr>
                <w:rFonts w:ascii="宋体" w:hAnsi="宋体" w:eastAsia="宋体"/>
                <w:bCs/>
                <w:sz w:val="24"/>
                <w:highlight w:val="none"/>
                <w:u w:val="single"/>
              </w:rPr>
              <w:t xml:space="preserve"> </w:t>
            </w:r>
            <w:r>
              <w:rPr>
                <w:rFonts w:hint="eastAsia" w:ascii="宋体" w:hAnsi="宋体" w:eastAsia="宋体"/>
                <w:bCs/>
                <w:sz w:val="24"/>
                <w:highlight w:val="none"/>
              </w:rPr>
              <w:t>月</w:t>
            </w:r>
            <w:r>
              <w:rPr>
                <w:rFonts w:hint="eastAsia" w:ascii="宋体" w:hAnsi="宋体" w:eastAsia="宋体"/>
                <w:bCs/>
                <w:sz w:val="24"/>
                <w:highlight w:val="none"/>
                <w:u w:val="single"/>
              </w:rPr>
              <w:t xml:space="preserve"> /</w:t>
            </w:r>
            <w:r>
              <w:rPr>
                <w:rFonts w:ascii="宋体" w:hAnsi="宋体" w:eastAsia="宋体"/>
                <w:bCs/>
                <w:sz w:val="24"/>
                <w:highlight w:val="none"/>
                <w:u w:val="single"/>
              </w:rPr>
              <w:t xml:space="preserve"> </w:t>
            </w:r>
            <w:r>
              <w:rPr>
                <w:rFonts w:hint="eastAsia" w:ascii="宋体" w:hAnsi="宋体" w:eastAsia="宋体"/>
                <w:bCs/>
                <w:sz w:val="24"/>
                <w:highlight w:val="none"/>
              </w:rPr>
              <w:t>日</w:t>
            </w:r>
            <w:r>
              <w:rPr>
                <w:rFonts w:hint="eastAsia" w:ascii="宋体" w:hAnsi="宋体" w:eastAsia="宋体"/>
                <w:bCs/>
                <w:sz w:val="24"/>
                <w:highlight w:val="none"/>
                <w:u w:val="single"/>
              </w:rPr>
              <w:t xml:space="preserve"> /</w:t>
            </w:r>
            <w:r>
              <w:rPr>
                <w:rFonts w:ascii="宋体" w:hAnsi="宋体" w:eastAsia="宋体"/>
                <w:bCs/>
                <w:sz w:val="24"/>
                <w:highlight w:val="none"/>
                <w:u w:val="single"/>
              </w:rPr>
              <w:t xml:space="preserve"> </w:t>
            </w:r>
            <w:r>
              <w:rPr>
                <w:rFonts w:hint="eastAsia" w:ascii="宋体" w:hAnsi="宋体" w:eastAsia="宋体"/>
                <w:bCs/>
                <w:sz w:val="24"/>
                <w:highlight w:val="none"/>
              </w:rPr>
              <w:t>时</w:t>
            </w:r>
            <w:r>
              <w:rPr>
                <w:rFonts w:hint="eastAsia" w:ascii="宋体" w:hAnsi="宋体" w:eastAsia="宋体"/>
                <w:bCs/>
                <w:sz w:val="24"/>
                <w:highlight w:val="none"/>
                <w:u w:val="single"/>
              </w:rPr>
              <w:t xml:space="preserve"> /</w:t>
            </w:r>
            <w:r>
              <w:rPr>
                <w:rFonts w:ascii="宋体" w:hAnsi="宋体" w:eastAsia="宋体"/>
                <w:bCs/>
                <w:sz w:val="24"/>
                <w:highlight w:val="none"/>
                <w:u w:val="single"/>
              </w:rPr>
              <w:t xml:space="preserve"> </w:t>
            </w:r>
            <w:r>
              <w:rPr>
                <w:rFonts w:hint="eastAsia" w:ascii="宋体" w:hAnsi="宋体" w:eastAsia="宋体"/>
                <w:bCs/>
                <w:sz w:val="24"/>
                <w:highlight w:val="none"/>
              </w:rPr>
              <w:t>分</w:t>
            </w:r>
          </w:p>
          <w:p w14:paraId="6398A99C">
            <w:pPr>
              <w:shd w:val="clear"/>
              <w:spacing w:line="360" w:lineRule="auto"/>
              <w:rPr>
                <w:rFonts w:ascii="宋体" w:hAnsi="宋体" w:eastAsia="宋体"/>
                <w:bCs/>
                <w:sz w:val="24"/>
                <w:highlight w:val="none"/>
                <w:u w:val="single"/>
              </w:rPr>
            </w:pPr>
            <w:r>
              <w:rPr>
                <w:rFonts w:hint="eastAsia" w:ascii="宋体" w:hAnsi="宋体" w:eastAsia="宋体"/>
                <w:bCs/>
                <w:sz w:val="24"/>
                <w:highlight w:val="none"/>
              </w:rPr>
              <w:t>地点：</w:t>
            </w:r>
            <w:r>
              <w:rPr>
                <w:rFonts w:hint="eastAsia" w:ascii="宋体" w:hAnsi="宋体" w:eastAsia="宋体"/>
                <w:bCs/>
                <w:sz w:val="24"/>
                <w:highlight w:val="none"/>
                <w:u w:val="single"/>
              </w:rPr>
              <w:t xml:space="preserve"> </w:t>
            </w:r>
            <w:r>
              <w:rPr>
                <w:rFonts w:ascii="宋体" w:hAnsi="宋体" w:eastAsia="宋体"/>
                <w:bCs/>
                <w:sz w:val="24"/>
                <w:highlight w:val="none"/>
                <w:u w:val="single"/>
              </w:rPr>
              <w:t xml:space="preserve">        </w:t>
            </w:r>
            <w:r>
              <w:rPr>
                <w:rFonts w:hint="eastAsia" w:ascii="宋体" w:hAnsi="宋体" w:eastAsia="宋体"/>
                <w:bCs/>
                <w:sz w:val="24"/>
                <w:highlight w:val="none"/>
                <w:u w:val="single"/>
              </w:rPr>
              <w:t>/</w:t>
            </w:r>
            <w:r>
              <w:rPr>
                <w:rFonts w:ascii="宋体" w:hAnsi="宋体" w:eastAsia="宋体"/>
                <w:bCs/>
                <w:sz w:val="24"/>
                <w:highlight w:val="none"/>
                <w:u w:val="single"/>
              </w:rPr>
              <w:t xml:space="preserve">              </w:t>
            </w:r>
          </w:p>
          <w:p w14:paraId="66C26085">
            <w:pPr>
              <w:shd w:val="clear"/>
              <w:spacing w:line="360" w:lineRule="auto"/>
              <w:rPr>
                <w:rFonts w:ascii="宋体" w:hAnsi="宋体" w:eastAsia="宋体"/>
                <w:bCs/>
                <w:sz w:val="24"/>
                <w:highlight w:val="none"/>
                <w:u w:val="single"/>
              </w:rPr>
            </w:pPr>
            <w:r>
              <w:rPr>
                <w:rFonts w:hint="eastAsia" w:ascii="宋体" w:hAnsi="宋体" w:eastAsia="宋体"/>
                <w:bCs/>
                <w:sz w:val="24"/>
                <w:highlight w:val="none"/>
              </w:rPr>
              <w:t>联系人及联系电话：</w:t>
            </w:r>
            <w:r>
              <w:rPr>
                <w:rFonts w:hint="eastAsia" w:ascii="宋体" w:hAnsi="宋体" w:eastAsia="宋体"/>
                <w:bCs/>
                <w:sz w:val="24"/>
                <w:highlight w:val="none"/>
                <w:u w:val="single"/>
              </w:rPr>
              <w:t xml:space="preserve"> </w:t>
            </w:r>
            <w:r>
              <w:rPr>
                <w:rFonts w:ascii="宋体" w:hAnsi="宋体" w:eastAsia="宋体"/>
                <w:bCs/>
                <w:sz w:val="24"/>
                <w:highlight w:val="none"/>
                <w:u w:val="single"/>
              </w:rPr>
              <w:t xml:space="preserve">    </w:t>
            </w:r>
            <w:r>
              <w:rPr>
                <w:rFonts w:hint="eastAsia" w:ascii="宋体" w:hAnsi="宋体" w:eastAsia="宋体"/>
                <w:bCs/>
                <w:sz w:val="24"/>
                <w:highlight w:val="none"/>
                <w:u w:val="single"/>
              </w:rPr>
              <w:t>/</w:t>
            </w:r>
            <w:r>
              <w:rPr>
                <w:rFonts w:ascii="宋体" w:hAnsi="宋体" w:eastAsia="宋体"/>
                <w:bCs/>
                <w:sz w:val="24"/>
                <w:highlight w:val="none"/>
                <w:u w:val="single"/>
              </w:rPr>
              <w:t xml:space="preserve">      </w:t>
            </w:r>
          </w:p>
          <w:p w14:paraId="1B94A396">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Cs w:val="0"/>
                <w:sz w:val="24"/>
                <w:highlight w:val="none"/>
              </w:rPr>
              <w:t>注：如投标人未参加采购人统一组织的现场考察或采购人统一召开的标前答疑会，视同放弃现场考察或标前答疑会，由此引起的一切责任由投标人自行承担。</w:t>
            </w:r>
          </w:p>
        </w:tc>
      </w:tr>
      <w:tr w14:paraId="42299C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0020AE6E">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6</w:t>
            </w:r>
            <w:r>
              <w:rPr>
                <w:rFonts w:ascii="宋体" w:hAnsi="宋体" w:eastAsia="宋体"/>
                <w:bCs/>
                <w:kern w:val="2"/>
                <w:highlight w:val="none"/>
              </w:rPr>
              <w:t>.1</w:t>
            </w:r>
          </w:p>
        </w:tc>
        <w:tc>
          <w:tcPr>
            <w:tcW w:w="1174" w:type="pct"/>
            <w:vAlign w:val="center"/>
          </w:tcPr>
          <w:p w14:paraId="6A4467E4">
            <w:pPr>
              <w:pStyle w:val="37"/>
              <w:widowControl w:val="0"/>
              <w:shd w:val="clear"/>
              <w:spacing w:before="0" w:beforeAutospacing="0" w:after="0" w:afterAutospacing="0"/>
              <w:jc w:val="left"/>
              <w:rPr>
                <w:rFonts w:ascii="宋体" w:hAnsi="宋体" w:eastAsia="宋体"/>
                <w:b w:val="0"/>
                <w:sz w:val="24"/>
                <w:highlight w:val="none"/>
              </w:rPr>
            </w:pPr>
            <w:r>
              <w:rPr>
                <w:rFonts w:hint="eastAsia" w:ascii="宋体" w:hAnsi="宋体" w:eastAsia="宋体"/>
                <w:b w:val="0"/>
                <w:sz w:val="24"/>
                <w:highlight w:val="none"/>
              </w:rPr>
              <w:t>网上询问截止时间</w:t>
            </w:r>
          </w:p>
        </w:tc>
        <w:tc>
          <w:tcPr>
            <w:tcW w:w="3245" w:type="pct"/>
            <w:vAlign w:val="center"/>
          </w:tcPr>
          <w:p w14:paraId="06B28AA9">
            <w:pPr>
              <w:pStyle w:val="37"/>
              <w:widowControl w:val="0"/>
              <w:shd w:val="clear"/>
              <w:spacing w:before="0" w:beforeAutospacing="0" w:after="0" w:afterAutospacing="0"/>
              <w:jc w:val="both"/>
              <w:rPr>
                <w:rFonts w:ascii="宋体" w:hAnsi="宋体" w:eastAsia="宋体"/>
                <w:b w:val="0"/>
                <w:sz w:val="24"/>
                <w:highlight w:val="none"/>
              </w:rPr>
            </w:pPr>
            <w:r>
              <w:rPr>
                <w:rFonts w:hint="eastAsia" w:ascii="宋体" w:hAnsi="宋体" w:eastAsia="宋体"/>
                <w:b w:val="0"/>
                <w:sz w:val="24"/>
                <w:highlight w:val="none"/>
                <w:u w:val="single"/>
              </w:rPr>
              <w:t>2026</w:t>
            </w:r>
            <w:r>
              <w:rPr>
                <w:rFonts w:ascii="宋体" w:hAnsi="宋体" w:eastAsia="宋体"/>
                <w:b w:val="0"/>
                <w:sz w:val="24"/>
                <w:highlight w:val="none"/>
              </w:rPr>
              <w:t>年</w:t>
            </w:r>
            <w:r>
              <w:rPr>
                <w:rFonts w:hint="eastAsia" w:ascii="宋体" w:hAnsi="宋体" w:eastAsia="宋体"/>
                <w:b w:val="0"/>
                <w:sz w:val="24"/>
                <w:highlight w:val="none"/>
                <w:u w:val="single"/>
              </w:rPr>
              <w:t xml:space="preserve"> </w:t>
            </w:r>
            <w:r>
              <w:rPr>
                <w:rFonts w:hint="eastAsia" w:ascii="宋体" w:hAnsi="宋体" w:eastAsia="宋体"/>
                <w:b w:val="0"/>
                <w:sz w:val="24"/>
                <w:highlight w:val="none"/>
                <w:u w:val="single"/>
                <w:lang w:val="en-US" w:eastAsia="zh-CN"/>
              </w:rPr>
              <w:t>9</w:t>
            </w:r>
            <w:r>
              <w:rPr>
                <w:rFonts w:hint="eastAsia" w:ascii="宋体" w:hAnsi="宋体" w:eastAsia="宋体"/>
                <w:b w:val="0"/>
                <w:sz w:val="24"/>
                <w:highlight w:val="none"/>
                <w:u w:val="single"/>
              </w:rPr>
              <w:t xml:space="preserve"> </w:t>
            </w:r>
            <w:r>
              <w:rPr>
                <w:rFonts w:ascii="宋体" w:hAnsi="宋体" w:eastAsia="宋体"/>
                <w:b w:val="0"/>
                <w:sz w:val="24"/>
                <w:highlight w:val="none"/>
              </w:rPr>
              <w:t>月</w:t>
            </w:r>
            <w:r>
              <w:rPr>
                <w:rFonts w:hint="eastAsia" w:ascii="宋体" w:hAnsi="宋体" w:eastAsia="宋体"/>
                <w:b w:val="0"/>
                <w:sz w:val="24"/>
                <w:highlight w:val="none"/>
                <w:u w:val="single"/>
              </w:rPr>
              <w:t xml:space="preserve"> </w:t>
            </w:r>
            <w:r>
              <w:rPr>
                <w:rFonts w:hint="eastAsia" w:ascii="宋体" w:hAnsi="宋体" w:eastAsia="宋体"/>
                <w:b w:val="0"/>
                <w:sz w:val="24"/>
                <w:highlight w:val="none"/>
                <w:u w:val="single"/>
                <w:lang w:val="en-US" w:eastAsia="zh-CN"/>
              </w:rPr>
              <w:t>4</w:t>
            </w:r>
            <w:r>
              <w:rPr>
                <w:rFonts w:hint="eastAsia" w:ascii="宋体" w:hAnsi="宋体" w:eastAsia="宋体"/>
                <w:b w:val="0"/>
                <w:sz w:val="24"/>
                <w:highlight w:val="none"/>
                <w:u w:val="single"/>
              </w:rPr>
              <w:t xml:space="preserve"> </w:t>
            </w:r>
            <w:r>
              <w:rPr>
                <w:rFonts w:ascii="宋体" w:hAnsi="宋体" w:eastAsia="宋体"/>
                <w:b w:val="0"/>
                <w:sz w:val="24"/>
                <w:highlight w:val="none"/>
              </w:rPr>
              <w:t>日</w:t>
            </w:r>
            <w:r>
              <w:rPr>
                <w:rFonts w:hint="eastAsia" w:ascii="宋体" w:hAnsi="宋体" w:eastAsia="宋体"/>
                <w:b w:val="0"/>
                <w:sz w:val="24"/>
                <w:highlight w:val="none"/>
                <w:u w:val="single"/>
              </w:rPr>
              <w:t xml:space="preserve"> </w:t>
            </w:r>
            <w:r>
              <w:rPr>
                <w:rFonts w:hint="eastAsia" w:ascii="宋体" w:hAnsi="宋体" w:eastAsia="宋体"/>
                <w:b w:val="0"/>
                <w:sz w:val="24"/>
                <w:highlight w:val="none"/>
                <w:u w:val="single"/>
                <w:lang w:val="en-US" w:eastAsia="zh-CN"/>
              </w:rPr>
              <w:t>17</w:t>
            </w:r>
            <w:r>
              <w:rPr>
                <w:rFonts w:hint="eastAsia" w:ascii="宋体" w:hAnsi="宋体" w:eastAsia="宋体"/>
                <w:b w:val="0"/>
                <w:sz w:val="24"/>
                <w:highlight w:val="none"/>
                <w:u w:val="single"/>
              </w:rPr>
              <w:t xml:space="preserve"> </w:t>
            </w:r>
            <w:r>
              <w:rPr>
                <w:rFonts w:ascii="宋体" w:hAnsi="宋体" w:eastAsia="宋体"/>
                <w:b w:val="0"/>
                <w:sz w:val="24"/>
                <w:highlight w:val="none"/>
              </w:rPr>
              <w:t>时</w:t>
            </w:r>
            <w:r>
              <w:rPr>
                <w:rFonts w:hint="eastAsia" w:ascii="宋体" w:hAnsi="宋体" w:eastAsia="宋体"/>
                <w:b w:val="0"/>
                <w:sz w:val="24"/>
                <w:highlight w:val="none"/>
                <w:u w:val="single"/>
              </w:rPr>
              <w:t xml:space="preserve"> </w:t>
            </w:r>
            <w:r>
              <w:rPr>
                <w:rFonts w:hint="eastAsia" w:ascii="宋体" w:hAnsi="宋体" w:eastAsia="宋体"/>
                <w:b w:val="0"/>
                <w:sz w:val="24"/>
                <w:highlight w:val="none"/>
                <w:u w:val="single"/>
                <w:lang w:val="en-US" w:eastAsia="zh-CN"/>
              </w:rPr>
              <w:t>00</w:t>
            </w:r>
            <w:r>
              <w:rPr>
                <w:rFonts w:hint="eastAsia" w:ascii="宋体" w:hAnsi="宋体" w:eastAsia="宋体"/>
                <w:b w:val="0"/>
                <w:sz w:val="24"/>
                <w:highlight w:val="none"/>
                <w:u w:val="single"/>
              </w:rPr>
              <w:t xml:space="preserve"> </w:t>
            </w:r>
            <w:r>
              <w:rPr>
                <w:rFonts w:hint="eastAsia" w:ascii="宋体" w:hAnsi="宋体" w:eastAsia="宋体"/>
                <w:b w:val="0"/>
                <w:sz w:val="24"/>
                <w:highlight w:val="none"/>
              </w:rPr>
              <w:t>分</w:t>
            </w:r>
          </w:p>
        </w:tc>
      </w:tr>
      <w:tr w14:paraId="3599D0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37231623">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7</w:t>
            </w:r>
            <w:r>
              <w:rPr>
                <w:rFonts w:ascii="宋体" w:hAnsi="宋体" w:eastAsia="宋体"/>
                <w:bCs/>
                <w:kern w:val="2"/>
                <w:highlight w:val="none"/>
              </w:rPr>
              <w:t>.1</w:t>
            </w:r>
          </w:p>
        </w:tc>
        <w:tc>
          <w:tcPr>
            <w:tcW w:w="1174" w:type="pct"/>
            <w:vAlign w:val="center"/>
          </w:tcPr>
          <w:p w14:paraId="7D418D49">
            <w:pPr>
              <w:pStyle w:val="37"/>
              <w:widowControl w:val="0"/>
              <w:shd w:val="clear"/>
              <w:spacing w:before="0" w:beforeAutospacing="0" w:after="0" w:afterAutospacing="0"/>
              <w:jc w:val="left"/>
              <w:rPr>
                <w:rFonts w:ascii="宋体" w:hAnsi="宋体" w:eastAsia="宋体"/>
                <w:b w:val="0"/>
                <w:sz w:val="24"/>
                <w:highlight w:val="none"/>
              </w:rPr>
            </w:pPr>
            <w:r>
              <w:rPr>
                <w:rFonts w:hint="eastAsia" w:ascii="宋体" w:hAnsi="宋体" w:eastAsia="宋体"/>
                <w:b w:val="0"/>
                <w:sz w:val="24"/>
                <w:highlight w:val="none"/>
              </w:rPr>
              <w:t>包别划分</w:t>
            </w:r>
          </w:p>
        </w:tc>
        <w:tc>
          <w:tcPr>
            <w:tcW w:w="3245" w:type="pct"/>
            <w:vAlign w:val="center"/>
          </w:tcPr>
          <w:p w14:paraId="05C2A4AD">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bCs w:val="0"/>
                <w:sz w:val="24"/>
                <w:szCs w:val="24"/>
                <w:highlight w:val="none"/>
              </w:rPr>
              <w:t>☑</w:t>
            </w:r>
            <w:r>
              <w:rPr>
                <w:rFonts w:ascii="宋体" w:hAnsi="宋体" w:eastAsia="宋体"/>
                <w:b w:val="0"/>
                <w:sz w:val="24"/>
                <w:highlight w:val="none"/>
              </w:rPr>
              <w:t>不分包     □分为</w:t>
            </w:r>
            <w:r>
              <w:rPr>
                <w:rFonts w:ascii="宋体" w:hAnsi="宋体" w:eastAsia="宋体"/>
                <w:b w:val="0"/>
                <w:sz w:val="24"/>
                <w:highlight w:val="none"/>
                <w:u w:val="single"/>
              </w:rPr>
              <w:t xml:space="preserve"> </w:t>
            </w:r>
            <w:r>
              <w:rPr>
                <w:rFonts w:hint="eastAsia" w:ascii="宋体" w:hAnsi="宋体" w:eastAsia="宋体"/>
                <w:b w:val="0"/>
                <w:sz w:val="24"/>
                <w:highlight w:val="none"/>
                <w:u w:val="single"/>
              </w:rPr>
              <w:t>/</w:t>
            </w:r>
            <w:r>
              <w:rPr>
                <w:rFonts w:ascii="宋体" w:hAnsi="宋体" w:eastAsia="宋体"/>
                <w:b w:val="0"/>
                <w:sz w:val="24"/>
                <w:highlight w:val="none"/>
                <w:u w:val="single"/>
              </w:rPr>
              <w:t xml:space="preserve"> </w:t>
            </w:r>
            <w:r>
              <w:rPr>
                <w:rFonts w:ascii="宋体" w:hAnsi="宋体" w:eastAsia="宋体"/>
                <w:b w:val="0"/>
                <w:sz w:val="24"/>
                <w:highlight w:val="none"/>
              </w:rPr>
              <w:t>个包</w:t>
            </w:r>
            <w:r>
              <w:rPr>
                <w:rFonts w:hint="eastAsia" w:ascii="宋体" w:hAnsi="宋体" w:eastAsia="宋体"/>
                <w:b w:val="0"/>
                <w:sz w:val="24"/>
                <w:highlight w:val="none"/>
              </w:rPr>
              <w:t>，本次采购第</w:t>
            </w:r>
            <w:r>
              <w:rPr>
                <w:rFonts w:hint="eastAsia" w:ascii="宋体" w:hAnsi="宋体" w:eastAsia="宋体"/>
                <w:b w:val="0"/>
                <w:sz w:val="24"/>
                <w:highlight w:val="none"/>
                <w:u w:val="single"/>
              </w:rPr>
              <w:t xml:space="preserve"> / </w:t>
            </w:r>
            <w:r>
              <w:rPr>
                <w:rFonts w:hint="eastAsia" w:ascii="宋体" w:hAnsi="宋体" w:eastAsia="宋体"/>
                <w:b w:val="0"/>
                <w:sz w:val="24"/>
                <w:highlight w:val="none"/>
              </w:rPr>
              <w:t>包</w:t>
            </w:r>
          </w:p>
          <w:p w14:paraId="614A02EC">
            <w:pPr>
              <w:pStyle w:val="37"/>
              <w:widowControl w:val="0"/>
              <w:shd w:val="clear"/>
              <w:spacing w:before="0" w:beforeAutospacing="0" w:after="0" w:afterAutospacing="0"/>
              <w:jc w:val="both"/>
              <w:rPr>
                <w:highlight w:val="none"/>
              </w:rPr>
            </w:pPr>
            <w:r>
              <w:rPr>
                <w:rFonts w:hint="eastAsia" w:ascii="宋体" w:hAnsi="宋体" w:eastAsia="宋体"/>
                <w:b w:val="0"/>
                <w:sz w:val="24"/>
                <w:highlight w:val="none"/>
              </w:rPr>
              <w:t>投标人对多个包进行投标的中标</w:t>
            </w:r>
            <w:r>
              <w:rPr>
                <w:rFonts w:ascii="宋体" w:hAnsi="宋体" w:eastAsia="宋体"/>
                <w:b w:val="0"/>
                <w:sz w:val="24"/>
                <w:highlight w:val="none"/>
              </w:rPr>
              <w:t>包</w:t>
            </w:r>
            <w:r>
              <w:rPr>
                <w:rFonts w:hint="eastAsia" w:ascii="宋体" w:hAnsi="宋体" w:eastAsia="宋体"/>
                <w:b w:val="0"/>
                <w:sz w:val="24"/>
                <w:highlight w:val="none"/>
              </w:rPr>
              <w:t>数规定：</w:t>
            </w:r>
            <w:r>
              <w:rPr>
                <w:rFonts w:hint="eastAsia" w:ascii="宋体" w:hAnsi="宋体" w:eastAsia="宋体"/>
                <w:b w:val="0"/>
                <w:bCs w:val="0"/>
                <w:sz w:val="24"/>
                <w:szCs w:val="18"/>
                <w:highlight w:val="none"/>
                <w:u w:val="single"/>
              </w:rPr>
              <w:t xml:space="preserve"> </w:t>
            </w:r>
            <w:r>
              <w:rPr>
                <w:rFonts w:ascii="宋体" w:hAnsi="宋体" w:eastAsia="宋体"/>
                <w:b w:val="0"/>
                <w:bCs w:val="0"/>
                <w:sz w:val="24"/>
                <w:szCs w:val="18"/>
                <w:highlight w:val="none"/>
                <w:u w:val="single"/>
              </w:rPr>
              <w:t xml:space="preserve"> </w:t>
            </w:r>
            <w:r>
              <w:rPr>
                <w:rFonts w:hint="eastAsia" w:ascii="宋体" w:hAnsi="宋体" w:eastAsia="宋体"/>
                <w:b w:val="0"/>
                <w:bCs w:val="0"/>
                <w:sz w:val="24"/>
                <w:szCs w:val="18"/>
                <w:highlight w:val="none"/>
                <w:u w:val="single"/>
              </w:rPr>
              <w:t>/</w:t>
            </w:r>
            <w:r>
              <w:rPr>
                <w:rFonts w:ascii="宋体" w:hAnsi="宋体" w:eastAsia="宋体"/>
                <w:b w:val="0"/>
                <w:bCs w:val="0"/>
                <w:sz w:val="24"/>
                <w:szCs w:val="18"/>
                <w:highlight w:val="none"/>
                <w:u w:val="single"/>
              </w:rPr>
              <w:t xml:space="preserve">   </w:t>
            </w:r>
          </w:p>
        </w:tc>
      </w:tr>
      <w:tr w14:paraId="579B08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580" w:type="pct"/>
            <w:vAlign w:val="center"/>
          </w:tcPr>
          <w:p w14:paraId="01E07874">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10</w:t>
            </w:r>
            <w:r>
              <w:rPr>
                <w:rFonts w:ascii="宋体" w:hAnsi="宋体" w:eastAsia="宋体"/>
                <w:bCs/>
                <w:kern w:val="2"/>
                <w:highlight w:val="none"/>
              </w:rPr>
              <w:t>.1</w:t>
            </w:r>
          </w:p>
        </w:tc>
        <w:tc>
          <w:tcPr>
            <w:tcW w:w="1174" w:type="pct"/>
            <w:vAlign w:val="center"/>
          </w:tcPr>
          <w:p w14:paraId="65E9DB8A">
            <w:pPr>
              <w:pStyle w:val="37"/>
              <w:widowControl w:val="0"/>
              <w:shd w:val="clear"/>
              <w:spacing w:before="0" w:beforeAutospacing="0" w:after="0" w:afterAutospacing="0" w:line="360" w:lineRule="auto"/>
              <w:jc w:val="left"/>
              <w:rPr>
                <w:rFonts w:ascii="宋体" w:hAnsi="宋体" w:eastAsia="宋体"/>
                <w:b w:val="0"/>
                <w:sz w:val="24"/>
                <w:highlight w:val="none"/>
              </w:rPr>
            </w:pPr>
            <w:r>
              <w:rPr>
                <w:rFonts w:hint="eastAsia" w:ascii="宋体" w:hAnsi="宋体" w:eastAsia="宋体"/>
                <w:b w:val="0"/>
                <w:sz w:val="24"/>
                <w:highlight w:val="none"/>
              </w:rPr>
              <w:t>投标保证金</w:t>
            </w:r>
          </w:p>
        </w:tc>
        <w:tc>
          <w:tcPr>
            <w:tcW w:w="3245" w:type="pct"/>
            <w:vAlign w:val="center"/>
          </w:tcPr>
          <w:p w14:paraId="722B02DC">
            <w:pPr>
              <w:shd w:val="clear"/>
              <w:spacing w:line="360" w:lineRule="auto"/>
              <w:rPr>
                <w:highlight w:val="none"/>
              </w:rPr>
            </w:pPr>
            <w:r>
              <w:rPr>
                <w:rFonts w:hint="eastAsia" w:ascii="宋体" w:hAnsi="宋体" w:eastAsia="宋体"/>
                <w:bCs/>
                <w:kern w:val="0"/>
                <w:sz w:val="24"/>
                <w:szCs w:val="28"/>
                <w:highlight w:val="none"/>
              </w:rPr>
              <w:t>不收取</w:t>
            </w:r>
          </w:p>
        </w:tc>
      </w:tr>
      <w:tr w14:paraId="2C4B54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06278B6A">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11</w:t>
            </w:r>
            <w:r>
              <w:rPr>
                <w:rFonts w:ascii="宋体" w:hAnsi="宋体" w:eastAsia="宋体"/>
                <w:bCs/>
                <w:kern w:val="2"/>
                <w:highlight w:val="none"/>
              </w:rPr>
              <w:t>.1</w:t>
            </w:r>
          </w:p>
        </w:tc>
        <w:tc>
          <w:tcPr>
            <w:tcW w:w="1174" w:type="pct"/>
            <w:vAlign w:val="center"/>
          </w:tcPr>
          <w:p w14:paraId="49DD7E96">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投标有效期</w:t>
            </w:r>
          </w:p>
        </w:tc>
        <w:tc>
          <w:tcPr>
            <w:tcW w:w="3245" w:type="pct"/>
            <w:vAlign w:val="center"/>
          </w:tcPr>
          <w:p w14:paraId="4DC007A3">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u w:val="single"/>
                <w:lang w:val="en-US" w:eastAsia="zh-CN"/>
              </w:rPr>
              <w:t>90</w:t>
            </w:r>
            <w:r>
              <w:rPr>
                <w:rFonts w:hint="eastAsia" w:ascii="宋体" w:hAnsi="宋体" w:eastAsia="宋体"/>
                <w:b w:val="0"/>
                <w:sz w:val="24"/>
                <w:highlight w:val="none"/>
              </w:rPr>
              <w:t>日历日</w:t>
            </w:r>
          </w:p>
        </w:tc>
      </w:tr>
      <w:tr w14:paraId="6337E5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05EE5787">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13</w:t>
            </w:r>
            <w:r>
              <w:rPr>
                <w:rFonts w:ascii="宋体" w:hAnsi="宋体" w:eastAsia="宋体"/>
                <w:bCs/>
                <w:kern w:val="2"/>
                <w:highlight w:val="none"/>
              </w:rPr>
              <w:t>.</w:t>
            </w:r>
            <w:r>
              <w:rPr>
                <w:rFonts w:hint="eastAsia" w:ascii="宋体" w:hAnsi="宋体" w:eastAsia="宋体"/>
                <w:bCs/>
                <w:kern w:val="2"/>
                <w:highlight w:val="none"/>
              </w:rPr>
              <w:t>1</w:t>
            </w:r>
          </w:p>
        </w:tc>
        <w:tc>
          <w:tcPr>
            <w:tcW w:w="1174" w:type="pct"/>
            <w:vAlign w:val="center"/>
          </w:tcPr>
          <w:p w14:paraId="65AB8947">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投标文件解密时间</w:t>
            </w:r>
          </w:p>
        </w:tc>
        <w:tc>
          <w:tcPr>
            <w:tcW w:w="3245" w:type="pct"/>
            <w:vAlign w:val="center"/>
          </w:tcPr>
          <w:p w14:paraId="6280D24C">
            <w:pPr>
              <w:pStyle w:val="37"/>
              <w:widowControl w:val="0"/>
              <w:shd w:val="clear"/>
              <w:spacing w:before="0" w:beforeAutospacing="0" w:after="0" w:afterAutospacing="0" w:line="360" w:lineRule="auto"/>
              <w:jc w:val="both"/>
              <w:rPr>
                <w:rFonts w:ascii="宋体" w:hAnsi="宋体" w:eastAsia="宋体"/>
                <w:b w:val="0"/>
                <w:sz w:val="24"/>
                <w:highlight w:val="none"/>
                <w:u w:val="single"/>
              </w:rPr>
            </w:pPr>
            <w:r>
              <w:rPr>
                <w:rFonts w:hint="eastAsia" w:ascii="宋体" w:hAnsi="宋体" w:eastAsia="宋体"/>
                <w:b w:val="0"/>
                <w:sz w:val="24"/>
                <w:highlight w:val="none"/>
              </w:rPr>
              <w:t>投标截止时间后</w:t>
            </w:r>
            <w:r>
              <w:rPr>
                <w:rFonts w:hint="eastAsia" w:ascii="宋体" w:hAnsi="宋体" w:eastAsia="宋体"/>
                <w:b w:val="0"/>
                <w:sz w:val="24"/>
                <w:highlight w:val="none"/>
                <w:u w:val="single"/>
              </w:rPr>
              <w:t>30</w:t>
            </w:r>
            <w:r>
              <w:rPr>
                <w:rFonts w:hint="eastAsia" w:ascii="宋体" w:hAnsi="宋体" w:eastAsia="宋体"/>
                <w:b w:val="0"/>
                <w:sz w:val="24"/>
                <w:highlight w:val="none"/>
              </w:rPr>
              <w:t>分钟内</w:t>
            </w:r>
          </w:p>
        </w:tc>
      </w:tr>
      <w:tr w14:paraId="65C2A8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1C5005F3">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14.1</w:t>
            </w:r>
          </w:p>
        </w:tc>
        <w:tc>
          <w:tcPr>
            <w:tcW w:w="1174" w:type="pct"/>
            <w:vAlign w:val="center"/>
          </w:tcPr>
          <w:p w14:paraId="096C4419">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资格审查</w:t>
            </w:r>
          </w:p>
        </w:tc>
        <w:tc>
          <w:tcPr>
            <w:tcW w:w="3245" w:type="pct"/>
            <w:vAlign w:val="center"/>
          </w:tcPr>
          <w:p w14:paraId="0769FA36">
            <w:pPr>
              <w:pStyle w:val="37"/>
              <w:widowControl w:val="0"/>
              <w:shd w:val="clear"/>
              <w:spacing w:before="0" w:beforeAutospacing="0" w:after="0" w:afterAutospacing="0" w:line="360" w:lineRule="auto"/>
              <w:jc w:val="both"/>
              <w:rPr>
                <w:rFonts w:ascii="宋体" w:hAnsi="宋体" w:eastAsia="宋体"/>
                <w:b w:val="0"/>
                <w:sz w:val="24"/>
                <w:highlight w:val="none"/>
                <w:u w:val="single"/>
              </w:rPr>
            </w:pPr>
            <w:r>
              <w:rPr>
                <w:rFonts w:hint="eastAsia" w:ascii="宋体" w:hAnsi="宋体" w:eastAsia="宋体"/>
                <w:b w:val="0"/>
                <w:bCs w:val="0"/>
                <w:sz w:val="24"/>
                <w:highlight w:val="none"/>
              </w:rPr>
              <w:t>采购人审查</w:t>
            </w:r>
            <w:r>
              <w:rPr>
                <w:rFonts w:hint="eastAsia" w:ascii="宋体" w:hAnsi="宋体" w:eastAsia="宋体"/>
                <w:b w:val="0"/>
                <w:bCs w:val="0"/>
                <w:sz w:val="24"/>
                <w:szCs w:val="24"/>
                <w:highlight w:val="none"/>
              </w:rPr>
              <w:t>或</w:t>
            </w:r>
            <w:r>
              <w:rPr>
                <w:rFonts w:hint="eastAsia" w:ascii="宋体" w:hAnsi="宋体" w:eastAsia="宋体"/>
                <w:b w:val="0"/>
                <w:bCs w:val="0"/>
                <w:sz w:val="24"/>
                <w:highlight w:val="none"/>
              </w:rPr>
              <w:t>采购人出具委托函委托采购代理机构进行审查</w:t>
            </w:r>
          </w:p>
        </w:tc>
      </w:tr>
      <w:tr w14:paraId="6F0E9D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43814441">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15.4.1</w:t>
            </w:r>
          </w:p>
        </w:tc>
        <w:tc>
          <w:tcPr>
            <w:tcW w:w="1174" w:type="pct"/>
            <w:vAlign w:val="center"/>
          </w:tcPr>
          <w:p w14:paraId="1D7A3B09">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询标回复时间</w:t>
            </w:r>
          </w:p>
        </w:tc>
        <w:tc>
          <w:tcPr>
            <w:tcW w:w="3245" w:type="pct"/>
            <w:vAlign w:val="center"/>
          </w:tcPr>
          <w:p w14:paraId="79140E38">
            <w:pPr>
              <w:pStyle w:val="37"/>
              <w:widowControl w:val="0"/>
              <w:shd w:val="clear"/>
              <w:spacing w:before="0" w:beforeAutospacing="0" w:after="0" w:afterAutospacing="0" w:line="360" w:lineRule="auto"/>
              <w:jc w:val="both"/>
              <w:rPr>
                <w:rFonts w:ascii="宋体" w:hAnsi="宋体" w:eastAsia="宋体"/>
                <w:b w:val="0"/>
                <w:bCs w:val="0"/>
                <w:sz w:val="24"/>
                <w:szCs w:val="24"/>
                <w:highlight w:val="none"/>
              </w:rPr>
            </w:pPr>
            <w:r>
              <w:rPr>
                <w:rFonts w:hint="eastAsia" w:ascii="宋体" w:hAnsi="宋体" w:eastAsia="宋体"/>
                <w:b w:val="0"/>
                <w:bCs w:val="0"/>
                <w:sz w:val="24"/>
                <w:szCs w:val="24"/>
                <w:highlight w:val="none"/>
              </w:rPr>
              <w:t>询标回复时间为</w:t>
            </w:r>
            <w:r>
              <w:rPr>
                <w:rFonts w:hint="eastAsia" w:ascii="宋体" w:hAnsi="宋体" w:eastAsia="宋体"/>
                <w:b w:val="0"/>
                <w:bCs w:val="0"/>
                <w:sz w:val="24"/>
                <w:szCs w:val="24"/>
                <w:highlight w:val="none"/>
                <w:u w:val="single"/>
              </w:rPr>
              <w:t>30</w:t>
            </w:r>
            <w:r>
              <w:rPr>
                <w:rFonts w:hint="eastAsia" w:ascii="宋体" w:hAnsi="宋体" w:eastAsia="宋体"/>
                <w:b w:val="0"/>
                <w:bCs w:val="0"/>
                <w:sz w:val="24"/>
                <w:szCs w:val="24"/>
                <w:highlight w:val="none"/>
              </w:rPr>
              <w:t>分钟内</w:t>
            </w:r>
          </w:p>
        </w:tc>
      </w:tr>
      <w:tr w14:paraId="342BD1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07544248">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17</w:t>
            </w:r>
            <w:r>
              <w:rPr>
                <w:rFonts w:ascii="宋体" w:hAnsi="宋体" w:eastAsia="宋体"/>
                <w:bCs/>
                <w:kern w:val="2"/>
                <w:highlight w:val="none"/>
              </w:rPr>
              <w:t>.2</w:t>
            </w:r>
          </w:p>
        </w:tc>
        <w:tc>
          <w:tcPr>
            <w:tcW w:w="1174" w:type="pct"/>
            <w:vAlign w:val="center"/>
          </w:tcPr>
          <w:p w14:paraId="14361BC6">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评标方法</w:t>
            </w:r>
          </w:p>
        </w:tc>
        <w:tc>
          <w:tcPr>
            <w:tcW w:w="3245" w:type="pct"/>
            <w:vAlign w:val="center"/>
          </w:tcPr>
          <w:p w14:paraId="3DCDCAA6">
            <w:pPr>
              <w:pStyle w:val="37"/>
              <w:widowControl w:val="0"/>
              <w:shd w:val="clear"/>
              <w:spacing w:before="0" w:beforeAutospacing="0" w:after="0" w:afterAutospacing="0" w:line="360" w:lineRule="auto"/>
              <w:jc w:val="both"/>
              <w:rPr>
                <w:rFonts w:ascii="宋体" w:hAnsi="宋体" w:eastAsia="宋体"/>
                <w:b w:val="0"/>
                <w:sz w:val="24"/>
                <w:highlight w:val="none"/>
              </w:rPr>
            </w:pPr>
            <w:r>
              <w:rPr>
                <w:rFonts w:ascii="宋体" w:hAnsi="宋体" w:eastAsia="宋体"/>
                <w:b w:val="0"/>
                <w:bCs w:val="0"/>
                <w:sz w:val="24"/>
                <w:szCs w:val="24"/>
                <w:highlight w:val="none"/>
              </w:rPr>
              <w:t>□</w:t>
            </w:r>
            <w:r>
              <w:rPr>
                <w:rFonts w:hint="eastAsia" w:ascii="宋体" w:hAnsi="宋体" w:eastAsia="宋体"/>
                <w:b w:val="0"/>
                <w:sz w:val="24"/>
                <w:highlight w:val="none"/>
              </w:rPr>
              <w:t>最低评标价法</w:t>
            </w:r>
          </w:p>
          <w:p w14:paraId="30D5F750">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bCs w:val="0"/>
                <w:sz w:val="24"/>
                <w:szCs w:val="24"/>
                <w:highlight w:val="none"/>
              </w:rPr>
              <w:t>☑</w:t>
            </w:r>
            <w:r>
              <w:rPr>
                <w:rFonts w:hint="eastAsia" w:ascii="宋体" w:hAnsi="宋体" w:eastAsia="宋体"/>
                <w:b w:val="0"/>
                <w:sz w:val="24"/>
                <w:highlight w:val="none"/>
              </w:rPr>
              <w:t>综合评分法</w:t>
            </w:r>
          </w:p>
        </w:tc>
      </w:tr>
      <w:tr w14:paraId="6085C7B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265042D2">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17</w:t>
            </w:r>
            <w:r>
              <w:rPr>
                <w:rFonts w:ascii="宋体" w:hAnsi="宋体" w:eastAsia="宋体"/>
                <w:bCs/>
                <w:kern w:val="2"/>
                <w:highlight w:val="none"/>
              </w:rPr>
              <w:t>.3</w:t>
            </w:r>
          </w:p>
        </w:tc>
        <w:tc>
          <w:tcPr>
            <w:tcW w:w="1174" w:type="pct"/>
            <w:vAlign w:val="center"/>
          </w:tcPr>
          <w:p w14:paraId="7A48F42F">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报价扣除</w:t>
            </w:r>
          </w:p>
          <w:p w14:paraId="24282B9F">
            <w:pPr>
              <w:pStyle w:val="37"/>
              <w:widowControl w:val="0"/>
              <w:shd w:val="clear"/>
              <w:spacing w:before="0" w:beforeAutospacing="0" w:after="0" w:afterAutospacing="0" w:line="360" w:lineRule="auto"/>
              <w:jc w:val="both"/>
              <w:rPr>
                <w:rFonts w:ascii="宋体" w:hAnsi="宋体" w:eastAsia="宋体"/>
                <w:b w:val="0"/>
                <w:i/>
                <w:sz w:val="24"/>
                <w:highlight w:val="none"/>
              </w:rPr>
            </w:pPr>
            <w:r>
              <w:rPr>
                <w:rFonts w:hint="eastAsia" w:ascii="宋体" w:hAnsi="宋体" w:eastAsia="宋体"/>
                <w:b w:val="0"/>
                <w:i/>
                <w:sz w:val="24"/>
                <w:highlight w:val="none"/>
              </w:rPr>
              <w:t>（非专门面向中小企业采购项目适用）</w:t>
            </w:r>
          </w:p>
        </w:tc>
        <w:tc>
          <w:tcPr>
            <w:tcW w:w="3245" w:type="pct"/>
            <w:vAlign w:val="center"/>
          </w:tcPr>
          <w:p w14:paraId="41948DD5">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（1）</w:t>
            </w:r>
            <w:r>
              <w:rPr>
                <w:rFonts w:ascii="宋体" w:hAnsi="宋体" w:eastAsia="宋体"/>
                <w:b w:val="0"/>
                <w:sz w:val="24"/>
                <w:highlight w:val="none"/>
              </w:rPr>
              <w:t>小型和微型</w:t>
            </w:r>
            <w:r>
              <w:rPr>
                <w:rFonts w:hint="eastAsia" w:ascii="宋体" w:hAnsi="宋体" w:eastAsia="宋体"/>
                <w:b w:val="0"/>
                <w:sz w:val="24"/>
                <w:highlight w:val="none"/>
              </w:rPr>
              <w:t>企业价格扣除：</w:t>
            </w:r>
            <w:r>
              <w:rPr>
                <w:rFonts w:hint="eastAsia" w:ascii="宋体" w:hAnsi="宋体" w:eastAsia="宋体"/>
                <w:b w:val="0"/>
                <w:sz w:val="24"/>
                <w:highlight w:val="none"/>
                <w:u w:val="single"/>
              </w:rPr>
              <w:t>10%</w:t>
            </w:r>
            <w:r>
              <w:rPr>
                <w:rFonts w:hint="eastAsia" w:ascii="宋体" w:hAnsi="宋体" w:eastAsia="宋体"/>
                <w:b w:val="0"/>
                <w:sz w:val="24"/>
                <w:highlight w:val="none"/>
              </w:rPr>
              <w:t>。</w:t>
            </w:r>
          </w:p>
          <w:p w14:paraId="698FF84C">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（2）监狱企业价格扣除：同</w:t>
            </w:r>
            <w:r>
              <w:rPr>
                <w:rFonts w:ascii="宋体" w:hAnsi="宋体" w:eastAsia="宋体"/>
                <w:b w:val="0"/>
                <w:sz w:val="24"/>
                <w:highlight w:val="none"/>
              </w:rPr>
              <w:t>小型和微型企业</w:t>
            </w:r>
            <w:r>
              <w:rPr>
                <w:rFonts w:hint="eastAsia" w:ascii="宋体" w:hAnsi="宋体" w:eastAsia="宋体"/>
                <w:b w:val="0"/>
                <w:sz w:val="24"/>
                <w:highlight w:val="none"/>
              </w:rPr>
              <w:t>。</w:t>
            </w:r>
          </w:p>
          <w:p w14:paraId="4EC25D5B">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（3）残疾人福利性单位价格扣除：同</w:t>
            </w:r>
            <w:r>
              <w:rPr>
                <w:rFonts w:ascii="宋体" w:hAnsi="宋体" w:eastAsia="宋体"/>
                <w:b w:val="0"/>
                <w:sz w:val="24"/>
                <w:highlight w:val="none"/>
              </w:rPr>
              <w:t>小型和微型企业</w:t>
            </w:r>
            <w:r>
              <w:rPr>
                <w:rFonts w:hint="eastAsia" w:ascii="宋体" w:hAnsi="宋体" w:eastAsia="宋体"/>
                <w:b w:val="0"/>
                <w:sz w:val="24"/>
                <w:highlight w:val="none"/>
              </w:rPr>
              <w:t>。</w:t>
            </w:r>
          </w:p>
          <w:p w14:paraId="1930B1B1">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（4）符合条件的联合体价格扣除：</w:t>
            </w:r>
            <w:r>
              <w:rPr>
                <w:rFonts w:hint="eastAsia" w:ascii="宋体" w:hAnsi="宋体" w:eastAsia="宋体"/>
                <w:b w:val="0"/>
                <w:sz w:val="24"/>
                <w:highlight w:val="none"/>
                <w:u w:val="single"/>
              </w:rPr>
              <w:t xml:space="preserve"> / </w:t>
            </w:r>
            <w:r>
              <w:rPr>
                <w:rFonts w:hint="eastAsia" w:ascii="宋体" w:hAnsi="宋体" w:eastAsia="宋体"/>
                <w:b w:val="0"/>
                <w:sz w:val="24"/>
                <w:highlight w:val="none"/>
              </w:rPr>
              <w:t>。</w:t>
            </w:r>
          </w:p>
          <w:p w14:paraId="7FDE3FD5">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（5）符合条件的向小微企业分包的大中型企业价格扣除：</w:t>
            </w:r>
            <w:r>
              <w:rPr>
                <w:rFonts w:hint="eastAsia" w:ascii="宋体" w:hAnsi="宋体" w:eastAsia="宋体"/>
                <w:b w:val="0"/>
                <w:sz w:val="24"/>
                <w:highlight w:val="none"/>
                <w:u w:val="single"/>
              </w:rPr>
              <w:t xml:space="preserve"> / </w:t>
            </w:r>
            <w:r>
              <w:rPr>
                <w:rFonts w:hint="eastAsia" w:ascii="宋体" w:hAnsi="宋体" w:eastAsia="宋体"/>
                <w:b w:val="0"/>
                <w:sz w:val="24"/>
                <w:highlight w:val="none"/>
              </w:rPr>
              <w:t>。</w:t>
            </w:r>
            <w:r>
              <w:rPr>
                <w:rFonts w:hint="eastAsia" w:ascii="宋体" w:hAnsi="宋体" w:eastAsia="宋体"/>
                <w:b w:val="0"/>
                <w:i/>
                <w:sz w:val="24"/>
                <w:highlight w:val="none"/>
              </w:rPr>
              <w:t>（允许大中型企业向小微企业分包的项目适用）</w:t>
            </w:r>
          </w:p>
        </w:tc>
      </w:tr>
      <w:tr w14:paraId="62FA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62B97303">
            <w:pPr>
              <w:pStyle w:val="38"/>
              <w:pBdr>
                <w:bottom w:val="none" w:color="auto" w:sz="0" w:space="0"/>
              </w:pBdr>
              <w:shd w:val="clear"/>
              <w:tabs>
                <w:tab w:val="clear" w:pos="4153"/>
                <w:tab w:val="clear" w:pos="8306"/>
              </w:tabs>
              <w:adjustRightInd/>
              <w:spacing w:line="360" w:lineRule="auto"/>
              <w:textAlignment w:val="auto"/>
              <w:rPr>
                <w:rFonts w:ascii="宋体" w:hAnsi="宋体" w:eastAsia="宋体"/>
                <w:bCs/>
                <w:kern w:val="2"/>
                <w:highlight w:val="none"/>
              </w:rPr>
            </w:pPr>
            <w:r>
              <w:rPr>
                <w:rFonts w:hint="eastAsia" w:ascii="宋体" w:hAnsi="宋体" w:eastAsia="宋体"/>
                <w:bCs/>
                <w:kern w:val="2"/>
                <w:highlight w:val="none"/>
              </w:rPr>
              <w:t>17.4</w:t>
            </w:r>
          </w:p>
        </w:tc>
        <w:tc>
          <w:tcPr>
            <w:tcW w:w="1174" w:type="pct"/>
            <w:vAlign w:val="center"/>
          </w:tcPr>
          <w:p w14:paraId="0526B8E0">
            <w:pPr>
              <w:shd w:val="clear"/>
              <w:spacing w:line="360" w:lineRule="auto"/>
              <w:rPr>
                <w:rFonts w:ascii="宋体" w:hAnsi="宋体" w:eastAsia="宋体"/>
                <w:i/>
                <w:sz w:val="24"/>
                <w:highlight w:val="none"/>
              </w:rPr>
            </w:pPr>
            <w:r>
              <w:rPr>
                <w:rFonts w:hint="eastAsia" w:ascii="宋体" w:hAnsi="宋体" w:eastAsia="宋体"/>
                <w:sz w:val="24"/>
                <w:highlight w:val="none"/>
              </w:rPr>
              <w:t>本国产品价格扣除</w:t>
            </w:r>
            <w:r>
              <w:rPr>
                <w:rFonts w:hint="eastAsia" w:ascii="宋体" w:hAnsi="宋体" w:eastAsia="宋体" w:cs="Times New Roman"/>
                <w:i/>
                <w:iCs/>
                <w:color w:val="FF0000"/>
                <w:sz w:val="24"/>
                <w:highlight w:val="none"/>
              </w:rPr>
              <w:t>（适用于</w:t>
            </w:r>
            <w:r>
              <w:rPr>
                <w:rFonts w:hint="eastAsia" w:ascii="宋体" w:hAnsi="宋体" w:eastAsia="宋体" w:cs="宋体"/>
                <w:i/>
                <w:iCs/>
                <w:color w:val="FF0000"/>
                <w:sz w:val="24"/>
                <w:szCs w:val="24"/>
                <w:highlight w:val="none"/>
                <w:shd w:val="clear" w:color="auto" w:fill="FFFFFF"/>
              </w:rPr>
              <w:t>既有本国产品又有非本国产品参与竞争的货物项目</w:t>
            </w:r>
            <w:r>
              <w:rPr>
                <w:rFonts w:hint="eastAsia" w:ascii="宋体" w:hAnsi="宋体" w:eastAsia="宋体" w:cs="Times New Roman"/>
                <w:i/>
                <w:iCs/>
                <w:color w:val="FF0000"/>
                <w:sz w:val="24"/>
                <w:highlight w:val="none"/>
              </w:rPr>
              <w:t>）</w:t>
            </w:r>
          </w:p>
        </w:tc>
        <w:tc>
          <w:tcPr>
            <w:tcW w:w="3245" w:type="pct"/>
            <w:vAlign w:val="center"/>
          </w:tcPr>
          <w:p w14:paraId="08D09935">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（1）项目或者采购包中采购内容为单一产品的，既有本国产品又有非本国产品参与竞争的，对本国产品给予价格扣除</w:t>
            </w:r>
            <w:r>
              <w:rPr>
                <w:rFonts w:hint="eastAsia" w:ascii="宋体" w:hAnsi="宋体" w:eastAsia="宋体"/>
                <w:b w:val="0"/>
                <w:sz w:val="24"/>
                <w:highlight w:val="none"/>
                <w:u w:val="single"/>
              </w:rPr>
              <w:t>20%</w:t>
            </w:r>
            <w:r>
              <w:rPr>
                <w:rFonts w:hint="eastAsia" w:ascii="宋体" w:hAnsi="宋体" w:eastAsia="宋体"/>
                <w:b w:val="0"/>
                <w:sz w:val="24"/>
                <w:highlight w:val="none"/>
              </w:rPr>
              <w:t>。</w:t>
            </w:r>
          </w:p>
          <w:p w14:paraId="4C6E1350">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（2）项目或者采购包中含有多种产品的，符合本国产品标准的产品成本之和占该投标人提供的全部产品成本之和的比例≥80%，所有产品价格扣除</w:t>
            </w:r>
            <w:r>
              <w:rPr>
                <w:rFonts w:hint="eastAsia" w:ascii="宋体" w:hAnsi="宋体" w:eastAsia="宋体"/>
                <w:b w:val="0"/>
                <w:sz w:val="24"/>
                <w:highlight w:val="none"/>
                <w:u w:val="single"/>
              </w:rPr>
              <w:t>20%</w:t>
            </w:r>
            <w:r>
              <w:rPr>
                <w:rFonts w:hint="eastAsia" w:ascii="宋体" w:hAnsi="宋体" w:eastAsia="宋体"/>
                <w:b w:val="0"/>
                <w:sz w:val="24"/>
                <w:highlight w:val="none"/>
              </w:rPr>
              <w:t>。</w:t>
            </w:r>
          </w:p>
        </w:tc>
      </w:tr>
      <w:tr w14:paraId="456E43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5F863C61">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21</w:t>
            </w:r>
            <w:r>
              <w:rPr>
                <w:rFonts w:ascii="宋体" w:hAnsi="宋体" w:eastAsia="宋体"/>
                <w:bCs/>
                <w:kern w:val="2"/>
                <w:highlight w:val="none"/>
              </w:rPr>
              <w:t>.</w:t>
            </w:r>
            <w:r>
              <w:rPr>
                <w:rFonts w:hint="eastAsia" w:ascii="宋体" w:hAnsi="宋体" w:eastAsia="宋体"/>
                <w:bCs/>
                <w:kern w:val="2"/>
                <w:highlight w:val="none"/>
              </w:rPr>
              <w:t>1</w:t>
            </w:r>
          </w:p>
        </w:tc>
        <w:tc>
          <w:tcPr>
            <w:tcW w:w="1174" w:type="pct"/>
            <w:vAlign w:val="center"/>
          </w:tcPr>
          <w:p w14:paraId="6422F33F">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评标委员会推荐</w:t>
            </w:r>
            <w:r>
              <w:rPr>
                <w:rFonts w:ascii="宋体" w:hAnsi="宋体" w:eastAsia="宋体"/>
                <w:b w:val="0"/>
                <w:sz w:val="24"/>
                <w:highlight w:val="none"/>
              </w:rPr>
              <w:t>中标候选</w:t>
            </w:r>
            <w:r>
              <w:rPr>
                <w:rFonts w:hint="eastAsia" w:ascii="宋体" w:hAnsi="宋体" w:eastAsia="宋体"/>
                <w:b w:val="0"/>
                <w:sz w:val="24"/>
                <w:highlight w:val="none"/>
              </w:rPr>
              <w:t>人的</w:t>
            </w:r>
            <w:r>
              <w:rPr>
                <w:rFonts w:ascii="宋体" w:hAnsi="宋体" w:eastAsia="宋体"/>
                <w:b w:val="0"/>
                <w:sz w:val="24"/>
                <w:highlight w:val="none"/>
              </w:rPr>
              <w:t>数量</w:t>
            </w:r>
          </w:p>
        </w:tc>
        <w:tc>
          <w:tcPr>
            <w:tcW w:w="3245" w:type="pct"/>
            <w:vAlign w:val="center"/>
          </w:tcPr>
          <w:p w14:paraId="5289A58C">
            <w:pPr>
              <w:pStyle w:val="37"/>
              <w:widowControl w:val="0"/>
              <w:shd w:val="clear"/>
              <w:spacing w:before="0" w:beforeAutospacing="0" w:after="0" w:afterAutospacing="0" w:line="360" w:lineRule="auto"/>
              <w:jc w:val="both"/>
              <w:rPr>
                <w:rFonts w:ascii="宋体" w:hAnsi="宋体" w:eastAsia="宋体"/>
                <w:b w:val="0"/>
                <w:sz w:val="24"/>
                <w:highlight w:val="none"/>
                <w:u w:val="single"/>
              </w:rPr>
            </w:pPr>
            <w:r>
              <w:rPr>
                <w:rFonts w:hint="eastAsia" w:ascii="宋体" w:hAnsi="宋体" w:eastAsia="宋体"/>
                <w:b w:val="0"/>
                <w:sz w:val="24"/>
                <w:highlight w:val="none"/>
                <w:u w:val="single"/>
              </w:rPr>
              <w:t>1-3家</w:t>
            </w:r>
          </w:p>
        </w:tc>
      </w:tr>
      <w:tr w14:paraId="2B5E49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7857674C">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21</w:t>
            </w:r>
            <w:r>
              <w:rPr>
                <w:rFonts w:ascii="宋体" w:hAnsi="宋体" w:eastAsia="宋体"/>
                <w:bCs/>
                <w:kern w:val="2"/>
                <w:highlight w:val="none"/>
              </w:rPr>
              <w:t>.</w:t>
            </w:r>
            <w:r>
              <w:rPr>
                <w:rFonts w:hint="eastAsia" w:ascii="宋体" w:hAnsi="宋体" w:eastAsia="宋体"/>
                <w:bCs/>
                <w:kern w:val="2"/>
                <w:highlight w:val="none"/>
              </w:rPr>
              <w:t>2</w:t>
            </w:r>
          </w:p>
        </w:tc>
        <w:tc>
          <w:tcPr>
            <w:tcW w:w="1174" w:type="pct"/>
            <w:vAlign w:val="center"/>
          </w:tcPr>
          <w:p w14:paraId="4140DBC8">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确定中标人</w:t>
            </w:r>
          </w:p>
        </w:tc>
        <w:tc>
          <w:tcPr>
            <w:tcW w:w="3245" w:type="pct"/>
            <w:vAlign w:val="center"/>
          </w:tcPr>
          <w:p w14:paraId="755F9CDB">
            <w:pPr>
              <w:shd w:val="clear"/>
              <w:spacing w:line="360" w:lineRule="auto"/>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sym w:font="Wingdings" w:char="00FE"/>
            </w:r>
            <w:r>
              <w:rPr>
                <w:rFonts w:hint="eastAsia" w:asciiTheme="minorEastAsia" w:hAnsiTheme="minorEastAsia" w:eastAsiaTheme="minorEastAsia"/>
                <w:kern w:val="0"/>
                <w:sz w:val="24"/>
                <w:szCs w:val="24"/>
                <w:highlight w:val="none"/>
              </w:rPr>
              <w:t>采购人委托评标委员会确定</w:t>
            </w:r>
          </w:p>
          <w:p w14:paraId="2F273207">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Theme="minorEastAsia" w:hAnsiTheme="minorEastAsia" w:eastAsiaTheme="minorEastAsia"/>
                <w:b w:val="0"/>
                <w:bCs w:val="0"/>
                <w:kern w:val="2"/>
                <w:sz w:val="24"/>
                <w:szCs w:val="24"/>
                <w:highlight w:val="none"/>
                <w:lang w:eastAsia="zh-CN"/>
              </w:rPr>
              <w:t>□</w:t>
            </w:r>
            <w:r>
              <w:rPr>
                <w:rFonts w:hint="eastAsia" w:asciiTheme="minorEastAsia" w:hAnsiTheme="minorEastAsia" w:eastAsiaTheme="minorEastAsia"/>
                <w:b w:val="0"/>
                <w:bCs w:val="0"/>
                <w:kern w:val="2"/>
                <w:sz w:val="24"/>
                <w:szCs w:val="24"/>
                <w:highlight w:val="none"/>
              </w:rPr>
              <w:t>采购人确定</w:t>
            </w:r>
          </w:p>
        </w:tc>
      </w:tr>
      <w:tr w14:paraId="5B4F9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16926625">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ascii="宋体" w:hAnsi="宋体" w:eastAsia="宋体"/>
                <w:bCs/>
                <w:kern w:val="2"/>
                <w:highlight w:val="none"/>
              </w:rPr>
              <w:t>2</w:t>
            </w:r>
            <w:r>
              <w:rPr>
                <w:rFonts w:hint="eastAsia" w:ascii="宋体" w:hAnsi="宋体" w:eastAsia="宋体"/>
                <w:bCs/>
                <w:kern w:val="2"/>
                <w:highlight w:val="none"/>
              </w:rPr>
              <w:t>3</w:t>
            </w:r>
            <w:r>
              <w:rPr>
                <w:rFonts w:ascii="宋体" w:hAnsi="宋体" w:eastAsia="宋体"/>
                <w:bCs/>
                <w:kern w:val="2"/>
                <w:highlight w:val="none"/>
              </w:rPr>
              <w:t>.3</w:t>
            </w:r>
          </w:p>
        </w:tc>
        <w:tc>
          <w:tcPr>
            <w:tcW w:w="1174" w:type="pct"/>
            <w:vAlign w:val="center"/>
          </w:tcPr>
          <w:p w14:paraId="4F1035C0">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随中标结果公告同时公告的内容</w:t>
            </w:r>
          </w:p>
        </w:tc>
        <w:tc>
          <w:tcPr>
            <w:tcW w:w="3245" w:type="pct"/>
            <w:vAlign w:val="center"/>
          </w:tcPr>
          <w:p w14:paraId="3BF38972">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（1）中小企业声明函；</w:t>
            </w:r>
            <w:r>
              <w:rPr>
                <w:rFonts w:hint="eastAsia" w:ascii="宋体" w:hAnsi="宋体" w:eastAsia="宋体"/>
                <w:b w:val="0"/>
                <w:i/>
                <w:iCs/>
                <w:sz w:val="24"/>
                <w:highlight w:val="none"/>
              </w:rPr>
              <w:t>（如有）</w:t>
            </w:r>
          </w:p>
          <w:p w14:paraId="5F190F5E">
            <w:pPr>
              <w:pStyle w:val="37"/>
              <w:widowControl w:val="0"/>
              <w:shd w:val="clear"/>
              <w:spacing w:before="0" w:beforeAutospacing="0" w:after="0" w:afterAutospacing="0" w:line="360" w:lineRule="auto"/>
              <w:jc w:val="both"/>
              <w:rPr>
                <w:rFonts w:ascii="宋体" w:hAnsi="宋体" w:eastAsia="宋体"/>
                <w:b w:val="0"/>
                <w:i/>
                <w:sz w:val="24"/>
                <w:highlight w:val="none"/>
              </w:rPr>
            </w:pPr>
            <w:r>
              <w:rPr>
                <w:rFonts w:hint="eastAsia" w:ascii="宋体" w:hAnsi="宋体" w:eastAsia="宋体"/>
                <w:b w:val="0"/>
                <w:sz w:val="24"/>
                <w:highlight w:val="none"/>
              </w:rPr>
              <w:t>（2）残疾人福利性单位声明函；</w:t>
            </w:r>
            <w:r>
              <w:rPr>
                <w:rFonts w:hint="eastAsia" w:ascii="宋体" w:hAnsi="宋体" w:eastAsia="宋体"/>
                <w:b w:val="0"/>
                <w:i/>
                <w:iCs/>
                <w:sz w:val="24"/>
                <w:highlight w:val="none"/>
              </w:rPr>
              <w:t>（如有）</w:t>
            </w:r>
          </w:p>
          <w:p w14:paraId="58C482A2">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（3）因落实政府采购政策等原因进行价格扣除后中标（成交）供应商的评审报价；</w:t>
            </w:r>
            <w:r>
              <w:rPr>
                <w:rFonts w:hint="eastAsia" w:ascii="宋体" w:hAnsi="宋体" w:eastAsia="宋体"/>
                <w:b w:val="0"/>
                <w:i/>
                <w:iCs/>
                <w:sz w:val="24"/>
                <w:highlight w:val="none"/>
              </w:rPr>
              <w:t>（适用最低评标价法）</w:t>
            </w:r>
          </w:p>
          <w:p w14:paraId="0DA20B79">
            <w:pPr>
              <w:pStyle w:val="37"/>
              <w:widowControl w:val="0"/>
              <w:shd w:val="clear"/>
              <w:spacing w:before="0" w:beforeAutospacing="0" w:after="0" w:afterAutospacing="0" w:line="360" w:lineRule="auto"/>
              <w:jc w:val="both"/>
              <w:rPr>
                <w:rFonts w:ascii="宋体" w:hAnsi="宋体" w:eastAsia="宋体"/>
                <w:b w:val="0"/>
                <w:i/>
                <w:iCs/>
                <w:sz w:val="24"/>
                <w:highlight w:val="none"/>
              </w:rPr>
            </w:pPr>
            <w:r>
              <w:rPr>
                <w:rFonts w:hint="eastAsia" w:ascii="宋体" w:hAnsi="宋体" w:eastAsia="宋体"/>
                <w:b w:val="0"/>
                <w:sz w:val="24"/>
                <w:highlight w:val="none"/>
              </w:rPr>
              <w:t>（4）中标（成交）供应商的评审总得分；</w:t>
            </w:r>
            <w:r>
              <w:rPr>
                <w:rFonts w:hint="eastAsia" w:ascii="宋体" w:hAnsi="宋体" w:eastAsia="宋体"/>
                <w:b w:val="0"/>
                <w:i/>
                <w:iCs/>
                <w:sz w:val="24"/>
                <w:highlight w:val="none"/>
              </w:rPr>
              <w:t>（适用综合评分法）</w:t>
            </w:r>
          </w:p>
          <w:p w14:paraId="3A99AF53">
            <w:pPr>
              <w:pStyle w:val="37"/>
              <w:widowControl w:val="0"/>
              <w:shd w:val="clear"/>
              <w:spacing w:before="0" w:beforeAutospacing="0" w:after="0" w:afterAutospacing="0" w:line="360" w:lineRule="auto"/>
              <w:jc w:val="both"/>
              <w:rPr>
                <w:rFonts w:ascii="宋体" w:hAnsi="宋体" w:eastAsia="宋体"/>
                <w:b w:val="0"/>
                <w:bCs w:val="0"/>
                <w:sz w:val="24"/>
                <w:szCs w:val="24"/>
                <w:highlight w:val="none"/>
              </w:rPr>
            </w:pPr>
            <w:r>
              <w:rPr>
                <w:rFonts w:hint="eastAsia" w:ascii="宋体" w:hAnsi="宋体" w:eastAsia="宋体"/>
                <w:b w:val="0"/>
                <w:sz w:val="24"/>
                <w:highlight w:val="none"/>
              </w:rPr>
              <w:t>（5）</w:t>
            </w:r>
            <w:r>
              <w:rPr>
                <w:rFonts w:hint="eastAsia" w:ascii="宋体" w:hAnsi="宋体" w:eastAsia="宋体"/>
                <w:b w:val="0"/>
                <w:bCs w:val="0"/>
                <w:sz w:val="24"/>
                <w:szCs w:val="20"/>
                <w:highlight w:val="none"/>
              </w:rPr>
              <w:t>符合本国产品标准的声明函。</w:t>
            </w:r>
            <w:r>
              <w:rPr>
                <w:rFonts w:hint="eastAsia" w:ascii="宋体" w:hAnsi="宋体" w:eastAsia="宋体"/>
                <w:b w:val="0"/>
                <w:bCs w:val="0"/>
                <w:i/>
                <w:iCs/>
                <w:sz w:val="24"/>
                <w:szCs w:val="20"/>
                <w:highlight w:val="none"/>
              </w:rPr>
              <w:t>（如有）</w:t>
            </w:r>
          </w:p>
        </w:tc>
      </w:tr>
      <w:tr w14:paraId="1A7138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575B88ED">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24</w:t>
            </w:r>
            <w:r>
              <w:rPr>
                <w:rFonts w:ascii="宋体" w:hAnsi="宋体" w:eastAsia="宋体"/>
                <w:bCs/>
                <w:kern w:val="2"/>
                <w:highlight w:val="none"/>
              </w:rPr>
              <w:t>.1</w:t>
            </w:r>
          </w:p>
        </w:tc>
        <w:tc>
          <w:tcPr>
            <w:tcW w:w="1174" w:type="pct"/>
            <w:vAlign w:val="center"/>
          </w:tcPr>
          <w:p w14:paraId="2999B215">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中标通知书发出的形式</w:t>
            </w:r>
          </w:p>
        </w:tc>
        <w:tc>
          <w:tcPr>
            <w:tcW w:w="3245" w:type="pct"/>
            <w:vAlign w:val="center"/>
          </w:tcPr>
          <w:p w14:paraId="331BFCC4">
            <w:pPr>
              <w:pStyle w:val="37"/>
              <w:widowControl w:val="0"/>
              <w:shd w:val="clear"/>
              <w:spacing w:before="0" w:beforeAutospacing="0" w:after="0" w:afterAutospacing="0" w:line="360" w:lineRule="auto"/>
              <w:jc w:val="both"/>
              <w:rPr>
                <w:rFonts w:ascii="宋体" w:hAnsi="宋体" w:eastAsia="宋体"/>
                <w:b w:val="0"/>
                <w:bCs w:val="0"/>
                <w:sz w:val="24"/>
                <w:szCs w:val="24"/>
                <w:highlight w:val="none"/>
              </w:rPr>
            </w:pPr>
            <w:r>
              <w:rPr>
                <w:rFonts w:hint="eastAsia" w:ascii="宋体" w:hAnsi="宋体" w:eastAsia="宋体"/>
                <w:b w:val="0"/>
                <w:bCs w:val="0"/>
                <w:sz w:val="24"/>
                <w:szCs w:val="24"/>
                <w:highlight w:val="none"/>
              </w:rPr>
              <w:t xml:space="preserve">☑书面 </w:t>
            </w:r>
            <w:r>
              <w:rPr>
                <w:rFonts w:ascii="宋体" w:hAnsi="宋体" w:eastAsia="宋体"/>
                <w:b w:val="0"/>
                <w:bCs w:val="0"/>
                <w:sz w:val="24"/>
                <w:szCs w:val="24"/>
                <w:highlight w:val="none"/>
              </w:rPr>
              <w:t xml:space="preserve">    </w:t>
            </w:r>
            <w:r>
              <w:rPr>
                <w:rFonts w:hint="eastAsia" w:ascii="宋体" w:hAnsi="宋体" w:eastAsia="宋体"/>
                <w:b w:val="0"/>
                <w:bCs w:val="0"/>
                <w:sz w:val="24"/>
                <w:szCs w:val="24"/>
                <w:highlight w:val="none"/>
              </w:rPr>
              <w:sym w:font="Wingdings" w:char="00FE"/>
            </w:r>
            <w:r>
              <w:rPr>
                <w:rFonts w:hint="eastAsia" w:ascii="宋体" w:hAnsi="宋体" w:eastAsia="宋体"/>
                <w:b w:val="0"/>
                <w:bCs w:val="0"/>
                <w:sz w:val="24"/>
                <w:szCs w:val="24"/>
                <w:highlight w:val="none"/>
              </w:rPr>
              <w:t>数据电文</w:t>
            </w:r>
          </w:p>
        </w:tc>
      </w:tr>
      <w:tr w14:paraId="67938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55D0FDD1">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25</w:t>
            </w:r>
            <w:r>
              <w:rPr>
                <w:rFonts w:ascii="宋体" w:hAnsi="宋体" w:eastAsia="宋体"/>
                <w:bCs/>
                <w:kern w:val="2"/>
                <w:highlight w:val="none"/>
              </w:rPr>
              <w:t>.1</w:t>
            </w:r>
          </w:p>
        </w:tc>
        <w:tc>
          <w:tcPr>
            <w:tcW w:w="1174" w:type="pct"/>
            <w:vAlign w:val="center"/>
          </w:tcPr>
          <w:p w14:paraId="66EEB43F">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告知招标结果的形式</w:t>
            </w:r>
          </w:p>
        </w:tc>
        <w:tc>
          <w:tcPr>
            <w:tcW w:w="3245" w:type="pct"/>
            <w:vAlign w:val="center"/>
          </w:tcPr>
          <w:p w14:paraId="5D19F76D">
            <w:pPr>
              <w:shd w:val="clear"/>
              <w:spacing w:line="360" w:lineRule="auto"/>
              <w:rPr>
                <w:rFonts w:asciiTheme="minorEastAsia" w:hAnsiTheme="minorEastAsia" w:eastAsiaTheme="minorEastAsia"/>
                <w:kern w:val="0"/>
                <w:sz w:val="24"/>
                <w:szCs w:val="24"/>
                <w:highlight w:val="none"/>
              </w:rPr>
            </w:pPr>
            <w:r>
              <w:rPr>
                <w:rFonts w:hint="eastAsia" w:asciiTheme="minorEastAsia" w:hAnsiTheme="minorEastAsia" w:eastAsiaTheme="minorEastAsia"/>
                <w:kern w:val="0"/>
                <w:sz w:val="24"/>
                <w:szCs w:val="24"/>
                <w:highlight w:val="none"/>
              </w:rPr>
              <w:sym w:font="Wingdings" w:char="00FE"/>
            </w:r>
            <w:r>
              <w:rPr>
                <w:rFonts w:hint="eastAsia" w:asciiTheme="minorEastAsia" w:hAnsiTheme="minorEastAsia" w:eastAsiaTheme="minorEastAsia"/>
                <w:kern w:val="0"/>
                <w:sz w:val="24"/>
                <w:szCs w:val="24"/>
                <w:highlight w:val="none"/>
              </w:rPr>
              <w:t>投标人自行登录电子</w:t>
            </w:r>
            <w:r>
              <w:rPr>
                <w:rFonts w:hint="eastAsia" w:ascii="宋体" w:hAnsi="宋体" w:eastAsia="宋体" w:cs="宋体"/>
                <w:sz w:val="24"/>
                <w:szCs w:val="24"/>
                <w:highlight w:val="none"/>
              </w:rPr>
              <w:t>交易</w:t>
            </w:r>
            <w:r>
              <w:rPr>
                <w:rFonts w:hint="eastAsia" w:asciiTheme="minorEastAsia" w:hAnsiTheme="minorEastAsia" w:eastAsiaTheme="minorEastAsia"/>
                <w:kern w:val="0"/>
                <w:sz w:val="24"/>
                <w:szCs w:val="24"/>
                <w:highlight w:val="none"/>
              </w:rPr>
              <w:t>系统查看</w:t>
            </w:r>
          </w:p>
          <w:p w14:paraId="661F44BA">
            <w:pPr>
              <w:pStyle w:val="37"/>
              <w:widowControl w:val="0"/>
              <w:shd w:val="clear"/>
              <w:spacing w:before="0" w:beforeAutospacing="0" w:after="0" w:afterAutospacing="0" w:line="360" w:lineRule="auto"/>
              <w:jc w:val="both"/>
              <w:rPr>
                <w:rFonts w:asciiTheme="minorEastAsia" w:hAnsiTheme="minorEastAsia" w:eastAsiaTheme="minorEastAsia"/>
                <w:b w:val="0"/>
                <w:bCs w:val="0"/>
                <w:kern w:val="2"/>
                <w:sz w:val="24"/>
                <w:szCs w:val="24"/>
                <w:highlight w:val="none"/>
              </w:rPr>
            </w:pPr>
            <w:r>
              <w:rPr>
                <w:rFonts w:hint="eastAsia" w:asciiTheme="minorEastAsia" w:hAnsiTheme="minorEastAsia" w:eastAsiaTheme="minorEastAsia"/>
                <w:b w:val="0"/>
                <w:bCs w:val="0"/>
                <w:kern w:val="2"/>
                <w:sz w:val="24"/>
                <w:szCs w:val="24"/>
                <w:highlight w:val="none"/>
              </w:rPr>
              <w:t>□评标现场告知</w:t>
            </w:r>
          </w:p>
        </w:tc>
      </w:tr>
      <w:tr w14:paraId="66236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jc w:val="center"/>
        </w:trPr>
        <w:tc>
          <w:tcPr>
            <w:tcW w:w="580" w:type="pct"/>
            <w:vAlign w:val="center"/>
          </w:tcPr>
          <w:p w14:paraId="71FB9405">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26</w:t>
            </w:r>
            <w:r>
              <w:rPr>
                <w:rFonts w:ascii="宋体" w:hAnsi="宋体" w:eastAsia="宋体"/>
                <w:bCs/>
                <w:kern w:val="2"/>
                <w:highlight w:val="none"/>
              </w:rPr>
              <w:t>.1</w:t>
            </w:r>
          </w:p>
        </w:tc>
        <w:tc>
          <w:tcPr>
            <w:tcW w:w="1174" w:type="pct"/>
            <w:vAlign w:val="center"/>
          </w:tcPr>
          <w:p w14:paraId="0EDB3267">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履约保证金</w:t>
            </w:r>
          </w:p>
        </w:tc>
        <w:tc>
          <w:tcPr>
            <w:tcW w:w="3245" w:type="pct"/>
          </w:tcPr>
          <w:p w14:paraId="1FEF7071">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t>（1）金额：</w:t>
            </w:r>
          </w:p>
          <w:p w14:paraId="169F9B66">
            <w:pPr>
              <w:shd w:val="clear"/>
              <w:spacing w:line="360" w:lineRule="auto"/>
              <w:rPr>
                <w:rFonts w:ascii="宋体" w:hAnsi="宋体" w:eastAsia="宋体"/>
                <w:bCs/>
                <w:kern w:val="0"/>
                <w:sz w:val="24"/>
                <w:szCs w:val="28"/>
                <w:highlight w:val="none"/>
              </w:rPr>
            </w:pPr>
            <w:r>
              <w:rPr>
                <w:rFonts w:ascii="宋体" w:hAnsi="宋体" w:eastAsia="宋体"/>
                <w:bCs/>
                <w:kern w:val="0"/>
                <w:sz w:val="24"/>
                <w:szCs w:val="28"/>
                <w:highlight w:val="none"/>
              </w:rPr>
              <w:t>□</w:t>
            </w:r>
            <w:r>
              <w:rPr>
                <w:rFonts w:hint="eastAsia" w:ascii="宋体" w:hAnsi="宋体" w:eastAsia="宋体"/>
                <w:bCs/>
                <w:kern w:val="0"/>
                <w:sz w:val="24"/>
                <w:szCs w:val="28"/>
                <w:highlight w:val="none"/>
              </w:rPr>
              <w:t>免收</w:t>
            </w:r>
          </w:p>
          <w:p w14:paraId="4146FF9E">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t>☑合同价的</w:t>
            </w:r>
            <w:r>
              <w:rPr>
                <w:rFonts w:hint="eastAsia" w:ascii="宋体" w:hAnsi="宋体" w:eastAsia="宋体"/>
                <w:bCs/>
                <w:kern w:val="0"/>
                <w:sz w:val="24"/>
                <w:szCs w:val="28"/>
                <w:highlight w:val="none"/>
                <w:u w:val="single"/>
              </w:rPr>
              <w:t>2.5</w:t>
            </w:r>
            <w:r>
              <w:rPr>
                <w:rFonts w:ascii="宋体" w:hAnsi="宋体" w:eastAsia="宋体"/>
                <w:bCs/>
                <w:kern w:val="0"/>
                <w:sz w:val="24"/>
                <w:szCs w:val="28"/>
                <w:highlight w:val="none"/>
              </w:rPr>
              <w:t>%</w:t>
            </w:r>
          </w:p>
          <w:p w14:paraId="00595823">
            <w:pPr>
              <w:shd w:val="clear"/>
              <w:spacing w:line="360" w:lineRule="auto"/>
              <w:rPr>
                <w:rFonts w:ascii="宋体" w:hAnsi="宋体" w:eastAsia="宋体"/>
                <w:bCs/>
                <w:kern w:val="0"/>
                <w:sz w:val="24"/>
                <w:szCs w:val="28"/>
                <w:highlight w:val="none"/>
              </w:rPr>
            </w:pPr>
            <w:r>
              <w:rPr>
                <w:rFonts w:ascii="宋体" w:hAnsi="宋体" w:eastAsia="宋体"/>
                <w:bCs/>
                <w:kern w:val="0"/>
                <w:sz w:val="24"/>
                <w:szCs w:val="28"/>
                <w:highlight w:val="none"/>
              </w:rPr>
              <w:t>□</w:t>
            </w:r>
            <w:r>
              <w:rPr>
                <w:rFonts w:hint="eastAsia" w:ascii="宋体" w:hAnsi="宋体" w:eastAsia="宋体"/>
                <w:bCs/>
                <w:kern w:val="0"/>
                <w:sz w:val="24"/>
                <w:szCs w:val="28"/>
                <w:highlight w:val="none"/>
              </w:rPr>
              <w:t>定额收取：人民币</w:t>
            </w:r>
            <w:r>
              <w:rPr>
                <w:rFonts w:hint="eastAsia" w:ascii="宋体" w:hAnsi="宋体" w:eastAsia="宋体"/>
                <w:bCs/>
                <w:kern w:val="0"/>
                <w:sz w:val="24"/>
                <w:szCs w:val="28"/>
                <w:highlight w:val="none"/>
                <w:u w:val="single"/>
              </w:rPr>
              <w:t xml:space="preserve">              </w:t>
            </w:r>
            <w:r>
              <w:rPr>
                <w:rFonts w:hint="eastAsia" w:ascii="宋体" w:hAnsi="宋体" w:eastAsia="宋体"/>
                <w:bCs/>
                <w:kern w:val="0"/>
                <w:sz w:val="24"/>
                <w:szCs w:val="28"/>
                <w:highlight w:val="none"/>
              </w:rPr>
              <w:t>元</w:t>
            </w:r>
          </w:p>
          <w:p w14:paraId="4927A143">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t>（2）支付方式：</w:t>
            </w:r>
          </w:p>
          <w:p w14:paraId="4C085E0F">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sym w:font="Wingdings" w:char="00FE"/>
            </w:r>
            <w:r>
              <w:rPr>
                <w:rFonts w:ascii="宋体" w:hAnsi="宋体" w:eastAsia="宋体"/>
                <w:bCs/>
                <w:kern w:val="0"/>
                <w:sz w:val="24"/>
                <w:szCs w:val="28"/>
                <w:highlight w:val="none"/>
              </w:rPr>
              <w:t>转账/电汇</w:t>
            </w:r>
            <w:r>
              <w:rPr>
                <w:rFonts w:hint="eastAsia" w:ascii="宋体" w:hAnsi="宋体" w:eastAsia="宋体"/>
                <w:bCs/>
                <w:kern w:val="0"/>
                <w:sz w:val="24"/>
                <w:szCs w:val="28"/>
                <w:highlight w:val="none"/>
              </w:rPr>
              <w:t xml:space="preserve"> </w:t>
            </w:r>
            <w:r>
              <w:rPr>
                <w:rFonts w:hint="eastAsia" w:ascii="宋体" w:hAnsi="宋体" w:eastAsia="宋体"/>
                <w:bCs/>
                <w:kern w:val="0"/>
                <w:sz w:val="24"/>
                <w:szCs w:val="28"/>
                <w:highlight w:val="none"/>
              </w:rPr>
              <w:sym w:font="Wingdings" w:char="00FE"/>
            </w:r>
            <w:r>
              <w:rPr>
                <w:rFonts w:ascii="宋体" w:hAnsi="宋体" w:eastAsia="宋体"/>
                <w:bCs/>
                <w:kern w:val="0"/>
                <w:sz w:val="24"/>
                <w:szCs w:val="28"/>
                <w:highlight w:val="none"/>
              </w:rPr>
              <w:t xml:space="preserve">支票 </w:t>
            </w:r>
            <w:r>
              <w:rPr>
                <w:rFonts w:hint="eastAsia" w:ascii="宋体" w:hAnsi="宋体" w:eastAsia="宋体"/>
                <w:bCs/>
                <w:kern w:val="0"/>
                <w:sz w:val="24"/>
                <w:szCs w:val="28"/>
                <w:highlight w:val="none"/>
              </w:rPr>
              <w:sym w:font="Wingdings" w:char="00FE"/>
            </w:r>
            <w:r>
              <w:rPr>
                <w:rFonts w:ascii="宋体" w:hAnsi="宋体" w:eastAsia="宋体"/>
                <w:bCs/>
                <w:kern w:val="0"/>
                <w:sz w:val="24"/>
                <w:szCs w:val="28"/>
                <w:highlight w:val="none"/>
              </w:rPr>
              <w:t>汇票</w:t>
            </w:r>
            <w:r>
              <w:rPr>
                <w:rFonts w:hint="eastAsia" w:ascii="宋体" w:hAnsi="宋体" w:eastAsia="宋体"/>
                <w:bCs/>
                <w:kern w:val="0"/>
                <w:sz w:val="24"/>
                <w:szCs w:val="28"/>
                <w:highlight w:val="none"/>
              </w:rPr>
              <w:t xml:space="preserve"> </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 xml:space="preserve">本票 </w:t>
            </w:r>
            <w:r>
              <w:rPr>
                <w:rFonts w:hint="eastAsia" w:ascii="宋体" w:hAnsi="宋体" w:eastAsia="宋体"/>
                <w:bCs/>
                <w:kern w:val="0"/>
                <w:sz w:val="24"/>
                <w:szCs w:val="28"/>
                <w:highlight w:val="none"/>
              </w:rPr>
              <w:sym w:font="Wingdings" w:char="00FE"/>
            </w:r>
            <w:r>
              <w:rPr>
                <w:rFonts w:ascii="宋体" w:hAnsi="宋体" w:eastAsia="宋体"/>
                <w:bCs/>
                <w:kern w:val="0"/>
                <w:sz w:val="24"/>
                <w:szCs w:val="28"/>
                <w:highlight w:val="none"/>
              </w:rPr>
              <w:t>保</w:t>
            </w:r>
            <w:r>
              <w:rPr>
                <w:rFonts w:hint="eastAsia" w:ascii="宋体" w:hAnsi="宋体" w:eastAsia="宋体"/>
                <w:bCs/>
                <w:kern w:val="0"/>
                <w:sz w:val="24"/>
                <w:szCs w:val="28"/>
                <w:highlight w:val="none"/>
              </w:rPr>
              <w:t xml:space="preserve">险 </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保</w:t>
            </w:r>
            <w:r>
              <w:rPr>
                <w:rFonts w:ascii="宋体" w:hAnsi="宋体" w:eastAsia="宋体"/>
                <w:bCs/>
                <w:kern w:val="0"/>
                <w:sz w:val="24"/>
                <w:szCs w:val="28"/>
                <w:highlight w:val="none"/>
              </w:rPr>
              <w:t>函</w:t>
            </w:r>
          </w:p>
          <w:p w14:paraId="1EF6E8F6">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t>（3）收取单位：</w:t>
            </w:r>
            <w:r>
              <w:rPr>
                <w:rFonts w:hint="eastAsia" w:ascii="宋体" w:hAnsi="宋体" w:eastAsia="宋体"/>
                <w:bCs/>
                <w:kern w:val="0"/>
                <w:sz w:val="24"/>
                <w:szCs w:val="28"/>
                <w:highlight w:val="none"/>
                <w:u w:val="single"/>
              </w:rPr>
              <w:t>安徽中医药大学第二附属医院</w:t>
            </w:r>
          </w:p>
          <w:p w14:paraId="50098783">
            <w:pPr>
              <w:shd w:val="clear"/>
              <w:wordWrap w:val="0"/>
              <w:spacing w:line="360" w:lineRule="auto"/>
              <w:ind w:left="0" w:hanging="1920" w:hangingChars="800"/>
              <w:jc w:val="left"/>
              <w:rPr>
                <w:rFonts w:hint="eastAsia" w:ascii="宋体" w:hAnsi="宋体" w:eastAsia="宋体"/>
                <w:bCs/>
                <w:kern w:val="0"/>
                <w:sz w:val="24"/>
                <w:szCs w:val="28"/>
                <w:highlight w:val="none"/>
                <w:u w:val="single"/>
              </w:rPr>
            </w:pPr>
            <w:r>
              <w:rPr>
                <w:rFonts w:hint="eastAsia" w:ascii="宋体" w:hAnsi="宋体" w:eastAsia="宋体"/>
                <w:bCs/>
                <w:kern w:val="0"/>
                <w:sz w:val="24"/>
                <w:szCs w:val="28"/>
                <w:highlight w:val="none"/>
              </w:rPr>
              <w:t>（4）收取账号：</w:t>
            </w:r>
            <w:r>
              <w:rPr>
                <w:rFonts w:hint="eastAsia" w:ascii="宋体" w:hAnsi="宋体" w:eastAsia="宋体"/>
                <w:bCs/>
                <w:kern w:val="0"/>
                <w:sz w:val="24"/>
                <w:szCs w:val="28"/>
                <w:highlight w:val="none"/>
                <w:u w:val="single"/>
                <w:lang w:val="en-US" w:eastAsia="zh-CN"/>
              </w:rPr>
              <w:t>交通银行安徽省分行</w:t>
            </w:r>
            <w:r>
              <w:rPr>
                <w:rFonts w:hint="eastAsia" w:ascii="宋体" w:hAnsi="宋体" w:eastAsia="宋体"/>
                <w:bCs/>
                <w:kern w:val="0"/>
                <w:sz w:val="24"/>
                <w:szCs w:val="28"/>
                <w:highlight w:val="none"/>
                <w:u w:val="single"/>
              </w:rPr>
              <w:t>341301000010</w:t>
            </w:r>
          </w:p>
          <w:p w14:paraId="44A14F0B">
            <w:pPr>
              <w:shd w:val="clear"/>
              <w:wordWrap w:val="0"/>
              <w:spacing w:line="360" w:lineRule="auto"/>
              <w:ind w:left="0" w:hanging="1920" w:hangingChars="800"/>
              <w:jc w:val="left"/>
              <w:rPr>
                <w:rFonts w:ascii="宋体" w:hAnsi="宋体" w:eastAsia="宋体"/>
                <w:bCs/>
                <w:kern w:val="0"/>
                <w:sz w:val="24"/>
                <w:szCs w:val="28"/>
                <w:highlight w:val="none"/>
              </w:rPr>
            </w:pPr>
            <w:r>
              <w:rPr>
                <w:rFonts w:hint="eastAsia" w:ascii="宋体" w:hAnsi="宋体" w:eastAsia="宋体"/>
                <w:bCs/>
                <w:kern w:val="0"/>
                <w:sz w:val="24"/>
                <w:szCs w:val="28"/>
                <w:highlight w:val="none"/>
                <w:u w:val="single"/>
              </w:rPr>
              <w:t>149113772</w:t>
            </w:r>
          </w:p>
          <w:p w14:paraId="2626978E">
            <w:pPr>
              <w:shd w:val="clear"/>
              <w:spacing w:line="360" w:lineRule="auto"/>
              <w:rPr>
                <w:rFonts w:ascii="宋体" w:hAnsi="宋体" w:eastAsia="宋体"/>
                <w:sz w:val="24"/>
                <w:highlight w:val="none"/>
              </w:rPr>
            </w:pPr>
            <w:r>
              <w:rPr>
                <w:rFonts w:hint="eastAsia" w:ascii="宋体" w:hAnsi="宋体" w:eastAsia="宋体"/>
                <w:bCs/>
                <w:kern w:val="0"/>
                <w:sz w:val="24"/>
                <w:szCs w:val="28"/>
                <w:highlight w:val="none"/>
              </w:rPr>
              <w:t>（5）</w:t>
            </w:r>
            <w:r>
              <w:rPr>
                <w:rFonts w:hint="eastAsia" w:ascii="宋体" w:hAnsi="宋体" w:eastAsia="宋体"/>
                <w:sz w:val="24"/>
                <w:highlight w:val="none"/>
              </w:rPr>
              <w:t>退还时间：</w:t>
            </w:r>
            <w:r>
              <w:rPr>
                <w:rFonts w:hint="eastAsia" w:ascii="宋体" w:hAnsi="宋体" w:eastAsia="宋体"/>
                <w:bCs/>
                <w:kern w:val="0"/>
                <w:sz w:val="24"/>
                <w:szCs w:val="28"/>
                <w:highlight w:val="none"/>
                <w:u w:val="single"/>
              </w:rPr>
              <w:t xml:space="preserve">验收合格后一次性退还 </w:t>
            </w:r>
          </w:p>
          <w:p w14:paraId="56DFA4AA">
            <w:pPr>
              <w:shd w:val="clear"/>
              <w:spacing w:line="360" w:lineRule="auto"/>
              <w:rPr>
                <w:rFonts w:ascii="宋体" w:hAnsi="宋体" w:eastAsia="宋体"/>
                <w:b/>
                <w:bCs/>
                <w:kern w:val="0"/>
                <w:sz w:val="24"/>
                <w:szCs w:val="24"/>
                <w:highlight w:val="none"/>
              </w:rPr>
            </w:pPr>
            <w:r>
              <w:rPr>
                <w:rFonts w:hint="eastAsia" w:ascii="宋体" w:hAnsi="宋体" w:eastAsia="宋体"/>
                <w:b/>
                <w:bCs/>
                <w:kern w:val="0"/>
                <w:sz w:val="24"/>
                <w:szCs w:val="24"/>
                <w:highlight w:val="none"/>
              </w:rPr>
              <w:t>注意事项：</w:t>
            </w:r>
          </w:p>
          <w:p w14:paraId="5B830159">
            <w:pPr>
              <w:shd w:val="clear"/>
              <w:spacing w:line="360" w:lineRule="auto"/>
              <w:rPr>
                <w:rFonts w:ascii="宋体" w:hAnsi="宋体" w:eastAsia="宋体"/>
                <w:b/>
                <w:bCs/>
                <w:kern w:val="0"/>
                <w:sz w:val="24"/>
                <w:szCs w:val="24"/>
                <w:highlight w:val="none"/>
              </w:rPr>
            </w:pPr>
            <w:r>
              <w:rPr>
                <w:rFonts w:hint="eastAsia" w:ascii="宋体" w:hAnsi="宋体" w:eastAsia="宋体"/>
                <w:b/>
                <w:bCs/>
                <w:kern w:val="0"/>
                <w:sz w:val="24"/>
                <w:szCs w:val="24"/>
                <w:highlight w:val="none"/>
              </w:rPr>
              <w:t>（1）以上各类机构出具的以担保函、保证保险承担责任的方式均须满足无条件见索即付条件。</w:t>
            </w:r>
          </w:p>
          <w:p w14:paraId="0DF45511">
            <w:pPr>
              <w:shd w:val="clear"/>
              <w:spacing w:line="360" w:lineRule="auto"/>
              <w:rPr>
                <w:rFonts w:ascii="宋体" w:hAnsi="宋体" w:eastAsia="宋体"/>
                <w:b/>
                <w:bCs/>
                <w:kern w:val="0"/>
                <w:sz w:val="24"/>
                <w:szCs w:val="24"/>
                <w:highlight w:val="none"/>
              </w:rPr>
            </w:pPr>
            <w:r>
              <w:rPr>
                <w:rFonts w:hint="eastAsia" w:ascii="宋体" w:hAnsi="宋体" w:eastAsia="宋体"/>
                <w:b/>
                <w:bCs/>
                <w:kern w:val="0"/>
                <w:sz w:val="24"/>
                <w:szCs w:val="24"/>
                <w:highlight w:val="none"/>
              </w:rPr>
              <w:t>（2）以担保函、保证保险形式缴纳履约保证金的，受益人和收取单位须为采购人。</w:t>
            </w:r>
          </w:p>
        </w:tc>
      </w:tr>
      <w:tr w14:paraId="05050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0" w:hRule="atLeast"/>
          <w:jc w:val="center"/>
        </w:trPr>
        <w:tc>
          <w:tcPr>
            <w:tcW w:w="580" w:type="pct"/>
            <w:vAlign w:val="center"/>
          </w:tcPr>
          <w:p w14:paraId="691C91A2">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27</w:t>
            </w:r>
            <w:r>
              <w:rPr>
                <w:rFonts w:ascii="宋体" w:hAnsi="宋体" w:eastAsia="宋体"/>
                <w:bCs/>
                <w:kern w:val="2"/>
                <w:highlight w:val="none"/>
              </w:rPr>
              <w:t>.1</w:t>
            </w:r>
          </w:p>
        </w:tc>
        <w:tc>
          <w:tcPr>
            <w:tcW w:w="1174" w:type="pct"/>
            <w:vAlign w:val="center"/>
          </w:tcPr>
          <w:p w14:paraId="1919AE48">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签订合同和合同公告时间</w:t>
            </w:r>
          </w:p>
        </w:tc>
        <w:tc>
          <w:tcPr>
            <w:tcW w:w="3245" w:type="pct"/>
          </w:tcPr>
          <w:p w14:paraId="75CA5ABA">
            <w:pPr>
              <w:pStyle w:val="20"/>
              <w:widowControl/>
              <w:shd w:val="clear"/>
              <w:spacing w:before="0" w:beforeAutospacing="0" w:after="0" w:afterAutospacing="0" w:line="360" w:lineRule="auto"/>
              <w:rPr>
                <w:rFonts w:ascii="宋体" w:hAnsi="宋体" w:eastAsia="宋体" w:cs="宋体"/>
                <w:szCs w:val="24"/>
                <w:highlight w:val="none"/>
              </w:rPr>
            </w:pPr>
            <w:r>
              <w:rPr>
                <w:rFonts w:hint="eastAsia" w:ascii="宋体" w:hAnsi="宋体" w:eastAsia="宋体" w:cs="宋体"/>
                <w:szCs w:val="24"/>
                <w:highlight w:val="none"/>
              </w:rPr>
              <w:t>（1）采购人与中标人应当自发出中标通知书之日起7个工作日内签订合同，采购合同签订之日起2个工作日内完成政府采购合同公开。</w:t>
            </w:r>
          </w:p>
          <w:p w14:paraId="3398A2F7">
            <w:pPr>
              <w:pStyle w:val="20"/>
              <w:widowControl/>
              <w:shd w:val="clear"/>
              <w:spacing w:before="0" w:beforeAutospacing="0" w:after="0" w:afterAutospacing="0" w:line="360" w:lineRule="auto"/>
              <w:rPr>
                <w:rFonts w:ascii="宋体" w:hAnsi="宋体" w:eastAsia="宋体"/>
                <w:b/>
                <w:bCs/>
                <w:szCs w:val="24"/>
                <w:highlight w:val="none"/>
              </w:rPr>
            </w:pPr>
            <w:r>
              <w:rPr>
                <w:rFonts w:hint="eastAsia" w:ascii="宋体" w:hAnsi="宋体" w:eastAsia="宋体" w:cs="宋体"/>
                <w:szCs w:val="24"/>
                <w:highlight w:val="none"/>
              </w:rPr>
              <w:t>（2）采购人与中标人</w:t>
            </w:r>
            <w:r>
              <w:rPr>
                <w:rFonts w:ascii="宋体" w:hAnsi="宋体" w:eastAsia="宋体" w:cs="宋体"/>
                <w:szCs w:val="24"/>
                <w:highlight w:val="none"/>
              </w:rPr>
              <w:t>不得擅自变更合同，依照政府采购法确需变更政府采购合同内容的，采购人应当自合同变更之日起2个工作日内</w:t>
            </w:r>
            <w:r>
              <w:rPr>
                <w:rFonts w:hint="eastAsia" w:ascii="宋体" w:hAnsi="宋体" w:eastAsia="宋体" w:cs="宋体"/>
                <w:szCs w:val="24"/>
                <w:highlight w:val="none"/>
              </w:rPr>
              <w:t>在安徽省政府采购网</w:t>
            </w:r>
            <w:r>
              <w:rPr>
                <w:rFonts w:ascii="宋体" w:hAnsi="宋体" w:eastAsia="宋体" w:cs="宋体"/>
                <w:szCs w:val="24"/>
                <w:highlight w:val="none"/>
              </w:rPr>
              <w:t>发布政府采购合同变更公告</w:t>
            </w:r>
            <w:r>
              <w:rPr>
                <w:rFonts w:hint="eastAsia" w:ascii="宋体" w:hAnsi="宋体" w:eastAsia="宋体" w:cs="宋体"/>
                <w:szCs w:val="24"/>
                <w:highlight w:val="none"/>
              </w:rPr>
              <w:t>，</w:t>
            </w:r>
            <w:r>
              <w:rPr>
                <w:rFonts w:ascii="宋体" w:hAnsi="宋体" w:eastAsia="宋体" w:cs="宋体"/>
                <w:szCs w:val="24"/>
                <w:highlight w:val="none"/>
              </w:rPr>
              <w:t>但涉及国家秘密、商业秘密的信息和其他依法不得公开的信息除外。</w:t>
            </w:r>
          </w:p>
        </w:tc>
      </w:tr>
      <w:tr w14:paraId="4F437E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59C4D0DD">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28</w:t>
            </w:r>
            <w:r>
              <w:rPr>
                <w:rFonts w:ascii="宋体" w:hAnsi="宋体" w:eastAsia="宋体"/>
                <w:bCs/>
                <w:kern w:val="2"/>
                <w:highlight w:val="none"/>
              </w:rPr>
              <w:t>.1</w:t>
            </w:r>
          </w:p>
        </w:tc>
        <w:tc>
          <w:tcPr>
            <w:tcW w:w="1174" w:type="pct"/>
            <w:vAlign w:val="center"/>
          </w:tcPr>
          <w:p w14:paraId="1A987307">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代理费用</w:t>
            </w:r>
          </w:p>
        </w:tc>
        <w:tc>
          <w:tcPr>
            <w:tcW w:w="3245" w:type="pct"/>
            <w:vAlign w:val="center"/>
          </w:tcPr>
          <w:p w14:paraId="6A116EFE">
            <w:pPr>
              <w:shd w:val="clear"/>
              <w:spacing w:before="39" w:line="360" w:lineRule="auto"/>
              <w:rPr>
                <w:rFonts w:ascii="宋体" w:hAnsi="宋体" w:eastAsia="宋体" w:cs="宋体"/>
                <w:sz w:val="24"/>
                <w:szCs w:val="24"/>
                <w:highlight w:val="none"/>
              </w:rPr>
            </w:pPr>
            <w:r>
              <w:rPr>
                <w:rFonts w:hint="eastAsia" w:ascii="宋体" w:hAnsi="宋体" w:eastAsia="宋体"/>
                <w:bCs/>
                <w:kern w:val="0"/>
                <w:sz w:val="24"/>
                <w:szCs w:val="28"/>
                <w:highlight w:val="none"/>
              </w:rPr>
              <w:t>（1）</w:t>
            </w:r>
            <w:r>
              <w:rPr>
                <w:rFonts w:ascii="宋体" w:hAnsi="宋体" w:eastAsia="宋体"/>
                <w:bCs/>
                <w:kern w:val="0"/>
                <w:sz w:val="24"/>
                <w:szCs w:val="28"/>
                <w:highlight w:val="none"/>
              </w:rPr>
              <w:t>收费对象</w:t>
            </w:r>
            <w:r>
              <w:rPr>
                <w:rFonts w:ascii="宋体" w:hAnsi="宋体" w:eastAsia="宋体" w:cs="宋体"/>
                <w:spacing w:val="-12"/>
                <w:sz w:val="24"/>
                <w:szCs w:val="24"/>
                <w:highlight w:val="none"/>
              </w:rPr>
              <w:t>：</w:t>
            </w:r>
            <w:r>
              <w:rPr>
                <w:rFonts w:ascii="宋体" w:hAnsi="宋体" w:eastAsia="宋体" w:cs="宋体"/>
                <w:spacing w:val="14"/>
                <w:sz w:val="24"/>
                <w:szCs w:val="24"/>
                <w:highlight w:val="none"/>
              </w:rPr>
              <w:t>中标人</w:t>
            </w:r>
          </w:p>
          <w:p w14:paraId="7EB9B69C">
            <w:pPr>
              <w:shd w:val="clear"/>
              <w:adjustRightInd w:val="0"/>
              <w:snapToGrid w:val="0"/>
              <w:spacing w:line="360" w:lineRule="auto"/>
              <w:rPr>
                <w:rFonts w:ascii="宋体" w:hAnsi="宋体" w:eastAsia="宋体"/>
                <w:bCs/>
                <w:kern w:val="0"/>
                <w:sz w:val="24"/>
                <w:szCs w:val="24"/>
                <w:highlight w:val="none"/>
                <w:u w:val="single"/>
              </w:rPr>
            </w:pPr>
            <w:r>
              <w:rPr>
                <w:rFonts w:hint="eastAsia" w:ascii="宋体" w:hAnsi="宋体" w:eastAsia="宋体"/>
                <w:bCs/>
                <w:kern w:val="0"/>
                <w:sz w:val="24"/>
                <w:szCs w:val="24"/>
                <w:highlight w:val="none"/>
              </w:rPr>
              <w:t>（2）</w:t>
            </w:r>
            <w:r>
              <w:rPr>
                <w:rFonts w:ascii="宋体" w:hAnsi="宋体" w:eastAsia="宋体"/>
                <w:bCs/>
                <w:kern w:val="0"/>
                <w:sz w:val="24"/>
                <w:szCs w:val="24"/>
                <w:highlight w:val="none"/>
              </w:rPr>
              <w:t>收取方式：转账/电汇，账号信息如下：</w:t>
            </w:r>
          </w:p>
          <w:tbl>
            <w:tblPr>
              <w:tblStyle w:val="25"/>
              <w:tblW w:w="5104" w:type="dxa"/>
              <w:tblInd w:w="0" w:type="dxa"/>
              <w:tblLayout w:type="autofit"/>
              <w:tblCellMar>
                <w:top w:w="0" w:type="dxa"/>
                <w:left w:w="108" w:type="dxa"/>
                <w:bottom w:w="0" w:type="dxa"/>
                <w:right w:w="108" w:type="dxa"/>
              </w:tblCellMar>
            </w:tblPr>
            <w:tblGrid>
              <w:gridCol w:w="5104"/>
            </w:tblGrid>
            <w:tr w14:paraId="35FE61F3">
              <w:tblPrEx>
                <w:tblCellMar>
                  <w:top w:w="0" w:type="dxa"/>
                  <w:left w:w="108" w:type="dxa"/>
                  <w:bottom w:w="0" w:type="dxa"/>
                  <w:right w:w="108" w:type="dxa"/>
                </w:tblCellMar>
              </w:tblPrEx>
              <w:trPr>
                <w:trHeight w:val="1200" w:hRule="atLeast"/>
              </w:trPr>
              <w:tc>
                <w:tcPr>
                  <w:tcW w:w="5104" w:type="dxa"/>
                  <w:tcBorders>
                    <w:top w:val="single" w:color="000000" w:sz="4" w:space="0"/>
                    <w:left w:val="single" w:color="000000" w:sz="4" w:space="0"/>
                    <w:bottom w:val="single" w:color="000000" w:sz="4" w:space="0"/>
                    <w:right w:val="single" w:color="000000" w:sz="4" w:space="0"/>
                  </w:tcBorders>
                </w:tcPr>
                <w:p w14:paraId="08F23C0E">
                  <w:pPr>
                    <w:shd w:val="clear"/>
                    <w:adjustRightInd w:val="0"/>
                    <w:snapToGrid w:val="0"/>
                    <w:spacing w:line="360" w:lineRule="auto"/>
                    <w:rPr>
                      <w:rFonts w:ascii="宋体" w:hAnsi="宋体" w:eastAsia="宋体"/>
                      <w:bCs/>
                      <w:kern w:val="0"/>
                      <w:sz w:val="24"/>
                      <w:szCs w:val="24"/>
                      <w:highlight w:val="none"/>
                    </w:rPr>
                  </w:pPr>
                  <w:r>
                    <w:rPr>
                      <w:rFonts w:hint="eastAsia" w:ascii="宋体" w:hAnsi="宋体" w:eastAsia="宋体"/>
                      <w:bCs/>
                      <w:kern w:val="0"/>
                      <w:sz w:val="24"/>
                      <w:szCs w:val="24"/>
                      <w:highlight w:val="none"/>
                    </w:rPr>
                    <w:t xml:space="preserve">开 户 名：安徽省招标集团股份有限公司 </w:t>
                  </w:r>
                </w:p>
                <w:p w14:paraId="639770B7">
                  <w:pPr>
                    <w:shd w:val="clear"/>
                    <w:adjustRightInd w:val="0"/>
                    <w:snapToGrid w:val="0"/>
                    <w:spacing w:line="360" w:lineRule="auto"/>
                    <w:rPr>
                      <w:rFonts w:ascii="宋体" w:hAnsi="宋体" w:eastAsia="宋体"/>
                      <w:bCs/>
                      <w:kern w:val="0"/>
                      <w:sz w:val="24"/>
                      <w:szCs w:val="24"/>
                      <w:highlight w:val="none"/>
                    </w:rPr>
                  </w:pPr>
                  <w:r>
                    <w:rPr>
                      <w:rFonts w:hint="eastAsia" w:ascii="宋体" w:hAnsi="宋体" w:eastAsia="宋体"/>
                      <w:bCs/>
                      <w:kern w:val="0"/>
                      <w:sz w:val="24"/>
                      <w:szCs w:val="24"/>
                      <w:highlight w:val="none"/>
                    </w:rPr>
                    <w:t>开户银行：中国建设银行合肥市滨湖新区支行</w:t>
                  </w:r>
                </w:p>
                <w:p w14:paraId="4037CD43">
                  <w:pPr>
                    <w:shd w:val="clear"/>
                    <w:adjustRightInd w:val="0"/>
                    <w:snapToGrid w:val="0"/>
                    <w:spacing w:line="360" w:lineRule="auto"/>
                    <w:rPr>
                      <w:rFonts w:ascii="宋体" w:hAnsi="宋体" w:eastAsia="宋体"/>
                      <w:bCs/>
                      <w:kern w:val="0"/>
                      <w:sz w:val="24"/>
                      <w:szCs w:val="24"/>
                      <w:highlight w:val="none"/>
                    </w:rPr>
                  </w:pPr>
                  <w:r>
                    <w:rPr>
                      <w:rFonts w:hint="eastAsia" w:ascii="宋体" w:hAnsi="宋体" w:eastAsia="宋体"/>
                      <w:bCs/>
                      <w:kern w:val="0"/>
                      <w:sz w:val="24"/>
                      <w:szCs w:val="24"/>
                      <w:highlight w:val="none"/>
                    </w:rPr>
                    <w:t>账    号：34001474708050043497</w:t>
                  </w:r>
                </w:p>
              </w:tc>
            </w:tr>
          </w:tbl>
          <w:p w14:paraId="79BA269C">
            <w:pPr>
              <w:widowControl/>
              <w:shd w:val="clear"/>
              <w:adjustRightInd w:val="0"/>
              <w:snapToGrid w:val="0"/>
              <w:spacing w:line="360" w:lineRule="auto"/>
              <w:rPr>
                <w:rFonts w:ascii="仿宋" w:hAnsi="仿宋" w:eastAsia="仿宋" w:cs="仿宋"/>
                <w:color w:val="000000"/>
                <w:sz w:val="24"/>
                <w:highlight w:val="none"/>
              </w:rPr>
            </w:pPr>
            <w:r>
              <w:rPr>
                <w:rFonts w:hint="eastAsia" w:ascii="宋体" w:hAnsi="宋体" w:eastAsia="宋体"/>
                <w:kern w:val="0"/>
                <w:sz w:val="24"/>
                <w:szCs w:val="24"/>
                <w:highlight w:val="none"/>
              </w:rPr>
              <w:t>（3）</w:t>
            </w:r>
            <w:r>
              <w:rPr>
                <w:rFonts w:ascii="宋体" w:hAnsi="宋体" w:eastAsia="宋体"/>
                <w:kern w:val="0"/>
                <w:sz w:val="24"/>
                <w:szCs w:val="24"/>
                <w:highlight w:val="none"/>
              </w:rPr>
              <w:t>收费标准：</w:t>
            </w:r>
            <w:r>
              <w:rPr>
                <w:rFonts w:hint="eastAsia" w:ascii="宋体" w:hAnsi="宋体" w:eastAsia="宋体"/>
                <w:kern w:val="0"/>
                <w:sz w:val="24"/>
                <w:szCs w:val="24"/>
                <w:highlight w:val="none"/>
              </w:rPr>
              <w:t>参照合公协（2023）03号文件规定的货物类收费标准得58%计取，金额不足4500元的，按4500元计，中标人在领取中标通知书前须向采购代理机构缴纳采购代理服务费，可以银行转账、银行电汇方式。采购代理服务费以中标总价为计算基数，具体收费标准依照下表：</w:t>
            </w:r>
          </w:p>
          <w:p w14:paraId="7A652B21">
            <w:pPr>
              <w:pStyle w:val="37"/>
              <w:widowControl w:val="0"/>
              <w:shd w:val="clear"/>
              <w:spacing w:before="0" w:beforeAutospacing="0" w:after="0" w:afterAutospacing="0" w:line="360" w:lineRule="auto"/>
              <w:jc w:val="both"/>
              <w:rPr>
                <w:rFonts w:ascii="仿宋" w:hAnsi="仿宋" w:eastAsia="仿宋" w:cs="仿宋"/>
                <w:color w:val="000000"/>
                <w:sz w:val="24"/>
                <w:highlight w:val="none"/>
              </w:rPr>
            </w:pPr>
            <w:r>
              <w:rPr>
                <w:rFonts w:hint="eastAsia" w:ascii="仿宋" w:hAnsi="仿宋" w:eastAsia="仿宋" w:cs="仿宋"/>
                <w:color w:val="000000"/>
                <w:sz w:val="24"/>
                <w:highlight w:val="none"/>
              </w:rPr>
              <w:drawing>
                <wp:inline distT="0" distB="0" distL="114300" distR="114300">
                  <wp:extent cx="3474720" cy="2037080"/>
                  <wp:effectExtent l="0" t="0" r="11430" b="1270"/>
                  <wp:docPr id="1" name="图片 1"/>
                  <wp:cNvGraphicFramePr/>
                  <a:graphic xmlns:a="http://schemas.openxmlformats.org/drawingml/2006/main">
                    <a:graphicData uri="http://schemas.openxmlformats.org/drawingml/2006/picture">
                      <pic:pic xmlns:pic="http://schemas.openxmlformats.org/drawingml/2006/picture">
                        <pic:nvPicPr>
                          <pic:cNvPr id="1" name="图片 1"/>
                          <pic:cNvPicPr/>
                        </pic:nvPicPr>
                        <pic:blipFill>
                          <a:blip r:embed="rId9"/>
                          <a:stretch>
                            <a:fillRect/>
                          </a:stretch>
                        </pic:blipFill>
                        <pic:spPr>
                          <a:xfrm>
                            <a:off x="0" y="0"/>
                            <a:ext cx="3474720" cy="2037080"/>
                          </a:xfrm>
                          <a:prstGeom prst="rect">
                            <a:avLst/>
                          </a:prstGeom>
                          <a:noFill/>
                          <a:ln>
                            <a:noFill/>
                          </a:ln>
                        </pic:spPr>
                      </pic:pic>
                    </a:graphicData>
                  </a:graphic>
                </wp:inline>
              </w:drawing>
            </w:r>
          </w:p>
          <w:p w14:paraId="3617BC9C">
            <w:pPr>
              <w:widowControl/>
              <w:shd w:val="clear"/>
              <w:adjustRightInd w:val="0"/>
              <w:snapToGrid w:val="0"/>
              <w:spacing w:line="360" w:lineRule="auto"/>
              <w:rPr>
                <w:rFonts w:ascii="仿宋" w:hAnsi="仿宋" w:eastAsia="仿宋" w:cs="仿宋"/>
                <w:color w:val="000000"/>
                <w:sz w:val="24"/>
                <w:highlight w:val="none"/>
              </w:rPr>
            </w:pPr>
            <w:r>
              <w:rPr>
                <w:rFonts w:hint="eastAsia" w:ascii="仿宋" w:hAnsi="仿宋" w:eastAsia="仿宋" w:cs="仿宋"/>
                <w:color w:val="000000"/>
                <w:sz w:val="24"/>
                <w:highlight w:val="none"/>
              </w:rPr>
              <w:t>注：采购代理服务收费按差额定率累进法计算。例如：某货物采购代理业务中标金额为 6000 万元，计算采购代理服务费额如下：</w:t>
            </w:r>
          </w:p>
          <w:p w14:paraId="6B76562C">
            <w:pPr>
              <w:widowControl/>
              <w:shd w:val="clear"/>
              <w:adjustRightInd w:val="0"/>
              <w:snapToGrid w:val="0"/>
              <w:spacing w:line="360" w:lineRule="auto"/>
              <w:rPr>
                <w:rFonts w:ascii="仿宋" w:hAnsi="仿宋" w:eastAsia="仿宋" w:cs="仿宋"/>
                <w:color w:val="000000"/>
                <w:sz w:val="24"/>
                <w:highlight w:val="none"/>
              </w:rPr>
            </w:pPr>
            <w:r>
              <w:rPr>
                <w:rFonts w:hint="eastAsia" w:ascii="仿宋" w:hAnsi="仿宋" w:eastAsia="仿宋" w:cs="仿宋"/>
                <w:color w:val="000000"/>
                <w:sz w:val="24"/>
                <w:highlight w:val="none"/>
              </w:rPr>
              <w:t>100万元×1.5％×58%＝0.87万元</w:t>
            </w:r>
          </w:p>
          <w:p w14:paraId="76978165">
            <w:pPr>
              <w:widowControl/>
              <w:shd w:val="clear"/>
              <w:adjustRightInd w:val="0"/>
              <w:snapToGrid w:val="0"/>
              <w:spacing w:line="360" w:lineRule="auto"/>
              <w:rPr>
                <w:rFonts w:ascii="仿宋" w:hAnsi="仿宋" w:eastAsia="仿宋" w:cs="仿宋"/>
                <w:color w:val="000000"/>
                <w:sz w:val="24"/>
                <w:highlight w:val="none"/>
              </w:rPr>
            </w:pPr>
            <w:r>
              <w:rPr>
                <w:rFonts w:hint="eastAsia" w:ascii="仿宋" w:hAnsi="仿宋" w:eastAsia="仿宋" w:cs="仿宋"/>
                <w:color w:val="000000"/>
                <w:sz w:val="24"/>
                <w:highlight w:val="none"/>
              </w:rPr>
              <w:t xml:space="preserve">(500－100)万元×1.1％×58%＝2.552万元 </w:t>
            </w:r>
          </w:p>
          <w:p w14:paraId="24A161E0">
            <w:pPr>
              <w:widowControl/>
              <w:shd w:val="clear"/>
              <w:adjustRightInd w:val="0"/>
              <w:snapToGrid w:val="0"/>
              <w:spacing w:line="360" w:lineRule="auto"/>
              <w:rPr>
                <w:rFonts w:ascii="仿宋" w:hAnsi="仿宋" w:eastAsia="仿宋" w:cs="仿宋"/>
                <w:color w:val="000000"/>
                <w:sz w:val="24"/>
                <w:highlight w:val="none"/>
              </w:rPr>
            </w:pPr>
            <w:r>
              <w:rPr>
                <w:rFonts w:hint="eastAsia" w:ascii="仿宋" w:hAnsi="仿宋" w:eastAsia="仿宋" w:cs="仿宋"/>
                <w:color w:val="000000"/>
                <w:sz w:val="24"/>
                <w:highlight w:val="none"/>
              </w:rPr>
              <w:t>(1000－500)万元×0.8％×58%＝2.32万元</w:t>
            </w:r>
          </w:p>
          <w:p w14:paraId="2A728176">
            <w:pPr>
              <w:widowControl/>
              <w:shd w:val="clear"/>
              <w:adjustRightInd w:val="0"/>
              <w:snapToGrid w:val="0"/>
              <w:spacing w:line="360" w:lineRule="auto"/>
              <w:rPr>
                <w:rFonts w:ascii="仿宋" w:hAnsi="仿宋" w:eastAsia="仿宋" w:cs="仿宋"/>
                <w:color w:val="000000"/>
                <w:sz w:val="24"/>
                <w:highlight w:val="none"/>
              </w:rPr>
            </w:pPr>
            <w:r>
              <w:rPr>
                <w:rFonts w:hint="eastAsia" w:ascii="仿宋" w:hAnsi="仿宋" w:eastAsia="仿宋" w:cs="仿宋"/>
                <w:color w:val="000000"/>
                <w:sz w:val="24"/>
                <w:highlight w:val="none"/>
              </w:rPr>
              <w:t>(5000－1000)万元×0.5％×58%＝11.6万元</w:t>
            </w:r>
          </w:p>
          <w:p w14:paraId="2C91832F">
            <w:pPr>
              <w:widowControl/>
              <w:shd w:val="clear"/>
              <w:adjustRightInd w:val="0"/>
              <w:snapToGrid w:val="0"/>
              <w:spacing w:line="360" w:lineRule="auto"/>
              <w:rPr>
                <w:rFonts w:ascii="仿宋" w:hAnsi="仿宋" w:eastAsia="仿宋" w:cs="仿宋"/>
                <w:color w:val="000000"/>
                <w:sz w:val="24"/>
                <w:highlight w:val="none"/>
              </w:rPr>
            </w:pPr>
            <w:r>
              <w:rPr>
                <w:rFonts w:hint="eastAsia" w:ascii="仿宋" w:hAnsi="仿宋" w:eastAsia="仿宋" w:cs="仿宋"/>
                <w:color w:val="000000"/>
                <w:sz w:val="24"/>
                <w:highlight w:val="none"/>
              </w:rPr>
              <w:t>(6000－5000) 万元×0.25％×58%＝1.45万元</w:t>
            </w:r>
          </w:p>
          <w:p w14:paraId="4038316F">
            <w:pPr>
              <w:pStyle w:val="37"/>
              <w:widowControl w:val="0"/>
              <w:shd w:val="clear"/>
              <w:spacing w:before="0" w:beforeAutospacing="0" w:after="0" w:afterAutospacing="0" w:line="360" w:lineRule="auto"/>
              <w:jc w:val="both"/>
              <w:rPr>
                <w:rFonts w:ascii="仿宋" w:hAnsi="仿宋" w:eastAsia="仿宋" w:cs="仿宋"/>
                <w:color w:val="000000"/>
                <w:sz w:val="24"/>
                <w:highlight w:val="none"/>
              </w:rPr>
            </w:pPr>
            <w:r>
              <w:rPr>
                <w:rFonts w:hint="eastAsia" w:ascii="仿宋" w:hAnsi="仿宋" w:eastAsia="仿宋" w:cs="仿宋"/>
                <w:color w:val="000000"/>
                <w:sz w:val="24"/>
                <w:highlight w:val="none"/>
              </w:rPr>
              <w:t>合计收费＝0.87+2.552+2.32+11.6+1.45＝18.792(万元)。</w:t>
            </w:r>
          </w:p>
        </w:tc>
      </w:tr>
      <w:tr w14:paraId="07A8E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306EC6AE">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31</w:t>
            </w:r>
            <w:r>
              <w:rPr>
                <w:rFonts w:ascii="宋体" w:hAnsi="宋体" w:eastAsia="宋体"/>
                <w:bCs/>
                <w:kern w:val="2"/>
                <w:highlight w:val="none"/>
              </w:rPr>
              <w:t>.</w:t>
            </w:r>
            <w:r>
              <w:rPr>
                <w:rFonts w:hint="eastAsia" w:ascii="宋体" w:hAnsi="宋体" w:eastAsia="宋体"/>
                <w:bCs/>
                <w:kern w:val="2"/>
                <w:highlight w:val="none"/>
              </w:rPr>
              <w:t>3</w:t>
            </w:r>
          </w:p>
        </w:tc>
        <w:tc>
          <w:tcPr>
            <w:tcW w:w="1174" w:type="pct"/>
            <w:vAlign w:val="center"/>
          </w:tcPr>
          <w:p w14:paraId="56604392">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质疑函递交方式、接收部门、联系电话和通讯地址</w:t>
            </w:r>
          </w:p>
        </w:tc>
        <w:tc>
          <w:tcPr>
            <w:tcW w:w="3245" w:type="pct"/>
            <w:vAlign w:val="center"/>
          </w:tcPr>
          <w:p w14:paraId="08441AFE">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递交方式：</w:t>
            </w:r>
            <w:r>
              <w:rPr>
                <w:rFonts w:hint="eastAsia" w:ascii="宋体" w:hAnsi="宋体" w:eastAsia="宋体"/>
                <w:b w:val="0"/>
                <w:sz w:val="24"/>
                <w:highlight w:val="none"/>
                <w:u w:val="single"/>
              </w:rPr>
              <w:t>书面形式</w:t>
            </w:r>
          </w:p>
          <w:p w14:paraId="58EA4A5B">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接收部门：</w:t>
            </w:r>
            <w:r>
              <w:rPr>
                <w:rFonts w:hint="eastAsia" w:ascii="宋体" w:hAnsi="宋体" w:eastAsia="宋体"/>
                <w:b w:val="0"/>
                <w:sz w:val="24"/>
                <w:highlight w:val="none"/>
                <w:u w:val="single"/>
              </w:rPr>
              <w:t>安徽省招标集团股份有限公司法务与质管中心</w:t>
            </w:r>
          </w:p>
          <w:p w14:paraId="6413D960">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联系电话：</w:t>
            </w:r>
            <w:r>
              <w:rPr>
                <w:rFonts w:hint="eastAsia" w:ascii="宋体" w:hAnsi="宋体" w:eastAsia="宋体"/>
                <w:b w:val="0"/>
                <w:sz w:val="24"/>
                <w:highlight w:val="none"/>
                <w:u w:val="single"/>
              </w:rPr>
              <w:t>0551-62220155</w:t>
            </w:r>
          </w:p>
          <w:p w14:paraId="3A4DC675">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通讯地址：</w:t>
            </w:r>
            <w:r>
              <w:rPr>
                <w:rFonts w:hint="eastAsia" w:ascii="宋体" w:hAnsi="宋体" w:eastAsia="宋体"/>
                <w:b w:val="0"/>
                <w:sz w:val="24"/>
                <w:highlight w:val="none"/>
                <w:u w:val="single"/>
              </w:rPr>
              <w:t>安徽省合肥市包河区紫云路888号安徽省招标集团A座407室</w:t>
            </w:r>
          </w:p>
        </w:tc>
      </w:tr>
      <w:tr w14:paraId="65AF80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7D80F19C">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32</w:t>
            </w:r>
          </w:p>
        </w:tc>
        <w:tc>
          <w:tcPr>
            <w:tcW w:w="1174" w:type="pct"/>
            <w:vAlign w:val="center"/>
          </w:tcPr>
          <w:p w14:paraId="746E8AD2">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其他内容</w:t>
            </w:r>
          </w:p>
        </w:tc>
        <w:tc>
          <w:tcPr>
            <w:tcW w:w="3245" w:type="pct"/>
            <w:vAlign w:val="center"/>
          </w:tcPr>
          <w:p w14:paraId="29A2ACE7">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p>
        </w:tc>
      </w:tr>
      <w:tr w14:paraId="7E17ED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090EA041">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32.1</w:t>
            </w:r>
          </w:p>
        </w:tc>
        <w:tc>
          <w:tcPr>
            <w:tcW w:w="1174" w:type="pct"/>
            <w:shd w:val="clear" w:color="auto" w:fill="auto"/>
            <w:vAlign w:val="center"/>
          </w:tcPr>
          <w:p w14:paraId="5CEBCF66">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社保证明材料（如有要求）</w:t>
            </w:r>
          </w:p>
        </w:tc>
        <w:tc>
          <w:tcPr>
            <w:tcW w:w="3245" w:type="pct"/>
            <w:shd w:val="clear" w:color="auto" w:fill="auto"/>
            <w:vAlign w:val="center"/>
          </w:tcPr>
          <w:p w14:paraId="5F2DA20E">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本项目招标文件中要求提供的社保证明材料为下述形式之一（投标文件中须提供扫描件）：</w:t>
            </w:r>
          </w:p>
          <w:p w14:paraId="6D445B15">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（1）社保局官方网站查询的缴费记录截图；</w:t>
            </w:r>
          </w:p>
          <w:p w14:paraId="158F4C9A">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（2）社保局的书面证明材料；</w:t>
            </w:r>
          </w:p>
          <w:p w14:paraId="15DCC64C">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（3）经投标人委托的第三方人力资源服务机构或与投标人有直接隶属关系的机构可以代缴社保，但须提供有关证明材料并经评标委员会确认。</w:t>
            </w:r>
          </w:p>
          <w:p w14:paraId="21E7C09C">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（4）参与投标的院校，社保证明可以用以下任意一种：</w:t>
            </w:r>
          </w:p>
          <w:p w14:paraId="1F22A668">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①加盖投标人公章的教师证（须为本单位人员）；</w:t>
            </w:r>
          </w:p>
          <w:p w14:paraId="51D12622">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②医保证明材料。</w:t>
            </w:r>
          </w:p>
          <w:p w14:paraId="7B94C682">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（5）其他经评标委员会认可的证明材料。</w:t>
            </w:r>
          </w:p>
          <w:p w14:paraId="0E6F6B0A">
            <w:pPr>
              <w:pStyle w:val="37"/>
              <w:widowControl w:val="0"/>
              <w:shd w:val="clear"/>
              <w:spacing w:before="0" w:beforeAutospacing="0" w:after="0" w:afterAutospacing="0" w:line="360" w:lineRule="auto"/>
              <w:jc w:val="both"/>
              <w:rPr>
                <w:rFonts w:asciiTheme="minorEastAsia" w:hAnsiTheme="minorEastAsia" w:eastAsiaTheme="minorEastAsia"/>
                <w:bCs w:val="0"/>
                <w:kern w:val="2"/>
                <w:sz w:val="24"/>
                <w:szCs w:val="24"/>
                <w:highlight w:val="none"/>
              </w:rPr>
            </w:pPr>
            <w:r>
              <w:rPr>
                <w:rFonts w:hint="eastAsia" w:asciiTheme="minorEastAsia" w:hAnsiTheme="minorEastAsia" w:eastAsiaTheme="minorEastAsia"/>
                <w:bCs w:val="0"/>
                <w:kern w:val="2"/>
                <w:sz w:val="24"/>
                <w:szCs w:val="24"/>
                <w:highlight w:val="none"/>
              </w:rPr>
              <w:t>注：</w:t>
            </w:r>
          </w:p>
          <w:p w14:paraId="2F644E43">
            <w:pPr>
              <w:pStyle w:val="37"/>
              <w:widowControl w:val="0"/>
              <w:shd w:val="clear"/>
              <w:spacing w:before="0" w:beforeAutospacing="0" w:after="0" w:afterAutospacing="0" w:line="360" w:lineRule="auto"/>
              <w:jc w:val="both"/>
              <w:rPr>
                <w:rFonts w:asciiTheme="minorEastAsia" w:hAnsiTheme="minorEastAsia" w:eastAsiaTheme="minorEastAsia"/>
                <w:bCs w:val="0"/>
                <w:kern w:val="2"/>
                <w:sz w:val="24"/>
                <w:szCs w:val="24"/>
                <w:highlight w:val="none"/>
              </w:rPr>
            </w:pPr>
            <w:r>
              <w:rPr>
                <w:rFonts w:hint="eastAsia" w:asciiTheme="minorEastAsia" w:hAnsiTheme="minorEastAsia" w:eastAsiaTheme="minorEastAsia"/>
                <w:bCs w:val="0"/>
                <w:kern w:val="2"/>
                <w:sz w:val="24"/>
                <w:szCs w:val="24"/>
                <w:highlight w:val="none"/>
              </w:rPr>
              <w:t>①以上（1）-（3）社保证明材料至少含养老保险。</w:t>
            </w:r>
          </w:p>
          <w:p w14:paraId="202E6D49">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Cs w:val="0"/>
                <w:kern w:val="2"/>
                <w:sz w:val="24"/>
                <w:szCs w:val="24"/>
                <w:highlight w:val="none"/>
              </w:rPr>
              <w:t>②法定代表人参与项目的，无需提供社保证明材料，提供身份证明材料即可。</w:t>
            </w:r>
          </w:p>
        </w:tc>
      </w:tr>
      <w:tr w14:paraId="46223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07415914">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32.2</w:t>
            </w:r>
          </w:p>
        </w:tc>
        <w:tc>
          <w:tcPr>
            <w:tcW w:w="1174" w:type="pct"/>
            <w:shd w:val="clear" w:color="auto" w:fill="auto"/>
            <w:vAlign w:val="center"/>
          </w:tcPr>
          <w:p w14:paraId="317F93FA">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重要提示</w:t>
            </w:r>
          </w:p>
        </w:tc>
        <w:tc>
          <w:tcPr>
            <w:tcW w:w="3245" w:type="pct"/>
            <w:shd w:val="clear" w:color="auto" w:fill="auto"/>
            <w:vAlign w:val="center"/>
          </w:tcPr>
          <w:p w14:paraId="742E748F">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（1）中标人应在规定期限内与采购人签订合同，若中标人未能在规定期限内签订合同，采购人有权取消中标人中标资格，并将相关违约行为报送监管部门，实施信用惩戒；</w:t>
            </w:r>
          </w:p>
          <w:p w14:paraId="5E7A4D5C">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2）合同签订后，中标人存在规定时间内不组织人员进场开工，不履行供货、安装或服务义务等情况，采购人有权解除合同，并追究违约责任，同时将相关违约行为报送监管部门，记不良行为记录，实施信用惩戒；</w:t>
            </w:r>
          </w:p>
          <w:p w14:paraId="5AEF930F">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（3）中标人中标后被监管部门查实存在违法行为，不满足中标条件的，由采购人取消中标资格，并做好项目后续工作；</w:t>
            </w:r>
          </w:p>
          <w:p w14:paraId="22B15158">
            <w:pPr>
              <w:pStyle w:val="37"/>
              <w:widowControl w:val="0"/>
              <w:shd w:val="clear"/>
              <w:spacing w:before="0" w:beforeAutospacing="0" w:after="0" w:afterAutospacing="0" w:line="360" w:lineRule="auto"/>
              <w:jc w:val="both"/>
              <w:rPr>
                <w:rFonts w:asciiTheme="minorEastAsia" w:hAnsiTheme="minorEastAsia" w:eastAsiaTheme="minorEastAsia"/>
                <w:bCs w:val="0"/>
                <w:kern w:val="2"/>
                <w:sz w:val="24"/>
                <w:szCs w:val="24"/>
                <w:highlight w:val="none"/>
              </w:rPr>
            </w:pPr>
            <w:r>
              <w:rPr>
                <w:rFonts w:hint="eastAsia" w:asciiTheme="minorEastAsia" w:hAnsiTheme="minorEastAsia" w:eastAsiaTheme="minorEastAsia"/>
                <w:b w:val="0"/>
                <w:kern w:val="2"/>
                <w:sz w:val="24"/>
                <w:szCs w:val="24"/>
                <w:highlight w:val="none"/>
              </w:rPr>
              <w:t>（4）中标人在中标项目发生投诉、信访举报案件、履约存在争议时，拒绝协助配合执法部门调查案件的，采购人可以取消其中标资格或解除合同，并追究其违约责任。</w:t>
            </w:r>
          </w:p>
        </w:tc>
      </w:tr>
      <w:tr w14:paraId="4C0D6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25796C8A">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32.3</w:t>
            </w:r>
          </w:p>
        </w:tc>
        <w:tc>
          <w:tcPr>
            <w:tcW w:w="1174" w:type="pct"/>
            <w:shd w:val="clear" w:color="auto" w:fill="auto"/>
            <w:vAlign w:val="center"/>
          </w:tcPr>
          <w:p w14:paraId="0736208C">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解释权及符号定义</w:t>
            </w:r>
          </w:p>
        </w:tc>
        <w:tc>
          <w:tcPr>
            <w:tcW w:w="3245" w:type="pct"/>
            <w:shd w:val="clear" w:color="auto" w:fill="auto"/>
            <w:vAlign w:val="center"/>
          </w:tcPr>
          <w:p w14:paraId="7BD0EF26">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1、解释权：</w:t>
            </w:r>
          </w:p>
          <w:p w14:paraId="3B6F4A64">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（1）构成本招标文件的各个组成文件应互为解释，互为说明；</w:t>
            </w:r>
          </w:p>
          <w:p w14:paraId="298B7158">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（2）同一组成文件中就同一事项的规定或约定不一致的，以编排顺序在后者为准；</w:t>
            </w:r>
          </w:p>
          <w:p w14:paraId="7B631179">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（3）如有不明确或不一致，构成合同文件组成内容的，以合同文件约定内容为准，且以专用合同条款约定的合同文件优先顺序解释；</w:t>
            </w:r>
          </w:p>
          <w:p w14:paraId="725E75EE">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（4）除招标文件中有特别规定外，仅适用于招标投标阶段的规定，按招标公告、投标邀请、投标人须知、评标方法和标准、投标文件格式的先后顺序解释；</w:t>
            </w:r>
          </w:p>
          <w:p w14:paraId="66803A3E">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（5）按本款前述规定仍不能形成结论的，由采购人负责解释。</w:t>
            </w:r>
          </w:p>
          <w:p w14:paraId="6A28B3B2">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2、符号定义</w:t>
            </w:r>
          </w:p>
          <w:p w14:paraId="30E42F29">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imes New Roman" w:hAnsi="Times New Roman" w:eastAsia="宋体" w:cs="Times New Roman"/>
                <w:b w:val="0"/>
                <w:bCs w:val="0"/>
                <w:sz w:val="24"/>
                <w:szCs w:val="24"/>
                <w:highlight w:val="none"/>
              </w:rPr>
              <w:t>招标文件中，适用于本项目的选项标记为“</w:t>
            </w:r>
            <w:r>
              <w:rPr>
                <w:rFonts w:hint="eastAsia" w:ascii="Times New Roman" w:hAnsi="Times New Roman" w:eastAsia="宋体" w:cs="Times New Roman"/>
                <w:b w:val="0"/>
                <w:bCs w:val="0"/>
                <w:sz w:val="24"/>
                <w:szCs w:val="24"/>
                <w:highlight w:val="none"/>
              </w:rPr>
              <w:sym w:font="Wingdings 2" w:char="0052"/>
            </w:r>
            <w:r>
              <w:rPr>
                <w:rFonts w:hint="eastAsia" w:ascii="Times New Roman" w:hAnsi="Times New Roman" w:eastAsia="宋体" w:cs="Times New Roman"/>
                <w:b w:val="0"/>
                <w:bCs w:val="0"/>
                <w:sz w:val="24"/>
                <w:szCs w:val="24"/>
                <w:highlight w:val="none"/>
              </w:rPr>
              <w:t>”，不适用于本项目的选项标记为“□”，空格中的“/”表示没有具体要求。</w:t>
            </w:r>
          </w:p>
        </w:tc>
      </w:tr>
      <w:tr w14:paraId="4CE45F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0EA45EE5">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32.4</w:t>
            </w:r>
          </w:p>
        </w:tc>
        <w:tc>
          <w:tcPr>
            <w:tcW w:w="1174" w:type="pct"/>
            <w:vAlign w:val="center"/>
          </w:tcPr>
          <w:p w14:paraId="00CA765F">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知识产权</w:t>
            </w:r>
          </w:p>
        </w:tc>
        <w:tc>
          <w:tcPr>
            <w:tcW w:w="3245" w:type="pct"/>
            <w:vAlign w:val="center"/>
          </w:tcPr>
          <w:p w14:paraId="1998B48B">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（1）构成本招标文件各个组成部分的文件，未经采购人书面同意，投标人不得擅自复印和用于非本招标项目所需的其他目的。如因此导致采购人损失的，投标人须承担全部赔偿责任。</w:t>
            </w:r>
          </w:p>
          <w:p w14:paraId="65DA131C">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2）采购人在中华人民共和国境内使用中标货物（服务）、资料、技术、服务或其任何一部分时，履行合同义务后，享有不受限制的无偿使用权，不会产生因第三方提出侵犯其专利权、商标权或其它知识产权而引起的法律或经济纠纷。如投标人不拥有相应的知识产权，则在投标报价中必须包括合法获取该知识产权的一切相关费用。如因此导致采购人损失的，投标人须承担全部赔偿责任。</w:t>
            </w:r>
          </w:p>
        </w:tc>
      </w:tr>
      <w:tr w14:paraId="468EB2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43FF4333">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32.5</w:t>
            </w:r>
          </w:p>
        </w:tc>
        <w:tc>
          <w:tcPr>
            <w:tcW w:w="1174" w:type="pct"/>
            <w:vAlign w:val="center"/>
          </w:tcPr>
          <w:p w14:paraId="71FF2B19">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投标专用章、业务专用章等效力规定</w:t>
            </w:r>
          </w:p>
        </w:tc>
        <w:tc>
          <w:tcPr>
            <w:tcW w:w="3245" w:type="pct"/>
            <w:vAlign w:val="center"/>
          </w:tcPr>
          <w:p w14:paraId="0AF5BDD0">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除招标文件中另有规定外，招标文件中明确要求并加盖投标人电子签章的，投标人必须加盖投标人公章电子签章。在有授权文件(原件)表明投标专用章、业务专用章等法律效力等同于投标人公章的情况下，可以加盖投标专用章或业务专用章，否则将导致投标无效。</w:t>
            </w:r>
          </w:p>
        </w:tc>
      </w:tr>
      <w:tr w14:paraId="23955C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580" w:type="pct"/>
            <w:vAlign w:val="center"/>
          </w:tcPr>
          <w:p w14:paraId="6573F882">
            <w:pPr>
              <w:pStyle w:val="38"/>
              <w:pBdr>
                <w:bottom w:val="none" w:color="auto" w:sz="0" w:space="0"/>
              </w:pBdr>
              <w:shd w:val="clear"/>
              <w:tabs>
                <w:tab w:val="clear" w:pos="4153"/>
                <w:tab w:val="clear" w:pos="8306"/>
              </w:tabs>
              <w:adjustRightInd/>
              <w:spacing w:line="240" w:lineRule="auto"/>
              <w:textAlignment w:val="auto"/>
              <w:rPr>
                <w:rFonts w:ascii="宋体" w:hAnsi="宋体" w:eastAsia="宋体"/>
                <w:bCs/>
                <w:kern w:val="2"/>
                <w:highlight w:val="none"/>
              </w:rPr>
            </w:pPr>
            <w:r>
              <w:rPr>
                <w:rFonts w:hint="eastAsia" w:ascii="宋体" w:hAnsi="宋体" w:eastAsia="宋体"/>
                <w:bCs/>
                <w:kern w:val="2"/>
                <w:highlight w:val="none"/>
              </w:rPr>
              <w:t>32.6</w:t>
            </w:r>
          </w:p>
        </w:tc>
        <w:tc>
          <w:tcPr>
            <w:tcW w:w="1174" w:type="pct"/>
            <w:vAlign w:val="center"/>
          </w:tcPr>
          <w:p w14:paraId="6DC571D9">
            <w:pPr>
              <w:pStyle w:val="37"/>
              <w:widowControl w:val="0"/>
              <w:shd w:val="clear"/>
              <w:spacing w:before="0" w:beforeAutospacing="0" w:after="0" w:afterAutospacing="0" w:line="360" w:lineRule="auto"/>
              <w:jc w:val="both"/>
              <w:rPr>
                <w:rFonts w:ascii="宋体" w:hAnsi="宋体" w:eastAsia="宋体"/>
                <w:b w:val="0"/>
                <w:sz w:val="24"/>
                <w:highlight w:val="none"/>
              </w:rPr>
            </w:pPr>
            <w:r>
              <w:rPr>
                <w:rFonts w:hint="eastAsia" w:ascii="宋体" w:hAnsi="宋体" w:eastAsia="宋体"/>
                <w:b w:val="0"/>
                <w:sz w:val="24"/>
                <w:highlight w:val="none"/>
              </w:rPr>
              <w:t>其他补充说明</w:t>
            </w:r>
          </w:p>
        </w:tc>
        <w:tc>
          <w:tcPr>
            <w:tcW w:w="3245" w:type="pct"/>
            <w:vAlign w:val="center"/>
          </w:tcPr>
          <w:p w14:paraId="6450F6F1">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1、“政采贷”融资指引：有融资需求的中标人在取得政府采购中标或成交通知书后，可访问安徽省政府采购网“政采贷”栏目，查看和联系第三方平台或者金融机构，商洽融资事项，确定融资意向。中标人签署政府采购中标（成交）合同后，登录“徽采云”金融服务模块，选择意向产品进行申请，并填写相关信息，“徽采云”金融服务模块将中标人融资申请信息推送第三方平台、意向金融机构。</w:t>
            </w:r>
          </w:p>
          <w:p w14:paraId="311CE30D">
            <w:pPr>
              <w:pStyle w:val="37"/>
              <w:widowControl w:val="0"/>
              <w:shd w:val="clear"/>
              <w:spacing w:before="0" w:beforeAutospacing="0" w:after="0" w:afterAutospacing="0" w:line="360" w:lineRule="auto"/>
              <w:jc w:val="both"/>
              <w:rPr>
                <w:rFonts w:asciiTheme="minorEastAsia" w:hAnsiTheme="minorEastAsia" w:eastAsiaTheme="minorEastAsia"/>
                <w:b w:val="0"/>
                <w:kern w:val="2"/>
                <w:sz w:val="24"/>
                <w:szCs w:val="24"/>
                <w:highlight w:val="none"/>
              </w:rPr>
            </w:pPr>
            <w:r>
              <w:rPr>
                <w:rFonts w:hint="eastAsia" w:asciiTheme="minorEastAsia" w:hAnsiTheme="minorEastAsia" w:eastAsiaTheme="minorEastAsia"/>
                <w:b w:val="0"/>
                <w:kern w:val="2"/>
                <w:sz w:val="24"/>
                <w:szCs w:val="24"/>
                <w:highlight w:val="none"/>
              </w:rPr>
              <w:t>2、电子保函指引：中标人可访问安徽省政府采购网“融资/保函”栏目，申请办理电子保函（包括：履约保函、预付款保函）。</w:t>
            </w:r>
          </w:p>
        </w:tc>
      </w:tr>
    </w:tbl>
    <w:p w14:paraId="5DC4CF9D">
      <w:pPr>
        <w:shd w:val="clear"/>
        <w:spacing w:line="360" w:lineRule="auto"/>
        <w:jc w:val="center"/>
        <w:outlineLvl w:val="1"/>
        <w:rPr>
          <w:rFonts w:asciiTheme="minorEastAsia" w:hAnsiTheme="minorEastAsia" w:eastAsiaTheme="minorEastAsia"/>
          <w:b/>
          <w:sz w:val="24"/>
          <w:highlight w:val="none"/>
        </w:rPr>
      </w:pPr>
      <w:r>
        <w:rPr>
          <w:rFonts w:asciiTheme="minorEastAsia" w:hAnsiTheme="minorEastAsia" w:eastAsiaTheme="minorEastAsia"/>
          <w:b/>
          <w:sz w:val="28"/>
          <w:highlight w:val="none"/>
        </w:rPr>
        <w:br w:type="page"/>
      </w:r>
      <w:bookmarkStart w:id="61" w:name="_Toc14880"/>
      <w:bookmarkStart w:id="62" w:name="_Toc24882"/>
      <w:r>
        <w:rPr>
          <w:rFonts w:hint="eastAsia" w:asciiTheme="minorEastAsia" w:hAnsiTheme="minorEastAsia" w:eastAsiaTheme="minorEastAsia"/>
          <w:b/>
          <w:sz w:val="24"/>
          <w:szCs w:val="24"/>
          <w:highlight w:val="none"/>
        </w:rPr>
        <w:t>二、</w:t>
      </w:r>
      <w:r>
        <w:rPr>
          <w:rFonts w:asciiTheme="minorEastAsia" w:hAnsiTheme="minorEastAsia" w:eastAsiaTheme="minorEastAsia"/>
          <w:b/>
          <w:sz w:val="24"/>
          <w:szCs w:val="24"/>
          <w:highlight w:val="none"/>
        </w:rPr>
        <w:t>投标人须知</w:t>
      </w:r>
      <w:r>
        <w:rPr>
          <w:rFonts w:hint="eastAsia" w:asciiTheme="minorEastAsia" w:hAnsiTheme="minorEastAsia" w:eastAsiaTheme="minorEastAsia"/>
          <w:b/>
          <w:sz w:val="24"/>
          <w:szCs w:val="24"/>
          <w:highlight w:val="none"/>
        </w:rPr>
        <w:t>正文</w:t>
      </w:r>
      <w:bookmarkEnd w:id="61"/>
      <w:bookmarkEnd w:id="62"/>
    </w:p>
    <w:p w14:paraId="1BF44B3B">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1.采购人、采购代理机构及投标人</w:t>
      </w:r>
    </w:p>
    <w:p w14:paraId="6447FD29">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.1采购人：是指依法开展政府采购活动的国家机关、事业单位、团体组织。</w:t>
      </w:r>
    </w:p>
    <w:p w14:paraId="45B9DC96">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.2采购代理机构：是指集中采购机构或从事采购代理业务的社会中介机构。</w:t>
      </w:r>
    </w:p>
    <w:p w14:paraId="5422A997">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.3政府采购监督管理部门：</w:t>
      </w:r>
      <w:r>
        <w:rPr>
          <w:rFonts w:hint="eastAsia" w:ascii="宋体" w:hAnsi="宋体" w:eastAsia="宋体"/>
          <w:sz w:val="24"/>
          <w:highlight w:val="none"/>
        </w:rPr>
        <w:t>各级人民政府指定的有关部门依法履行与政府采购活动有关的监督管理职责。</w:t>
      </w:r>
    </w:p>
    <w:p w14:paraId="174AD00D">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.4投标人：是指向采购人提供货物、工程或者服务的法人、</w:t>
      </w:r>
      <w:r>
        <w:rPr>
          <w:rFonts w:hint="eastAsia" w:ascii="宋体" w:hAnsi="宋体" w:eastAsia="宋体"/>
          <w:sz w:val="24"/>
          <w:highlight w:val="none"/>
        </w:rPr>
        <w:t>其他</w:t>
      </w:r>
      <w:r>
        <w:rPr>
          <w:rFonts w:ascii="宋体" w:hAnsi="宋体" w:eastAsia="宋体"/>
          <w:sz w:val="24"/>
          <w:highlight w:val="none"/>
        </w:rPr>
        <w:t>组织或者自然人。</w:t>
      </w:r>
      <w:r>
        <w:rPr>
          <w:rFonts w:hint="eastAsia" w:ascii="宋体" w:hAnsi="宋体" w:eastAsia="宋体"/>
          <w:sz w:val="24"/>
          <w:highlight w:val="none"/>
        </w:rPr>
        <w:t>分支机构不得参加政府采购活动，但银行、保险、石油石化、电力、电信等特殊行业除外。</w:t>
      </w:r>
      <w:r>
        <w:rPr>
          <w:rFonts w:ascii="宋体" w:hAnsi="宋体" w:eastAsia="宋体"/>
          <w:sz w:val="24"/>
          <w:highlight w:val="none"/>
        </w:rPr>
        <w:t>本项目的投标人须满足以下条件：</w:t>
      </w:r>
    </w:p>
    <w:p w14:paraId="7EB5FA6F">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4.</w:t>
      </w:r>
      <w:r>
        <w:rPr>
          <w:rFonts w:hint="eastAsia" w:ascii="宋体" w:hAnsi="宋体" w:eastAsia="宋体"/>
          <w:sz w:val="24"/>
          <w:highlight w:val="none"/>
        </w:rPr>
        <w:t>1</w:t>
      </w:r>
      <w:r>
        <w:rPr>
          <w:rFonts w:ascii="宋体" w:hAnsi="宋体" w:eastAsia="宋体"/>
          <w:sz w:val="24"/>
          <w:highlight w:val="none"/>
        </w:rPr>
        <w:t>具备《中华人民共和国政府采购法》第二十二条关于供应商条件的规定，遵守本项目采购人本级和上级财政部门政府采购的有关规定。</w:t>
      </w:r>
    </w:p>
    <w:p w14:paraId="2D5D32B2">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4.</w:t>
      </w:r>
      <w:r>
        <w:rPr>
          <w:rFonts w:hint="eastAsia" w:ascii="宋体" w:hAnsi="宋体" w:eastAsia="宋体"/>
          <w:sz w:val="24"/>
          <w:highlight w:val="none"/>
        </w:rPr>
        <w:t>2</w:t>
      </w:r>
      <w:r>
        <w:rPr>
          <w:rFonts w:ascii="宋体" w:hAnsi="宋体" w:eastAsia="宋体"/>
          <w:sz w:val="24"/>
          <w:highlight w:val="none"/>
        </w:rPr>
        <w:t>以采购代理机构认可的方式获得了本项目的招标文件。</w:t>
      </w:r>
    </w:p>
    <w:p w14:paraId="348DA657">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4.</w:t>
      </w:r>
      <w:r>
        <w:rPr>
          <w:rFonts w:hint="eastAsia" w:ascii="宋体" w:hAnsi="宋体" w:eastAsia="宋体"/>
          <w:sz w:val="24"/>
          <w:highlight w:val="none"/>
        </w:rPr>
        <w:t>3</w:t>
      </w:r>
      <w:r>
        <w:rPr>
          <w:rFonts w:ascii="宋体" w:hAnsi="宋体" w:eastAsia="宋体"/>
          <w:sz w:val="24"/>
          <w:highlight w:val="none"/>
        </w:rPr>
        <w:t>若</w:t>
      </w:r>
      <w:r>
        <w:rPr>
          <w:rFonts w:hint="eastAsia" w:ascii="宋体" w:hAnsi="宋体" w:eastAsia="宋体"/>
          <w:sz w:val="24"/>
          <w:highlight w:val="none"/>
        </w:rPr>
        <w:t>采购需求</w:t>
      </w:r>
      <w:r>
        <w:rPr>
          <w:rFonts w:ascii="宋体" w:hAnsi="宋体" w:eastAsia="宋体"/>
          <w:sz w:val="24"/>
          <w:highlight w:val="none"/>
        </w:rPr>
        <w:t>中写明允许采购进口产品，投标人应保证所投产品可履行合法报通关手续进入中国关境内。</w:t>
      </w:r>
    </w:p>
    <w:p w14:paraId="59D57FEE">
      <w:pPr>
        <w:shd w:val="clear"/>
        <w:spacing w:line="360" w:lineRule="auto"/>
        <w:ind w:firstLine="435"/>
        <w:rPr>
          <w:rFonts w:ascii="宋体" w:hAnsi="宋体" w:eastAsia="宋体"/>
          <w:sz w:val="24"/>
          <w:highlight w:val="none"/>
        </w:rPr>
      </w:pPr>
      <w:r>
        <w:rPr>
          <w:rFonts w:hint="eastAsia" w:ascii="宋体" w:hAnsi="宋体" w:eastAsia="宋体"/>
          <w:sz w:val="24"/>
          <w:highlight w:val="none"/>
        </w:rPr>
        <w:t>若采购需求中未写明允许采购进口产品，如投标人所投产品为进口产品，其投标将被认定为</w:t>
      </w:r>
      <w:r>
        <w:rPr>
          <w:rFonts w:hint="eastAsia" w:ascii="宋体" w:hAnsi="宋体" w:eastAsia="宋体"/>
          <w:b/>
          <w:sz w:val="24"/>
          <w:highlight w:val="none"/>
        </w:rPr>
        <w:t>投标无效</w:t>
      </w:r>
      <w:r>
        <w:rPr>
          <w:rFonts w:hint="eastAsia" w:ascii="宋体" w:hAnsi="宋体" w:eastAsia="宋体"/>
          <w:sz w:val="24"/>
          <w:highlight w:val="none"/>
        </w:rPr>
        <w:t>。</w:t>
      </w:r>
    </w:p>
    <w:p w14:paraId="7543ADCC">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w:t>
      </w:r>
      <w:r>
        <w:rPr>
          <w:rFonts w:hint="eastAsia" w:ascii="宋体" w:hAnsi="宋体" w:eastAsia="宋体"/>
          <w:sz w:val="24"/>
          <w:highlight w:val="none"/>
        </w:rPr>
        <w:t>若招标公告</w:t>
      </w:r>
      <w:r>
        <w:rPr>
          <w:rFonts w:ascii="宋体" w:hAnsi="宋体" w:eastAsia="宋体"/>
          <w:sz w:val="24"/>
          <w:highlight w:val="none"/>
        </w:rPr>
        <w:t>中允许联合体投标，对联合体规定如下：</w:t>
      </w:r>
    </w:p>
    <w:p w14:paraId="48AB86BF">
      <w:pPr>
        <w:shd w:val="clear"/>
        <w:spacing w:line="360" w:lineRule="auto"/>
        <w:ind w:firstLine="480" w:firstLineChars="200"/>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5.1两个以上供应商可以组成一个投标联合体，以一个投标人的身份投标。联合体投标的，</w:t>
      </w:r>
      <w:r>
        <w:rPr>
          <w:rFonts w:hint="eastAsia" w:ascii="宋体" w:hAnsi="宋体" w:eastAsia="宋体"/>
          <w:sz w:val="24"/>
          <w:highlight w:val="none"/>
        </w:rPr>
        <w:t>招标文件获取</w:t>
      </w:r>
      <w:r>
        <w:rPr>
          <w:rFonts w:ascii="宋体" w:hAnsi="宋体" w:eastAsia="宋体"/>
          <w:sz w:val="24"/>
          <w:highlight w:val="none"/>
        </w:rPr>
        <w:t>手续由联合体</w:t>
      </w:r>
      <w:r>
        <w:rPr>
          <w:rFonts w:hint="eastAsia" w:ascii="宋体" w:hAnsi="宋体" w:eastAsia="宋体"/>
          <w:sz w:val="24"/>
          <w:highlight w:val="none"/>
        </w:rPr>
        <w:t>中</w:t>
      </w:r>
      <w:r>
        <w:rPr>
          <w:rFonts w:ascii="宋体" w:hAnsi="宋体" w:eastAsia="宋体"/>
          <w:sz w:val="24"/>
          <w:highlight w:val="none"/>
        </w:rPr>
        <w:t>任</w:t>
      </w:r>
      <w:r>
        <w:rPr>
          <w:rFonts w:hint="eastAsia" w:ascii="宋体" w:hAnsi="宋体" w:eastAsia="宋体"/>
          <w:sz w:val="24"/>
          <w:highlight w:val="none"/>
        </w:rPr>
        <w:t>一成员单位</w:t>
      </w:r>
      <w:r>
        <w:rPr>
          <w:rFonts w:ascii="宋体" w:hAnsi="宋体" w:eastAsia="宋体"/>
          <w:sz w:val="24"/>
          <w:highlight w:val="none"/>
        </w:rPr>
        <w:t>办理均可。</w:t>
      </w:r>
    </w:p>
    <w:p w14:paraId="0D5552E9">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5.2联合体各方均应符合《中华人民共和国政府采购法》第二十二条规定的条件。</w:t>
      </w:r>
    </w:p>
    <w:p w14:paraId="3AC83EF1">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5.3采购人根据采购项目对投标人的特殊要求，联合体中至少应当有一方符合相关规定。</w:t>
      </w:r>
    </w:p>
    <w:p w14:paraId="6CBBC589">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5.4联合体各方应签订</w:t>
      </w:r>
      <w:r>
        <w:rPr>
          <w:rFonts w:hint="eastAsia" w:ascii="宋体" w:hAnsi="宋体" w:eastAsia="宋体"/>
          <w:sz w:val="24"/>
          <w:highlight w:val="none"/>
        </w:rPr>
        <w:t>联合协议</w:t>
      </w:r>
      <w:r>
        <w:rPr>
          <w:rFonts w:ascii="宋体" w:hAnsi="宋体" w:eastAsia="宋体"/>
          <w:sz w:val="24"/>
          <w:highlight w:val="none"/>
        </w:rPr>
        <w:t>，明确约定联合体各方承担的工作和相应的责任，并将</w:t>
      </w:r>
      <w:r>
        <w:rPr>
          <w:rFonts w:hint="eastAsia" w:ascii="宋体" w:hAnsi="宋体" w:eastAsia="宋体"/>
          <w:sz w:val="24"/>
          <w:highlight w:val="none"/>
        </w:rPr>
        <w:t>联合协议</w:t>
      </w:r>
      <w:r>
        <w:rPr>
          <w:rFonts w:ascii="宋体" w:hAnsi="宋体" w:eastAsia="宋体"/>
          <w:sz w:val="24"/>
          <w:highlight w:val="none"/>
        </w:rPr>
        <w:t>作为投标文件</w:t>
      </w:r>
      <w:r>
        <w:rPr>
          <w:rFonts w:hint="eastAsia" w:ascii="宋体" w:hAnsi="宋体" w:eastAsia="宋体"/>
          <w:sz w:val="24"/>
          <w:highlight w:val="none"/>
        </w:rPr>
        <w:t>的</w:t>
      </w:r>
      <w:r>
        <w:rPr>
          <w:rFonts w:ascii="宋体" w:hAnsi="宋体" w:eastAsia="宋体"/>
          <w:sz w:val="24"/>
          <w:highlight w:val="none"/>
        </w:rPr>
        <w:t>一部分提交。</w:t>
      </w:r>
    </w:p>
    <w:p w14:paraId="44326D0B">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5.5大中型企业、其他自然人、法人或者非法人组织与小型、微型企业组成联合体共同参加投标，</w:t>
      </w:r>
      <w:r>
        <w:rPr>
          <w:rFonts w:hint="eastAsia" w:ascii="宋体" w:hAnsi="宋体" w:eastAsia="宋体"/>
          <w:sz w:val="24"/>
          <w:highlight w:val="none"/>
        </w:rPr>
        <w:t>联合协议中</w:t>
      </w:r>
      <w:r>
        <w:rPr>
          <w:rFonts w:ascii="宋体" w:hAnsi="宋体" w:eastAsia="宋体"/>
          <w:sz w:val="24"/>
          <w:highlight w:val="none"/>
        </w:rPr>
        <w:t>应写明小型、微型企业的协议合同金额占到</w:t>
      </w:r>
      <w:r>
        <w:rPr>
          <w:rFonts w:hint="eastAsia" w:ascii="宋体" w:hAnsi="宋体" w:eastAsia="宋体"/>
          <w:sz w:val="24"/>
          <w:highlight w:val="none"/>
        </w:rPr>
        <w:t>联合协议</w:t>
      </w:r>
      <w:r>
        <w:rPr>
          <w:rFonts w:ascii="宋体" w:hAnsi="宋体" w:eastAsia="宋体"/>
          <w:sz w:val="24"/>
          <w:highlight w:val="none"/>
        </w:rPr>
        <w:t>投标总金额的比例。</w:t>
      </w:r>
    </w:p>
    <w:p w14:paraId="65024E85">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5.6</w:t>
      </w:r>
      <w:r>
        <w:rPr>
          <w:rFonts w:hint="eastAsia" w:ascii="宋体" w:hAnsi="宋体" w:eastAsia="宋体"/>
          <w:sz w:val="24"/>
          <w:highlight w:val="none"/>
        </w:rPr>
        <w:t>联合体中有同类资质的供应商按照联合体分工承担相同工作的，</w:t>
      </w:r>
      <w:r>
        <w:rPr>
          <w:rFonts w:ascii="宋体" w:hAnsi="宋体" w:eastAsia="宋体"/>
          <w:sz w:val="24"/>
          <w:highlight w:val="none"/>
        </w:rPr>
        <w:t>应当按照</w:t>
      </w:r>
      <w:r>
        <w:rPr>
          <w:rFonts w:hint="eastAsia" w:ascii="宋体" w:hAnsi="宋体" w:eastAsia="宋体"/>
          <w:sz w:val="24"/>
          <w:highlight w:val="none"/>
        </w:rPr>
        <w:t>资质等级较低的供应商确定资质等级。</w:t>
      </w:r>
    </w:p>
    <w:p w14:paraId="3F3C4914">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5.7以联合体形式参加政府采购活动的，联合体各方不得再单独参加或者与其他供应商另外组成联合体参加本项目投标，否则相关投标将被认定为</w:t>
      </w:r>
      <w:r>
        <w:rPr>
          <w:rFonts w:ascii="宋体" w:hAnsi="宋体" w:eastAsia="宋体"/>
          <w:b/>
          <w:sz w:val="24"/>
          <w:highlight w:val="none"/>
        </w:rPr>
        <w:t>投标无效</w:t>
      </w:r>
      <w:r>
        <w:rPr>
          <w:rFonts w:ascii="宋体" w:hAnsi="宋体" w:eastAsia="宋体"/>
          <w:sz w:val="24"/>
          <w:highlight w:val="none"/>
        </w:rPr>
        <w:t>。</w:t>
      </w:r>
    </w:p>
    <w:p w14:paraId="66A5B6E4">
      <w:pPr>
        <w:shd w:val="clear"/>
        <w:spacing w:line="360" w:lineRule="auto"/>
        <w:ind w:firstLine="435"/>
        <w:rPr>
          <w:rFonts w:ascii="宋体" w:hAnsi="宋体" w:eastAsia="宋体"/>
          <w:sz w:val="24"/>
          <w:highlight w:val="none"/>
        </w:rPr>
      </w:pPr>
      <w:r>
        <w:rPr>
          <w:rFonts w:hint="eastAsia" w:ascii="宋体" w:hAnsi="宋体" w:eastAsia="宋体"/>
          <w:sz w:val="24"/>
          <w:highlight w:val="none"/>
        </w:rPr>
        <w:t>1.</w:t>
      </w:r>
      <w:r>
        <w:rPr>
          <w:rFonts w:ascii="宋体" w:hAnsi="宋体" w:eastAsia="宋体"/>
          <w:sz w:val="24"/>
          <w:highlight w:val="none"/>
        </w:rPr>
        <w:t>5.8对联合体投标的其他资格要求见</w:t>
      </w:r>
      <w:r>
        <w:rPr>
          <w:rFonts w:hint="eastAsia" w:ascii="宋体" w:hAnsi="宋体" w:eastAsia="宋体"/>
          <w:sz w:val="24"/>
          <w:highlight w:val="none"/>
        </w:rPr>
        <w:t>申请人的资格要求</w:t>
      </w:r>
      <w:r>
        <w:rPr>
          <w:rFonts w:ascii="宋体" w:hAnsi="宋体" w:eastAsia="宋体"/>
          <w:sz w:val="24"/>
          <w:highlight w:val="none"/>
        </w:rPr>
        <w:t>。</w:t>
      </w:r>
    </w:p>
    <w:p w14:paraId="3AF83CAD">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2.资金落实情况</w:t>
      </w:r>
    </w:p>
    <w:p w14:paraId="21683B07">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本</w:t>
      </w:r>
      <w:r>
        <w:rPr>
          <w:rFonts w:hint="eastAsia" w:ascii="宋体" w:hAnsi="宋体" w:eastAsia="宋体"/>
          <w:sz w:val="24"/>
          <w:highlight w:val="none"/>
        </w:rPr>
        <w:t>项目</w:t>
      </w:r>
      <w:r>
        <w:rPr>
          <w:rFonts w:hint="eastAsia" w:asciiTheme="minorEastAsia" w:hAnsiTheme="minorEastAsia" w:eastAsiaTheme="minorEastAsia"/>
          <w:sz w:val="24"/>
          <w:highlight w:val="none"/>
        </w:rPr>
        <w:t>的采购人已获得足以支付本次招标后所签订的合同项下的资金。</w:t>
      </w:r>
    </w:p>
    <w:p w14:paraId="5ABFDD1D">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3.投标费用</w:t>
      </w:r>
    </w:p>
    <w:p w14:paraId="70F1B947">
      <w:pPr>
        <w:shd w:val="clear"/>
        <w:spacing w:line="360" w:lineRule="auto"/>
        <w:ind w:firstLine="435"/>
        <w:rPr>
          <w:rFonts w:ascii="宋体" w:hAnsi="宋体" w:eastAsia="宋体"/>
          <w:sz w:val="24"/>
          <w:highlight w:val="none"/>
        </w:rPr>
      </w:pPr>
      <w:r>
        <w:rPr>
          <w:rFonts w:hint="eastAsia" w:ascii="宋体" w:hAnsi="宋体" w:eastAsia="宋体"/>
          <w:sz w:val="24"/>
          <w:highlight w:val="none"/>
        </w:rPr>
        <w:t>不论投标的结果如何，投标人应承担所有与准备和参加投标有关的费用。</w:t>
      </w:r>
    </w:p>
    <w:p w14:paraId="1833B6B2">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4.适用法律</w:t>
      </w:r>
    </w:p>
    <w:p w14:paraId="3CBE5DC4">
      <w:pPr>
        <w:shd w:val="clear"/>
        <w:spacing w:line="360" w:lineRule="auto"/>
        <w:ind w:firstLine="435"/>
        <w:rPr>
          <w:rFonts w:asciiTheme="minorEastAsia" w:hAnsiTheme="minorEastAsia" w:eastAsiaTheme="minorEastAsia"/>
          <w:b/>
          <w:sz w:val="24"/>
          <w:highlight w:val="none"/>
        </w:rPr>
      </w:pPr>
      <w:r>
        <w:rPr>
          <w:rFonts w:hint="eastAsia" w:ascii="宋体" w:hAnsi="宋体" w:eastAsia="宋体"/>
          <w:sz w:val="24"/>
          <w:highlight w:val="none"/>
        </w:rPr>
        <w:t>本项目采购人、采购代理机构、投标人、评标委员会的相关行为均受《中华人民共和国政府采购法》、《中华人民共和国政府采购法实施条例》及本项目本级和上级财政部门、政府采购监督管理部门的政府采购有关规定的约束，其权利受到上述法律法规的保护。</w:t>
      </w:r>
    </w:p>
    <w:p w14:paraId="6751937E">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5.招标文件构成</w:t>
      </w:r>
    </w:p>
    <w:p w14:paraId="0778BD52">
      <w:pPr>
        <w:shd w:val="clear"/>
        <w:spacing w:line="360" w:lineRule="auto"/>
        <w:ind w:firstLine="435"/>
        <w:rPr>
          <w:rFonts w:ascii="宋体" w:hAnsi="宋体" w:eastAsia="宋体"/>
          <w:sz w:val="24"/>
          <w:highlight w:val="none"/>
        </w:rPr>
      </w:pPr>
      <w:r>
        <w:rPr>
          <w:rFonts w:hint="eastAsia" w:ascii="宋体" w:hAnsi="宋体" w:eastAsia="宋体"/>
          <w:sz w:val="24"/>
          <w:highlight w:val="none"/>
        </w:rPr>
        <w:t>5.1招标文件包括下列内容：</w:t>
      </w:r>
    </w:p>
    <w:p w14:paraId="4BA1FAD3">
      <w:pPr>
        <w:shd w:val="clear"/>
        <w:spacing w:line="360" w:lineRule="auto"/>
        <w:ind w:firstLine="840" w:firstLineChars="3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第一章</w:t>
      </w:r>
      <w:r>
        <w:rPr>
          <w:rFonts w:asciiTheme="minorEastAsia" w:hAnsiTheme="minorEastAsia" w:eastAsiaTheme="minorEastAsia"/>
          <w:sz w:val="24"/>
          <w:highlight w:val="none"/>
        </w:rPr>
        <w:t xml:space="preserve">  投标邀请</w:t>
      </w:r>
    </w:p>
    <w:p w14:paraId="5DE63B80">
      <w:pPr>
        <w:shd w:val="clear"/>
        <w:spacing w:line="360" w:lineRule="auto"/>
        <w:ind w:firstLine="840" w:firstLineChars="3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第二章</w:t>
      </w:r>
      <w:r>
        <w:rPr>
          <w:rFonts w:asciiTheme="minorEastAsia" w:hAnsiTheme="minorEastAsia" w:eastAsiaTheme="minorEastAsia"/>
          <w:sz w:val="24"/>
          <w:highlight w:val="none"/>
        </w:rPr>
        <w:t xml:space="preserve">  投标人须知</w:t>
      </w:r>
    </w:p>
    <w:p w14:paraId="6F799221">
      <w:pPr>
        <w:shd w:val="clear"/>
        <w:spacing w:line="360" w:lineRule="auto"/>
        <w:ind w:firstLine="840" w:firstLineChars="3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第三章</w:t>
      </w:r>
      <w:r>
        <w:rPr>
          <w:rFonts w:asciiTheme="minorEastAsia" w:hAnsiTheme="minorEastAsia" w:eastAsiaTheme="minorEastAsia"/>
          <w:sz w:val="24"/>
          <w:highlight w:val="none"/>
        </w:rPr>
        <w:t xml:space="preserve">  采购需求</w:t>
      </w:r>
    </w:p>
    <w:p w14:paraId="1038F698">
      <w:pPr>
        <w:shd w:val="clear"/>
        <w:spacing w:line="360" w:lineRule="auto"/>
        <w:ind w:firstLine="840" w:firstLineChars="3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第四章</w:t>
      </w:r>
      <w:r>
        <w:rPr>
          <w:rFonts w:asciiTheme="minorEastAsia" w:hAnsiTheme="minorEastAsia" w:eastAsiaTheme="minorEastAsia"/>
          <w:sz w:val="24"/>
          <w:highlight w:val="none"/>
        </w:rPr>
        <w:t xml:space="preserve">  评标</w:t>
      </w:r>
      <w:r>
        <w:rPr>
          <w:rFonts w:hint="eastAsia" w:asciiTheme="minorEastAsia" w:hAnsiTheme="minorEastAsia" w:eastAsiaTheme="minorEastAsia"/>
          <w:sz w:val="24"/>
          <w:highlight w:val="none"/>
        </w:rPr>
        <w:t>方法</w:t>
      </w:r>
      <w:r>
        <w:rPr>
          <w:rFonts w:asciiTheme="minorEastAsia" w:hAnsiTheme="minorEastAsia" w:eastAsiaTheme="minorEastAsia"/>
          <w:sz w:val="24"/>
          <w:highlight w:val="none"/>
        </w:rPr>
        <w:t>和标准</w:t>
      </w:r>
    </w:p>
    <w:p w14:paraId="01F50D0F">
      <w:pPr>
        <w:shd w:val="clear"/>
        <w:spacing w:line="360" w:lineRule="auto"/>
        <w:ind w:firstLine="840" w:firstLineChars="3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第五章</w:t>
      </w:r>
      <w:r>
        <w:rPr>
          <w:rFonts w:asciiTheme="minorEastAsia" w:hAnsiTheme="minorEastAsia" w:eastAsiaTheme="minorEastAsia"/>
          <w:sz w:val="24"/>
          <w:highlight w:val="none"/>
        </w:rPr>
        <w:t xml:space="preserve">  政府采购合同</w:t>
      </w:r>
    </w:p>
    <w:p w14:paraId="0AE12362">
      <w:pPr>
        <w:shd w:val="clear"/>
        <w:spacing w:line="360" w:lineRule="auto"/>
        <w:ind w:firstLine="840" w:firstLineChars="3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第六章</w:t>
      </w:r>
      <w:r>
        <w:rPr>
          <w:rFonts w:asciiTheme="minorEastAsia" w:hAnsiTheme="minorEastAsia" w:eastAsiaTheme="minorEastAsia"/>
          <w:sz w:val="24"/>
          <w:highlight w:val="none"/>
        </w:rPr>
        <w:t xml:space="preserve">  投标文件格式</w:t>
      </w:r>
    </w:p>
    <w:p w14:paraId="626B4731">
      <w:pPr>
        <w:shd w:val="clear"/>
        <w:spacing w:line="360" w:lineRule="auto"/>
        <w:ind w:firstLine="840" w:firstLineChars="3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第七章</w:t>
      </w:r>
      <w:r>
        <w:rPr>
          <w:rFonts w:asciiTheme="minorEastAsia" w:hAnsiTheme="minorEastAsia" w:eastAsiaTheme="minorEastAsia"/>
          <w:sz w:val="24"/>
          <w:highlight w:val="none"/>
        </w:rPr>
        <w:t xml:space="preserve">  政府采购</w:t>
      </w:r>
      <w:r>
        <w:rPr>
          <w:rFonts w:hint="eastAsia" w:asciiTheme="minorEastAsia" w:hAnsiTheme="minorEastAsia" w:eastAsiaTheme="minorEastAsia"/>
          <w:sz w:val="24"/>
          <w:highlight w:val="none"/>
        </w:rPr>
        <w:t>询问函和</w:t>
      </w:r>
      <w:r>
        <w:rPr>
          <w:rFonts w:asciiTheme="minorEastAsia" w:hAnsiTheme="minorEastAsia" w:eastAsiaTheme="minorEastAsia"/>
          <w:sz w:val="24"/>
          <w:highlight w:val="none"/>
        </w:rPr>
        <w:t>质疑函范本</w:t>
      </w:r>
    </w:p>
    <w:p w14:paraId="6F1B6A69">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现场</w:t>
      </w:r>
      <w:r>
        <w:rPr>
          <w:rFonts w:hint="eastAsia" w:asciiTheme="minorEastAsia" w:hAnsiTheme="minorEastAsia" w:eastAsiaTheme="minorEastAsia"/>
          <w:sz w:val="24"/>
          <w:highlight w:val="none"/>
        </w:rPr>
        <w:t>考察（标前答疑会）</w:t>
      </w:r>
      <w:r>
        <w:rPr>
          <w:rFonts w:asciiTheme="minorEastAsia" w:hAnsiTheme="minorEastAsia" w:eastAsiaTheme="minorEastAsia"/>
          <w:sz w:val="24"/>
          <w:highlight w:val="none"/>
        </w:rPr>
        <w:t>及相关事项见</w:t>
      </w:r>
      <w:r>
        <w:rPr>
          <w:rFonts w:asciiTheme="minorEastAsia" w:hAnsiTheme="minorEastAsia" w:eastAsiaTheme="minorEastAsia"/>
          <w:sz w:val="24"/>
          <w:highlight w:val="none"/>
          <w:u w:val="single"/>
        </w:rPr>
        <w:t>投标</w:t>
      </w:r>
      <w:r>
        <w:rPr>
          <w:rFonts w:hint="eastAsia" w:asciiTheme="minorEastAsia" w:hAnsiTheme="minorEastAsia" w:eastAsiaTheme="minorEastAsia"/>
          <w:sz w:val="24"/>
          <w:highlight w:val="none"/>
          <w:u w:val="single"/>
        </w:rPr>
        <w:t>人</w:t>
      </w:r>
      <w:r>
        <w:rPr>
          <w:rFonts w:asciiTheme="minorEastAsia" w:hAnsiTheme="minorEastAsia" w:eastAsiaTheme="minorEastAsia"/>
          <w:sz w:val="24"/>
          <w:highlight w:val="none"/>
          <w:u w:val="single"/>
        </w:rPr>
        <w:t>须知前附表</w:t>
      </w:r>
      <w:r>
        <w:rPr>
          <w:rFonts w:asciiTheme="minorEastAsia" w:hAnsiTheme="minorEastAsia" w:eastAsiaTheme="minorEastAsia"/>
          <w:sz w:val="24"/>
          <w:highlight w:val="none"/>
        </w:rPr>
        <w:t>。</w:t>
      </w:r>
    </w:p>
    <w:p w14:paraId="22F13DC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3</w:t>
      </w:r>
      <w:r>
        <w:rPr>
          <w:rFonts w:asciiTheme="minorEastAsia" w:hAnsiTheme="minorEastAsia" w:eastAsiaTheme="minorEastAsia"/>
          <w:sz w:val="24"/>
          <w:highlight w:val="none"/>
        </w:rPr>
        <w:t>原则上采购人、采购代理机构不要求投标人提供样品。仅凭书面方式不能准确描述采购需求，或者需要对样品进行主观判断以确认是否满足采购需求等特殊情况除外。</w:t>
      </w:r>
    </w:p>
    <w:p w14:paraId="4A616D0A">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如需提供样品，对样品相关要求见</w:t>
      </w:r>
      <w:r>
        <w:rPr>
          <w:rFonts w:hint="eastAsia" w:asciiTheme="minorEastAsia" w:hAnsiTheme="minorEastAsia" w:eastAsiaTheme="minorEastAsia"/>
          <w:sz w:val="24"/>
          <w:highlight w:val="none"/>
        </w:rPr>
        <w:t>采购需求</w:t>
      </w:r>
      <w:r>
        <w:rPr>
          <w:rFonts w:asciiTheme="minorEastAsia" w:hAnsiTheme="minorEastAsia" w:eastAsiaTheme="minorEastAsia"/>
          <w:sz w:val="24"/>
          <w:highlight w:val="none"/>
        </w:rPr>
        <w:t>，对样品的评审方法及评审标准见招标文件第</w:t>
      </w:r>
      <w:r>
        <w:rPr>
          <w:rFonts w:hint="eastAsia" w:asciiTheme="minorEastAsia" w:hAnsiTheme="minorEastAsia" w:eastAsiaTheme="minorEastAsia"/>
          <w:sz w:val="24"/>
          <w:highlight w:val="none"/>
        </w:rPr>
        <w:t>四</w:t>
      </w:r>
      <w:r>
        <w:rPr>
          <w:rFonts w:asciiTheme="minorEastAsia" w:hAnsiTheme="minorEastAsia" w:eastAsiaTheme="minorEastAsia"/>
          <w:sz w:val="24"/>
          <w:highlight w:val="none"/>
        </w:rPr>
        <w:t>章。</w:t>
      </w:r>
    </w:p>
    <w:p w14:paraId="0E44888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投标人应认真阅读招标文件所有的事项、格式、条款和技术规范等。</w:t>
      </w:r>
    </w:p>
    <w:p w14:paraId="22E01125">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6.招标文件的澄清与修改</w:t>
      </w:r>
    </w:p>
    <w:p w14:paraId="6466F50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6</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投标人如对招标文件内容有疑问，必须在</w:t>
      </w:r>
      <w:r>
        <w:rPr>
          <w:rFonts w:ascii="宋体" w:hAnsi="宋体" w:eastAsia="宋体"/>
          <w:sz w:val="24"/>
          <w:highlight w:val="none"/>
          <w:u w:val="single"/>
        </w:rPr>
        <w:t>投标人须知前附表</w:t>
      </w:r>
      <w:r>
        <w:rPr>
          <w:rFonts w:asciiTheme="minorEastAsia" w:hAnsiTheme="minorEastAsia" w:eastAsiaTheme="minorEastAsia"/>
          <w:sz w:val="24"/>
          <w:highlight w:val="none"/>
        </w:rPr>
        <w:t>规定的</w:t>
      </w:r>
      <w:r>
        <w:rPr>
          <w:rFonts w:hint="eastAsia" w:asciiTheme="minorEastAsia" w:hAnsiTheme="minorEastAsia" w:eastAsiaTheme="minorEastAsia"/>
          <w:sz w:val="24"/>
          <w:highlight w:val="none"/>
        </w:rPr>
        <w:t>网上询问</w:t>
      </w:r>
      <w:r>
        <w:rPr>
          <w:rFonts w:asciiTheme="minorEastAsia" w:hAnsiTheme="minorEastAsia" w:eastAsiaTheme="minorEastAsia"/>
          <w:sz w:val="24"/>
          <w:highlight w:val="none"/>
        </w:rPr>
        <w:t>截止时间前以网上提问形式</w:t>
      </w:r>
      <w:r>
        <w:rPr>
          <w:rFonts w:hint="eastAsia" w:asciiTheme="minorEastAsia" w:hAnsiTheme="minorEastAsia" w:eastAsiaTheme="minorEastAsia"/>
          <w:sz w:val="24"/>
          <w:highlight w:val="none"/>
        </w:rPr>
        <w:t>（电子交易系统）</w:t>
      </w:r>
      <w:r>
        <w:rPr>
          <w:rFonts w:asciiTheme="minorEastAsia" w:hAnsiTheme="minorEastAsia" w:eastAsiaTheme="minorEastAsia"/>
          <w:sz w:val="24"/>
          <w:highlight w:val="none"/>
        </w:rPr>
        <w:t>提交给采购代理机构。</w:t>
      </w:r>
    </w:p>
    <w:p w14:paraId="593F48F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6</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2采购人可主动地或在答复投标人提出的询问时对招标文件进行澄清与修改。</w:t>
      </w:r>
      <w:r>
        <w:rPr>
          <w:rFonts w:asciiTheme="minorEastAsia" w:hAnsiTheme="minorEastAsia" w:eastAsiaTheme="minorEastAsia"/>
          <w:sz w:val="24"/>
          <w:highlight w:val="none"/>
        </w:rPr>
        <w:t>采购代理机构将</w:t>
      </w:r>
      <w:r>
        <w:rPr>
          <w:rFonts w:hint="eastAsia" w:asciiTheme="minorEastAsia" w:hAnsiTheme="minorEastAsia" w:eastAsiaTheme="minorEastAsia"/>
          <w:sz w:val="24"/>
          <w:highlight w:val="none"/>
        </w:rPr>
        <w:t>在安徽省政府采购网以发布更正公告的方式</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澄清或修改招标文件，更正公告的</w:t>
      </w:r>
      <w:r>
        <w:rPr>
          <w:rFonts w:asciiTheme="minorEastAsia" w:hAnsiTheme="minorEastAsia" w:eastAsiaTheme="minorEastAsia"/>
          <w:sz w:val="24"/>
          <w:highlight w:val="none"/>
        </w:rPr>
        <w:t>内容</w:t>
      </w:r>
      <w:r>
        <w:rPr>
          <w:rFonts w:hint="eastAsia" w:asciiTheme="minorEastAsia" w:hAnsiTheme="minorEastAsia" w:eastAsiaTheme="minorEastAsia"/>
          <w:sz w:val="24"/>
          <w:highlight w:val="none"/>
        </w:rPr>
        <w:t>作</w:t>
      </w:r>
      <w:r>
        <w:rPr>
          <w:rFonts w:asciiTheme="minorEastAsia" w:hAnsiTheme="minorEastAsia" w:eastAsiaTheme="minorEastAsia"/>
          <w:sz w:val="24"/>
          <w:highlight w:val="none"/>
        </w:rPr>
        <w:t>为招标文件</w:t>
      </w:r>
      <w:r>
        <w:rPr>
          <w:rFonts w:hint="eastAsia" w:asciiTheme="minorEastAsia" w:hAnsiTheme="minorEastAsia" w:eastAsiaTheme="minorEastAsia"/>
          <w:sz w:val="24"/>
          <w:highlight w:val="none"/>
        </w:rPr>
        <w:t>的</w:t>
      </w:r>
      <w:r>
        <w:rPr>
          <w:rFonts w:asciiTheme="minorEastAsia" w:hAnsiTheme="minorEastAsia" w:eastAsiaTheme="minorEastAsia"/>
          <w:sz w:val="24"/>
          <w:highlight w:val="none"/>
        </w:rPr>
        <w:t>组成部分，对投标人起约束作用</w:t>
      </w:r>
      <w:r>
        <w:rPr>
          <w:rFonts w:hint="eastAsia" w:asciiTheme="minorEastAsia" w:hAnsiTheme="minorEastAsia" w:eastAsiaTheme="minorEastAsia"/>
          <w:sz w:val="24"/>
          <w:highlight w:val="none"/>
        </w:rPr>
        <w:t>。投标人应主动上网查询。采购代理机构不承担投标人未及时关注相关信息引发的相关责任。</w:t>
      </w:r>
    </w:p>
    <w:p w14:paraId="2064E36B">
      <w:pPr>
        <w:shd w:val="clear"/>
        <w:spacing w:line="360" w:lineRule="auto"/>
        <w:ind w:firstLine="435"/>
        <w:rPr>
          <w:rFonts w:ascii="宋体" w:hAnsi="宋体" w:eastAsia="宋体"/>
          <w:sz w:val="24"/>
          <w:highlight w:val="none"/>
        </w:rPr>
      </w:pPr>
      <w:r>
        <w:rPr>
          <w:rFonts w:hint="eastAsia" w:ascii="宋体" w:hAnsi="宋体" w:eastAsia="宋体"/>
          <w:sz w:val="24"/>
          <w:highlight w:val="none"/>
        </w:rPr>
        <w:t>6.3任何人或任何组织向投标人提供的任何书面或口头资料，未经采购代理机构在网上发布或书面通知，均作无效处理，不得作为招标文件的组成部分。采购代理机构对投标人由此而做出的推论、理解和结论概不负责。</w:t>
      </w:r>
    </w:p>
    <w:p w14:paraId="1E10D61D">
      <w:pPr>
        <w:shd w:val="clear"/>
        <w:spacing w:line="360" w:lineRule="auto"/>
        <w:ind w:firstLine="435"/>
        <w:rPr>
          <w:rFonts w:asciiTheme="minorEastAsia" w:hAnsiTheme="minorEastAsia" w:eastAsiaTheme="minorEastAsia"/>
          <w:i/>
          <w:iCs/>
          <w:sz w:val="24"/>
          <w:highlight w:val="none"/>
        </w:rPr>
      </w:pPr>
      <w:r>
        <w:rPr>
          <w:rFonts w:hint="eastAsia" w:asciiTheme="minorEastAsia" w:hAnsiTheme="minorEastAsia" w:eastAsiaTheme="minorEastAsia"/>
          <w:sz w:val="24"/>
          <w:highlight w:val="none"/>
        </w:rPr>
        <w:t>6</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对于</w:t>
      </w:r>
      <w:r>
        <w:rPr>
          <w:rFonts w:ascii="宋体" w:hAnsi="宋体" w:eastAsia="宋体"/>
          <w:sz w:val="24"/>
          <w:highlight w:val="none"/>
        </w:rPr>
        <w:t>没有</w:t>
      </w:r>
      <w:r>
        <w:rPr>
          <w:rFonts w:asciiTheme="minorEastAsia" w:hAnsiTheme="minorEastAsia" w:eastAsiaTheme="minorEastAsia"/>
          <w:sz w:val="24"/>
          <w:highlight w:val="none"/>
        </w:rPr>
        <w:t>提出</w:t>
      </w:r>
      <w:r>
        <w:rPr>
          <w:rFonts w:hint="eastAsia" w:asciiTheme="minorEastAsia" w:hAnsiTheme="minorEastAsia" w:eastAsiaTheme="minorEastAsia"/>
          <w:sz w:val="24"/>
          <w:highlight w:val="none"/>
        </w:rPr>
        <w:t>疑问</w:t>
      </w:r>
      <w:r>
        <w:rPr>
          <w:rFonts w:asciiTheme="minorEastAsia" w:hAnsiTheme="minorEastAsia" w:eastAsiaTheme="minorEastAsia"/>
          <w:sz w:val="24"/>
          <w:highlight w:val="none"/>
        </w:rPr>
        <w:t>又参与了</w:t>
      </w:r>
      <w:r>
        <w:rPr>
          <w:rFonts w:hint="eastAsia" w:asciiTheme="minorEastAsia" w:hAnsiTheme="minorEastAsia" w:eastAsiaTheme="minorEastAsia"/>
          <w:sz w:val="24"/>
          <w:highlight w:val="none"/>
        </w:rPr>
        <w:t>本</w:t>
      </w:r>
      <w:r>
        <w:rPr>
          <w:rFonts w:asciiTheme="minorEastAsia" w:hAnsiTheme="minorEastAsia" w:eastAsiaTheme="minorEastAsia"/>
          <w:sz w:val="24"/>
          <w:highlight w:val="none"/>
        </w:rPr>
        <w:t>项目投标的</w:t>
      </w:r>
      <w:r>
        <w:rPr>
          <w:rFonts w:hint="eastAsia" w:asciiTheme="minorEastAsia" w:hAnsiTheme="minorEastAsia" w:eastAsiaTheme="minorEastAsia"/>
          <w:sz w:val="24"/>
          <w:highlight w:val="none"/>
        </w:rPr>
        <w:t>投标人</w:t>
      </w:r>
      <w:r>
        <w:rPr>
          <w:rFonts w:asciiTheme="minorEastAsia" w:hAnsiTheme="minorEastAsia" w:eastAsiaTheme="minorEastAsia"/>
          <w:sz w:val="24"/>
          <w:highlight w:val="none"/>
        </w:rPr>
        <w:t>将被视为完全认同</w:t>
      </w:r>
      <w:r>
        <w:rPr>
          <w:rFonts w:hint="eastAsia" w:asciiTheme="minorEastAsia" w:hAnsiTheme="minorEastAsia" w:eastAsiaTheme="minorEastAsia"/>
          <w:sz w:val="24"/>
          <w:highlight w:val="none"/>
        </w:rPr>
        <w:t>本</w:t>
      </w:r>
      <w:r>
        <w:rPr>
          <w:rFonts w:asciiTheme="minorEastAsia" w:hAnsiTheme="minorEastAsia" w:eastAsiaTheme="minorEastAsia"/>
          <w:sz w:val="24"/>
          <w:highlight w:val="none"/>
        </w:rPr>
        <w:t>招标文件（含</w:t>
      </w:r>
      <w:r>
        <w:rPr>
          <w:rFonts w:hint="eastAsia" w:asciiTheme="minorEastAsia" w:hAnsiTheme="minorEastAsia" w:eastAsiaTheme="minorEastAsia"/>
          <w:sz w:val="24"/>
          <w:highlight w:val="none"/>
        </w:rPr>
        <w:t>更正公告的</w:t>
      </w:r>
      <w:r>
        <w:rPr>
          <w:rFonts w:asciiTheme="minorEastAsia" w:hAnsiTheme="minorEastAsia" w:eastAsiaTheme="minorEastAsia"/>
          <w:sz w:val="24"/>
          <w:highlight w:val="none"/>
        </w:rPr>
        <w:t>内容）</w:t>
      </w:r>
      <w:r>
        <w:rPr>
          <w:rFonts w:hint="eastAsia" w:asciiTheme="minorEastAsia" w:hAnsiTheme="minorEastAsia" w:eastAsiaTheme="minorEastAsia"/>
          <w:iCs/>
          <w:sz w:val="24"/>
          <w:highlight w:val="none"/>
        </w:rPr>
        <w:t>。</w:t>
      </w:r>
    </w:p>
    <w:p w14:paraId="22EC0309">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7.投标范围及投标文件中标准和计量单位的使用</w:t>
      </w:r>
    </w:p>
    <w:p w14:paraId="681763AF">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7</w:t>
      </w:r>
      <w:r>
        <w:rPr>
          <w:rFonts w:asciiTheme="minorEastAsia" w:hAnsiTheme="minorEastAsia" w:eastAsiaTheme="minorEastAsia"/>
          <w:sz w:val="24"/>
          <w:highlight w:val="none"/>
        </w:rPr>
        <w:t>.1</w:t>
      </w:r>
      <w:r>
        <w:rPr>
          <w:rFonts w:ascii="宋体" w:hAnsi="宋体" w:eastAsia="宋体"/>
          <w:sz w:val="24"/>
          <w:highlight w:val="none"/>
        </w:rPr>
        <w:t>项目</w:t>
      </w:r>
      <w:r>
        <w:rPr>
          <w:rFonts w:asciiTheme="minorEastAsia" w:hAnsiTheme="minorEastAsia" w:eastAsiaTheme="minorEastAsia"/>
          <w:sz w:val="24"/>
          <w:highlight w:val="none"/>
        </w:rPr>
        <w:t>有分包的，投标人可对招标文件其中某一个或几个分包进行投标，除非在</w:t>
      </w:r>
      <w:r>
        <w:rPr>
          <w:rFonts w:asciiTheme="minorEastAsia" w:hAnsiTheme="minorEastAsia" w:eastAsiaTheme="minorEastAsia"/>
          <w:sz w:val="24"/>
          <w:highlight w:val="none"/>
          <w:u w:val="single"/>
        </w:rPr>
        <w:t>投标人须知前附表</w:t>
      </w:r>
      <w:r>
        <w:rPr>
          <w:rFonts w:asciiTheme="minorEastAsia" w:hAnsiTheme="minorEastAsia" w:eastAsiaTheme="minorEastAsia"/>
          <w:sz w:val="24"/>
          <w:highlight w:val="none"/>
        </w:rPr>
        <w:t>中另有规定。</w:t>
      </w:r>
    </w:p>
    <w:p w14:paraId="5A35AAF3">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7</w:t>
      </w:r>
      <w:r>
        <w:rPr>
          <w:rFonts w:asciiTheme="minorEastAsia" w:hAnsiTheme="minorEastAsia" w:eastAsiaTheme="minorEastAsia"/>
          <w:sz w:val="24"/>
          <w:highlight w:val="none"/>
        </w:rPr>
        <w:t>.2投标人应当对所投分包招标文件中“</w:t>
      </w:r>
      <w:r>
        <w:rPr>
          <w:rFonts w:hint="eastAsia" w:asciiTheme="minorEastAsia" w:hAnsiTheme="minorEastAsia" w:eastAsiaTheme="minorEastAsia"/>
          <w:sz w:val="24"/>
          <w:highlight w:val="none"/>
        </w:rPr>
        <w:t>采购</w:t>
      </w:r>
      <w:r>
        <w:rPr>
          <w:rFonts w:asciiTheme="minorEastAsia" w:hAnsiTheme="minorEastAsia" w:eastAsiaTheme="minorEastAsia"/>
          <w:sz w:val="24"/>
          <w:highlight w:val="none"/>
        </w:rPr>
        <w:t>需求”所列的所有内容进行投标，如仅响应</w:t>
      </w:r>
      <w:r>
        <w:rPr>
          <w:rFonts w:hint="eastAsia" w:asciiTheme="minorEastAsia" w:hAnsiTheme="minorEastAsia" w:eastAsiaTheme="minorEastAsia"/>
          <w:sz w:val="24"/>
          <w:highlight w:val="none"/>
        </w:rPr>
        <w:t>所投包别</w:t>
      </w:r>
      <w:r>
        <w:rPr>
          <w:rFonts w:asciiTheme="minorEastAsia" w:hAnsiTheme="minorEastAsia" w:eastAsiaTheme="minorEastAsia"/>
          <w:sz w:val="24"/>
          <w:highlight w:val="none"/>
        </w:rPr>
        <w:t>中的部分内容，其</w:t>
      </w:r>
      <w:r>
        <w:rPr>
          <w:rFonts w:hint="eastAsia" w:asciiTheme="minorEastAsia" w:hAnsiTheme="minorEastAsia" w:eastAsiaTheme="minorEastAsia"/>
          <w:sz w:val="24"/>
          <w:highlight w:val="none"/>
        </w:rPr>
        <w:t>所投包别的</w:t>
      </w:r>
      <w:r>
        <w:rPr>
          <w:rFonts w:asciiTheme="minorEastAsia" w:hAnsiTheme="minorEastAsia" w:eastAsiaTheme="minorEastAsia"/>
          <w:sz w:val="24"/>
          <w:highlight w:val="none"/>
        </w:rPr>
        <w:t>投标将被认定为</w:t>
      </w:r>
      <w:r>
        <w:rPr>
          <w:rFonts w:asciiTheme="minorEastAsia" w:hAnsiTheme="minorEastAsia" w:eastAsiaTheme="minorEastAsia"/>
          <w:b/>
          <w:sz w:val="24"/>
          <w:highlight w:val="none"/>
        </w:rPr>
        <w:t>投标无效</w:t>
      </w:r>
      <w:r>
        <w:rPr>
          <w:rFonts w:asciiTheme="minorEastAsia" w:hAnsiTheme="minorEastAsia" w:eastAsiaTheme="minorEastAsia"/>
          <w:sz w:val="24"/>
          <w:highlight w:val="none"/>
        </w:rPr>
        <w:t>。</w:t>
      </w:r>
    </w:p>
    <w:p w14:paraId="49E23BA5">
      <w:pPr>
        <w:shd w:val="clear"/>
        <w:spacing w:line="360" w:lineRule="auto"/>
        <w:ind w:firstLine="435"/>
        <w:rPr>
          <w:rFonts w:asciiTheme="minorEastAsia" w:hAnsiTheme="minorEastAsia" w:eastAsiaTheme="minorEastAsia"/>
          <w:sz w:val="24"/>
          <w:highlight w:val="none"/>
        </w:rPr>
      </w:pPr>
      <w:bookmarkStart w:id="63" w:name="_Hlk16458980"/>
      <w:r>
        <w:rPr>
          <w:rFonts w:hint="eastAsia" w:asciiTheme="minorEastAsia" w:hAnsiTheme="minorEastAsia" w:eastAsiaTheme="minorEastAsia"/>
          <w:sz w:val="24"/>
          <w:highlight w:val="none"/>
        </w:rPr>
        <w:t>7</w:t>
      </w:r>
      <w:r>
        <w:rPr>
          <w:rFonts w:asciiTheme="minorEastAsia" w:hAnsiTheme="minorEastAsia" w:eastAsiaTheme="minorEastAsia"/>
          <w:sz w:val="24"/>
          <w:highlight w:val="none"/>
        </w:rPr>
        <w:t>.3无论招标文件中是否要求，</w:t>
      </w:r>
      <w:r>
        <w:rPr>
          <w:rFonts w:hint="eastAsia" w:asciiTheme="minorEastAsia" w:hAnsiTheme="minorEastAsia" w:eastAsiaTheme="minorEastAsia"/>
          <w:sz w:val="24"/>
          <w:highlight w:val="none"/>
        </w:rPr>
        <w:t>投标人所投货物及伴随的服务和工程均应符合国家强制性标准。</w:t>
      </w:r>
    </w:p>
    <w:bookmarkEnd w:id="63"/>
    <w:p w14:paraId="2CE9092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7</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投标人与采购</w:t>
      </w:r>
      <w:r>
        <w:rPr>
          <w:rFonts w:hint="eastAsia" w:asciiTheme="minorEastAsia" w:hAnsiTheme="minorEastAsia" w:eastAsiaTheme="minorEastAsia"/>
          <w:sz w:val="24"/>
          <w:highlight w:val="none"/>
        </w:rPr>
        <w:t>代理</w:t>
      </w:r>
      <w:r>
        <w:rPr>
          <w:rFonts w:asciiTheme="minorEastAsia" w:hAnsiTheme="minorEastAsia" w:eastAsiaTheme="minorEastAsia"/>
          <w:sz w:val="24"/>
          <w:highlight w:val="none"/>
        </w:rPr>
        <w:t>机构之间与投标有关的所有往来通知、函件和投标文件均用中文表述。投标人随投标文件提供的证明文件和资料可以为其它语言，但必须附中文译文。翻译的中文资料与外文资料出现差异时，以中文为准。</w:t>
      </w:r>
    </w:p>
    <w:p w14:paraId="2B000BC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7</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5</w:t>
      </w:r>
      <w:r>
        <w:rPr>
          <w:rFonts w:asciiTheme="minorEastAsia" w:hAnsiTheme="minorEastAsia" w:eastAsiaTheme="minorEastAsia"/>
          <w:sz w:val="24"/>
          <w:highlight w:val="none"/>
        </w:rPr>
        <w:t>除</w:t>
      </w:r>
      <w:r>
        <w:rPr>
          <w:rFonts w:ascii="宋体" w:hAnsi="宋体" w:eastAsia="宋体"/>
          <w:sz w:val="24"/>
          <w:highlight w:val="none"/>
        </w:rPr>
        <w:t>招标文件</w:t>
      </w:r>
      <w:r>
        <w:rPr>
          <w:rFonts w:asciiTheme="minorEastAsia" w:hAnsiTheme="minorEastAsia" w:eastAsiaTheme="minorEastAsia"/>
          <w:sz w:val="24"/>
          <w:highlight w:val="none"/>
        </w:rPr>
        <w:t>中有特殊要求外，投标文件中所使用的计量单位，应采用中华人民共和国法定计量单位。</w:t>
      </w:r>
    </w:p>
    <w:p w14:paraId="3F5AC4E0">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8</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投标文件构成</w:t>
      </w:r>
    </w:p>
    <w:p w14:paraId="25B2925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8</w:t>
      </w:r>
      <w:r>
        <w:rPr>
          <w:rFonts w:asciiTheme="minorEastAsia" w:hAnsiTheme="minorEastAsia" w:eastAsiaTheme="minorEastAsia"/>
          <w:sz w:val="24"/>
          <w:highlight w:val="none"/>
        </w:rPr>
        <w:t>.1</w:t>
      </w:r>
      <w:r>
        <w:rPr>
          <w:rFonts w:ascii="宋体" w:hAnsi="宋体" w:eastAsia="宋体"/>
          <w:sz w:val="24"/>
          <w:highlight w:val="none"/>
        </w:rPr>
        <w:t>投标人</w:t>
      </w:r>
      <w:r>
        <w:rPr>
          <w:rFonts w:asciiTheme="minorEastAsia" w:hAnsiTheme="minorEastAsia" w:eastAsiaTheme="minorEastAsia"/>
          <w:sz w:val="24"/>
          <w:highlight w:val="none"/>
        </w:rPr>
        <w:t>应完整地按招标文件提供的投标文件格式及要求</w:t>
      </w:r>
      <w:r>
        <w:rPr>
          <w:rFonts w:hint="eastAsia" w:asciiTheme="minorEastAsia" w:hAnsiTheme="minorEastAsia" w:eastAsiaTheme="minorEastAsia"/>
          <w:sz w:val="24"/>
          <w:highlight w:val="none"/>
        </w:rPr>
        <w:t>编</w:t>
      </w:r>
      <w:r>
        <w:rPr>
          <w:rFonts w:asciiTheme="minorEastAsia" w:hAnsiTheme="minorEastAsia" w:eastAsiaTheme="minorEastAsia"/>
          <w:sz w:val="24"/>
          <w:highlight w:val="none"/>
        </w:rPr>
        <w:t>写投标文件，</w:t>
      </w:r>
      <w:r>
        <w:rPr>
          <w:rFonts w:hint="eastAsia" w:asciiTheme="minorEastAsia" w:hAnsiTheme="minorEastAsia" w:eastAsiaTheme="minorEastAsia"/>
          <w:sz w:val="24"/>
          <w:highlight w:val="none"/>
        </w:rPr>
        <w:t>具体内容详见本项目投标文件格式的相关内容。</w:t>
      </w:r>
    </w:p>
    <w:p w14:paraId="254CF76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8.2</w:t>
      </w:r>
      <w:r>
        <w:rPr>
          <w:rFonts w:ascii="宋体" w:hAnsi="宋体" w:eastAsia="宋体"/>
          <w:sz w:val="24"/>
          <w:highlight w:val="none"/>
        </w:rPr>
        <w:t>投标人</w:t>
      </w:r>
      <w:r>
        <w:rPr>
          <w:rFonts w:asciiTheme="minorEastAsia" w:hAnsiTheme="minorEastAsia" w:eastAsiaTheme="minorEastAsia"/>
          <w:sz w:val="24"/>
          <w:highlight w:val="none"/>
        </w:rPr>
        <w:t>应提交</w:t>
      </w:r>
      <w:r>
        <w:rPr>
          <w:rFonts w:hint="eastAsia" w:asciiTheme="minorEastAsia" w:hAnsiTheme="minorEastAsia" w:eastAsiaTheme="minorEastAsia"/>
          <w:sz w:val="24"/>
          <w:highlight w:val="none"/>
        </w:rPr>
        <w:t>招标文件要求的</w:t>
      </w:r>
      <w:r>
        <w:rPr>
          <w:rFonts w:asciiTheme="minorEastAsia" w:hAnsiTheme="minorEastAsia" w:eastAsiaTheme="minorEastAsia"/>
          <w:sz w:val="24"/>
          <w:highlight w:val="none"/>
        </w:rPr>
        <w:t>证明文件，证明其投标内容符合招标文件规定</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该证明文件是投标文件的一部分</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证明文件</w:t>
      </w:r>
      <w:r>
        <w:rPr>
          <w:rFonts w:hint="eastAsia" w:asciiTheme="minorEastAsia" w:hAnsiTheme="minorEastAsia" w:eastAsiaTheme="minorEastAsia"/>
          <w:sz w:val="24"/>
          <w:highlight w:val="none"/>
        </w:rPr>
        <w:t>形式</w:t>
      </w:r>
      <w:r>
        <w:rPr>
          <w:rFonts w:asciiTheme="minorEastAsia" w:hAnsiTheme="minorEastAsia" w:eastAsiaTheme="minorEastAsia"/>
          <w:sz w:val="24"/>
          <w:highlight w:val="none"/>
        </w:rPr>
        <w:t>可以是文字资料、图纸和数据</w:t>
      </w:r>
      <w:bookmarkStart w:id="64" w:name="_Hlk11703583"/>
      <w:r>
        <w:rPr>
          <w:rFonts w:hint="eastAsia" w:asciiTheme="minorEastAsia" w:hAnsiTheme="minorEastAsia" w:eastAsiaTheme="minorEastAsia"/>
          <w:sz w:val="24"/>
          <w:highlight w:val="none"/>
        </w:rPr>
        <w:t>等。</w:t>
      </w:r>
    </w:p>
    <w:bookmarkEnd w:id="64"/>
    <w:p w14:paraId="34822467">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8.3</w:t>
      </w:r>
      <w:r>
        <w:rPr>
          <w:rFonts w:asciiTheme="minorEastAsia" w:hAnsiTheme="minorEastAsia" w:eastAsiaTheme="minorEastAsia"/>
          <w:sz w:val="24"/>
          <w:highlight w:val="none"/>
        </w:rPr>
        <w:t>为保证</w:t>
      </w:r>
      <w:r>
        <w:rPr>
          <w:rFonts w:ascii="宋体" w:hAnsi="宋体" w:eastAsia="宋体"/>
          <w:sz w:val="24"/>
          <w:highlight w:val="none"/>
        </w:rPr>
        <w:t>公平</w:t>
      </w:r>
      <w:r>
        <w:rPr>
          <w:rFonts w:asciiTheme="minorEastAsia" w:hAnsiTheme="minorEastAsia" w:eastAsiaTheme="minorEastAsia"/>
          <w:sz w:val="24"/>
          <w:highlight w:val="none"/>
        </w:rPr>
        <w:t>公正，除非另有规定或说明，投标人对同一项目投标时，不得同时提供</w:t>
      </w:r>
      <w:r>
        <w:rPr>
          <w:rFonts w:hint="eastAsia" w:asciiTheme="minorEastAsia" w:hAnsiTheme="minorEastAsia" w:eastAsiaTheme="minorEastAsia"/>
          <w:sz w:val="24"/>
          <w:highlight w:val="none"/>
        </w:rPr>
        <w:t>备选</w:t>
      </w:r>
      <w:r>
        <w:rPr>
          <w:rFonts w:asciiTheme="minorEastAsia" w:hAnsiTheme="minorEastAsia" w:eastAsiaTheme="minorEastAsia"/>
          <w:sz w:val="24"/>
          <w:highlight w:val="none"/>
        </w:rPr>
        <w:t>投标方案。</w:t>
      </w:r>
    </w:p>
    <w:p w14:paraId="7B3C4DA9">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9</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投标报价</w:t>
      </w:r>
    </w:p>
    <w:p w14:paraId="23800483">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9</w:t>
      </w:r>
      <w:r>
        <w:rPr>
          <w:rFonts w:asciiTheme="minorEastAsia" w:hAnsiTheme="minorEastAsia" w:eastAsiaTheme="minorEastAsia"/>
          <w:sz w:val="24"/>
          <w:highlight w:val="none"/>
        </w:rPr>
        <w:t>.1投标人的报价应当包括满足本次招标全部采购需求</w:t>
      </w:r>
      <w:r>
        <w:rPr>
          <w:rFonts w:hint="eastAsia" w:asciiTheme="minorEastAsia" w:hAnsiTheme="minorEastAsia" w:eastAsiaTheme="minorEastAsia"/>
          <w:sz w:val="24"/>
          <w:highlight w:val="none"/>
        </w:rPr>
        <w:t>。除招标文件另有规定外，所有投标均应以人民币报价。投标人的投标报价应遵守《中华人民共和国价格法》。</w:t>
      </w:r>
    </w:p>
    <w:p w14:paraId="08F5879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9</w:t>
      </w:r>
      <w:r>
        <w:rPr>
          <w:rFonts w:asciiTheme="minorEastAsia" w:hAnsiTheme="minorEastAsia" w:eastAsiaTheme="minorEastAsia"/>
          <w:sz w:val="24"/>
          <w:highlight w:val="none"/>
        </w:rPr>
        <w:t>.2投标人报价超过招标文件规定的预算金额或者分项、分包最高限价，其投标将被认定为</w:t>
      </w:r>
      <w:r>
        <w:rPr>
          <w:rFonts w:asciiTheme="minorEastAsia" w:hAnsiTheme="minorEastAsia" w:eastAsiaTheme="minorEastAsia"/>
          <w:b/>
          <w:bCs/>
          <w:sz w:val="24"/>
          <w:highlight w:val="none"/>
        </w:rPr>
        <w:t>投标无效</w:t>
      </w:r>
      <w:r>
        <w:rPr>
          <w:rFonts w:asciiTheme="minorEastAsia" w:hAnsiTheme="minorEastAsia" w:eastAsiaTheme="minorEastAsia"/>
          <w:sz w:val="24"/>
          <w:highlight w:val="none"/>
        </w:rPr>
        <w:t>。</w:t>
      </w:r>
    </w:p>
    <w:p w14:paraId="1FF7AA17">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9</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3投标报价</w:t>
      </w:r>
      <w:r>
        <w:rPr>
          <w:rFonts w:asciiTheme="minorEastAsia" w:hAnsiTheme="minorEastAsia" w:eastAsiaTheme="minorEastAsia"/>
          <w:sz w:val="24"/>
          <w:highlight w:val="none"/>
        </w:rPr>
        <w:t>在合同履行过程中是固定不变的，不得以任何理由予以变更。任何包含价格调整要求的投标，其投标将被认定为</w:t>
      </w:r>
      <w:r>
        <w:rPr>
          <w:rFonts w:asciiTheme="minorEastAsia" w:hAnsiTheme="minorEastAsia" w:eastAsiaTheme="minorEastAsia"/>
          <w:b/>
          <w:sz w:val="24"/>
          <w:highlight w:val="none"/>
        </w:rPr>
        <w:t>投标无效</w:t>
      </w:r>
      <w:r>
        <w:rPr>
          <w:rFonts w:asciiTheme="minorEastAsia" w:hAnsiTheme="minorEastAsia" w:eastAsiaTheme="minorEastAsia"/>
          <w:sz w:val="24"/>
          <w:highlight w:val="none"/>
        </w:rPr>
        <w:t>。</w:t>
      </w:r>
    </w:p>
    <w:p w14:paraId="0323B79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9</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采购人不接受具有附加条件的报价。</w:t>
      </w:r>
    </w:p>
    <w:p w14:paraId="4436AE6B">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10</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投标保证金</w:t>
      </w:r>
    </w:p>
    <w:p w14:paraId="2B006C8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10.1本项目不收取投标保证金。</w:t>
      </w:r>
    </w:p>
    <w:p w14:paraId="0405A4D3">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11</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投标有效期</w:t>
      </w:r>
    </w:p>
    <w:p w14:paraId="52B8EBE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11.1投标有效期为从投标截止之日算起的日历天数，投标有效期详见</w:t>
      </w:r>
      <w:r>
        <w:rPr>
          <w:rFonts w:hint="eastAsia" w:asciiTheme="minorEastAsia" w:hAnsiTheme="minorEastAsia" w:eastAsiaTheme="minorEastAsia"/>
          <w:sz w:val="24"/>
          <w:highlight w:val="none"/>
          <w:u w:val="single"/>
        </w:rPr>
        <w:t>投标人须知前附表</w:t>
      </w:r>
      <w:r>
        <w:rPr>
          <w:rFonts w:hint="eastAsia" w:asciiTheme="minorEastAsia" w:hAnsiTheme="minorEastAsia" w:eastAsiaTheme="minorEastAsia"/>
          <w:sz w:val="24"/>
          <w:highlight w:val="none"/>
        </w:rPr>
        <w:t>。</w:t>
      </w:r>
    </w:p>
    <w:p w14:paraId="473D222A">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11.2在投标有效期内，投标人的投标保持有效，投标人不得要求撤销或修改其投标文件。投标有效期不满足要求的投标，其投标将被认定为</w:t>
      </w:r>
      <w:r>
        <w:rPr>
          <w:rFonts w:hint="eastAsia" w:asciiTheme="minorEastAsia" w:hAnsiTheme="minorEastAsia" w:eastAsiaTheme="minorEastAsia"/>
          <w:b/>
          <w:sz w:val="24"/>
          <w:highlight w:val="none"/>
        </w:rPr>
        <w:t>投标无效</w:t>
      </w:r>
      <w:r>
        <w:rPr>
          <w:rFonts w:hint="eastAsia" w:asciiTheme="minorEastAsia" w:hAnsiTheme="minorEastAsia" w:eastAsiaTheme="minorEastAsia"/>
          <w:sz w:val="24"/>
          <w:highlight w:val="none"/>
        </w:rPr>
        <w:t>。</w:t>
      </w:r>
    </w:p>
    <w:p w14:paraId="24BC8B80">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.3</w:t>
      </w:r>
      <w:r>
        <w:rPr>
          <w:rFonts w:hint="eastAsia" w:asciiTheme="minorEastAsia" w:hAnsiTheme="minorEastAsia" w:eastAsiaTheme="minorEastAsia"/>
          <w:sz w:val="24"/>
          <w:highlight w:val="none"/>
        </w:rPr>
        <w:t>因特殊原因，采购人或采购代理机构可在原投标有效期截止之前，要求投标人延长投标文件的有效期。接受该要求的投标人将不会被要求和允许修正其投标。投标人也可以拒绝延长投标有效期的要求，且不承担任何责任。上述要求和答复都应以书面形式提交。</w:t>
      </w:r>
    </w:p>
    <w:p w14:paraId="69B28252">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12</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投标文件的递交、修改与撤回</w:t>
      </w:r>
    </w:p>
    <w:p w14:paraId="458F10A0">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2.1投标人应当在招标公告规定的投标截止时间前</w:t>
      </w:r>
      <w:r>
        <w:rPr>
          <w:rFonts w:asciiTheme="minorEastAsia" w:hAnsiTheme="minorEastAsia" w:eastAsiaTheme="minorEastAsia"/>
          <w:sz w:val="24"/>
          <w:highlight w:val="none"/>
        </w:rPr>
        <w:t>，将加密的投标文件</w:t>
      </w:r>
      <w:r>
        <w:rPr>
          <w:rFonts w:hint="eastAsia" w:asciiTheme="minorEastAsia" w:hAnsiTheme="minorEastAsia" w:eastAsiaTheme="minorEastAsia"/>
          <w:sz w:val="24"/>
          <w:highlight w:val="none"/>
        </w:rPr>
        <w:t>在电子交易系统</w:t>
      </w:r>
      <w:r>
        <w:rPr>
          <w:rFonts w:asciiTheme="minorEastAsia" w:hAnsiTheme="minorEastAsia" w:eastAsiaTheme="minorEastAsia"/>
          <w:sz w:val="24"/>
          <w:highlight w:val="none"/>
        </w:rPr>
        <w:t>上传。</w:t>
      </w:r>
    </w:p>
    <w:p w14:paraId="3B85D6BC">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2.2投标人应当在投标截止时间前完成投标文件的传输递交（以接收到电子签收凭证为准），并可以补充、修改或者撤回投标文件。投标截止时间前未完成投标文件传输的，视为撤回投标文件。未按规定加密或投标截止时间后送达的投标文件，电子交易系统应当拒收。</w:t>
      </w:r>
    </w:p>
    <w:p w14:paraId="6184B101">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13</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开标</w:t>
      </w:r>
    </w:p>
    <w:p w14:paraId="3BF0DE5E">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13</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开标时，</w:t>
      </w:r>
      <w:r>
        <w:rPr>
          <w:rFonts w:ascii="宋体" w:hAnsi="宋体" w:eastAsia="宋体" w:cs="宋体"/>
          <w:sz w:val="24"/>
          <w:szCs w:val="24"/>
          <w:highlight w:val="none"/>
        </w:rPr>
        <w:t>各投标人应在</w:t>
      </w:r>
      <w:r>
        <w:rPr>
          <w:rFonts w:ascii="宋体" w:hAnsi="宋体" w:eastAsia="宋体" w:cs="宋体"/>
          <w:sz w:val="24"/>
          <w:szCs w:val="24"/>
          <w:highlight w:val="none"/>
          <w:u w:val="single"/>
        </w:rPr>
        <w:t>投标人须知前附表</w:t>
      </w:r>
      <w:r>
        <w:rPr>
          <w:rFonts w:ascii="宋体" w:hAnsi="宋体" w:eastAsia="宋体" w:cs="宋体"/>
          <w:sz w:val="24"/>
          <w:szCs w:val="24"/>
          <w:highlight w:val="none"/>
        </w:rPr>
        <w:t>规定的解密时间前</w:t>
      </w:r>
      <w:r>
        <w:rPr>
          <w:rFonts w:asciiTheme="minorEastAsia" w:hAnsiTheme="minorEastAsia" w:eastAsiaTheme="minorEastAsia"/>
          <w:sz w:val="24"/>
          <w:highlight w:val="none"/>
        </w:rPr>
        <w:t>对</w:t>
      </w:r>
      <w:r>
        <w:rPr>
          <w:rFonts w:hint="eastAsia" w:ascii="宋体" w:hAnsi="宋体" w:eastAsia="宋体" w:cs="宋体"/>
          <w:sz w:val="24"/>
          <w:szCs w:val="24"/>
          <w:highlight w:val="none"/>
        </w:rPr>
        <w:t>其</w:t>
      </w:r>
      <w:r>
        <w:rPr>
          <w:rFonts w:asciiTheme="minorEastAsia" w:hAnsiTheme="minorEastAsia" w:eastAsiaTheme="minorEastAsia"/>
          <w:sz w:val="24"/>
          <w:highlight w:val="none"/>
        </w:rPr>
        <w:t>投标文件</w:t>
      </w:r>
      <w:r>
        <w:rPr>
          <w:rFonts w:hint="eastAsia" w:asciiTheme="minorEastAsia" w:hAnsiTheme="minorEastAsia" w:eastAsiaTheme="minorEastAsia"/>
          <w:sz w:val="24"/>
          <w:highlight w:val="none"/>
        </w:rPr>
        <w:t>进行</w:t>
      </w:r>
      <w:r>
        <w:rPr>
          <w:rFonts w:asciiTheme="minorEastAsia" w:hAnsiTheme="minorEastAsia" w:eastAsiaTheme="minorEastAsia"/>
          <w:sz w:val="24"/>
          <w:highlight w:val="none"/>
        </w:rPr>
        <w:t>解密。</w:t>
      </w:r>
    </w:p>
    <w:p w14:paraId="78BC477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13</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开标时，采购代理机构将通过网上开标系统公布</w:t>
      </w:r>
      <w:r>
        <w:rPr>
          <w:rFonts w:hint="eastAsia" w:asciiTheme="minorEastAsia" w:hAnsiTheme="minorEastAsia" w:eastAsiaTheme="minorEastAsia"/>
          <w:sz w:val="24"/>
          <w:highlight w:val="none"/>
        </w:rPr>
        <w:t>开标结果，公布内容包括投标人名称、投标价格及招标文件规定的内容。</w:t>
      </w:r>
    </w:p>
    <w:p w14:paraId="680C78FF">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13.3采购人或采购代理机构将对开标过程进行记录，由参加开标的各投标人代表和相关工作人员签字确认，并存档备查。</w:t>
      </w:r>
    </w:p>
    <w:p w14:paraId="2E08B26F">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投标人未派代表参加开标的，视同投标人认可开标结果。</w:t>
      </w:r>
    </w:p>
    <w:p w14:paraId="3C118CB9">
      <w:pPr>
        <w:shd w:val="clear"/>
        <w:spacing w:line="360" w:lineRule="auto"/>
        <w:ind w:firstLine="435"/>
        <w:rPr>
          <w:rFonts w:asciiTheme="minorEastAsia" w:hAnsiTheme="minorEastAsia" w:eastAsiaTheme="minorEastAsia"/>
          <w:sz w:val="28"/>
          <w:highlight w:val="none"/>
        </w:rPr>
      </w:pPr>
      <w:r>
        <w:rPr>
          <w:rFonts w:hint="eastAsia" w:asciiTheme="minorEastAsia" w:hAnsiTheme="minorEastAsia" w:eastAsiaTheme="minorEastAsia"/>
          <w:sz w:val="24"/>
          <w:highlight w:val="none"/>
        </w:rPr>
        <w:t>13.4投标人代表对开标过程和开标记录有疑义，以及认为采购人、采购代理机构相关工作人员有需要回避的情形的，应当场提出询问或者回避申请。</w:t>
      </w:r>
    </w:p>
    <w:p w14:paraId="78EA4732">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14</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资格审查及组建评标委员会</w:t>
      </w:r>
    </w:p>
    <w:p w14:paraId="7B96823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14.1采购人或采购代理机构依据法律法规和招标文件中规定的内</w:t>
      </w:r>
      <w:r>
        <w:rPr>
          <w:rFonts w:asciiTheme="minorEastAsia" w:hAnsiTheme="minorEastAsia" w:eastAsiaTheme="minorEastAsia"/>
          <w:sz w:val="24"/>
          <w:highlight w:val="none"/>
        </w:rPr>
        <w:t>容</w:t>
      </w:r>
      <w:r>
        <w:rPr>
          <w:rFonts w:hint="eastAsia" w:asciiTheme="minorEastAsia" w:hAnsiTheme="minorEastAsia" w:eastAsiaTheme="minorEastAsia"/>
          <w:sz w:val="24"/>
          <w:highlight w:val="none"/>
        </w:rPr>
        <w:t>，对投标人资格进行审查，未</w:t>
      </w:r>
      <w:r>
        <w:rPr>
          <w:rFonts w:asciiTheme="minorEastAsia" w:hAnsiTheme="minorEastAsia" w:eastAsiaTheme="minorEastAsia"/>
          <w:sz w:val="24"/>
          <w:highlight w:val="none"/>
        </w:rPr>
        <w:t>通过资格审查的投标人</w:t>
      </w:r>
      <w:r>
        <w:rPr>
          <w:rFonts w:hint="eastAsia" w:asciiTheme="minorEastAsia" w:hAnsiTheme="minorEastAsia" w:eastAsiaTheme="minorEastAsia"/>
          <w:sz w:val="24"/>
          <w:highlight w:val="none"/>
        </w:rPr>
        <w:t>不</w:t>
      </w:r>
      <w:r>
        <w:rPr>
          <w:rFonts w:asciiTheme="minorEastAsia" w:hAnsiTheme="minorEastAsia" w:eastAsiaTheme="minorEastAsia"/>
          <w:sz w:val="24"/>
          <w:highlight w:val="none"/>
        </w:rPr>
        <w:t>进入评标</w:t>
      </w:r>
      <w:r>
        <w:rPr>
          <w:rFonts w:hint="eastAsia" w:asciiTheme="minorEastAsia" w:hAnsiTheme="minorEastAsia" w:eastAsiaTheme="minorEastAsia"/>
          <w:sz w:val="24"/>
          <w:highlight w:val="none"/>
        </w:rPr>
        <w:t>。</w:t>
      </w:r>
    </w:p>
    <w:p w14:paraId="772527BE">
      <w:pPr>
        <w:shd w:val="clear"/>
        <w:spacing w:line="360" w:lineRule="auto"/>
        <w:ind w:firstLine="435"/>
        <w:rPr>
          <w:rFonts w:ascii="宋体" w:hAnsi="宋体" w:eastAsia="宋体" w:cs="宋体"/>
          <w:sz w:val="24"/>
          <w:szCs w:val="24"/>
          <w:highlight w:val="none"/>
        </w:rPr>
      </w:pPr>
      <w:bookmarkStart w:id="65" w:name="_Hlk24663244"/>
      <w:r>
        <w:rPr>
          <w:rFonts w:hint="eastAsia" w:ascii="宋体" w:hAnsi="宋体" w:eastAsia="宋体" w:cs="宋体"/>
          <w:sz w:val="24"/>
          <w:szCs w:val="24"/>
          <w:highlight w:val="none"/>
        </w:rPr>
        <w:t>14.2采购人或采购代理机构将在投标截止时间后至评审结束前通过“信用中国”网站(www.creditchina.gov.cn)、中国政府采购网(www.ccgp.gov.cn)查询相关投标人（含其不具有独立法人资格的分支机构）信用记录，并对投标人信用记录进行甄别，对列入“信用中国”网站(www.creditchina.gov.cn)失信被执行人名单、重大税收违法失信主体名单、中国政府采购网(www.ccgp.gov.cn)政府采购严重违法失信行为记录名单及其他不符合《中华人民共和国政府采购法》第二十二条规定条件的供应商，其投标将被认定为</w:t>
      </w:r>
      <w:r>
        <w:rPr>
          <w:rFonts w:hint="eastAsia" w:ascii="宋体" w:hAnsi="宋体" w:eastAsia="宋体" w:cs="宋体"/>
          <w:b/>
          <w:sz w:val="24"/>
          <w:szCs w:val="24"/>
          <w:highlight w:val="none"/>
        </w:rPr>
        <w:t>投标无效</w:t>
      </w:r>
      <w:r>
        <w:rPr>
          <w:rFonts w:hint="eastAsia" w:ascii="宋体" w:hAnsi="宋体" w:eastAsia="宋体" w:cs="宋体"/>
          <w:sz w:val="24"/>
          <w:szCs w:val="24"/>
          <w:highlight w:val="none"/>
        </w:rPr>
        <w:t>。</w:t>
      </w:r>
    </w:p>
    <w:p w14:paraId="15CDAB1E">
      <w:pPr>
        <w:shd w:val="clear"/>
        <w:spacing w:line="360" w:lineRule="auto"/>
        <w:ind w:firstLine="435"/>
        <w:rPr>
          <w:rFonts w:ascii="宋体" w:hAnsi="宋体" w:eastAsia="宋体" w:cs="宋体"/>
          <w:sz w:val="24"/>
          <w:szCs w:val="24"/>
          <w:highlight w:val="none"/>
        </w:rPr>
      </w:pPr>
      <w:r>
        <w:rPr>
          <w:rFonts w:hint="eastAsia" w:ascii="宋体" w:hAnsi="宋体" w:eastAsia="宋体" w:cs="宋体"/>
          <w:sz w:val="24"/>
          <w:szCs w:val="24"/>
          <w:highlight w:val="none"/>
        </w:rPr>
        <w:t>以联合体形式参加投标的，联合体成员存在以上不良信用记录的，联合体投标将被认定为</w:t>
      </w:r>
      <w:r>
        <w:rPr>
          <w:rFonts w:hint="eastAsia" w:ascii="宋体" w:hAnsi="宋体" w:eastAsia="宋体" w:cs="宋体"/>
          <w:b/>
          <w:sz w:val="24"/>
          <w:szCs w:val="24"/>
          <w:highlight w:val="none"/>
        </w:rPr>
        <w:t>投标无效</w:t>
      </w:r>
      <w:r>
        <w:rPr>
          <w:rFonts w:hint="eastAsia" w:ascii="宋体" w:hAnsi="宋体" w:eastAsia="宋体" w:cs="宋体"/>
          <w:sz w:val="24"/>
          <w:szCs w:val="24"/>
          <w:highlight w:val="none"/>
        </w:rPr>
        <w:t>。</w:t>
      </w:r>
    </w:p>
    <w:p w14:paraId="5793C52B">
      <w:pPr>
        <w:shd w:val="clear"/>
        <w:spacing w:line="360" w:lineRule="auto"/>
        <w:ind w:firstLine="435"/>
        <w:rPr>
          <w:rFonts w:asciiTheme="minorEastAsia" w:hAnsiTheme="minorEastAsia" w:eastAsiaTheme="minorEastAsia"/>
          <w:sz w:val="24"/>
          <w:highlight w:val="none"/>
        </w:rPr>
      </w:pPr>
      <w:r>
        <w:rPr>
          <w:rFonts w:hint="eastAsia" w:ascii="宋体" w:hAnsi="宋体" w:eastAsia="宋体" w:cs="宋体"/>
          <w:sz w:val="24"/>
          <w:szCs w:val="24"/>
          <w:highlight w:val="none"/>
        </w:rPr>
        <w:t>以上信用查询记录，采购人或采购代理机构将下载查询结果页面后与其他采购文件一并保存。投标人不良信用记录以采购人或采购代理机构查询结果为准。在本招标文件规定的查询时间之外，网站信息发生的任何变更均不作为资格审查依据。投标人自行提供的与网站信息不一致的其他证明材料亦不作为资格审查依据。如因评审当日信用信息查询渠道故障无法查询信息的，以投标人提供的“投标人资格声明书”作为评审依据。</w:t>
      </w:r>
    </w:p>
    <w:bookmarkEnd w:id="65"/>
    <w:p w14:paraId="32CF1F0F">
      <w:pPr>
        <w:shd w:val="clear"/>
        <w:spacing w:line="360" w:lineRule="auto"/>
        <w:ind w:firstLine="435"/>
        <w:rPr>
          <w:rFonts w:asciiTheme="minorEastAsia" w:hAnsiTheme="minorEastAsia" w:eastAsiaTheme="minorEastAsia"/>
          <w:b/>
          <w:sz w:val="24"/>
          <w:highlight w:val="none"/>
        </w:rPr>
      </w:pPr>
      <w:r>
        <w:rPr>
          <w:rFonts w:hint="eastAsia" w:asciiTheme="minorEastAsia" w:hAnsiTheme="minorEastAsia" w:eastAsiaTheme="minorEastAsia"/>
          <w:sz w:val="24"/>
          <w:highlight w:val="none"/>
        </w:rPr>
        <w:t>14.3按照</w:t>
      </w:r>
      <w:r>
        <w:rPr>
          <w:rFonts w:hint="eastAsia" w:ascii="宋体" w:hAnsi="宋体" w:eastAsia="宋体"/>
          <w:sz w:val="24"/>
          <w:highlight w:val="none"/>
        </w:rPr>
        <w:t>《</w:t>
      </w:r>
      <w:r>
        <w:rPr>
          <w:rFonts w:ascii="宋体" w:hAnsi="宋体" w:eastAsia="宋体"/>
          <w:sz w:val="24"/>
          <w:highlight w:val="none"/>
        </w:rPr>
        <w:t>中华人民共和国政府采购法》</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《中华人民共和国政府采购</w:t>
      </w:r>
      <w:r>
        <w:rPr>
          <w:rFonts w:hint="eastAsia" w:asciiTheme="minorEastAsia" w:hAnsiTheme="minorEastAsia" w:eastAsiaTheme="minorEastAsia"/>
          <w:sz w:val="24"/>
          <w:highlight w:val="none"/>
        </w:rPr>
        <w:t>法</w:t>
      </w:r>
      <w:r>
        <w:rPr>
          <w:rFonts w:asciiTheme="minorEastAsia" w:hAnsiTheme="minorEastAsia" w:eastAsiaTheme="minorEastAsia"/>
          <w:sz w:val="24"/>
          <w:highlight w:val="none"/>
        </w:rPr>
        <w:t>实施条例》</w:t>
      </w:r>
      <w:r>
        <w:rPr>
          <w:rFonts w:hint="eastAsia" w:asciiTheme="minorEastAsia" w:hAnsiTheme="minorEastAsia" w:eastAsiaTheme="minorEastAsia"/>
          <w:sz w:val="24"/>
          <w:highlight w:val="none"/>
        </w:rPr>
        <w:t>及本项目本级</w:t>
      </w:r>
      <w:r>
        <w:rPr>
          <w:rFonts w:asciiTheme="minorEastAsia" w:hAnsiTheme="minorEastAsia" w:eastAsiaTheme="minorEastAsia"/>
          <w:sz w:val="24"/>
          <w:highlight w:val="none"/>
        </w:rPr>
        <w:t>和上级财政部门</w:t>
      </w:r>
      <w:r>
        <w:rPr>
          <w:rFonts w:hint="eastAsia" w:asciiTheme="minorEastAsia" w:hAnsiTheme="minorEastAsia" w:eastAsiaTheme="minorEastAsia"/>
          <w:sz w:val="24"/>
          <w:highlight w:val="none"/>
        </w:rPr>
        <w:t>、政府采购监督管理部门的有关规定依法组建的</w:t>
      </w:r>
      <w:r>
        <w:rPr>
          <w:rFonts w:asciiTheme="minorEastAsia" w:hAnsiTheme="minorEastAsia" w:eastAsiaTheme="minorEastAsia"/>
          <w:sz w:val="24"/>
          <w:highlight w:val="none"/>
        </w:rPr>
        <w:t>评标委员会</w:t>
      </w:r>
      <w:r>
        <w:rPr>
          <w:rFonts w:hint="eastAsia" w:asciiTheme="minorEastAsia" w:hAnsiTheme="minorEastAsia" w:eastAsiaTheme="minorEastAsia"/>
          <w:sz w:val="24"/>
          <w:highlight w:val="none"/>
        </w:rPr>
        <w:t>，负责本项目评标工作。</w:t>
      </w:r>
    </w:p>
    <w:p w14:paraId="1677CDB9">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15</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投标文件符合性审查与澄清</w:t>
      </w:r>
    </w:p>
    <w:p w14:paraId="355060E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15</w:t>
      </w:r>
      <w:r>
        <w:rPr>
          <w:rFonts w:asciiTheme="minorEastAsia" w:hAnsiTheme="minorEastAsia" w:eastAsiaTheme="minorEastAsia"/>
          <w:sz w:val="24"/>
          <w:highlight w:val="none"/>
        </w:rPr>
        <w:t>.1符合性审查是指依据招标文件的规定，从投标文件的有效性和完整性对招标文件的响应程度</w:t>
      </w:r>
      <w:r>
        <w:rPr>
          <w:rFonts w:ascii="宋体" w:hAnsi="宋体" w:eastAsia="宋体"/>
          <w:sz w:val="24"/>
          <w:highlight w:val="none"/>
        </w:rPr>
        <w:t>进行</w:t>
      </w:r>
      <w:r>
        <w:rPr>
          <w:rFonts w:asciiTheme="minorEastAsia" w:hAnsiTheme="minorEastAsia" w:eastAsiaTheme="minorEastAsia"/>
          <w:sz w:val="24"/>
          <w:highlight w:val="none"/>
        </w:rPr>
        <w:t>审查，以确定是否对招标文件的实质性要求做出响应。</w:t>
      </w:r>
    </w:p>
    <w:p w14:paraId="1ECDC984">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15</w:t>
      </w:r>
      <w:r>
        <w:rPr>
          <w:rFonts w:asciiTheme="minorEastAsia" w:hAnsiTheme="minorEastAsia" w:eastAsiaTheme="minorEastAsia"/>
          <w:sz w:val="24"/>
          <w:highlight w:val="none"/>
        </w:rPr>
        <w:t>.2如一个分包内只有一种产品，不同投标人所投产品为同一品牌的，按如下方式处理：</w:t>
      </w:r>
    </w:p>
    <w:p w14:paraId="5EC0DCC6">
      <w:pPr>
        <w:shd w:val="clear"/>
        <w:spacing w:line="360" w:lineRule="auto"/>
        <w:ind w:firstLine="435"/>
        <w:rPr>
          <w:rFonts w:ascii="宋体" w:hAnsi="宋体" w:eastAsia="宋体"/>
          <w:sz w:val="24"/>
          <w:highlight w:val="none"/>
        </w:rPr>
      </w:pPr>
      <w:r>
        <w:rPr>
          <w:rFonts w:hint="eastAsia" w:ascii="宋体" w:hAnsi="宋体" w:eastAsia="宋体"/>
          <w:sz w:val="24"/>
          <w:highlight w:val="none"/>
        </w:rPr>
        <w:t>15</w:t>
      </w:r>
      <w:r>
        <w:rPr>
          <w:rFonts w:ascii="宋体" w:hAnsi="宋体" w:eastAsia="宋体"/>
          <w:sz w:val="24"/>
          <w:highlight w:val="none"/>
        </w:rPr>
        <w:t>.2.1如本项目使用最低评标价法，提供相同品牌产品的不同投标人以其中通过资格审查、符合性审查</w:t>
      </w:r>
      <w:r>
        <w:rPr>
          <w:rFonts w:hint="eastAsia" w:ascii="宋体" w:hAnsi="宋体" w:eastAsia="宋体"/>
          <w:sz w:val="24"/>
          <w:highlight w:val="none"/>
        </w:rPr>
        <w:t>、</w:t>
      </w:r>
      <w:r>
        <w:rPr>
          <w:rFonts w:hint="eastAsia" w:ascii="宋体" w:hAnsi="宋体" w:eastAsia="宋体" w:cs="Times New Roman"/>
          <w:sz w:val="24"/>
          <w:highlight w:val="none"/>
        </w:rPr>
        <w:t>异常低价投标审查</w:t>
      </w:r>
      <w:r>
        <w:rPr>
          <w:rFonts w:ascii="宋体" w:hAnsi="宋体" w:eastAsia="宋体"/>
          <w:sz w:val="24"/>
          <w:highlight w:val="none"/>
        </w:rPr>
        <w:t>且报价最低的参加评标；报价相同的，由采购人或者采购人委托评标委员会按照招标文件中评标</w:t>
      </w:r>
      <w:r>
        <w:rPr>
          <w:rFonts w:hint="eastAsia" w:ascii="宋体" w:hAnsi="宋体" w:eastAsia="宋体"/>
          <w:sz w:val="24"/>
          <w:highlight w:val="none"/>
        </w:rPr>
        <w:t>方</w:t>
      </w:r>
      <w:r>
        <w:rPr>
          <w:rFonts w:ascii="宋体" w:hAnsi="宋体" w:eastAsia="宋体"/>
          <w:sz w:val="24"/>
          <w:highlight w:val="none"/>
        </w:rPr>
        <w:t>法</w:t>
      </w:r>
      <w:r>
        <w:rPr>
          <w:rFonts w:hint="eastAsia" w:ascii="宋体" w:hAnsi="宋体" w:eastAsia="宋体"/>
          <w:sz w:val="24"/>
          <w:highlight w:val="none"/>
        </w:rPr>
        <w:t>和标准</w:t>
      </w:r>
      <w:r>
        <w:rPr>
          <w:rFonts w:ascii="宋体" w:hAnsi="宋体" w:eastAsia="宋体"/>
          <w:sz w:val="24"/>
          <w:highlight w:val="none"/>
        </w:rPr>
        <w:t>规定的方式确定一个参加评标的投标人；未规定的采取随机抽取方式确定，其他投标将被认定为</w:t>
      </w:r>
      <w:r>
        <w:rPr>
          <w:rFonts w:ascii="宋体" w:hAnsi="宋体" w:eastAsia="宋体"/>
          <w:b/>
          <w:sz w:val="24"/>
          <w:highlight w:val="none"/>
        </w:rPr>
        <w:t>投标无效</w:t>
      </w:r>
      <w:r>
        <w:rPr>
          <w:rFonts w:ascii="宋体" w:hAnsi="宋体" w:eastAsia="宋体"/>
          <w:sz w:val="24"/>
          <w:highlight w:val="none"/>
        </w:rPr>
        <w:t>。</w:t>
      </w:r>
    </w:p>
    <w:p w14:paraId="20D75B6C">
      <w:pPr>
        <w:shd w:val="clear"/>
        <w:spacing w:line="360" w:lineRule="auto"/>
        <w:ind w:firstLine="435"/>
        <w:rPr>
          <w:rFonts w:ascii="宋体" w:hAnsi="宋体" w:eastAsia="宋体"/>
          <w:sz w:val="24"/>
          <w:highlight w:val="none"/>
        </w:rPr>
      </w:pPr>
      <w:r>
        <w:rPr>
          <w:rFonts w:hint="eastAsia" w:ascii="宋体" w:hAnsi="宋体" w:eastAsia="宋体"/>
          <w:sz w:val="24"/>
          <w:highlight w:val="none"/>
        </w:rPr>
        <w:t>15</w:t>
      </w:r>
      <w:r>
        <w:rPr>
          <w:rFonts w:ascii="宋体" w:hAnsi="宋体" w:eastAsia="宋体"/>
          <w:sz w:val="24"/>
          <w:highlight w:val="none"/>
        </w:rPr>
        <w:t>.2.2如本项目使用综合评分法，提供相同品牌产品且通过资格审查、符合性审查</w:t>
      </w:r>
      <w:r>
        <w:rPr>
          <w:rFonts w:hint="eastAsia" w:ascii="宋体" w:hAnsi="宋体" w:eastAsia="宋体"/>
          <w:sz w:val="24"/>
          <w:highlight w:val="none"/>
        </w:rPr>
        <w:t>、</w:t>
      </w:r>
      <w:r>
        <w:rPr>
          <w:rFonts w:hint="eastAsia" w:ascii="宋体" w:hAnsi="宋体" w:eastAsia="宋体" w:cs="Times New Roman"/>
          <w:sz w:val="24"/>
          <w:highlight w:val="none"/>
        </w:rPr>
        <w:t>异常低价投标审查</w:t>
      </w:r>
      <w:r>
        <w:rPr>
          <w:rFonts w:ascii="宋体" w:hAnsi="宋体" w:eastAsia="宋体"/>
          <w:sz w:val="24"/>
          <w:highlight w:val="none"/>
        </w:rPr>
        <w:t>的不同投标人，按一家投标人计算，评审后得分最高的同品牌投标人获得中标人推荐资格；评审得分相同的，由采购人或者采购人委托评标委员会按照招标文件中评标</w:t>
      </w:r>
      <w:r>
        <w:rPr>
          <w:rFonts w:hint="eastAsia" w:ascii="宋体" w:hAnsi="宋体" w:eastAsia="宋体"/>
          <w:sz w:val="24"/>
          <w:highlight w:val="none"/>
        </w:rPr>
        <w:t>方</w:t>
      </w:r>
      <w:r>
        <w:rPr>
          <w:rFonts w:ascii="宋体" w:hAnsi="宋体" w:eastAsia="宋体"/>
          <w:sz w:val="24"/>
          <w:highlight w:val="none"/>
        </w:rPr>
        <w:t>法</w:t>
      </w:r>
      <w:r>
        <w:rPr>
          <w:rFonts w:hint="eastAsia" w:ascii="宋体" w:hAnsi="宋体" w:eastAsia="宋体"/>
          <w:sz w:val="24"/>
          <w:highlight w:val="none"/>
        </w:rPr>
        <w:t>和标准</w:t>
      </w:r>
      <w:r>
        <w:rPr>
          <w:rFonts w:ascii="宋体" w:hAnsi="宋体" w:eastAsia="宋体"/>
          <w:sz w:val="24"/>
          <w:highlight w:val="none"/>
        </w:rPr>
        <w:t>规定的方式确定一个投标人获得中标人推荐资格；未规定的采取随机抽取方式确定，其他同品牌投标人不作为中标候选人。</w:t>
      </w:r>
    </w:p>
    <w:p w14:paraId="10BFB16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15</w:t>
      </w:r>
      <w:r>
        <w:rPr>
          <w:rFonts w:asciiTheme="minorEastAsia" w:hAnsiTheme="minorEastAsia" w:eastAsiaTheme="minorEastAsia"/>
          <w:sz w:val="24"/>
          <w:highlight w:val="none"/>
        </w:rPr>
        <w:t>.3如一个分包内包含多种产品的，采购人或采购代理机构将在</w:t>
      </w:r>
      <w:r>
        <w:rPr>
          <w:rFonts w:hint="eastAsia" w:asciiTheme="minorEastAsia" w:hAnsiTheme="minorEastAsia" w:eastAsiaTheme="minorEastAsia"/>
          <w:sz w:val="24"/>
          <w:highlight w:val="none"/>
        </w:rPr>
        <w:t>采购需求</w:t>
      </w:r>
      <w:r>
        <w:rPr>
          <w:rFonts w:asciiTheme="minorEastAsia" w:hAnsiTheme="minorEastAsia" w:eastAsiaTheme="minorEastAsia"/>
          <w:sz w:val="24"/>
          <w:highlight w:val="none"/>
        </w:rPr>
        <w:t>中载明核心产品，多家投标人提供的核心产品品牌相同的，按第</w:t>
      </w:r>
      <w:r>
        <w:rPr>
          <w:rFonts w:hint="eastAsia" w:asciiTheme="minorEastAsia" w:hAnsiTheme="minorEastAsia" w:eastAsiaTheme="minorEastAsia"/>
          <w:sz w:val="24"/>
          <w:highlight w:val="none"/>
        </w:rPr>
        <w:t>15</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款</w:t>
      </w:r>
      <w:r>
        <w:rPr>
          <w:rFonts w:asciiTheme="minorEastAsia" w:hAnsiTheme="minorEastAsia" w:eastAsiaTheme="minorEastAsia"/>
          <w:sz w:val="24"/>
          <w:highlight w:val="none"/>
        </w:rPr>
        <w:t>规定处理。</w:t>
      </w:r>
    </w:p>
    <w:p w14:paraId="3AC51D05">
      <w:pPr>
        <w:shd w:val="clear"/>
        <w:spacing w:line="360" w:lineRule="auto"/>
        <w:ind w:firstLine="435"/>
        <w:rPr>
          <w:rFonts w:ascii="宋体" w:hAnsi="宋体" w:eastAsia="宋体"/>
          <w:sz w:val="24"/>
          <w:highlight w:val="none"/>
        </w:rPr>
      </w:pPr>
      <w:r>
        <w:rPr>
          <w:rFonts w:hint="eastAsia" w:ascii="宋体" w:hAnsi="宋体" w:eastAsia="宋体"/>
          <w:sz w:val="24"/>
          <w:highlight w:val="none"/>
        </w:rPr>
        <w:t>15</w:t>
      </w:r>
      <w:r>
        <w:rPr>
          <w:rFonts w:ascii="宋体" w:hAnsi="宋体" w:eastAsia="宋体"/>
          <w:sz w:val="24"/>
          <w:highlight w:val="none"/>
        </w:rPr>
        <w:t>.4</w:t>
      </w:r>
      <w:r>
        <w:rPr>
          <w:rFonts w:hint="eastAsia" w:ascii="宋体" w:hAnsi="宋体" w:eastAsia="宋体"/>
          <w:sz w:val="24"/>
          <w:highlight w:val="none"/>
        </w:rPr>
        <w:t>投标文件的澄清</w:t>
      </w:r>
    </w:p>
    <w:p w14:paraId="1B14E300">
      <w:pPr>
        <w:shd w:val="clear"/>
        <w:spacing w:line="360" w:lineRule="auto"/>
        <w:ind w:firstLine="435"/>
        <w:rPr>
          <w:rFonts w:ascii="宋体" w:hAnsi="宋体" w:eastAsia="宋体"/>
          <w:sz w:val="24"/>
          <w:highlight w:val="none"/>
        </w:rPr>
      </w:pPr>
      <w:r>
        <w:rPr>
          <w:rFonts w:hint="eastAsia" w:ascii="宋体" w:hAnsi="宋体" w:eastAsia="宋体"/>
          <w:sz w:val="24"/>
          <w:highlight w:val="none"/>
        </w:rPr>
        <w:t>15</w:t>
      </w:r>
      <w:r>
        <w:rPr>
          <w:rFonts w:ascii="宋体" w:hAnsi="宋体" w:eastAsia="宋体"/>
          <w:sz w:val="24"/>
          <w:highlight w:val="none"/>
        </w:rPr>
        <w:t>.4.1为有助于投标</w:t>
      </w:r>
      <w:r>
        <w:rPr>
          <w:rFonts w:hint="eastAsia" w:ascii="宋体" w:hAnsi="宋体" w:eastAsia="宋体"/>
          <w:sz w:val="24"/>
          <w:highlight w:val="none"/>
        </w:rPr>
        <w:t>文件</w:t>
      </w:r>
      <w:r>
        <w:rPr>
          <w:rFonts w:ascii="宋体" w:hAnsi="宋体" w:eastAsia="宋体"/>
          <w:sz w:val="24"/>
          <w:highlight w:val="none"/>
        </w:rPr>
        <w:t>的审查、评价和比较，在评标期间，评标委员会将以书面</w:t>
      </w:r>
      <w:r>
        <w:rPr>
          <w:rFonts w:hint="eastAsia" w:ascii="宋体" w:hAnsi="宋体" w:eastAsia="宋体"/>
          <w:sz w:val="24"/>
          <w:highlight w:val="none"/>
        </w:rPr>
        <w:t>方式（询标）</w:t>
      </w:r>
      <w:r>
        <w:rPr>
          <w:rFonts w:ascii="宋体" w:hAnsi="宋体" w:eastAsia="宋体"/>
          <w:sz w:val="24"/>
          <w:highlight w:val="none"/>
        </w:rPr>
        <w:t>要求投标人对其投标文件中含义不明确、对同类问题表述不一致或者有明显文字和计算错误的内容</w:t>
      </w:r>
      <w:r>
        <w:rPr>
          <w:rFonts w:hint="eastAsia" w:ascii="宋体" w:hAnsi="宋体" w:eastAsia="宋体"/>
          <w:sz w:val="24"/>
          <w:highlight w:val="none"/>
        </w:rPr>
        <w:t>等</w:t>
      </w:r>
      <w:r>
        <w:rPr>
          <w:rFonts w:ascii="宋体" w:hAnsi="宋体" w:eastAsia="宋体"/>
          <w:sz w:val="24"/>
          <w:highlight w:val="none"/>
        </w:rPr>
        <w:t>作必要的澄清、说明或补正。投标人的澄清、说明或补正应在</w:t>
      </w:r>
      <w:r>
        <w:rPr>
          <w:rFonts w:hint="eastAsia" w:ascii="宋体" w:hAnsi="宋体" w:eastAsia="宋体"/>
          <w:sz w:val="24"/>
          <w:highlight w:val="none"/>
          <w:u w:val="single"/>
        </w:rPr>
        <w:t>投标人须知前附表</w:t>
      </w:r>
      <w:r>
        <w:rPr>
          <w:rFonts w:ascii="宋体" w:hAnsi="宋体" w:eastAsia="宋体"/>
          <w:sz w:val="24"/>
          <w:highlight w:val="none"/>
        </w:rPr>
        <w:t>规定的时间内以书面</w:t>
      </w:r>
      <w:r>
        <w:rPr>
          <w:rFonts w:hint="eastAsia" w:ascii="宋体" w:hAnsi="宋体" w:eastAsia="宋体"/>
          <w:sz w:val="24"/>
          <w:highlight w:val="none"/>
        </w:rPr>
        <w:t>方式</w:t>
      </w:r>
      <w:r>
        <w:rPr>
          <w:rFonts w:ascii="宋体" w:hAnsi="宋体" w:eastAsia="宋体"/>
          <w:sz w:val="24"/>
          <w:highlight w:val="none"/>
        </w:rPr>
        <w:t>进行，并不得超出投标文件范围或者改变投标文件的实质性内容。</w:t>
      </w:r>
    </w:p>
    <w:p w14:paraId="13B7E947">
      <w:pPr>
        <w:shd w:val="clear"/>
        <w:spacing w:line="360" w:lineRule="auto"/>
        <w:ind w:firstLine="435"/>
        <w:rPr>
          <w:rFonts w:ascii="宋体" w:hAnsi="宋体" w:eastAsia="宋体"/>
          <w:sz w:val="24"/>
          <w:highlight w:val="none"/>
        </w:rPr>
      </w:pPr>
      <w:r>
        <w:rPr>
          <w:rFonts w:hint="eastAsia" w:ascii="宋体" w:hAnsi="宋体" w:eastAsia="宋体"/>
          <w:sz w:val="24"/>
          <w:highlight w:val="none"/>
        </w:rPr>
        <w:t>如有询标，投标人授权代表（或法定代表人）可通过远程登录的方式接受网上询标，也可凭本人有效身份证明参加询标。因投标人授权代表联系不上、没有及时登录系统等情形而无法接受评标委员会询标的，投标人自行承担相关风险。</w:t>
      </w:r>
    </w:p>
    <w:p w14:paraId="2A1124F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15.</w:t>
      </w:r>
      <w:r>
        <w:rPr>
          <w:rFonts w:asciiTheme="minorEastAsia" w:hAnsiTheme="minorEastAsia" w:eastAsiaTheme="minorEastAsia"/>
          <w:sz w:val="24"/>
          <w:highlight w:val="none"/>
        </w:rPr>
        <w:t>4.2</w:t>
      </w:r>
      <w:r>
        <w:rPr>
          <w:rFonts w:hint="eastAsia" w:asciiTheme="minorEastAsia" w:hAnsiTheme="minorEastAsia" w:eastAsiaTheme="minorEastAsia"/>
          <w:sz w:val="24"/>
          <w:highlight w:val="none"/>
        </w:rPr>
        <w:t>投标人的澄清、说明或补正将作为投标文件的一部分。</w:t>
      </w:r>
    </w:p>
    <w:p w14:paraId="20B82998">
      <w:pPr>
        <w:shd w:val="clear"/>
        <w:spacing w:line="360" w:lineRule="auto"/>
        <w:ind w:firstLine="435"/>
        <w:rPr>
          <w:rFonts w:ascii="宋体" w:hAnsi="宋体" w:eastAsia="宋体"/>
          <w:sz w:val="24"/>
          <w:highlight w:val="none"/>
        </w:rPr>
      </w:pPr>
      <w:r>
        <w:rPr>
          <w:rFonts w:hint="eastAsia" w:ascii="宋体" w:hAnsi="宋体" w:eastAsia="宋体"/>
          <w:sz w:val="24"/>
          <w:highlight w:val="none"/>
        </w:rPr>
        <w:t>15.</w:t>
      </w:r>
      <w:r>
        <w:rPr>
          <w:rFonts w:ascii="宋体" w:hAnsi="宋体" w:eastAsia="宋体"/>
          <w:sz w:val="24"/>
          <w:highlight w:val="none"/>
        </w:rPr>
        <w:t>4.3评标委员会对投标人提交的澄清、说明或补正有疑问的，可以要求投标人进一步澄清、说明或补正，直至满足评标委员会的要求。</w:t>
      </w:r>
    </w:p>
    <w:p w14:paraId="1668303C">
      <w:pPr>
        <w:shd w:val="clear"/>
        <w:spacing w:line="360" w:lineRule="auto"/>
        <w:ind w:firstLine="435"/>
        <w:rPr>
          <w:rFonts w:ascii="宋体" w:hAnsi="宋体" w:eastAsia="宋体"/>
          <w:sz w:val="24"/>
          <w:highlight w:val="none"/>
        </w:rPr>
      </w:pPr>
      <w:r>
        <w:rPr>
          <w:rFonts w:hint="eastAsia" w:ascii="宋体" w:hAnsi="宋体" w:eastAsia="宋体"/>
          <w:sz w:val="24"/>
          <w:highlight w:val="none"/>
        </w:rPr>
        <w:t>15.</w:t>
      </w:r>
      <w:r>
        <w:rPr>
          <w:rFonts w:ascii="宋体" w:hAnsi="宋体" w:eastAsia="宋体"/>
          <w:sz w:val="24"/>
          <w:highlight w:val="none"/>
        </w:rPr>
        <w:t>5投标文件报价出现前后不一致的，按照下列规定修正：</w:t>
      </w:r>
    </w:p>
    <w:p w14:paraId="5A45EFDF">
      <w:pPr>
        <w:shd w:val="clear"/>
        <w:spacing w:line="360" w:lineRule="auto"/>
        <w:ind w:firstLine="435"/>
        <w:rPr>
          <w:rFonts w:ascii="宋体" w:hAnsi="宋体" w:eastAsia="宋体"/>
          <w:sz w:val="24"/>
          <w:highlight w:val="none"/>
        </w:rPr>
      </w:pPr>
      <w:r>
        <w:rPr>
          <w:rFonts w:ascii="宋体" w:hAnsi="宋体" w:eastAsia="宋体"/>
          <w:sz w:val="24"/>
          <w:highlight w:val="none"/>
        </w:rPr>
        <w:t>（</w:t>
      </w:r>
      <w:r>
        <w:rPr>
          <w:rFonts w:hint="eastAsia" w:ascii="宋体" w:hAnsi="宋体" w:eastAsia="宋体"/>
          <w:sz w:val="24"/>
          <w:highlight w:val="none"/>
        </w:rPr>
        <w:t>1</w:t>
      </w:r>
      <w:r>
        <w:rPr>
          <w:rFonts w:ascii="宋体" w:hAnsi="宋体" w:eastAsia="宋体"/>
          <w:sz w:val="24"/>
          <w:highlight w:val="none"/>
        </w:rPr>
        <w:t>）投标文件中开标一览表内容与投标文件中相应内容不一致的，以开标一览表为准；</w:t>
      </w:r>
    </w:p>
    <w:p w14:paraId="3DD6BC84">
      <w:pPr>
        <w:shd w:val="clear"/>
        <w:spacing w:line="360" w:lineRule="auto"/>
        <w:ind w:firstLine="435"/>
        <w:rPr>
          <w:rFonts w:ascii="宋体" w:hAnsi="宋体" w:eastAsia="宋体"/>
          <w:sz w:val="24"/>
          <w:highlight w:val="none"/>
        </w:rPr>
      </w:pPr>
      <w:r>
        <w:rPr>
          <w:rFonts w:ascii="宋体" w:hAnsi="宋体" w:eastAsia="宋体"/>
          <w:sz w:val="24"/>
          <w:highlight w:val="none"/>
        </w:rPr>
        <w:t>（</w:t>
      </w:r>
      <w:r>
        <w:rPr>
          <w:rFonts w:hint="eastAsia" w:ascii="宋体" w:hAnsi="宋体" w:eastAsia="宋体"/>
          <w:sz w:val="24"/>
          <w:highlight w:val="none"/>
        </w:rPr>
        <w:t>2</w:t>
      </w:r>
      <w:r>
        <w:rPr>
          <w:rFonts w:ascii="宋体" w:hAnsi="宋体" w:eastAsia="宋体"/>
          <w:sz w:val="24"/>
          <w:highlight w:val="none"/>
        </w:rPr>
        <w:t>）大写金额和小写金额不一致的，以大写金额为准；</w:t>
      </w:r>
    </w:p>
    <w:p w14:paraId="0C911C7E">
      <w:pPr>
        <w:shd w:val="clear"/>
        <w:spacing w:line="360" w:lineRule="auto"/>
        <w:ind w:firstLine="435"/>
        <w:rPr>
          <w:rFonts w:ascii="宋体" w:hAnsi="宋体" w:eastAsia="宋体"/>
          <w:sz w:val="24"/>
          <w:highlight w:val="none"/>
        </w:rPr>
      </w:pPr>
      <w:r>
        <w:rPr>
          <w:rFonts w:ascii="宋体" w:hAnsi="宋体" w:eastAsia="宋体"/>
          <w:sz w:val="24"/>
          <w:highlight w:val="none"/>
        </w:rPr>
        <w:t>（</w:t>
      </w:r>
      <w:r>
        <w:rPr>
          <w:rFonts w:hint="eastAsia" w:ascii="宋体" w:hAnsi="宋体" w:eastAsia="宋体"/>
          <w:sz w:val="24"/>
          <w:highlight w:val="none"/>
        </w:rPr>
        <w:t>3</w:t>
      </w:r>
      <w:r>
        <w:rPr>
          <w:rFonts w:ascii="宋体" w:hAnsi="宋体" w:eastAsia="宋体"/>
          <w:sz w:val="24"/>
          <w:highlight w:val="none"/>
        </w:rPr>
        <w:t>）单价金额小数点或者百分比有明显错位的，以开标一览表的总价为准，并修改单价；</w:t>
      </w:r>
    </w:p>
    <w:p w14:paraId="29D58767">
      <w:pPr>
        <w:shd w:val="clear"/>
        <w:spacing w:line="360" w:lineRule="auto"/>
        <w:ind w:firstLine="435"/>
        <w:rPr>
          <w:rFonts w:ascii="宋体" w:hAnsi="宋体" w:eastAsia="宋体"/>
          <w:sz w:val="24"/>
          <w:highlight w:val="none"/>
        </w:rPr>
      </w:pPr>
      <w:r>
        <w:rPr>
          <w:rFonts w:ascii="宋体" w:hAnsi="宋体" w:eastAsia="宋体"/>
          <w:sz w:val="24"/>
          <w:highlight w:val="none"/>
        </w:rPr>
        <w:t>（</w:t>
      </w:r>
      <w:r>
        <w:rPr>
          <w:rFonts w:hint="eastAsia" w:ascii="宋体" w:hAnsi="宋体" w:eastAsia="宋体"/>
          <w:sz w:val="24"/>
          <w:highlight w:val="none"/>
        </w:rPr>
        <w:t>4</w:t>
      </w:r>
      <w:r>
        <w:rPr>
          <w:rFonts w:ascii="宋体" w:hAnsi="宋体" w:eastAsia="宋体"/>
          <w:sz w:val="24"/>
          <w:highlight w:val="none"/>
        </w:rPr>
        <w:t>）总价金额与按单价汇总金额不一致的，以单价金额计算结果为准。</w:t>
      </w:r>
    </w:p>
    <w:p w14:paraId="1FB71949">
      <w:pPr>
        <w:shd w:val="clear"/>
        <w:spacing w:line="360" w:lineRule="auto"/>
        <w:ind w:firstLine="435"/>
        <w:rPr>
          <w:rFonts w:ascii="宋体" w:hAnsi="宋体" w:eastAsia="宋体"/>
          <w:sz w:val="24"/>
          <w:highlight w:val="none"/>
        </w:rPr>
      </w:pPr>
      <w:r>
        <w:rPr>
          <w:rFonts w:ascii="宋体" w:hAnsi="宋体" w:eastAsia="宋体"/>
          <w:sz w:val="24"/>
          <w:highlight w:val="none"/>
        </w:rPr>
        <w:t>同时出现两种以上不一致的，按照前款规定的顺序修正。修正后的报价按照第</w:t>
      </w:r>
      <w:r>
        <w:rPr>
          <w:rFonts w:hint="eastAsia" w:ascii="宋体" w:hAnsi="宋体" w:eastAsia="宋体"/>
          <w:sz w:val="24"/>
          <w:highlight w:val="none"/>
        </w:rPr>
        <w:t>15.</w:t>
      </w:r>
      <w:r>
        <w:rPr>
          <w:rFonts w:ascii="宋体" w:hAnsi="宋体" w:eastAsia="宋体"/>
          <w:sz w:val="24"/>
          <w:highlight w:val="none"/>
        </w:rPr>
        <w:t>4</w:t>
      </w:r>
      <w:r>
        <w:rPr>
          <w:rFonts w:hint="eastAsia" w:ascii="宋体" w:hAnsi="宋体" w:eastAsia="宋体"/>
          <w:sz w:val="24"/>
          <w:highlight w:val="none"/>
        </w:rPr>
        <w:t>款</w:t>
      </w:r>
      <w:r>
        <w:rPr>
          <w:rFonts w:ascii="宋体" w:hAnsi="宋体" w:eastAsia="宋体"/>
          <w:sz w:val="24"/>
          <w:highlight w:val="none"/>
        </w:rPr>
        <w:t>的规定经投标人确认后产生约束力，投标人不确认的，其投标将被认定为</w:t>
      </w:r>
      <w:r>
        <w:rPr>
          <w:rFonts w:ascii="宋体" w:hAnsi="宋体" w:eastAsia="宋体"/>
          <w:b/>
          <w:sz w:val="24"/>
          <w:highlight w:val="none"/>
        </w:rPr>
        <w:t>投标无效</w:t>
      </w:r>
      <w:r>
        <w:rPr>
          <w:rFonts w:ascii="宋体" w:hAnsi="宋体" w:eastAsia="宋体"/>
          <w:sz w:val="24"/>
          <w:highlight w:val="none"/>
        </w:rPr>
        <w:t>。</w:t>
      </w:r>
    </w:p>
    <w:p w14:paraId="45727384">
      <w:pPr>
        <w:shd w:val="clear"/>
        <w:spacing w:line="360" w:lineRule="auto"/>
        <w:ind w:firstLine="435"/>
        <w:rPr>
          <w:rFonts w:asciiTheme="minorEastAsia" w:hAnsiTheme="minorEastAsia" w:eastAsiaTheme="minorEastAsia"/>
          <w:b/>
          <w:sz w:val="24"/>
          <w:highlight w:val="none"/>
        </w:rPr>
      </w:pPr>
      <w:r>
        <w:rPr>
          <w:rFonts w:hint="eastAsia" w:asciiTheme="minorEastAsia" w:hAnsiTheme="minorEastAsia" w:eastAsiaTheme="minorEastAsia"/>
          <w:sz w:val="24"/>
          <w:highlight w:val="none"/>
        </w:rPr>
        <w:t>对不同文字文本投标文件的解释发生异议的，以中文文本为准。</w:t>
      </w:r>
    </w:p>
    <w:p w14:paraId="7CAFD645">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16.投标无效</w:t>
      </w:r>
    </w:p>
    <w:p w14:paraId="0B4310A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16.</w:t>
      </w:r>
      <w:r>
        <w:rPr>
          <w:rFonts w:asciiTheme="minorEastAsia" w:hAnsiTheme="minorEastAsia" w:eastAsiaTheme="minorEastAsia"/>
          <w:sz w:val="24"/>
          <w:highlight w:val="none"/>
        </w:rPr>
        <w:t>1根据本</w:t>
      </w:r>
      <w:r>
        <w:rPr>
          <w:rFonts w:hint="eastAsia" w:asciiTheme="minorEastAsia" w:hAnsiTheme="minorEastAsia" w:eastAsiaTheme="minorEastAsia"/>
          <w:sz w:val="24"/>
          <w:highlight w:val="none"/>
        </w:rPr>
        <w:t>招标文件</w:t>
      </w:r>
      <w:r>
        <w:rPr>
          <w:rFonts w:asciiTheme="minorEastAsia" w:hAnsiTheme="minorEastAsia" w:eastAsiaTheme="minorEastAsia"/>
          <w:sz w:val="24"/>
          <w:highlight w:val="none"/>
        </w:rPr>
        <w:t>的规定，评标委员会要审查每份投标文件是否实质上响应了招标文件的要求。投标人不得通过修正或撤销不符合要求的偏离，从而使其投标成为实质上响应的投标。</w:t>
      </w:r>
    </w:p>
    <w:p w14:paraId="482CA25D">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评标委员会决定投标的响应性只根据招标文件要求和投标文件内容。</w:t>
      </w:r>
    </w:p>
    <w:p w14:paraId="15BA0AD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无论何种原因，即使投标人投标时携带了证书材料的原件，但投标文件中未提供与之内容完全一致的扫描件的，评标委员会视同其未提供。</w:t>
      </w:r>
    </w:p>
    <w:p w14:paraId="2BBE37EE">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16.</w:t>
      </w:r>
      <w:r>
        <w:rPr>
          <w:rFonts w:asciiTheme="minorEastAsia" w:hAnsiTheme="minorEastAsia" w:eastAsiaTheme="minorEastAsia"/>
          <w:sz w:val="24"/>
          <w:highlight w:val="none"/>
        </w:rPr>
        <w:t>2如发现下列情况之一的，其投标将被认定为</w:t>
      </w:r>
      <w:r>
        <w:rPr>
          <w:rFonts w:asciiTheme="minorEastAsia" w:hAnsiTheme="minorEastAsia" w:eastAsiaTheme="minorEastAsia"/>
          <w:b/>
          <w:sz w:val="24"/>
          <w:highlight w:val="none"/>
        </w:rPr>
        <w:t>投标无效</w:t>
      </w:r>
      <w:r>
        <w:rPr>
          <w:rFonts w:asciiTheme="minorEastAsia" w:hAnsiTheme="minorEastAsia" w:eastAsiaTheme="minorEastAsia"/>
          <w:sz w:val="24"/>
          <w:highlight w:val="none"/>
        </w:rPr>
        <w:t>：</w:t>
      </w:r>
    </w:p>
    <w:p w14:paraId="66328267">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1）投标文件未按照招标文件规定要求签署、盖章的；</w:t>
      </w:r>
    </w:p>
    <w:p w14:paraId="27075D2F">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2）不具备招标文件中规定的资格要求的；</w:t>
      </w:r>
    </w:p>
    <w:p w14:paraId="59C0C8A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3）报价超过招标文件中规定的预算金额或者最高限价的；</w:t>
      </w:r>
    </w:p>
    <w:p w14:paraId="4BEDABAD">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4）投标文件含有采购人不能接受的附加条件的；</w:t>
      </w:r>
    </w:p>
    <w:p w14:paraId="755B073D">
      <w:pPr>
        <w:shd w:val="clear"/>
        <w:spacing w:line="360" w:lineRule="auto"/>
        <w:ind w:firstLine="435"/>
        <w:rPr>
          <w:rFonts w:ascii="宋体" w:hAnsi="宋体" w:eastAsia="宋体"/>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5）法律、法规和招标文件规定的其他无效情形。</w:t>
      </w:r>
    </w:p>
    <w:p w14:paraId="7B4BAE0D">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17.比较与评价</w:t>
      </w:r>
    </w:p>
    <w:p w14:paraId="26847909">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17.1经符合性审查合格</w:t>
      </w:r>
      <w:r>
        <w:rPr>
          <w:rFonts w:hint="eastAsia" w:ascii="宋体" w:hAnsi="宋体" w:eastAsia="宋体" w:cs="Times New Roman"/>
          <w:sz w:val="24"/>
          <w:highlight w:val="none"/>
        </w:rPr>
        <w:t>并通过异常低价投标审查</w:t>
      </w:r>
      <w:r>
        <w:rPr>
          <w:rFonts w:hint="eastAsia" w:asciiTheme="minorEastAsia" w:hAnsiTheme="minorEastAsia" w:eastAsiaTheme="minorEastAsia"/>
          <w:sz w:val="24"/>
          <w:highlight w:val="none"/>
        </w:rPr>
        <w:t>的投标文件，评标委员会将根据招标文件确定的评标方法和标准，对其投标文件作进一步的比较与评价。</w:t>
      </w:r>
    </w:p>
    <w:p w14:paraId="656220CF">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17.2评标严格按照</w:t>
      </w:r>
      <w:r>
        <w:rPr>
          <w:rFonts w:hint="eastAsia" w:ascii="宋体" w:hAnsi="宋体" w:eastAsia="宋体"/>
          <w:sz w:val="24"/>
          <w:highlight w:val="none"/>
        </w:rPr>
        <w:t>招标文件</w:t>
      </w:r>
      <w:r>
        <w:rPr>
          <w:rFonts w:hint="eastAsia" w:asciiTheme="minorEastAsia" w:hAnsiTheme="minorEastAsia" w:eastAsiaTheme="minorEastAsia"/>
          <w:sz w:val="24"/>
          <w:highlight w:val="none"/>
        </w:rPr>
        <w:t>的要求和条件进行。根据实际情况，在</w:t>
      </w:r>
      <w:r>
        <w:rPr>
          <w:rFonts w:hint="eastAsia" w:asciiTheme="minorEastAsia" w:hAnsiTheme="minorEastAsia" w:eastAsiaTheme="minorEastAsia"/>
          <w:sz w:val="24"/>
          <w:highlight w:val="none"/>
          <w:u w:val="single"/>
        </w:rPr>
        <w:t>投标人须知前附表</w:t>
      </w:r>
      <w:r>
        <w:rPr>
          <w:rFonts w:hint="eastAsia" w:asciiTheme="minorEastAsia" w:hAnsiTheme="minorEastAsia" w:eastAsiaTheme="minorEastAsia"/>
          <w:sz w:val="24"/>
          <w:highlight w:val="none"/>
        </w:rPr>
        <w:t>中规定采用下列一种评标方法，详细评标方法和标准见招标文件第四章：</w:t>
      </w:r>
    </w:p>
    <w:p w14:paraId="7DA9149C">
      <w:pPr>
        <w:shd w:val="clear"/>
        <w:spacing w:line="360" w:lineRule="auto"/>
        <w:ind w:firstLine="435"/>
        <w:rPr>
          <w:rFonts w:ascii="宋体" w:hAnsi="宋体" w:eastAsia="宋体"/>
          <w:sz w:val="24"/>
          <w:highlight w:val="none"/>
        </w:rPr>
      </w:pPr>
      <w:r>
        <w:rPr>
          <w:rFonts w:hint="eastAsia" w:asciiTheme="minorEastAsia" w:hAnsiTheme="minorEastAsia" w:eastAsiaTheme="minorEastAsia"/>
          <w:sz w:val="24"/>
          <w:highlight w:val="none"/>
        </w:rPr>
        <w:t>（</w:t>
      </w:r>
      <w:r>
        <w:rPr>
          <w:rFonts w:hint="eastAsia" w:ascii="宋体" w:hAnsi="宋体" w:eastAsia="宋体"/>
          <w:sz w:val="24"/>
          <w:highlight w:val="none"/>
        </w:rPr>
        <w:t>1）最低评标价法，是指</w:t>
      </w:r>
      <w:r>
        <w:rPr>
          <w:rFonts w:ascii="宋体" w:hAnsi="宋体" w:eastAsia="宋体"/>
          <w:sz w:val="24"/>
          <w:highlight w:val="none"/>
        </w:rPr>
        <w:t>投标文件满足招标文件全部实质性要求</w:t>
      </w:r>
      <w:r>
        <w:rPr>
          <w:rFonts w:hint="eastAsia" w:ascii="宋体" w:hAnsi="宋体" w:eastAsia="宋体"/>
          <w:sz w:val="24"/>
          <w:highlight w:val="none"/>
        </w:rPr>
        <w:t>，</w:t>
      </w:r>
      <w:r>
        <w:rPr>
          <w:rFonts w:ascii="宋体" w:hAnsi="宋体" w:eastAsia="宋体"/>
          <w:sz w:val="24"/>
          <w:highlight w:val="none"/>
        </w:rPr>
        <w:t>且投标报价最低的</w:t>
      </w:r>
      <w:r>
        <w:rPr>
          <w:rFonts w:hint="eastAsia" w:ascii="宋体" w:hAnsi="宋体" w:eastAsia="宋体"/>
          <w:sz w:val="24"/>
          <w:highlight w:val="none"/>
        </w:rPr>
        <w:t>投标人</w:t>
      </w:r>
      <w:r>
        <w:rPr>
          <w:rFonts w:ascii="宋体" w:hAnsi="宋体" w:eastAsia="宋体"/>
          <w:sz w:val="24"/>
          <w:highlight w:val="none"/>
        </w:rPr>
        <w:t>为中标</w:t>
      </w:r>
      <w:r>
        <w:rPr>
          <w:rFonts w:hint="eastAsia" w:ascii="宋体" w:hAnsi="宋体" w:eastAsia="宋体"/>
          <w:sz w:val="24"/>
          <w:highlight w:val="none"/>
        </w:rPr>
        <w:t>候选</w:t>
      </w:r>
      <w:r>
        <w:rPr>
          <w:rFonts w:ascii="宋体" w:hAnsi="宋体" w:eastAsia="宋体"/>
          <w:sz w:val="24"/>
          <w:highlight w:val="none"/>
        </w:rPr>
        <w:t>人的评标方法</w:t>
      </w:r>
      <w:r>
        <w:rPr>
          <w:rFonts w:hint="eastAsia" w:ascii="宋体" w:hAnsi="宋体" w:eastAsia="宋体"/>
          <w:sz w:val="24"/>
          <w:highlight w:val="none"/>
        </w:rPr>
        <w:t>。</w:t>
      </w:r>
    </w:p>
    <w:p w14:paraId="217638CB">
      <w:pPr>
        <w:shd w:val="clear"/>
        <w:spacing w:line="360" w:lineRule="auto"/>
        <w:ind w:firstLine="435"/>
        <w:rPr>
          <w:rFonts w:ascii="宋体" w:hAnsi="宋体" w:eastAsia="宋体"/>
          <w:sz w:val="24"/>
          <w:highlight w:val="none"/>
        </w:rPr>
      </w:pPr>
      <w:r>
        <w:rPr>
          <w:rFonts w:hint="eastAsia" w:ascii="宋体" w:hAnsi="宋体" w:eastAsia="宋体"/>
          <w:sz w:val="24"/>
          <w:highlight w:val="none"/>
        </w:rPr>
        <w:t>（2）综合评分法，是</w:t>
      </w:r>
      <w:r>
        <w:rPr>
          <w:rFonts w:ascii="宋体" w:hAnsi="宋体" w:eastAsia="宋体"/>
          <w:sz w:val="24"/>
          <w:highlight w:val="none"/>
        </w:rPr>
        <w:t>指投标文件满足招标</w:t>
      </w:r>
      <w:r>
        <w:rPr>
          <w:rFonts w:hint="eastAsia" w:ascii="宋体" w:hAnsi="宋体" w:eastAsia="宋体"/>
          <w:sz w:val="24"/>
          <w:highlight w:val="none"/>
        </w:rPr>
        <w:t>文件</w:t>
      </w:r>
      <w:r>
        <w:rPr>
          <w:rFonts w:ascii="宋体" w:hAnsi="宋体" w:eastAsia="宋体"/>
          <w:sz w:val="24"/>
          <w:highlight w:val="none"/>
        </w:rPr>
        <w:t>全部实质性要求</w:t>
      </w:r>
      <w:r>
        <w:rPr>
          <w:rFonts w:hint="eastAsia" w:ascii="宋体" w:hAnsi="宋体" w:eastAsia="宋体"/>
          <w:sz w:val="24"/>
          <w:highlight w:val="none"/>
        </w:rPr>
        <w:t>，</w:t>
      </w:r>
      <w:r>
        <w:rPr>
          <w:rFonts w:ascii="宋体" w:hAnsi="宋体" w:eastAsia="宋体"/>
          <w:sz w:val="24"/>
          <w:highlight w:val="none"/>
        </w:rPr>
        <w:t>且按照评审因素的</w:t>
      </w:r>
      <w:r>
        <w:rPr>
          <w:rFonts w:hint="eastAsia" w:ascii="宋体" w:hAnsi="宋体" w:eastAsia="宋体"/>
          <w:sz w:val="24"/>
          <w:highlight w:val="none"/>
        </w:rPr>
        <w:t>量化</w:t>
      </w:r>
      <w:r>
        <w:rPr>
          <w:rFonts w:ascii="宋体" w:hAnsi="宋体" w:eastAsia="宋体"/>
          <w:sz w:val="24"/>
          <w:highlight w:val="none"/>
        </w:rPr>
        <w:t>指标评审得分最高的</w:t>
      </w:r>
      <w:r>
        <w:rPr>
          <w:rFonts w:hint="eastAsia" w:ascii="宋体" w:hAnsi="宋体" w:eastAsia="宋体"/>
          <w:sz w:val="24"/>
          <w:highlight w:val="none"/>
        </w:rPr>
        <w:t>投标人</w:t>
      </w:r>
      <w:r>
        <w:rPr>
          <w:rFonts w:ascii="宋体" w:hAnsi="宋体" w:eastAsia="宋体"/>
          <w:sz w:val="24"/>
          <w:highlight w:val="none"/>
        </w:rPr>
        <w:t>为中标候选人的评标方法。</w:t>
      </w:r>
    </w:p>
    <w:p w14:paraId="7F8A2195">
      <w:pPr>
        <w:shd w:val="clear"/>
        <w:adjustRightInd w:val="0"/>
        <w:snapToGrid w:val="0"/>
        <w:spacing w:line="360" w:lineRule="auto"/>
        <w:ind w:firstLine="480" w:firstLineChars="200"/>
        <w:rPr>
          <w:rFonts w:ascii="宋体" w:hAnsi="宋体" w:eastAsia="宋体"/>
          <w:sz w:val="24"/>
          <w:highlight w:val="none"/>
        </w:rPr>
      </w:pPr>
      <w:r>
        <w:rPr>
          <w:rFonts w:hint="eastAsia" w:ascii="宋体" w:hAnsi="宋体" w:eastAsia="宋体"/>
          <w:sz w:val="24"/>
          <w:highlight w:val="none"/>
        </w:rPr>
        <w:t>17.</w:t>
      </w:r>
      <w:r>
        <w:rPr>
          <w:rFonts w:ascii="宋体" w:hAnsi="宋体" w:eastAsia="宋体"/>
          <w:sz w:val="24"/>
          <w:highlight w:val="none"/>
        </w:rPr>
        <w:t>3根据《政府采购促进中小企业发展管理办法》（财库〔2020〕46号）、《三部门联合发布关于促进残疾人就业政府采购政策的通知》（财库〔2017〕141号）和《财政部司法部关于政府采购支持监狱企业发展有关问题的通知》（财库〔2014〕68号）的规定，对满足价格扣除条件且在投标文件中提交了《中小企业声明函》、《残疾人福利性单位声明函》或省级以上监狱管理局、戒毒管理局（含新疆生产建设兵团）出具的属于监狱企业的证明文件的投标人，其投标报价按照</w:t>
      </w:r>
      <w:r>
        <w:rPr>
          <w:rFonts w:ascii="宋体" w:hAnsi="宋体" w:eastAsia="宋体"/>
          <w:sz w:val="24"/>
          <w:highlight w:val="none"/>
          <w:u w:val="single"/>
        </w:rPr>
        <w:t>投标人须知前附表</w:t>
      </w:r>
      <w:r>
        <w:rPr>
          <w:rFonts w:ascii="宋体" w:hAnsi="宋体" w:eastAsia="宋体"/>
          <w:sz w:val="24"/>
          <w:highlight w:val="none"/>
        </w:rPr>
        <w:t>中规定的标准扣除后的价格参与评审。对于同时属于小微企</w:t>
      </w:r>
      <w:r>
        <w:rPr>
          <w:rFonts w:hint="eastAsia" w:ascii="宋体" w:hAnsi="宋体" w:eastAsia="宋体"/>
          <w:sz w:val="24"/>
          <w:highlight w:val="none"/>
        </w:rPr>
        <w:t>业、监狱企业或残疾人福利性单位的，不重复进行投标报价扣除。</w:t>
      </w:r>
    </w:p>
    <w:p w14:paraId="405BDA3E">
      <w:pPr>
        <w:shd w:val="clear"/>
        <w:adjustRightInd w:val="0"/>
        <w:snapToGrid w:val="0"/>
        <w:spacing w:line="360" w:lineRule="auto"/>
        <w:ind w:firstLine="480" w:firstLineChars="200"/>
        <w:rPr>
          <w:rFonts w:ascii="宋体" w:hAnsi="宋体" w:eastAsia="宋体"/>
          <w:sz w:val="24"/>
          <w:highlight w:val="none"/>
        </w:rPr>
      </w:pPr>
      <w:r>
        <w:rPr>
          <w:rFonts w:hint="eastAsia" w:ascii="宋体" w:hAnsi="宋体" w:eastAsia="宋体"/>
          <w:sz w:val="24"/>
          <w:highlight w:val="none"/>
        </w:rPr>
        <w:t>接受大中型企业与小微企业组成联合体或者允许大中型企业向一家或者多家小微企业分包的，对于联合协议或者分包意向协议约定小微企业的合同份额占到合同总金额</w:t>
      </w:r>
      <w:r>
        <w:rPr>
          <w:rFonts w:ascii="宋体" w:hAnsi="宋体" w:eastAsia="宋体"/>
          <w:sz w:val="24"/>
          <w:highlight w:val="none"/>
        </w:rPr>
        <w:t>30%以上的，可给予联合体或者大中型企业的投标报价按照</w:t>
      </w:r>
      <w:r>
        <w:rPr>
          <w:rFonts w:ascii="宋体" w:hAnsi="宋体" w:eastAsia="宋体"/>
          <w:sz w:val="24"/>
          <w:highlight w:val="none"/>
          <w:u w:val="single"/>
        </w:rPr>
        <w:t>投标人须知前附表</w:t>
      </w:r>
      <w:r>
        <w:rPr>
          <w:rFonts w:ascii="宋体" w:hAnsi="宋体" w:eastAsia="宋体"/>
          <w:sz w:val="24"/>
          <w:highlight w:val="none"/>
        </w:rPr>
        <w:t>中规定的标准扣除后的价格参与评审。组成联合体或者接受分包的小微企业与联合体内其他企业、分包企业之间存在直接控股、管理关系的，不享受价格扣除优惠政策。</w:t>
      </w:r>
    </w:p>
    <w:p w14:paraId="635B00E3">
      <w:pPr>
        <w:shd w:val="clear"/>
        <w:adjustRightInd w:val="0"/>
        <w:snapToGrid w:val="0"/>
        <w:spacing w:line="360" w:lineRule="auto"/>
        <w:ind w:firstLine="480" w:firstLineChars="200"/>
        <w:rPr>
          <w:rFonts w:ascii="宋体" w:hAnsi="宋体" w:eastAsia="宋体"/>
          <w:sz w:val="24"/>
          <w:highlight w:val="none"/>
        </w:rPr>
      </w:pPr>
      <w:r>
        <w:rPr>
          <w:rFonts w:hint="eastAsia" w:ascii="宋体" w:hAnsi="宋体" w:eastAsia="宋体"/>
          <w:sz w:val="24"/>
          <w:highlight w:val="none"/>
        </w:rPr>
        <w:t>以联合体形式参加政府采购活动，联合体各方均为中小企业的，联合体视同中小企业。其中，联合体各方均为小微企业的，联合体视同小微企业。</w:t>
      </w:r>
    </w:p>
    <w:p w14:paraId="220EF5B1">
      <w:pPr>
        <w:pStyle w:val="37"/>
        <w:widowControl w:val="0"/>
        <w:shd w:val="clear"/>
        <w:adjustRightInd w:val="0"/>
        <w:snapToGrid w:val="0"/>
        <w:spacing w:before="0" w:beforeAutospacing="0" w:after="0" w:afterAutospacing="0" w:line="360" w:lineRule="auto"/>
        <w:ind w:firstLine="480" w:firstLineChars="200"/>
        <w:jc w:val="both"/>
        <w:rPr>
          <w:rFonts w:ascii="宋体" w:hAnsi="宋体" w:eastAsia="宋体" w:cs="宋体"/>
          <w:b w:val="0"/>
          <w:sz w:val="24"/>
          <w:szCs w:val="24"/>
          <w:highlight w:val="none"/>
        </w:rPr>
      </w:pPr>
      <w:r>
        <w:rPr>
          <w:rFonts w:hint="eastAsia" w:ascii="宋体" w:hAnsi="宋体" w:eastAsia="宋体" w:cs="宋体"/>
          <w:b w:val="0"/>
          <w:sz w:val="24"/>
          <w:szCs w:val="24"/>
          <w:highlight w:val="none"/>
        </w:rPr>
        <w:t>17.4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政府采购活动中既有本国产品又有非本国产品参与竞争的，依法对本国产品给予价格评审优惠，对本国产品的报价给予20%的价格扣除，用扣除后的价格参与评审。当采购项目或者采购包中含有多种产品，投标人为该采购项目或者采购包提供的符合本国产品标准的产品成本之和占该投标人提供的全部产品成本之和的比例达到80%以上时，依法对该投标人提供的全部产品给予价格评审优惠，即对该投标人提供的全部产品的总报价给予20%的价格扣除，用扣除后的价格参与评审。</w:t>
      </w:r>
    </w:p>
    <w:p w14:paraId="016554BB">
      <w:pPr>
        <w:pStyle w:val="37"/>
        <w:widowControl w:val="0"/>
        <w:shd w:val="clear"/>
        <w:adjustRightInd w:val="0"/>
        <w:snapToGrid w:val="0"/>
        <w:spacing w:before="0" w:beforeAutospacing="0" w:after="0" w:afterAutospacing="0" w:line="360" w:lineRule="auto"/>
        <w:ind w:firstLine="480" w:firstLineChars="200"/>
        <w:jc w:val="both"/>
        <w:rPr>
          <w:rFonts w:ascii="宋体" w:hAnsi="宋体" w:eastAsia="宋体" w:cs="宋体"/>
          <w:b w:val="0"/>
          <w:sz w:val="24"/>
          <w:szCs w:val="24"/>
          <w:highlight w:val="none"/>
        </w:rPr>
      </w:pPr>
      <w:r>
        <w:rPr>
          <w:rFonts w:hint="eastAsia" w:ascii="宋体" w:hAnsi="宋体" w:eastAsia="宋体" w:cs="宋体"/>
          <w:b w:val="0"/>
          <w:sz w:val="24"/>
          <w:szCs w:val="24"/>
          <w:highlight w:val="none"/>
        </w:rPr>
        <w:t>评标委员会应当对投标人所出具的《关于符合本国产品标准的声明函》（以下简称《声明函》）的完整性、准确性进行审查，评审中发现《声明函》内容含义不明确、同类事项与投标文件表述不一致或者有明显文字错误等情况的，应当以书面形式要求投标人作出必要的澄清、说明或者补正。经澄清、说明或者补正的《声明函》仍然不符合规定要求的，投标人提供的相关产品视为不符合本国产品标准。</w:t>
      </w:r>
    </w:p>
    <w:p w14:paraId="5CCDA9BB">
      <w:pPr>
        <w:pStyle w:val="37"/>
        <w:widowControl w:val="0"/>
        <w:shd w:val="clear"/>
        <w:adjustRightInd w:val="0"/>
        <w:snapToGrid w:val="0"/>
        <w:spacing w:before="0" w:beforeAutospacing="0" w:after="0" w:afterAutospacing="0" w:line="360" w:lineRule="auto"/>
        <w:ind w:firstLine="480" w:firstLineChars="200"/>
        <w:jc w:val="both"/>
        <w:rPr>
          <w:rFonts w:ascii="宋体" w:hAnsi="宋体" w:eastAsia="宋体" w:cs="宋体"/>
          <w:b w:val="0"/>
          <w:sz w:val="24"/>
          <w:szCs w:val="24"/>
          <w:highlight w:val="none"/>
        </w:rPr>
      </w:pPr>
      <w:r>
        <w:rPr>
          <w:rFonts w:hint="eastAsia" w:ascii="宋体" w:hAnsi="宋体" w:eastAsia="宋体" w:cs="宋体"/>
          <w:b w:val="0"/>
          <w:sz w:val="24"/>
          <w:szCs w:val="24"/>
          <w:highlight w:val="none"/>
        </w:rPr>
        <w:t>注：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7D8A746B">
      <w:pPr>
        <w:pStyle w:val="37"/>
        <w:widowControl w:val="0"/>
        <w:shd w:val="clear"/>
        <w:adjustRightInd w:val="0"/>
        <w:snapToGrid w:val="0"/>
        <w:spacing w:before="0" w:beforeAutospacing="0" w:after="0" w:afterAutospacing="0" w:line="360" w:lineRule="auto"/>
        <w:ind w:firstLine="480" w:firstLineChars="200"/>
        <w:jc w:val="both"/>
        <w:rPr>
          <w:rFonts w:ascii="宋体" w:hAnsi="宋体" w:eastAsia="宋体" w:cs="宋体"/>
          <w:b w:val="0"/>
          <w:sz w:val="24"/>
          <w:szCs w:val="24"/>
          <w:highlight w:val="none"/>
        </w:rPr>
      </w:pPr>
      <w:r>
        <w:rPr>
          <w:rFonts w:hint="eastAsia" w:ascii="宋体" w:hAnsi="宋体" w:eastAsia="宋体" w:cs="宋体"/>
          <w:b w:val="0"/>
          <w:sz w:val="24"/>
          <w:szCs w:val="24"/>
          <w:highlight w:val="none"/>
        </w:rPr>
        <w:t>17.5同时符合17.3款和17.4款的价格评审优惠时，评标价为投标报价分别扣除促进中小企业发展政策的价格评审优惠和本国产品支持政策的价格评审优惠后的价格。</w:t>
      </w:r>
    </w:p>
    <w:p w14:paraId="5CC32B44">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18</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废标、重新招标与变更采购方式</w:t>
      </w:r>
    </w:p>
    <w:p w14:paraId="06E0650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18.1出现下列情形之一，将导致项目废标：</w:t>
      </w:r>
    </w:p>
    <w:p w14:paraId="2A56F4AA">
      <w:pPr>
        <w:shd w:val="clear"/>
        <w:spacing w:line="360" w:lineRule="auto"/>
        <w:ind w:firstLine="435"/>
        <w:rPr>
          <w:rFonts w:ascii="宋体" w:hAnsi="宋体" w:eastAsia="宋体"/>
          <w:sz w:val="24"/>
          <w:highlight w:val="none"/>
        </w:rPr>
      </w:pPr>
      <w:r>
        <w:rPr>
          <w:rFonts w:hint="eastAsia" w:asciiTheme="minorEastAsia" w:hAnsiTheme="minorEastAsia" w:eastAsiaTheme="minorEastAsia"/>
          <w:sz w:val="24"/>
          <w:highlight w:val="none"/>
        </w:rPr>
        <w:t>（</w:t>
      </w:r>
      <w:r>
        <w:rPr>
          <w:rFonts w:hint="eastAsia" w:ascii="宋体" w:hAnsi="宋体" w:eastAsia="宋体"/>
          <w:sz w:val="24"/>
          <w:highlight w:val="none"/>
        </w:rPr>
        <w:t>1）符合专业条件的供应商或者对招标文件做实质性响应的供应商不足规定数量的；</w:t>
      </w:r>
    </w:p>
    <w:p w14:paraId="1EDF639B">
      <w:pPr>
        <w:shd w:val="clear"/>
        <w:spacing w:line="360" w:lineRule="auto"/>
        <w:ind w:firstLine="435"/>
        <w:rPr>
          <w:rFonts w:ascii="宋体" w:hAnsi="宋体" w:eastAsia="宋体"/>
          <w:sz w:val="24"/>
          <w:highlight w:val="none"/>
        </w:rPr>
      </w:pPr>
      <w:r>
        <w:rPr>
          <w:rFonts w:hint="eastAsia" w:ascii="宋体" w:hAnsi="宋体" w:eastAsia="宋体"/>
          <w:sz w:val="24"/>
          <w:highlight w:val="none"/>
        </w:rPr>
        <w:t>（2）出现影响采购公正的违法、违规行为的；</w:t>
      </w:r>
    </w:p>
    <w:p w14:paraId="500D3098">
      <w:pPr>
        <w:shd w:val="clear"/>
        <w:spacing w:line="360" w:lineRule="auto"/>
        <w:ind w:firstLine="435"/>
        <w:rPr>
          <w:rFonts w:ascii="宋体" w:hAnsi="宋体" w:eastAsia="宋体"/>
          <w:sz w:val="24"/>
          <w:highlight w:val="none"/>
        </w:rPr>
      </w:pPr>
      <w:r>
        <w:rPr>
          <w:rFonts w:hint="eastAsia" w:ascii="宋体" w:hAnsi="宋体" w:eastAsia="宋体"/>
          <w:sz w:val="24"/>
          <w:highlight w:val="none"/>
        </w:rPr>
        <w:t>（3）投标人的报价均超过了采购预算，采购人不能支付的；</w:t>
      </w:r>
    </w:p>
    <w:p w14:paraId="58EB54CA">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（4）因重大变故，采购任务取消的。</w:t>
      </w:r>
    </w:p>
    <w:p w14:paraId="1962E139">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18.2公开招标数额标准以上的采购项目，投标截止后投标人不足</w:t>
      </w:r>
      <w:r>
        <w:rPr>
          <w:rFonts w:asciiTheme="minorEastAsia" w:hAnsiTheme="minorEastAsia" w:eastAsiaTheme="minorEastAsia"/>
          <w:sz w:val="24"/>
          <w:highlight w:val="none"/>
        </w:rPr>
        <w:t>3家或者通过</w:t>
      </w:r>
      <w:r>
        <w:rPr>
          <w:rFonts w:hint="eastAsia" w:asciiTheme="minorEastAsia" w:hAnsiTheme="minorEastAsia" w:eastAsiaTheme="minorEastAsia"/>
          <w:sz w:val="24"/>
          <w:highlight w:val="none"/>
        </w:rPr>
        <w:t>资格审查或符合性审查</w:t>
      </w:r>
      <w:r>
        <w:rPr>
          <w:rFonts w:hint="eastAsia" w:ascii="宋体" w:hAnsi="宋体" w:eastAsia="宋体" w:cs="Times New Roman"/>
          <w:sz w:val="24"/>
          <w:highlight w:val="none"/>
        </w:rPr>
        <w:t>或异常低价投标审查</w:t>
      </w:r>
      <w:r>
        <w:rPr>
          <w:rFonts w:hint="eastAsia" w:asciiTheme="minorEastAsia" w:hAnsiTheme="minorEastAsia" w:eastAsiaTheme="minorEastAsia"/>
          <w:sz w:val="24"/>
          <w:highlight w:val="none"/>
        </w:rPr>
        <w:t>的投标人不足</w:t>
      </w:r>
      <w:r>
        <w:rPr>
          <w:rFonts w:asciiTheme="minorEastAsia" w:hAnsiTheme="minorEastAsia" w:eastAsiaTheme="minorEastAsia"/>
          <w:sz w:val="24"/>
          <w:highlight w:val="none"/>
        </w:rPr>
        <w:t>3家的，除采购任务取消情形外，按照以下方式处理：</w:t>
      </w:r>
    </w:p>
    <w:p w14:paraId="57C254C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（1）招标文件存在不合理条款或者招标程序不符合规定的，采购人、采购代理机构改正后依法重新招标；</w:t>
      </w:r>
    </w:p>
    <w:p w14:paraId="3A7D17E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（2）招标文件没有不合理条款、招标程序符合规定，需要采用其他采购方式采购的，采购人应当依法报</w:t>
      </w:r>
      <w:r>
        <w:rPr>
          <w:rFonts w:hint="eastAsia" w:ascii="宋体" w:hAnsi="宋体" w:eastAsia="宋体" w:cs="宋体"/>
          <w:color w:val="000000"/>
          <w:sz w:val="24"/>
          <w:szCs w:val="24"/>
          <w:highlight w:val="none"/>
        </w:rPr>
        <w:t>政府采购监督管理部门</w:t>
      </w:r>
      <w:r>
        <w:rPr>
          <w:rFonts w:hint="eastAsia" w:asciiTheme="minorEastAsia" w:hAnsiTheme="minorEastAsia" w:eastAsiaTheme="minorEastAsia"/>
          <w:sz w:val="24"/>
          <w:highlight w:val="none"/>
        </w:rPr>
        <w:t>批准。</w:t>
      </w:r>
    </w:p>
    <w:p w14:paraId="2248A9B5">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19</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保密要求</w:t>
      </w:r>
    </w:p>
    <w:p w14:paraId="487A3EE0">
      <w:pPr>
        <w:shd w:val="clear"/>
        <w:spacing w:line="360" w:lineRule="auto"/>
        <w:ind w:firstLine="435"/>
        <w:rPr>
          <w:rFonts w:ascii="宋体" w:hAnsi="宋体" w:eastAsia="宋体"/>
          <w:sz w:val="24"/>
          <w:highlight w:val="none"/>
        </w:rPr>
      </w:pPr>
      <w:r>
        <w:rPr>
          <w:rFonts w:hint="eastAsia" w:ascii="宋体" w:hAnsi="宋体" w:eastAsia="宋体"/>
          <w:sz w:val="24"/>
          <w:highlight w:val="none"/>
        </w:rPr>
        <w:t>19.1评标将在严格保密的情况下进行。</w:t>
      </w:r>
    </w:p>
    <w:p w14:paraId="2B9163E1">
      <w:pPr>
        <w:shd w:val="clear"/>
        <w:spacing w:line="360" w:lineRule="auto"/>
        <w:ind w:firstLine="435"/>
        <w:rPr>
          <w:rFonts w:ascii="宋体" w:hAnsi="宋体" w:eastAsia="宋体"/>
          <w:sz w:val="24"/>
          <w:highlight w:val="none"/>
        </w:rPr>
      </w:pPr>
      <w:r>
        <w:rPr>
          <w:rFonts w:hint="eastAsia" w:ascii="宋体" w:hAnsi="宋体" w:eastAsia="宋体"/>
          <w:sz w:val="24"/>
          <w:highlight w:val="none"/>
        </w:rPr>
        <w:t>19.2有关人员</w:t>
      </w:r>
      <w:r>
        <w:rPr>
          <w:rFonts w:ascii="宋体" w:hAnsi="宋体" w:eastAsia="宋体"/>
          <w:sz w:val="24"/>
          <w:highlight w:val="none"/>
        </w:rPr>
        <w:t>应当</w:t>
      </w:r>
      <w:r>
        <w:rPr>
          <w:rFonts w:hint="eastAsia" w:ascii="宋体" w:hAnsi="宋体" w:eastAsia="宋体"/>
          <w:sz w:val="24"/>
          <w:highlight w:val="none"/>
        </w:rPr>
        <w:t>遵</w:t>
      </w:r>
      <w:r>
        <w:rPr>
          <w:rFonts w:ascii="宋体" w:hAnsi="宋体" w:eastAsia="宋体"/>
          <w:sz w:val="24"/>
          <w:highlight w:val="none"/>
        </w:rPr>
        <w:t>守评</w:t>
      </w:r>
      <w:r>
        <w:rPr>
          <w:rFonts w:hint="eastAsia" w:ascii="宋体" w:hAnsi="宋体" w:eastAsia="宋体"/>
          <w:sz w:val="24"/>
          <w:highlight w:val="none"/>
        </w:rPr>
        <w:t>标</w:t>
      </w:r>
      <w:r>
        <w:rPr>
          <w:rFonts w:ascii="宋体" w:hAnsi="宋体" w:eastAsia="宋体"/>
          <w:sz w:val="24"/>
          <w:highlight w:val="none"/>
        </w:rPr>
        <w:t>工作纪律，不得</w:t>
      </w:r>
      <w:r>
        <w:rPr>
          <w:rFonts w:hint="eastAsia" w:ascii="宋体" w:hAnsi="宋体" w:eastAsia="宋体"/>
          <w:sz w:val="24"/>
          <w:highlight w:val="none"/>
        </w:rPr>
        <w:t>泄露</w:t>
      </w:r>
      <w:r>
        <w:rPr>
          <w:rFonts w:ascii="宋体" w:hAnsi="宋体" w:eastAsia="宋体"/>
          <w:sz w:val="24"/>
          <w:highlight w:val="none"/>
        </w:rPr>
        <w:t>评</w:t>
      </w:r>
      <w:r>
        <w:rPr>
          <w:rFonts w:hint="eastAsia" w:ascii="宋体" w:hAnsi="宋体" w:eastAsia="宋体"/>
          <w:sz w:val="24"/>
          <w:highlight w:val="none"/>
        </w:rPr>
        <w:t>标文件</w:t>
      </w:r>
      <w:r>
        <w:rPr>
          <w:rFonts w:ascii="宋体" w:hAnsi="宋体" w:eastAsia="宋体"/>
          <w:sz w:val="24"/>
          <w:highlight w:val="none"/>
        </w:rPr>
        <w:t>、评</w:t>
      </w:r>
      <w:r>
        <w:rPr>
          <w:rFonts w:hint="eastAsia" w:ascii="宋体" w:hAnsi="宋体" w:eastAsia="宋体"/>
          <w:sz w:val="24"/>
          <w:highlight w:val="none"/>
        </w:rPr>
        <w:t>标</w:t>
      </w:r>
      <w:r>
        <w:rPr>
          <w:rFonts w:ascii="宋体" w:hAnsi="宋体" w:eastAsia="宋体"/>
          <w:sz w:val="24"/>
          <w:highlight w:val="none"/>
        </w:rPr>
        <w:t>情况和评</w:t>
      </w:r>
      <w:r>
        <w:rPr>
          <w:rFonts w:hint="eastAsia" w:ascii="宋体" w:hAnsi="宋体" w:eastAsia="宋体"/>
          <w:sz w:val="24"/>
          <w:highlight w:val="none"/>
        </w:rPr>
        <w:t>标</w:t>
      </w:r>
      <w:r>
        <w:rPr>
          <w:rFonts w:ascii="宋体" w:hAnsi="宋体" w:eastAsia="宋体"/>
          <w:sz w:val="24"/>
          <w:highlight w:val="none"/>
        </w:rPr>
        <w:t>中获悉的</w:t>
      </w:r>
      <w:r>
        <w:rPr>
          <w:rFonts w:hint="eastAsia" w:ascii="宋体" w:hAnsi="宋体" w:eastAsia="宋体"/>
          <w:sz w:val="24"/>
          <w:highlight w:val="none"/>
        </w:rPr>
        <w:t>国家秘密、</w:t>
      </w:r>
      <w:r>
        <w:rPr>
          <w:rFonts w:ascii="宋体" w:hAnsi="宋体" w:eastAsia="宋体"/>
          <w:sz w:val="24"/>
          <w:highlight w:val="none"/>
        </w:rPr>
        <w:t>商业秘密。</w:t>
      </w:r>
    </w:p>
    <w:p w14:paraId="20F65F27">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20</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中标候选人的确定原则及标准</w:t>
      </w:r>
    </w:p>
    <w:p w14:paraId="64DA52B1">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0</w:t>
      </w:r>
      <w:r>
        <w:rPr>
          <w:rFonts w:asciiTheme="minorEastAsia" w:hAnsiTheme="minorEastAsia" w:eastAsiaTheme="minorEastAsia"/>
          <w:sz w:val="24"/>
          <w:highlight w:val="none"/>
        </w:rPr>
        <w:t>.1评</w:t>
      </w:r>
      <w:r>
        <w:rPr>
          <w:rFonts w:hint="eastAsia" w:asciiTheme="minorEastAsia" w:hAnsiTheme="minorEastAsia" w:eastAsiaTheme="minorEastAsia"/>
          <w:sz w:val="24"/>
          <w:highlight w:val="none"/>
        </w:rPr>
        <w:t>标</w:t>
      </w:r>
      <w:r>
        <w:rPr>
          <w:rFonts w:asciiTheme="minorEastAsia" w:hAnsiTheme="minorEastAsia" w:eastAsiaTheme="minorEastAsia"/>
          <w:sz w:val="24"/>
          <w:highlight w:val="none"/>
        </w:rPr>
        <w:t>委员会依据本项目招标文件所约定的评标方法，对实质上响应招标文件的投标人按下列方法进行排序</w:t>
      </w:r>
      <w:r>
        <w:rPr>
          <w:rFonts w:hint="eastAsia" w:asciiTheme="minorEastAsia" w:hAnsiTheme="minorEastAsia" w:eastAsiaTheme="minorEastAsia"/>
          <w:sz w:val="24"/>
          <w:highlight w:val="none"/>
        </w:rPr>
        <w:t>，确定中标候选人</w:t>
      </w:r>
      <w:r>
        <w:rPr>
          <w:rFonts w:asciiTheme="minorEastAsia" w:hAnsiTheme="minorEastAsia" w:eastAsiaTheme="minorEastAsia"/>
          <w:sz w:val="24"/>
          <w:highlight w:val="none"/>
        </w:rPr>
        <w:t>：</w:t>
      </w:r>
    </w:p>
    <w:p w14:paraId="291D26D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1）采用最低评标价法的，除了算术修正和落实政府采购政策需进行的价格扣除外，不对投标人的投标价格进行任何调整。评标结果按修正和扣除后的投标报价由低到高顺序排列。修正和扣除后的投标报价</w:t>
      </w:r>
      <w:r>
        <w:rPr>
          <w:rFonts w:hint="eastAsia" w:asciiTheme="minorEastAsia" w:hAnsiTheme="minorEastAsia" w:eastAsiaTheme="minorEastAsia"/>
          <w:sz w:val="24"/>
          <w:highlight w:val="none"/>
        </w:rPr>
        <w:t>出现两家或两家以上相同者，则所投产品为节能产品、环境标志产品、不发达地区或少数民族地区产品者优先；若报价相同且所投产品同为节能产品、环境标志产品、不发达地区或少数民族地区产品的，则采取评标委员会随机抽取的方式确定中标候选顺序。</w:t>
      </w:r>
    </w:p>
    <w:p w14:paraId="16E9C88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2）采用综合评分法的，评标结果按评审后得分由高到低顺序排列。得分相同的，按投标报价由低到高顺序排列。得分与投标报价均相同的</w:t>
      </w:r>
      <w:r>
        <w:rPr>
          <w:rFonts w:hint="eastAsia" w:asciiTheme="minorEastAsia" w:hAnsiTheme="minorEastAsia" w:eastAsiaTheme="minorEastAsia"/>
          <w:sz w:val="24"/>
          <w:highlight w:val="none"/>
        </w:rPr>
        <w:t>，则所投产品为节能产品、环境标志产品、不发达地区或少数民族地区产品者优先；若</w:t>
      </w:r>
      <w:r>
        <w:rPr>
          <w:rFonts w:asciiTheme="minorEastAsia" w:hAnsiTheme="minorEastAsia" w:eastAsiaTheme="minorEastAsia"/>
          <w:sz w:val="24"/>
          <w:highlight w:val="none"/>
        </w:rPr>
        <w:t>得分与投标报价均相同</w:t>
      </w:r>
      <w:r>
        <w:rPr>
          <w:rFonts w:hint="eastAsia" w:asciiTheme="minorEastAsia" w:hAnsiTheme="minorEastAsia" w:eastAsiaTheme="minorEastAsia"/>
          <w:sz w:val="24"/>
          <w:highlight w:val="none"/>
        </w:rPr>
        <w:t>且所投产品同为节能产品、环境标志产品、不发达地区或少数民族地区产品的，则采取评标委员会随机抽取的方式确定中标候选顺序。</w:t>
      </w:r>
    </w:p>
    <w:p w14:paraId="03106BDC">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21</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确定中标候选人和中标人</w:t>
      </w:r>
    </w:p>
    <w:p w14:paraId="44B7C341">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.1评标委员会将根据评标标准，按</w:t>
      </w:r>
      <w:r>
        <w:rPr>
          <w:rFonts w:asciiTheme="minorEastAsia" w:hAnsiTheme="minorEastAsia" w:eastAsiaTheme="minorEastAsia"/>
          <w:sz w:val="24"/>
          <w:highlight w:val="none"/>
          <w:u w:val="single"/>
        </w:rPr>
        <w:t>投标</w:t>
      </w:r>
      <w:r>
        <w:rPr>
          <w:rFonts w:hint="eastAsia" w:asciiTheme="minorEastAsia" w:hAnsiTheme="minorEastAsia" w:eastAsiaTheme="minorEastAsia"/>
          <w:sz w:val="24"/>
          <w:highlight w:val="none"/>
          <w:u w:val="single"/>
        </w:rPr>
        <w:t>人</w:t>
      </w:r>
      <w:r>
        <w:rPr>
          <w:rFonts w:asciiTheme="minorEastAsia" w:hAnsiTheme="minorEastAsia" w:eastAsiaTheme="minorEastAsia"/>
          <w:sz w:val="24"/>
          <w:highlight w:val="none"/>
          <w:u w:val="single"/>
        </w:rPr>
        <w:t>须知前附表</w:t>
      </w:r>
      <w:r>
        <w:rPr>
          <w:rFonts w:asciiTheme="minorEastAsia" w:hAnsiTheme="minorEastAsia" w:eastAsiaTheme="minorEastAsia"/>
          <w:sz w:val="24"/>
          <w:highlight w:val="none"/>
        </w:rPr>
        <w:t>中规定数量推荐中标候选人。</w:t>
      </w:r>
    </w:p>
    <w:p w14:paraId="363C65E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21.2按</w:t>
      </w:r>
      <w:r>
        <w:rPr>
          <w:rFonts w:asciiTheme="minorEastAsia" w:hAnsiTheme="minorEastAsia" w:eastAsiaTheme="minorEastAsia"/>
          <w:sz w:val="24"/>
          <w:highlight w:val="none"/>
          <w:u w:val="single"/>
        </w:rPr>
        <w:t>投标</w:t>
      </w:r>
      <w:r>
        <w:rPr>
          <w:rFonts w:hint="eastAsia" w:asciiTheme="minorEastAsia" w:hAnsiTheme="minorEastAsia" w:eastAsiaTheme="minorEastAsia"/>
          <w:sz w:val="24"/>
          <w:highlight w:val="none"/>
          <w:u w:val="single"/>
        </w:rPr>
        <w:t>人</w:t>
      </w:r>
      <w:r>
        <w:rPr>
          <w:rFonts w:asciiTheme="minorEastAsia" w:hAnsiTheme="minorEastAsia" w:eastAsiaTheme="minorEastAsia"/>
          <w:sz w:val="24"/>
          <w:highlight w:val="none"/>
          <w:u w:val="single"/>
        </w:rPr>
        <w:t>须知前附表</w:t>
      </w:r>
      <w:r>
        <w:rPr>
          <w:rFonts w:hint="eastAsia" w:asciiTheme="minorEastAsia" w:hAnsiTheme="minorEastAsia" w:eastAsiaTheme="minorEastAsia"/>
          <w:sz w:val="24"/>
          <w:highlight w:val="none"/>
        </w:rPr>
        <w:t>中规定，</w:t>
      </w:r>
      <w:r>
        <w:rPr>
          <w:rFonts w:asciiTheme="minorEastAsia" w:hAnsiTheme="minorEastAsia" w:eastAsiaTheme="minorEastAsia"/>
          <w:sz w:val="24"/>
          <w:highlight w:val="none"/>
        </w:rPr>
        <w:t>由评标委员会或采购人确定中标人。</w:t>
      </w:r>
    </w:p>
    <w:p w14:paraId="3147137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21</w:t>
      </w:r>
      <w:r>
        <w:rPr>
          <w:rFonts w:asciiTheme="minorEastAsia" w:hAnsiTheme="minorEastAsia" w:eastAsiaTheme="minorEastAsia"/>
          <w:sz w:val="24"/>
          <w:highlight w:val="none"/>
        </w:rPr>
        <w:t>.3</w:t>
      </w:r>
      <w:r>
        <w:rPr>
          <w:rFonts w:hint="eastAsia" w:asciiTheme="minorEastAsia" w:hAnsiTheme="minorEastAsia" w:eastAsiaTheme="minorEastAsia"/>
          <w:sz w:val="24"/>
          <w:highlight w:val="none"/>
        </w:rPr>
        <w:t>因重大变故采购任务取消时，采购人有权拒绝任何投标人中标，且对受影响的投标人不承担任何责任。</w:t>
      </w:r>
    </w:p>
    <w:p w14:paraId="61A0A21E">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22</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编写评标报告</w:t>
      </w:r>
    </w:p>
    <w:p w14:paraId="4A55E31C">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22.1评标报告是根据全体评标委员会成员签字的原始评标记录和评标结果编写的报告，评标报告由评标委员会全体成员签字。对评标结论持有异议的评标委员会成员可以书面方式阐述其不同意见和理由。评标委员会成员拒绝在评标报告上签字且不陈述其不同意见和理由的，视为同意评标结论。</w:t>
      </w:r>
    </w:p>
    <w:p w14:paraId="7CA5DE6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22.2异常情形的重点审查</w:t>
      </w:r>
    </w:p>
    <w:p w14:paraId="6B454EDE">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22.2.1总体要求：</w:t>
      </w:r>
    </w:p>
    <w:p w14:paraId="0C54BF7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评标报告签署前，评标委员会在评标过程中发现异常行为，包括发现异常评标、异常投标等行为，应启动重点审查，评标委员会负责对异常情形进行审查和认定，确保评标过程的公平公正。</w:t>
      </w:r>
    </w:p>
    <w:p w14:paraId="0F6F6E60">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22.2.2异常评标情形：</w:t>
      </w:r>
    </w:p>
    <w:p w14:paraId="626A075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（1）审查是否存在</w:t>
      </w:r>
      <w:bookmarkStart w:id="66" w:name="OLE_LINK24"/>
      <w:bookmarkStart w:id="67" w:name="OLE_LINK23"/>
      <w:r>
        <w:rPr>
          <w:rFonts w:hint="eastAsia" w:asciiTheme="minorEastAsia" w:hAnsiTheme="minorEastAsia" w:eastAsiaTheme="minorEastAsia"/>
          <w:sz w:val="24"/>
          <w:highlight w:val="none"/>
        </w:rPr>
        <w:t>评标委员会</w:t>
      </w:r>
      <w:bookmarkEnd w:id="66"/>
      <w:bookmarkEnd w:id="67"/>
      <w:r>
        <w:rPr>
          <w:rFonts w:hint="eastAsia" w:asciiTheme="minorEastAsia" w:hAnsiTheme="minorEastAsia" w:eastAsiaTheme="minorEastAsia"/>
          <w:sz w:val="24"/>
          <w:highlight w:val="none"/>
        </w:rPr>
        <w:t>评分畸高、畸低现象；</w:t>
      </w:r>
    </w:p>
    <w:p w14:paraId="418AD897">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（2）审查是否存在评标委员会未按采购文件要求修正投标报价不一致的情形；</w:t>
      </w:r>
    </w:p>
    <w:p w14:paraId="1D71599A">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（3）审查是否存在投标文件提供了相应方案内容，主观分赋零分的情形；</w:t>
      </w:r>
    </w:p>
    <w:p w14:paraId="72105B04">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（4）审查是否存在投标文件未提供相应内容，主观分得分的情形；</w:t>
      </w:r>
    </w:p>
    <w:p w14:paraId="4AB273C3">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（5）审查是否存在其他异常评标情形。</w:t>
      </w:r>
    </w:p>
    <w:p w14:paraId="3AED95E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22.2.3异常投标情形：</w:t>
      </w:r>
    </w:p>
    <w:p w14:paraId="03149C6A">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（1）法律法规规定的串通投标的情形</w:t>
      </w:r>
    </w:p>
    <w:p w14:paraId="047C6DF4">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包括《中华人民共和国政府采购法实施条例》第七十四条规定的情形、《政府采购货物和服务招标投标管理办法》（财政部令第87号）三十七条规定的情形。</w:t>
      </w:r>
    </w:p>
    <w:p w14:paraId="6AC074FE">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（2）投标活动异常关联情形。</w:t>
      </w:r>
    </w:p>
    <w:p w14:paraId="22C9C8CA">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（3）其他由评标委员会认定的异常投标情形。</w:t>
      </w:r>
    </w:p>
    <w:p w14:paraId="5974D18F">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22.2.4审查要求：</w:t>
      </w:r>
    </w:p>
    <w:p w14:paraId="402AE0E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（1）经评标委员会共同认定评标过程存在异常评标情形，如依法可以纠正的，应当予以纠正，否则评委应提出充足的理由，该理由在评标委员会集体讨论并确认后记入评标报告。</w:t>
      </w:r>
    </w:p>
    <w:p w14:paraId="721EA24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（2）经评标委员会共同认定评标过程存在异常投标情形，可能损害国家利益和社会公共利益，或严重违反公平竞争原则，或涉嫌严重违法违规的，评标委员会有权认定其</w:t>
      </w:r>
      <w:r>
        <w:rPr>
          <w:rFonts w:hint="eastAsia" w:asciiTheme="minorEastAsia" w:hAnsiTheme="minorEastAsia" w:eastAsiaTheme="minorEastAsia"/>
          <w:b/>
          <w:bCs/>
          <w:sz w:val="24"/>
          <w:highlight w:val="none"/>
        </w:rPr>
        <w:t>投标无效</w:t>
      </w:r>
      <w:r>
        <w:rPr>
          <w:rFonts w:hint="eastAsia" w:asciiTheme="minorEastAsia" w:hAnsiTheme="minorEastAsia" w:eastAsiaTheme="minorEastAsia"/>
          <w:sz w:val="24"/>
          <w:highlight w:val="none"/>
        </w:rPr>
        <w:t>。</w:t>
      </w:r>
    </w:p>
    <w:p w14:paraId="67BF82A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（3）经评标委员会重点审查后，应当将审查相关情况在评标报告中记录。</w:t>
      </w:r>
    </w:p>
    <w:p w14:paraId="22E267C1">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23</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中标结果公告</w:t>
      </w:r>
    </w:p>
    <w:p w14:paraId="064D10DC">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23</w:t>
      </w: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除</w:t>
      </w:r>
      <w:r>
        <w:rPr>
          <w:rFonts w:asciiTheme="minorEastAsia" w:hAnsiTheme="minorEastAsia" w:eastAsiaTheme="minorEastAsia"/>
          <w:sz w:val="24"/>
          <w:highlight w:val="none"/>
          <w:u w:val="single"/>
        </w:rPr>
        <w:t>投标</w:t>
      </w:r>
      <w:r>
        <w:rPr>
          <w:rFonts w:hint="eastAsia" w:asciiTheme="minorEastAsia" w:hAnsiTheme="minorEastAsia" w:eastAsiaTheme="minorEastAsia"/>
          <w:sz w:val="24"/>
          <w:highlight w:val="none"/>
          <w:u w:val="single"/>
        </w:rPr>
        <w:t>人</w:t>
      </w:r>
      <w:r>
        <w:rPr>
          <w:rFonts w:asciiTheme="minorEastAsia" w:hAnsiTheme="minorEastAsia" w:eastAsiaTheme="minorEastAsia"/>
          <w:sz w:val="24"/>
          <w:highlight w:val="none"/>
          <w:u w:val="single"/>
        </w:rPr>
        <w:t>须知前附表</w:t>
      </w:r>
      <w:r>
        <w:rPr>
          <w:rFonts w:asciiTheme="minorEastAsia" w:hAnsiTheme="minorEastAsia" w:eastAsiaTheme="minorEastAsia"/>
          <w:sz w:val="24"/>
          <w:highlight w:val="none"/>
        </w:rPr>
        <w:t>规定由评标委员会直接确定中标</w:t>
      </w:r>
      <w:r>
        <w:rPr>
          <w:rFonts w:hint="eastAsia" w:asciiTheme="minorEastAsia" w:hAnsiTheme="minorEastAsia" w:eastAsiaTheme="minorEastAsia"/>
          <w:sz w:val="24"/>
          <w:highlight w:val="none"/>
        </w:rPr>
        <w:t>人外，</w:t>
      </w:r>
      <w:r>
        <w:rPr>
          <w:rFonts w:asciiTheme="minorEastAsia" w:hAnsiTheme="minorEastAsia" w:eastAsiaTheme="minorEastAsia"/>
          <w:sz w:val="24"/>
          <w:highlight w:val="none"/>
        </w:rPr>
        <w:t>在评标结束后2个工作日内</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采购代理机构将评标报告送采购人。采购人应当自收到评标报告之日起</w:t>
      </w:r>
      <w:r>
        <w:rPr>
          <w:rFonts w:hint="eastAsia" w:asciiTheme="minorEastAsia" w:hAnsiTheme="minorEastAsia" w:eastAsiaTheme="minorEastAsia"/>
          <w:sz w:val="24"/>
          <w:highlight w:val="none"/>
        </w:rPr>
        <w:t>5</w:t>
      </w:r>
      <w:r>
        <w:rPr>
          <w:rFonts w:asciiTheme="minorEastAsia" w:hAnsiTheme="minorEastAsia" w:eastAsiaTheme="minorEastAsia"/>
          <w:sz w:val="24"/>
          <w:highlight w:val="none"/>
        </w:rPr>
        <w:t>个工作日内，在评标报告确定的中标候选人名单中按顺序确定中标人。中标候选人并列的，由采购人或者采购人委托评标委员会按照招标文件规定的方式确定中标人；招标文件未规定的，采取随机抽取的方式确定。</w:t>
      </w:r>
    </w:p>
    <w:p w14:paraId="06D9CACA">
      <w:pPr>
        <w:shd w:val="clear"/>
        <w:spacing w:line="360" w:lineRule="auto"/>
        <w:ind w:firstLine="435"/>
        <w:rPr>
          <w:rFonts w:ascii="宋体" w:hAnsi="宋体" w:eastAsia="宋体"/>
          <w:sz w:val="24"/>
          <w:szCs w:val="18"/>
          <w:highlight w:val="none"/>
        </w:rPr>
      </w:pPr>
      <w:r>
        <w:rPr>
          <w:rFonts w:hint="eastAsia" w:asciiTheme="minorEastAsia" w:hAnsiTheme="minorEastAsia" w:eastAsiaTheme="minorEastAsia"/>
          <w:sz w:val="24"/>
          <w:highlight w:val="none"/>
        </w:rPr>
        <w:t>23</w:t>
      </w:r>
      <w:r>
        <w:rPr>
          <w:rFonts w:asciiTheme="minorEastAsia" w:hAnsiTheme="minorEastAsia" w:eastAsiaTheme="minorEastAsia"/>
          <w:sz w:val="24"/>
          <w:highlight w:val="none"/>
        </w:rPr>
        <w:t>.2</w:t>
      </w:r>
      <w:r>
        <w:rPr>
          <w:rFonts w:hint="eastAsia" w:ascii="宋体" w:hAnsi="宋体" w:eastAsia="宋体"/>
          <w:sz w:val="24"/>
          <w:szCs w:val="18"/>
          <w:highlight w:val="none"/>
        </w:rPr>
        <w:t>自中标人确定之日起2个工作日内，采购代理机构将在安徽省政府采购网（www.ccgp-anhui.gov.cn）上发布中标结果公告。</w:t>
      </w:r>
    </w:p>
    <w:p w14:paraId="3BC6F604">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23.3</w:t>
      </w:r>
      <w:r>
        <w:rPr>
          <w:rFonts w:asciiTheme="minorEastAsia" w:hAnsiTheme="minorEastAsia" w:eastAsiaTheme="minorEastAsia"/>
          <w:sz w:val="24"/>
          <w:highlight w:val="none"/>
        </w:rPr>
        <w:t>中标结果公告内容应当包括采购人及其委托的采购代理机构的名称、地址、联系方式，项目名称和项目编号，中标人名称、地址和中标金额，主要中标标的的名称、规格型号、数量、单价、服务要求，中标公告期限、评审专家名单以及</w:t>
      </w:r>
      <w:r>
        <w:rPr>
          <w:rFonts w:hint="eastAsia" w:asciiTheme="minorEastAsia" w:hAnsiTheme="minorEastAsia" w:eastAsiaTheme="minorEastAsia"/>
          <w:sz w:val="24"/>
          <w:highlight w:val="none"/>
          <w:u w:val="single"/>
        </w:rPr>
        <w:t>投标人须知前附表</w:t>
      </w:r>
      <w:r>
        <w:rPr>
          <w:rFonts w:asciiTheme="minorEastAsia" w:hAnsiTheme="minorEastAsia" w:eastAsiaTheme="minorEastAsia"/>
          <w:sz w:val="24"/>
          <w:highlight w:val="none"/>
        </w:rPr>
        <w:t>中约定进行公告的内容。中标公告期限为1个工作日。</w:t>
      </w:r>
    </w:p>
    <w:p w14:paraId="7C121063">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24</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中标通知书</w:t>
      </w:r>
    </w:p>
    <w:p w14:paraId="52DE7CD3">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.1采购代理机构</w:t>
      </w:r>
      <w:r>
        <w:rPr>
          <w:rFonts w:ascii="宋体" w:hAnsi="宋体" w:eastAsia="宋体"/>
          <w:sz w:val="24"/>
          <w:highlight w:val="none"/>
        </w:rPr>
        <w:t>发布</w:t>
      </w:r>
      <w:r>
        <w:rPr>
          <w:rFonts w:asciiTheme="minorEastAsia" w:hAnsiTheme="minorEastAsia" w:eastAsiaTheme="minorEastAsia"/>
          <w:sz w:val="24"/>
          <w:highlight w:val="none"/>
        </w:rPr>
        <w:t>中标结果公告</w:t>
      </w:r>
      <w:r>
        <w:rPr>
          <w:rFonts w:hint="eastAsia" w:asciiTheme="minorEastAsia" w:hAnsiTheme="minorEastAsia" w:eastAsiaTheme="minorEastAsia"/>
          <w:iCs/>
          <w:sz w:val="24"/>
          <w:highlight w:val="none"/>
        </w:rPr>
        <w:t>的</w:t>
      </w:r>
      <w:r>
        <w:rPr>
          <w:rFonts w:asciiTheme="minorEastAsia" w:hAnsiTheme="minorEastAsia" w:eastAsiaTheme="minorEastAsia"/>
          <w:sz w:val="24"/>
          <w:highlight w:val="none"/>
        </w:rPr>
        <w:t>同时以</w:t>
      </w:r>
      <w:r>
        <w:rPr>
          <w:rFonts w:hint="eastAsia" w:asciiTheme="minorEastAsia" w:hAnsiTheme="minorEastAsia" w:eastAsiaTheme="minorEastAsia"/>
          <w:sz w:val="24"/>
          <w:highlight w:val="none"/>
          <w:u w:val="single"/>
        </w:rPr>
        <w:t>投标人须知前附表</w:t>
      </w:r>
      <w:r>
        <w:rPr>
          <w:rFonts w:hint="eastAsia" w:asciiTheme="minorEastAsia" w:hAnsiTheme="minorEastAsia" w:eastAsiaTheme="minorEastAsia"/>
          <w:sz w:val="24"/>
          <w:highlight w:val="none"/>
        </w:rPr>
        <w:t>规定的</w:t>
      </w:r>
      <w:r>
        <w:rPr>
          <w:rFonts w:asciiTheme="minorEastAsia" w:hAnsiTheme="minorEastAsia" w:eastAsiaTheme="minorEastAsia"/>
          <w:sz w:val="24"/>
          <w:highlight w:val="none"/>
        </w:rPr>
        <w:t>形式向中标人发出中标通知书。</w:t>
      </w:r>
    </w:p>
    <w:p w14:paraId="3A9F6F22">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.2中标通知书对采购人和中标</w:t>
      </w:r>
      <w:r>
        <w:rPr>
          <w:rFonts w:hint="eastAsia" w:asciiTheme="minorEastAsia" w:hAnsiTheme="minorEastAsia" w:eastAsiaTheme="minorEastAsia"/>
          <w:sz w:val="24"/>
          <w:highlight w:val="none"/>
        </w:rPr>
        <w:t>人</w:t>
      </w:r>
      <w:r>
        <w:rPr>
          <w:rFonts w:asciiTheme="minorEastAsia" w:hAnsiTheme="minorEastAsia" w:eastAsiaTheme="minorEastAsia"/>
          <w:sz w:val="24"/>
          <w:highlight w:val="none"/>
        </w:rPr>
        <w:t>具有同等法律效力。中标通知书发出以后，采购人改变中标结果或者中标</w:t>
      </w:r>
      <w:r>
        <w:rPr>
          <w:rFonts w:hint="eastAsia" w:asciiTheme="minorEastAsia" w:hAnsiTheme="minorEastAsia" w:eastAsiaTheme="minorEastAsia"/>
          <w:sz w:val="24"/>
          <w:highlight w:val="none"/>
        </w:rPr>
        <w:t>人</w:t>
      </w:r>
      <w:r>
        <w:rPr>
          <w:rFonts w:asciiTheme="minorEastAsia" w:hAnsiTheme="minorEastAsia" w:eastAsiaTheme="minorEastAsia"/>
          <w:sz w:val="24"/>
          <w:highlight w:val="none"/>
        </w:rPr>
        <w:t>放弃中标，应当承担相应的法律责任。</w:t>
      </w:r>
    </w:p>
    <w:p w14:paraId="33F4987E">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.3中标通知书是</w:t>
      </w:r>
      <w:r>
        <w:rPr>
          <w:rFonts w:ascii="宋体" w:hAnsi="宋体" w:eastAsia="宋体"/>
          <w:sz w:val="24"/>
          <w:highlight w:val="none"/>
        </w:rPr>
        <w:t>合同</w:t>
      </w:r>
      <w:r>
        <w:rPr>
          <w:rFonts w:asciiTheme="minorEastAsia" w:hAnsiTheme="minorEastAsia" w:eastAsiaTheme="minorEastAsia"/>
          <w:sz w:val="24"/>
          <w:highlight w:val="none"/>
        </w:rPr>
        <w:t>的组成部分。</w:t>
      </w:r>
    </w:p>
    <w:p w14:paraId="1CC14990">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25</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告知招标结果</w:t>
      </w:r>
    </w:p>
    <w:p w14:paraId="1E4AE37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25</w:t>
      </w:r>
      <w:r>
        <w:rPr>
          <w:rFonts w:asciiTheme="minorEastAsia" w:hAnsiTheme="minorEastAsia" w:eastAsiaTheme="minorEastAsia"/>
          <w:sz w:val="24"/>
          <w:highlight w:val="none"/>
        </w:rPr>
        <w:t>.1采购代理机构以</w:t>
      </w:r>
      <w:r>
        <w:rPr>
          <w:rFonts w:hint="eastAsia" w:asciiTheme="minorEastAsia" w:hAnsiTheme="minorEastAsia" w:eastAsiaTheme="minorEastAsia"/>
          <w:sz w:val="24"/>
          <w:highlight w:val="none"/>
          <w:u w:val="single"/>
        </w:rPr>
        <w:t>投标人须知前附表</w:t>
      </w:r>
      <w:r>
        <w:rPr>
          <w:rFonts w:hint="eastAsia" w:asciiTheme="minorEastAsia" w:hAnsiTheme="minorEastAsia" w:eastAsiaTheme="minorEastAsia"/>
          <w:sz w:val="24"/>
          <w:highlight w:val="none"/>
        </w:rPr>
        <w:t>规定的</w:t>
      </w:r>
      <w:r>
        <w:rPr>
          <w:rFonts w:asciiTheme="minorEastAsia" w:hAnsiTheme="minorEastAsia" w:eastAsiaTheme="minorEastAsia"/>
          <w:sz w:val="24"/>
          <w:highlight w:val="none"/>
        </w:rPr>
        <w:t>形式</w:t>
      </w:r>
      <w:r>
        <w:rPr>
          <w:rFonts w:hint="eastAsia" w:asciiTheme="minorEastAsia" w:hAnsiTheme="minorEastAsia" w:eastAsiaTheme="minorEastAsia"/>
          <w:sz w:val="24"/>
          <w:highlight w:val="none"/>
        </w:rPr>
        <w:t>告知招标结果。</w:t>
      </w:r>
    </w:p>
    <w:p w14:paraId="6C808E87">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26</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履约保证金</w:t>
      </w:r>
    </w:p>
    <w:p w14:paraId="60A18F80">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26.1中标人应按照</w:t>
      </w:r>
      <w:r>
        <w:rPr>
          <w:rFonts w:hint="eastAsia" w:asciiTheme="minorEastAsia" w:hAnsiTheme="minorEastAsia" w:eastAsiaTheme="minorEastAsia"/>
          <w:sz w:val="24"/>
          <w:highlight w:val="none"/>
          <w:u w:val="single"/>
        </w:rPr>
        <w:t>投标人须知前附表</w:t>
      </w:r>
      <w:r>
        <w:rPr>
          <w:rFonts w:hint="eastAsia" w:asciiTheme="minorEastAsia" w:hAnsiTheme="minorEastAsia" w:eastAsiaTheme="minorEastAsia"/>
          <w:sz w:val="24"/>
          <w:highlight w:val="none"/>
        </w:rPr>
        <w:t>规定缴纳履约保证金。</w:t>
      </w:r>
    </w:p>
    <w:p w14:paraId="55F6B442">
      <w:pPr>
        <w:shd w:val="clear"/>
        <w:spacing w:line="360" w:lineRule="auto"/>
        <w:ind w:firstLine="435"/>
        <w:rPr>
          <w:rFonts w:asciiTheme="minorEastAsia" w:hAnsiTheme="minorEastAsia" w:eastAsiaTheme="minorEastAsia"/>
          <w:b/>
          <w:sz w:val="24"/>
          <w:highlight w:val="none"/>
        </w:rPr>
      </w:pPr>
      <w:r>
        <w:rPr>
          <w:rFonts w:hint="eastAsia" w:asciiTheme="minorEastAsia" w:hAnsiTheme="minorEastAsia" w:eastAsiaTheme="minorEastAsia"/>
          <w:sz w:val="24"/>
          <w:highlight w:val="none"/>
        </w:rPr>
        <w:t>26.</w:t>
      </w:r>
      <w:r>
        <w:rPr>
          <w:rFonts w:asciiTheme="minorEastAsia" w:hAnsiTheme="minorEastAsia" w:eastAsiaTheme="minorEastAsia"/>
          <w:sz w:val="24"/>
          <w:highlight w:val="none"/>
        </w:rPr>
        <w:t>2</w:t>
      </w:r>
      <w:r>
        <w:rPr>
          <w:rFonts w:hint="eastAsia" w:ascii="宋体" w:hAnsi="宋体" w:eastAsia="宋体"/>
          <w:sz w:val="24"/>
          <w:highlight w:val="none"/>
        </w:rPr>
        <w:t>如果</w:t>
      </w:r>
      <w:r>
        <w:rPr>
          <w:rFonts w:hint="eastAsia" w:asciiTheme="minorEastAsia" w:hAnsiTheme="minorEastAsia" w:eastAsiaTheme="minorEastAsia"/>
          <w:sz w:val="24"/>
          <w:highlight w:val="none"/>
        </w:rPr>
        <w:t>中标人没有按照上述履约保证金的规定执行，将视为放弃中标资格。在此情况下，采购人可</w:t>
      </w:r>
      <w:r>
        <w:rPr>
          <w:rFonts w:asciiTheme="minorEastAsia" w:hAnsiTheme="minorEastAsia" w:eastAsiaTheme="minorEastAsia"/>
          <w:sz w:val="24"/>
          <w:highlight w:val="none"/>
        </w:rPr>
        <w:t>确定下一</w:t>
      </w:r>
      <w:r>
        <w:rPr>
          <w:rFonts w:hint="eastAsia" w:ascii="宋体" w:hAnsi="宋体" w:eastAsia="宋体"/>
          <w:sz w:val="24"/>
          <w:highlight w:val="none"/>
        </w:rPr>
        <w:t>中标</w:t>
      </w:r>
      <w:r>
        <w:rPr>
          <w:rFonts w:hint="eastAsia" w:asciiTheme="minorEastAsia" w:hAnsiTheme="minorEastAsia" w:eastAsiaTheme="minorEastAsia"/>
          <w:sz w:val="24"/>
          <w:highlight w:val="none"/>
        </w:rPr>
        <w:t>候选</w:t>
      </w:r>
      <w:r>
        <w:rPr>
          <w:rFonts w:asciiTheme="minorEastAsia" w:hAnsiTheme="minorEastAsia" w:eastAsiaTheme="minorEastAsia"/>
          <w:sz w:val="24"/>
          <w:highlight w:val="none"/>
        </w:rPr>
        <w:t>人为中标</w:t>
      </w:r>
      <w:r>
        <w:rPr>
          <w:rFonts w:hint="eastAsia" w:asciiTheme="minorEastAsia" w:hAnsiTheme="minorEastAsia" w:eastAsiaTheme="minorEastAsia"/>
          <w:sz w:val="24"/>
          <w:highlight w:val="none"/>
        </w:rPr>
        <w:t>人</w:t>
      </w:r>
      <w:r>
        <w:rPr>
          <w:rFonts w:asciiTheme="minorEastAsia" w:hAnsiTheme="minorEastAsia" w:eastAsiaTheme="minorEastAsia"/>
          <w:sz w:val="24"/>
          <w:highlight w:val="none"/>
        </w:rPr>
        <w:t>，也可以重新开展采购活动。</w:t>
      </w:r>
    </w:p>
    <w:p w14:paraId="38D95CA1">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27</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签订合同</w:t>
      </w:r>
    </w:p>
    <w:p w14:paraId="5383EA19">
      <w:pPr>
        <w:shd w:val="clear"/>
        <w:spacing w:line="360" w:lineRule="auto"/>
        <w:ind w:firstLine="435"/>
        <w:rPr>
          <w:rFonts w:ascii="宋体" w:hAnsi="宋体" w:eastAsia="宋体"/>
          <w:sz w:val="24"/>
          <w:highlight w:val="none"/>
        </w:rPr>
      </w:pPr>
      <w:r>
        <w:rPr>
          <w:rFonts w:hint="eastAsia" w:ascii="宋体" w:hAnsi="宋体" w:eastAsia="宋体"/>
          <w:sz w:val="24"/>
          <w:highlight w:val="none"/>
        </w:rPr>
        <w:t>27.1</w:t>
      </w:r>
      <w:r>
        <w:rPr>
          <w:rFonts w:hint="eastAsia" w:ascii="宋体" w:hAnsi="宋体" w:eastAsia="宋体" w:cs="宋体"/>
          <w:sz w:val="24"/>
          <w:szCs w:val="24"/>
          <w:highlight w:val="none"/>
        </w:rPr>
        <w:t>采购人与中标人应当按照</w:t>
      </w:r>
      <w:r>
        <w:rPr>
          <w:rFonts w:hint="eastAsia" w:ascii="宋体" w:hAnsi="宋体" w:eastAsia="宋体" w:cs="宋体"/>
          <w:sz w:val="24"/>
          <w:szCs w:val="24"/>
          <w:highlight w:val="none"/>
          <w:u w:val="single"/>
        </w:rPr>
        <w:t>投标人须知前附表</w:t>
      </w:r>
      <w:r>
        <w:rPr>
          <w:rFonts w:hint="eastAsia" w:ascii="宋体" w:hAnsi="宋体" w:eastAsia="宋体" w:cs="宋体"/>
          <w:sz w:val="24"/>
          <w:szCs w:val="24"/>
          <w:highlight w:val="none"/>
        </w:rPr>
        <w:t>规定的时间内完成政府采购合同签订及合同公告。</w:t>
      </w:r>
    </w:p>
    <w:p w14:paraId="60CF4809">
      <w:pPr>
        <w:shd w:val="clear"/>
        <w:spacing w:line="360" w:lineRule="auto"/>
        <w:ind w:firstLine="435"/>
        <w:rPr>
          <w:rFonts w:ascii="宋体" w:hAnsi="宋体" w:eastAsia="宋体"/>
          <w:sz w:val="24"/>
          <w:highlight w:val="none"/>
        </w:rPr>
      </w:pPr>
      <w:r>
        <w:rPr>
          <w:rFonts w:hint="eastAsia" w:ascii="宋体" w:hAnsi="宋体" w:eastAsia="宋体"/>
          <w:sz w:val="24"/>
          <w:highlight w:val="none"/>
        </w:rPr>
        <w:t>27.2招标文件、中标人的投标文件及其澄清文件等，均为签订合同的依据。</w:t>
      </w:r>
    </w:p>
    <w:p w14:paraId="42162315">
      <w:pPr>
        <w:shd w:val="clear"/>
        <w:spacing w:line="360" w:lineRule="auto"/>
        <w:ind w:firstLine="435"/>
        <w:rPr>
          <w:rFonts w:ascii="宋体" w:hAnsi="宋体" w:eastAsia="宋体"/>
          <w:sz w:val="24"/>
          <w:highlight w:val="none"/>
        </w:rPr>
      </w:pPr>
      <w:r>
        <w:rPr>
          <w:rFonts w:hint="eastAsia" w:ascii="宋体" w:hAnsi="宋体" w:eastAsia="宋体"/>
          <w:sz w:val="24"/>
          <w:highlight w:val="none"/>
        </w:rPr>
        <w:t>27.3中</w:t>
      </w:r>
      <w:r>
        <w:rPr>
          <w:rFonts w:ascii="宋体" w:hAnsi="宋体" w:eastAsia="宋体"/>
          <w:sz w:val="24"/>
          <w:highlight w:val="none"/>
        </w:rPr>
        <w:t>标</w:t>
      </w:r>
      <w:r>
        <w:rPr>
          <w:rFonts w:hint="eastAsia" w:ascii="宋体" w:hAnsi="宋体" w:eastAsia="宋体"/>
          <w:sz w:val="24"/>
          <w:highlight w:val="none"/>
        </w:rPr>
        <w:t>人</w:t>
      </w:r>
      <w:r>
        <w:rPr>
          <w:rFonts w:ascii="宋体" w:hAnsi="宋体" w:eastAsia="宋体"/>
          <w:sz w:val="24"/>
          <w:highlight w:val="none"/>
        </w:rPr>
        <w:t>拒绝与采购人签订合同的，采购人可以按照评审报告推荐的中标候选人</w:t>
      </w:r>
      <w:r>
        <w:rPr>
          <w:rFonts w:hint="eastAsia" w:ascii="宋体" w:hAnsi="宋体" w:eastAsia="宋体"/>
          <w:sz w:val="24"/>
          <w:highlight w:val="none"/>
        </w:rPr>
        <w:t>名单</w:t>
      </w:r>
      <w:r>
        <w:rPr>
          <w:rFonts w:ascii="宋体" w:hAnsi="宋体" w:eastAsia="宋体"/>
          <w:sz w:val="24"/>
          <w:highlight w:val="none"/>
        </w:rPr>
        <w:t>排序</w:t>
      </w:r>
      <w:r>
        <w:rPr>
          <w:rFonts w:hint="eastAsia" w:ascii="宋体" w:hAnsi="宋体" w:eastAsia="宋体"/>
          <w:sz w:val="24"/>
          <w:highlight w:val="none"/>
        </w:rPr>
        <w:t>，</w:t>
      </w:r>
      <w:r>
        <w:rPr>
          <w:rFonts w:ascii="宋体" w:hAnsi="宋体" w:eastAsia="宋体"/>
          <w:sz w:val="24"/>
          <w:highlight w:val="none"/>
        </w:rPr>
        <w:t>确定下一</w:t>
      </w:r>
      <w:r>
        <w:rPr>
          <w:rFonts w:hint="eastAsia" w:ascii="宋体" w:hAnsi="宋体" w:eastAsia="宋体"/>
          <w:sz w:val="24"/>
          <w:highlight w:val="none"/>
        </w:rPr>
        <w:t>中标候选</w:t>
      </w:r>
      <w:r>
        <w:rPr>
          <w:rFonts w:ascii="宋体" w:hAnsi="宋体" w:eastAsia="宋体"/>
          <w:sz w:val="24"/>
          <w:highlight w:val="none"/>
        </w:rPr>
        <w:t>人为中标</w:t>
      </w:r>
      <w:r>
        <w:rPr>
          <w:rFonts w:hint="eastAsia" w:ascii="宋体" w:hAnsi="宋体" w:eastAsia="宋体"/>
          <w:sz w:val="24"/>
          <w:highlight w:val="none"/>
        </w:rPr>
        <w:t>人</w:t>
      </w:r>
      <w:r>
        <w:rPr>
          <w:rFonts w:ascii="宋体" w:hAnsi="宋体" w:eastAsia="宋体"/>
          <w:sz w:val="24"/>
          <w:highlight w:val="none"/>
        </w:rPr>
        <w:t>，也可以重新开展政府采购活动。</w:t>
      </w:r>
    </w:p>
    <w:p w14:paraId="65C36CF8">
      <w:pPr>
        <w:shd w:val="clear"/>
        <w:spacing w:line="360" w:lineRule="auto"/>
        <w:ind w:firstLine="435"/>
        <w:rPr>
          <w:rFonts w:ascii="宋体" w:hAnsi="宋体" w:eastAsia="宋体"/>
          <w:sz w:val="24"/>
          <w:highlight w:val="none"/>
        </w:rPr>
      </w:pPr>
      <w:r>
        <w:rPr>
          <w:rFonts w:hint="eastAsia" w:ascii="宋体" w:hAnsi="宋体" w:eastAsia="宋体"/>
          <w:sz w:val="24"/>
          <w:highlight w:val="none"/>
        </w:rPr>
        <w:t>27.4依据《政府采购促进中小企业发展管理办法》（财库〔</w:t>
      </w:r>
      <w:r>
        <w:rPr>
          <w:rFonts w:ascii="宋体" w:hAnsi="宋体" w:eastAsia="宋体"/>
          <w:sz w:val="24"/>
          <w:highlight w:val="none"/>
        </w:rPr>
        <w:t>2020〕46号</w:t>
      </w:r>
      <w:r>
        <w:rPr>
          <w:rFonts w:hint="eastAsia" w:ascii="宋体" w:hAnsi="宋体" w:eastAsia="宋体"/>
          <w:sz w:val="24"/>
          <w:highlight w:val="none"/>
        </w:rPr>
        <w:t>）规定享受扶持政策获得政府采购合同的，小微企业不得将合同分包给大中型企业，中型企业不得将合同分包给大型企业。</w:t>
      </w:r>
    </w:p>
    <w:p w14:paraId="2909804F">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28</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代理费用</w:t>
      </w:r>
    </w:p>
    <w:p w14:paraId="25476495">
      <w:pPr>
        <w:shd w:val="clear"/>
        <w:spacing w:line="360" w:lineRule="auto"/>
        <w:ind w:firstLine="435"/>
        <w:rPr>
          <w:rFonts w:ascii="宋体" w:hAnsi="宋体" w:eastAsia="宋体"/>
          <w:sz w:val="24"/>
          <w:highlight w:val="none"/>
        </w:rPr>
      </w:pPr>
      <w:r>
        <w:rPr>
          <w:rFonts w:hint="eastAsia" w:ascii="宋体" w:hAnsi="宋体" w:eastAsia="宋体"/>
          <w:sz w:val="24"/>
          <w:highlight w:val="none"/>
        </w:rPr>
        <w:t>28</w:t>
      </w:r>
      <w:r>
        <w:rPr>
          <w:rFonts w:ascii="宋体" w:hAnsi="宋体" w:eastAsia="宋体"/>
          <w:sz w:val="24"/>
          <w:highlight w:val="none"/>
        </w:rPr>
        <w:t>.1</w:t>
      </w:r>
      <w:r>
        <w:rPr>
          <w:rFonts w:hint="eastAsia" w:ascii="宋体" w:hAnsi="宋体" w:eastAsia="宋体"/>
          <w:sz w:val="24"/>
          <w:highlight w:val="none"/>
        </w:rPr>
        <w:t>本项目代理费用的收取按</w:t>
      </w:r>
      <w:r>
        <w:rPr>
          <w:rFonts w:hint="eastAsia" w:asciiTheme="minorEastAsia" w:hAnsiTheme="minorEastAsia" w:eastAsiaTheme="minorEastAsia"/>
          <w:sz w:val="24"/>
          <w:highlight w:val="none"/>
          <w:u w:val="single"/>
        </w:rPr>
        <w:t>投标人须知前附表的</w:t>
      </w:r>
      <w:r>
        <w:rPr>
          <w:rFonts w:hint="eastAsia" w:ascii="宋体" w:hAnsi="宋体" w:eastAsia="宋体"/>
          <w:sz w:val="24"/>
          <w:highlight w:val="none"/>
        </w:rPr>
        <w:t>规定执行</w:t>
      </w:r>
      <w:r>
        <w:rPr>
          <w:rFonts w:hint="eastAsia" w:asciiTheme="minorEastAsia" w:hAnsiTheme="minorEastAsia" w:eastAsiaTheme="minorEastAsia"/>
          <w:sz w:val="24"/>
          <w:highlight w:val="none"/>
        </w:rPr>
        <w:t>。</w:t>
      </w:r>
    </w:p>
    <w:p w14:paraId="7926190C">
      <w:pPr>
        <w:shd w:val="clear"/>
        <w:spacing w:line="360" w:lineRule="auto"/>
        <w:ind w:firstLine="437"/>
        <w:outlineLvl w:val="2"/>
        <w:rPr>
          <w:rFonts w:asciiTheme="minorEastAsia" w:hAnsiTheme="minorEastAsia" w:eastAsiaTheme="minorEastAsia"/>
          <w:b/>
          <w:sz w:val="24"/>
          <w:highlight w:val="none"/>
        </w:rPr>
      </w:pPr>
      <w:bookmarkStart w:id="68" w:name="_Toc2583661"/>
      <w:bookmarkStart w:id="69" w:name="_Toc518923100"/>
      <w:r>
        <w:rPr>
          <w:rFonts w:hint="eastAsia" w:asciiTheme="minorEastAsia" w:hAnsiTheme="minorEastAsia" w:eastAsiaTheme="minorEastAsia"/>
          <w:b/>
          <w:sz w:val="24"/>
          <w:highlight w:val="none"/>
        </w:rPr>
        <w:t>29.廉洁自律</w:t>
      </w:r>
      <w:r>
        <w:rPr>
          <w:rFonts w:asciiTheme="minorEastAsia" w:hAnsiTheme="minorEastAsia" w:eastAsiaTheme="minorEastAsia"/>
          <w:b/>
          <w:sz w:val="24"/>
          <w:highlight w:val="none"/>
        </w:rPr>
        <w:t>规定</w:t>
      </w:r>
      <w:bookmarkEnd w:id="68"/>
      <w:bookmarkEnd w:id="69"/>
    </w:p>
    <w:p w14:paraId="18C4DC00">
      <w:pPr>
        <w:shd w:val="clear"/>
        <w:spacing w:line="360" w:lineRule="auto"/>
        <w:ind w:firstLine="435"/>
        <w:rPr>
          <w:rFonts w:ascii="宋体" w:hAnsi="宋体" w:eastAsia="宋体"/>
          <w:sz w:val="24"/>
          <w:highlight w:val="none"/>
        </w:rPr>
      </w:pPr>
      <w:r>
        <w:rPr>
          <w:rFonts w:hint="eastAsia" w:ascii="宋体" w:hAnsi="宋体" w:eastAsia="宋体"/>
          <w:sz w:val="24"/>
          <w:highlight w:val="none"/>
        </w:rPr>
        <w:t>29.1采购代理机构</w:t>
      </w:r>
      <w:r>
        <w:rPr>
          <w:rFonts w:ascii="宋体" w:hAnsi="宋体" w:eastAsia="宋体"/>
          <w:sz w:val="24"/>
          <w:highlight w:val="none"/>
        </w:rPr>
        <w:t>工作人员</w:t>
      </w:r>
      <w:r>
        <w:rPr>
          <w:rFonts w:hint="eastAsia" w:ascii="宋体" w:hAnsi="宋体" w:eastAsia="宋体"/>
          <w:sz w:val="24"/>
          <w:highlight w:val="none"/>
        </w:rPr>
        <w:t>不得以不正当手段获取政府采购代理业务，不得与采购人、供应商恶意串通。</w:t>
      </w:r>
    </w:p>
    <w:p w14:paraId="0322836E">
      <w:pPr>
        <w:shd w:val="clear"/>
        <w:spacing w:line="360" w:lineRule="auto"/>
        <w:ind w:firstLine="435"/>
        <w:rPr>
          <w:rFonts w:ascii="宋体" w:hAnsi="宋体" w:eastAsia="宋体"/>
          <w:sz w:val="24"/>
          <w:highlight w:val="none"/>
        </w:rPr>
      </w:pPr>
      <w:r>
        <w:rPr>
          <w:rFonts w:hint="eastAsia" w:ascii="宋体" w:hAnsi="宋体" w:eastAsia="宋体"/>
          <w:sz w:val="24"/>
          <w:highlight w:val="none"/>
        </w:rPr>
        <w:t>29.</w:t>
      </w:r>
      <w:r>
        <w:rPr>
          <w:rFonts w:ascii="宋体" w:hAnsi="宋体" w:eastAsia="宋体"/>
          <w:sz w:val="24"/>
          <w:highlight w:val="none"/>
        </w:rPr>
        <w:t>2</w:t>
      </w:r>
      <w:r>
        <w:rPr>
          <w:rFonts w:hint="eastAsia" w:ascii="宋体" w:hAnsi="宋体" w:eastAsia="宋体"/>
          <w:sz w:val="24"/>
          <w:highlight w:val="none"/>
        </w:rPr>
        <w:t>采购代理机构工作人员不得接受采购人或者供应商组织的宴请、旅游、娱乐，不得收受礼品、现金、有价证券等，不得向采购人或者供应商报销应当由个人承担的费用。</w:t>
      </w:r>
    </w:p>
    <w:p w14:paraId="12C59DE8">
      <w:pPr>
        <w:shd w:val="clear"/>
        <w:spacing w:line="360" w:lineRule="auto"/>
        <w:ind w:firstLine="437"/>
        <w:outlineLvl w:val="2"/>
        <w:rPr>
          <w:rFonts w:asciiTheme="minorEastAsia" w:hAnsiTheme="minorEastAsia" w:eastAsiaTheme="minorEastAsia"/>
          <w:b/>
          <w:sz w:val="24"/>
          <w:highlight w:val="none"/>
        </w:rPr>
      </w:pPr>
      <w:bookmarkStart w:id="70" w:name="_Toc518923101"/>
      <w:bookmarkStart w:id="71" w:name="_Toc2583662"/>
      <w:r>
        <w:rPr>
          <w:rFonts w:hint="eastAsia" w:asciiTheme="minorEastAsia" w:hAnsiTheme="minorEastAsia" w:eastAsiaTheme="minorEastAsia"/>
          <w:b/>
          <w:sz w:val="24"/>
          <w:highlight w:val="none"/>
        </w:rPr>
        <w:t>30.人员回避</w:t>
      </w:r>
      <w:bookmarkEnd w:id="70"/>
      <w:bookmarkEnd w:id="71"/>
    </w:p>
    <w:p w14:paraId="0B1192DE">
      <w:pPr>
        <w:shd w:val="clear"/>
        <w:spacing w:line="360" w:lineRule="auto"/>
        <w:ind w:firstLine="435"/>
        <w:rPr>
          <w:rFonts w:ascii="仿宋_GB2312" w:hAnsi="宋体" w:eastAsia="仿宋_GB2312"/>
          <w:sz w:val="24"/>
          <w:highlight w:val="none"/>
        </w:rPr>
      </w:pPr>
      <w:r>
        <w:rPr>
          <w:rFonts w:hint="eastAsia" w:ascii="宋体" w:hAnsi="宋体" w:eastAsia="宋体"/>
          <w:sz w:val="24"/>
          <w:highlight w:val="none"/>
        </w:rPr>
        <w:t>投标人</w:t>
      </w:r>
      <w:r>
        <w:rPr>
          <w:rFonts w:ascii="宋体" w:hAnsi="宋体" w:eastAsia="宋体"/>
          <w:sz w:val="24"/>
          <w:highlight w:val="none"/>
        </w:rPr>
        <w:t>认为采购人员</w:t>
      </w:r>
      <w:r>
        <w:rPr>
          <w:rFonts w:hint="eastAsia" w:ascii="宋体" w:hAnsi="宋体" w:eastAsia="宋体"/>
          <w:sz w:val="24"/>
          <w:highlight w:val="none"/>
        </w:rPr>
        <w:t>及其</w:t>
      </w:r>
      <w:r>
        <w:rPr>
          <w:rFonts w:ascii="宋体" w:hAnsi="宋体" w:eastAsia="宋体"/>
          <w:sz w:val="24"/>
          <w:highlight w:val="none"/>
        </w:rPr>
        <w:t>相关人员有</w:t>
      </w:r>
      <w:r>
        <w:rPr>
          <w:rFonts w:hint="eastAsia" w:ascii="宋体" w:hAnsi="宋体" w:eastAsia="宋体"/>
          <w:sz w:val="24"/>
          <w:highlight w:val="none"/>
        </w:rPr>
        <w:t>法律</w:t>
      </w:r>
      <w:r>
        <w:rPr>
          <w:rFonts w:ascii="宋体" w:hAnsi="宋体" w:eastAsia="宋体"/>
          <w:sz w:val="24"/>
          <w:highlight w:val="none"/>
        </w:rPr>
        <w:t>法规所列与其他供应商</w:t>
      </w:r>
      <w:r>
        <w:rPr>
          <w:rFonts w:hint="eastAsia" w:ascii="宋体" w:hAnsi="宋体" w:eastAsia="宋体"/>
          <w:sz w:val="24"/>
          <w:highlight w:val="none"/>
        </w:rPr>
        <w:t>有</w:t>
      </w:r>
      <w:r>
        <w:rPr>
          <w:rFonts w:ascii="宋体" w:hAnsi="宋体" w:eastAsia="宋体"/>
          <w:sz w:val="24"/>
          <w:highlight w:val="none"/>
        </w:rPr>
        <w:t>利害关系的，可以向</w:t>
      </w:r>
      <w:r>
        <w:rPr>
          <w:rFonts w:hint="eastAsia" w:ascii="宋体" w:hAnsi="宋体" w:eastAsia="宋体"/>
          <w:sz w:val="24"/>
          <w:highlight w:val="none"/>
        </w:rPr>
        <w:t>采购人或</w:t>
      </w:r>
      <w:r>
        <w:rPr>
          <w:rFonts w:ascii="宋体" w:hAnsi="宋体" w:eastAsia="宋体"/>
          <w:sz w:val="24"/>
          <w:highlight w:val="none"/>
        </w:rPr>
        <w:t>采购代理机构书面提出回避申请，并说明理由。</w:t>
      </w:r>
    </w:p>
    <w:p w14:paraId="471F1918">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31</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质疑的提出与接收</w:t>
      </w:r>
    </w:p>
    <w:p w14:paraId="6DF97768">
      <w:pPr>
        <w:shd w:val="clear"/>
        <w:spacing w:line="360" w:lineRule="auto"/>
        <w:ind w:firstLine="435"/>
        <w:rPr>
          <w:rFonts w:ascii="宋体" w:hAnsi="宋体" w:eastAsia="宋体"/>
          <w:sz w:val="24"/>
          <w:highlight w:val="none"/>
        </w:rPr>
      </w:pPr>
      <w:r>
        <w:rPr>
          <w:rFonts w:hint="eastAsia" w:ascii="宋体" w:hAnsi="宋体" w:eastAsia="宋体"/>
          <w:sz w:val="24"/>
          <w:highlight w:val="none"/>
        </w:rPr>
        <w:t>31.1投标人认为招标文件、招标过程和中标结果使自己的权益受到损害的，可以在知道或者应知其权益受到损害之日起七个工作日内，以书面形式向采购人或其委托的采购代理机构提出质疑。</w:t>
      </w:r>
    </w:p>
    <w:p w14:paraId="03AEA0C7">
      <w:pPr>
        <w:shd w:val="clear"/>
        <w:spacing w:line="360" w:lineRule="auto"/>
        <w:ind w:firstLine="435"/>
        <w:rPr>
          <w:rFonts w:ascii="宋体" w:hAnsi="宋体" w:eastAsia="宋体"/>
          <w:sz w:val="24"/>
          <w:highlight w:val="none"/>
        </w:rPr>
      </w:pPr>
      <w:r>
        <w:rPr>
          <w:rFonts w:hint="eastAsia" w:ascii="宋体" w:hAnsi="宋体" w:eastAsia="宋体"/>
          <w:sz w:val="24"/>
          <w:highlight w:val="none"/>
        </w:rPr>
        <w:t>31.2质疑供应商应按照财政部制定的《政府采购供应商质疑函范本》格式（详见招标文件）和《政府采购质疑和投诉办法》的要求，在法定质疑期内以书面形式提出质疑，超出法定质疑期提交的质疑将被拒绝。针对同一采购程序环节的质疑应一次性提出。</w:t>
      </w:r>
    </w:p>
    <w:p w14:paraId="24D3F218">
      <w:pPr>
        <w:shd w:val="clear"/>
        <w:spacing w:line="360" w:lineRule="auto"/>
        <w:ind w:firstLine="435"/>
        <w:rPr>
          <w:rFonts w:ascii="宋体" w:hAnsi="宋体" w:eastAsia="宋体"/>
          <w:sz w:val="24"/>
          <w:highlight w:val="none"/>
        </w:rPr>
      </w:pPr>
      <w:r>
        <w:rPr>
          <w:rFonts w:hint="eastAsia" w:ascii="宋体" w:hAnsi="宋体" w:eastAsia="宋体"/>
          <w:sz w:val="24"/>
          <w:highlight w:val="none"/>
        </w:rPr>
        <w:t>31.3采购代理机构质疑函接收部门、联系电话和通讯地址，见</w:t>
      </w:r>
      <w:r>
        <w:rPr>
          <w:rFonts w:hint="eastAsia" w:ascii="宋体" w:hAnsi="宋体" w:eastAsia="宋体"/>
          <w:sz w:val="24"/>
          <w:highlight w:val="none"/>
          <w:u w:val="single"/>
        </w:rPr>
        <w:t>投标人须知前附表</w:t>
      </w:r>
      <w:r>
        <w:rPr>
          <w:rFonts w:hint="eastAsia" w:ascii="宋体" w:hAnsi="宋体" w:eastAsia="宋体"/>
          <w:sz w:val="24"/>
          <w:highlight w:val="none"/>
        </w:rPr>
        <w:t>。</w:t>
      </w:r>
    </w:p>
    <w:p w14:paraId="6CCC8C47">
      <w:pPr>
        <w:shd w:val="clear"/>
        <w:spacing w:line="360" w:lineRule="auto"/>
        <w:ind w:firstLine="435"/>
        <w:rPr>
          <w:rFonts w:ascii="宋体" w:hAnsi="宋体" w:eastAsia="宋体"/>
          <w:sz w:val="24"/>
          <w:highlight w:val="none"/>
        </w:rPr>
      </w:pPr>
      <w:r>
        <w:rPr>
          <w:rFonts w:hint="eastAsia" w:ascii="宋体" w:hAnsi="宋体" w:eastAsia="宋体"/>
          <w:sz w:val="24"/>
          <w:highlight w:val="none"/>
        </w:rPr>
        <w:t>注：上述条款中所要求的书面形式包含通过电子交易系统递交方式。</w:t>
      </w:r>
    </w:p>
    <w:p w14:paraId="2258F860">
      <w:pPr>
        <w:shd w:val="clear"/>
        <w:spacing w:line="360" w:lineRule="auto"/>
        <w:ind w:firstLine="437"/>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32</w:t>
      </w:r>
      <w:r>
        <w:rPr>
          <w:rFonts w:asciiTheme="minorEastAsia" w:hAnsiTheme="minorEastAsia" w:eastAsiaTheme="minorEastAsia"/>
          <w:b/>
          <w:sz w:val="24"/>
          <w:highlight w:val="none"/>
        </w:rPr>
        <w:t>.</w:t>
      </w:r>
      <w:r>
        <w:rPr>
          <w:rFonts w:hint="eastAsia" w:asciiTheme="minorEastAsia" w:hAnsiTheme="minorEastAsia" w:eastAsiaTheme="minorEastAsia"/>
          <w:b/>
          <w:sz w:val="24"/>
          <w:highlight w:val="none"/>
        </w:rPr>
        <w:t>需要补充的其他内容</w:t>
      </w:r>
    </w:p>
    <w:p w14:paraId="14323931">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需要补充的其他内容，见</w:t>
      </w:r>
      <w:r>
        <w:rPr>
          <w:rFonts w:hint="eastAsia" w:asciiTheme="minorEastAsia" w:hAnsiTheme="minorEastAsia" w:eastAsiaTheme="minorEastAsia"/>
          <w:sz w:val="24"/>
          <w:highlight w:val="none"/>
          <w:u w:val="single"/>
        </w:rPr>
        <w:t>投标人须知前附表</w:t>
      </w:r>
      <w:r>
        <w:rPr>
          <w:rFonts w:hint="eastAsia" w:asciiTheme="minorEastAsia" w:hAnsiTheme="minorEastAsia" w:eastAsiaTheme="minorEastAsia"/>
          <w:sz w:val="24"/>
          <w:highlight w:val="none"/>
        </w:rPr>
        <w:t>。</w:t>
      </w:r>
    </w:p>
    <w:p w14:paraId="7084582A">
      <w:pPr>
        <w:widowControl/>
        <w:shd w:val="clear"/>
        <w:jc w:val="left"/>
        <w:rPr>
          <w:rFonts w:asciiTheme="minorEastAsia" w:hAnsiTheme="minorEastAsia" w:eastAsiaTheme="minorEastAsia"/>
          <w:b/>
          <w:sz w:val="28"/>
          <w:highlight w:val="none"/>
        </w:rPr>
      </w:pPr>
      <w:r>
        <w:rPr>
          <w:rFonts w:asciiTheme="minorEastAsia" w:hAnsiTheme="minorEastAsia" w:eastAsiaTheme="minorEastAsia"/>
          <w:sz w:val="24"/>
          <w:highlight w:val="none"/>
        </w:rPr>
        <w:br w:type="page"/>
      </w:r>
    </w:p>
    <w:p w14:paraId="46B29A95">
      <w:pPr>
        <w:shd w:val="clear"/>
        <w:spacing w:line="360" w:lineRule="auto"/>
        <w:jc w:val="center"/>
        <w:outlineLvl w:val="0"/>
        <w:rPr>
          <w:rFonts w:asciiTheme="minorEastAsia" w:hAnsiTheme="minorEastAsia" w:eastAsiaTheme="minorEastAsia"/>
          <w:b/>
          <w:sz w:val="28"/>
          <w:highlight w:val="none"/>
        </w:rPr>
      </w:pPr>
      <w:bookmarkStart w:id="72" w:name="_Toc10891"/>
      <w:r>
        <w:rPr>
          <w:rFonts w:hint="eastAsia" w:asciiTheme="minorEastAsia" w:hAnsiTheme="minorEastAsia" w:eastAsiaTheme="minorEastAsia"/>
          <w:b/>
          <w:sz w:val="28"/>
          <w:highlight w:val="none"/>
        </w:rPr>
        <w:t>第三章  采购需求</w:t>
      </w:r>
      <w:bookmarkEnd w:id="72"/>
    </w:p>
    <w:p w14:paraId="0D9E3639">
      <w:pPr>
        <w:shd w:val="clea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前注：</w:t>
      </w:r>
    </w:p>
    <w:p w14:paraId="648A9894">
      <w:pPr>
        <w:shd w:val="clear"/>
        <w:spacing w:line="360" w:lineRule="auto"/>
        <w:ind w:firstLine="435"/>
        <w:rPr>
          <w:rFonts w:ascii="宋体" w:hAnsi="宋体" w:eastAsia="宋体"/>
          <w:sz w:val="24"/>
          <w:szCs w:val="18"/>
          <w:highlight w:val="none"/>
        </w:rPr>
      </w:pPr>
      <w:r>
        <w:rPr>
          <w:rFonts w:hint="eastAsia" w:asciiTheme="minorEastAsia" w:hAnsiTheme="minorEastAsia" w:eastAsiaTheme="minorEastAsia"/>
          <w:sz w:val="24"/>
          <w:highlight w:val="none"/>
        </w:rPr>
        <w:t>1.</w:t>
      </w:r>
      <w:r>
        <w:rPr>
          <w:rFonts w:ascii="宋体" w:hAnsi="宋体" w:eastAsia="宋体"/>
          <w:sz w:val="24"/>
          <w:szCs w:val="18"/>
          <w:highlight w:val="none"/>
        </w:rPr>
        <w:t>根据《</w:t>
      </w:r>
      <w:r>
        <w:rPr>
          <w:rFonts w:hint="eastAsia" w:ascii="宋体" w:hAnsi="宋体" w:eastAsia="宋体"/>
          <w:sz w:val="24"/>
          <w:szCs w:val="18"/>
          <w:highlight w:val="none"/>
        </w:rPr>
        <w:t>政府采购进口产品管理办法</w:t>
      </w:r>
      <w:r>
        <w:rPr>
          <w:rFonts w:ascii="宋体" w:hAnsi="宋体" w:eastAsia="宋体"/>
          <w:sz w:val="24"/>
          <w:szCs w:val="18"/>
          <w:highlight w:val="none"/>
        </w:rPr>
        <w:t>》及政府采购管理部门的相关规定，下列采购需求中</w:t>
      </w:r>
      <w:r>
        <w:rPr>
          <w:rFonts w:hint="eastAsia" w:ascii="宋体" w:hAnsi="宋体" w:eastAsia="宋体"/>
          <w:sz w:val="24"/>
          <w:szCs w:val="18"/>
          <w:highlight w:val="none"/>
        </w:rPr>
        <w:t>标注进口产品的货物均</w:t>
      </w:r>
      <w:r>
        <w:rPr>
          <w:rFonts w:ascii="宋体" w:hAnsi="宋体" w:eastAsia="宋体"/>
          <w:sz w:val="24"/>
          <w:szCs w:val="18"/>
          <w:highlight w:val="none"/>
        </w:rPr>
        <w:t>已履行相关论证手续，经核准采购进口</w:t>
      </w:r>
      <w:r>
        <w:rPr>
          <w:rFonts w:hint="eastAsia" w:ascii="宋体" w:hAnsi="宋体" w:eastAsia="宋体"/>
          <w:sz w:val="24"/>
          <w:szCs w:val="18"/>
          <w:highlight w:val="none"/>
        </w:rPr>
        <w:t>产品</w:t>
      </w:r>
      <w:r>
        <w:rPr>
          <w:rFonts w:ascii="宋体" w:hAnsi="宋体" w:eastAsia="宋体"/>
          <w:sz w:val="24"/>
          <w:szCs w:val="18"/>
          <w:highlight w:val="none"/>
        </w:rPr>
        <w:t>，但不限制满足招标文件要求的国内产品参与竞争</w:t>
      </w:r>
      <w:r>
        <w:rPr>
          <w:rFonts w:hint="eastAsia" w:ascii="宋体" w:hAnsi="宋体" w:eastAsia="宋体"/>
          <w:sz w:val="24"/>
          <w:szCs w:val="18"/>
          <w:highlight w:val="none"/>
        </w:rPr>
        <w:t>。未标注进口产品的货物均</w:t>
      </w:r>
      <w:r>
        <w:rPr>
          <w:rFonts w:ascii="宋体" w:hAnsi="宋体" w:eastAsia="宋体"/>
          <w:sz w:val="24"/>
          <w:szCs w:val="18"/>
          <w:highlight w:val="none"/>
        </w:rPr>
        <w:t>为拒绝采购进口产品</w:t>
      </w:r>
      <w:r>
        <w:rPr>
          <w:rFonts w:hint="eastAsia" w:ascii="宋体" w:hAnsi="宋体" w:eastAsia="宋体"/>
          <w:sz w:val="24"/>
          <w:szCs w:val="18"/>
          <w:highlight w:val="none"/>
        </w:rPr>
        <w:t>。</w:t>
      </w:r>
    </w:p>
    <w:p w14:paraId="3D19009F">
      <w:pPr>
        <w:shd w:val="clear"/>
        <w:spacing w:line="360" w:lineRule="auto"/>
        <w:ind w:firstLine="435"/>
        <w:rPr>
          <w:rFonts w:ascii="宋体" w:hAnsi="宋体" w:eastAsia="宋体"/>
          <w:sz w:val="24"/>
          <w:szCs w:val="18"/>
          <w:highlight w:val="none"/>
        </w:rPr>
      </w:pPr>
      <w:r>
        <w:rPr>
          <w:rFonts w:hint="eastAsia" w:ascii="宋体" w:hAnsi="宋体" w:eastAsia="宋体"/>
          <w:sz w:val="24"/>
          <w:szCs w:val="18"/>
          <w:highlight w:val="none"/>
        </w:rPr>
        <w:t>2.</w:t>
      </w:r>
      <w:r>
        <w:rPr>
          <w:rFonts w:ascii="宋体" w:hAnsi="宋体" w:eastAsia="宋体" w:cs="宋体"/>
          <w:sz w:val="24"/>
          <w:szCs w:val="24"/>
          <w:highlight w:val="none"/>
        </w:rPr>
        <w:t>政府采购政策（包括但不限于下列具体政策要求</w:t>
      </w:r>
      <w:r>
        <w:rPr>
          <w:rFonts w:hint="eastAsia" w:ascii="宋体" w:hAnsi="宋体" w:eastAsia="宋体" w:cs="宋体"/>
          <w:sz w:val="24"/>
          <w:szCs w:val="24"/>
          <w:highlight w:val="none"/>
        </w:rPr>
        <w:t>）</w:t>
      </w:r>
      <w:r>
        <w:rPr>
          <w:rFonts w:hint="eastAsia" w:ascii="宋体" w:hAnsi="宋体" w:eastAsia="宋体"/>
          <w:sz w:val="24"/>
          <w:szCs w:val="18"/>
          <w:highlight w:val="none"/>
        </w:rPr>
        <w:t>：</w:t>
      </w:r>
    </w:p>
    <w:p w14:paraId="471EC60B">
      <w:pPr>
        <w:shd w:val="clear"/>
        <w:spacing w:line="360" w:lineRule="auto"/>
        <w:ind w:firstLine="435"/>
        <w:rPr>
          <w:rFonts w:ascii="宋体" w:hAnsi="宋体" w:eastAsia="宋体" w:cs="宋体"/>
          <w:sz w:val="24"/>
          <w:szCs w:val="24"/>
          <w:highlight w:val="none"/>
        </w:rPr>
      </w:pPr>
      <w:r>
        <w:rPr>
          <w:rFonts w:hint="eastAsia" w:ascii="宋体" w:hAnsi="宋体" w:eastAsia="宋体" w:cs="宋体"/>
          <w:sz w:val="24"/>
          <w:szCs w:val="24"/>
          <w:highlight w:val="none"/>
        </w:rPr>
        <w:t>（1）如属于《节能产品政府采购品目清单》中政府强制采购的节能产品，则投标人所投产品须具有市场监管总局公布的《参与实施政府采购节能产品认证机构目录》中的认证机构出具的、处于有效期内的节能产品认证证书。</w:t>
      </w:r>
    </w:p>
    <w:p w14:paraId="799BB425">
      <w:pPr>
        <w:shd w:val="clear"/>
        <w:spacing w:line="360" w:lineRule="auto"/>
        <w:ind w:firstLine="435"/>
        <w:rPr>
          <w:rFonts w:ascii="宋体" w:hAnsi="宋体" w:eastAsia="宋体" w:cs="宋体"/>
          <w:sz w:val="24"/>
          <w:szCs w:val="24"/>
          <w:highlight w:val="none"/>
        </w:rPr>
      </w:pPr>
      <w:r>
        <w:rPr>
          <w:rFonts w:hint="eastAsia" w:ascii="宋体" w:hAnsi="宋体" w:eastAsia="宋体" w:cs="宋体"/>
          <w:sz w:val="24"/>
          <w:szCs w:val="24"/>
          <w:highlight w:val="none"/>
        </w:rPr>
        <w:t>（2）如涉及商品包装和快递包装，投标人应当执行《关于印发〈商品包装政府采购需求标准（试行）〉、〈快递包装政府采购需求标准（试行）〉的通知》（财办库〔2020〕123号）、《安徽省财政厅关于贯彻落实政府绿色采购有关政策的通知》（皖财购〔2023〕853号）的要求，提供符合需求标准的绿色包装、绿色运输，同时，采购人将对包装材料和运输环节作为履约验收条款进行验收。</w:t>
      </w:r>
    </w:p>
    <w:p w14:paraId="21C7F3E8">
      <w:pPr>
        <w:shd w:val="clear"/>
        <w:spacing w:line="360" w:lineRule="auto"/>
        <w:ind w:firstLine="435"/>
        <w:rPr>
          <w:rFonts w:ascii="宋体" w:hAnsi="宋体" w:eastAsia="宋体"/>
          <w:sz w:val="24"/>
          <w:szCs w:val="18"/>
          <w:highlight w:val="none"/>
        </w:rPr>
      </w:pPr>
      <w:r>
        <w:rPr>
          <w:rFonts w:hint="eastAsia" w:ascii="宋体" w:hAnsi="宋体" w:eastAsia="宋体" w:cs="宋体"/>
          <w:sz w:val="24"/>
          <w:szCs w:val="24"/>
          <w:highlight w:val="none"/>
        </w:rPr>
        <w:t>3.</w:t>
      </w:r>
      <w:r>
        <w:rPr>
          <w:rFonts w:hint="eastAsia" w:ascii="宋体" w:hAnsi="宋体" w:eastAsia="宋体"/>
          <w:sz w:val="24"/>
          <w:szCs w:val="18"/>
          <w:highlight w:val="none"/>
        </w:rPr>
        <w:t>如采购人允许采用分包方式履行合同的，应当明确可以分包履行的相关内容。</w:t>
      </w:r>
    </w:p>
    <w:p w14:paraId="0A603A90">
      <w:pPr>
        <w:shd w:val="clear"/>
        <w:spacing w:line="360" w:lineRule="auto"/>
        <w:ind w:firstLine="435"/>
        <w:rPr>
          <w:rFonts w:ascii="宋体" w:hAnsi="宋体" w:eastAsia="宋体"/>
          <w:sz w:val="24"/>
          <w:szCs w:val="18"/>
          <w:highlight w:val="none"/>
        </w:rPr>
      </w:pPr>
      <w:r>
        <w:rPr>
          <w:rFonts w:hint="eastAsia" w:ascii="宋体" w:hAnsi="宋体" w:eastAsia="宋体"/>
          <w:sz w:val="24"/>
          <w:szCs w:val="18"/>
          <w:highlight w:val="none"/>
        </w:rPr>
        <w:t>4.下列采购需求中：标注▲的产品为核心产品（主要中标标的）。</w:t>
      </w:r>
    </w:p>
    <w:p w14:paraId="30B0ED33">
      <w:pPr>
        <w:shd w:val="clear"/>
        <w:spacing w:line="360" w:lineRule="auto"/>
        <w:outlineLvl w:val="1"/>
        <w:rPr>
          <w:rFonts w:ascii="宋体" w:hAnsi="宋体" w:eastAsia="宋体"/>
          <w:b/>
          <w:sz w:val="24"/>
          <w:szCs w:val="18"/>
          <w:highlight w:val="none"/>
        </w:rPr>
      </w:pPr>
      <w:bookmarkStart w:id="73" w:name="_Toc2554"/>
      <w:bookmarkStart w:id="74" w:name="_Toc32151"/>
      <w:r>
        <w:rPr>
          <w:rFonts w:hint="eastAsia" w:ascii="宋体" w:hAnsi="宋体" w:eastAsia="宋体"/>
          <w:b/>
          <w:sz w:val="24"/>
          <w:szCs w:val="18"/>
          <w:highlight w:val="none"/>
        </w:rPr>
        <w:t>一、采购需求前附表</w:t>
      </w:r>
      <w:bookmarkEnd w:id="73"/>
      <w:bookmarkEnd w:id="74"/>
    </w:p>
    <w:tbl>
      <w:tblPr>
        <w:tblStyle w:val="25"/>
        <w:tblW w:w="484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970"/>
        <w:gridCol w:w="1969"/>
        <w:gridCol w:w="5319"/>
      </w:tblGrid>
      <w:tr w14:paraId="43BAD8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87" w:type="pct"/>
            <w:vAlign w:val="center"/>
          </w:tcPr>
          <w:p w14:paraId="0F188398">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
                <w:kern w:val="2"/>
                <w:szCs w:val="24"/>
                <w:highlight w:val="none"/>
              </w:rPr>
            </w:pPr>
            <w:r>
              <w:rPr>
                <w:rFonts w:hint="eastAsia" w:ascii="宋体" w:hAnsi="宋体" w:eastAsia="宋体" w:cs="宋体"/>
                <w:b/>
                <w:kern w:val="2"/>
                <w:szCs w:val="24"/>
                <w:highlight w:val="none"/>
              </w:rPr>
              <w:t>序号</w:t>
            </w:r>
          </w:p>
        </w:tc>
        <w:tc>
          <w:tcPr>
            <w:tcW w:w="1192" w:type="pct"/>
            <w:vAlign w:val="center"/>
          </w:tcPr>
          <w:p w14:paraId="200C6B67">
            <w:pPr>
              <w:pStyle w:val="37"/>
              <w:widowControl w:val="0"/>
              <w:shd w:val="clear"/>
              <w:spacing w:before="0" w:beforeAutospacing="0" w:after="0" w:afterAutospacing="0" w:line="360" w:lineRule="auto"/>
              <w:rPr>
                <w:rFonts w:ascii="宋体" w:hAnsi="宋体" w:eastAsia="宋体" w:cs="宋体"/>
                <w:bCs w:val="0"/>
                <w:sz w:val="24"/>
                <w:szCs w:val="24"/>
                <w:highlight w:val="none"/>
              </w:rPr>
            </w:pPr>
            <w:r>
              <w:rPr>
                <w:rFonts w:hint="eastAsia" w:ascii="宋体" w:hAnsi="宋体" w:eastAsia="宋体" w:cs="宋体"/>
                <w:bCs w:val="0"/>
                <w:sz w:val="24"/>
                <w:szCs w:val="24"/>
                <w:highlight w:val="none"/>
              </w:rPr>
              <w:t>条款名称</w:t>
            </w:r>
          </w:p>
        </w:tc>
        <w:tc>
          <w:tcPr>
            <w:tcW w:w="3219" w:type="pct"/>
            <w:vAlign w:val="center"/>
          </w:tcPr>
          <w:p w14:paraId="1E08E055">
            <w:pPr>
              <w:pStyle w:val="37"/>
              <w:widowControl w:val="0"/>
              <w:shd w:val="clear"/>
              <w:spacing w:before="0" w:beforeAutospacing="0" w:after="0" w:afterAutospacing="0" w:line="360" w:lineRule="auto"/>
              <w:rPr>
                <w:rFonts w:ascii="宋体" w:hAnsi="宋体" w:eastAsia="宋体" w:cs="宋体"/>
                <w:bCs w:val="0"/>
                <w:sz w:val="24"/>
                <w:szCs w:val="24"/>
                <w:highlight w:val="none"/>
              </w:rPr>
            </w:pPr>
            <w:r>
              <w:rPr>
                <w:rFonts w:hint="eastAsia" w:ascii="宋体" w:hAnsi="宋体" w:eastAsia="宋体" w:cs="宋体"/>
                <w:bCs w:val="0"/>
                <w:sz w:val="24"/>
                <w:szCs w:val="24"/>
                <w:highlight w:val="none"/>
              </w:rPr>
              <w:t>内容、说明与要求</w:t>
            </w:r>
          </w:p>
        </w:tc>
      </w:tr>
      <w:tr w14:paraId="20CF3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87" w:type="pct"/>
            <w:vAlign w:val="center"/>
          </w:tcPr>
          <w:p w14:paraId="44D6A7A7">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Cs/>
                <w:kern w:val="2"/>
                <w:szCs w:val="24"/>
                <w:highlight w:val="none"/>
              </w:rPr>
            </w:pPr>
            <w:r>
              <w:rPr>
                <w:rFonts w:hint="eastAsia" w:ascii="宋体" w:hAnsi="宋体" w:eastAsia="宋体" w:cs="宋体"/>
                <w:bCs/>
                <w:kern w:val="2"/>
                <w:szCs w:val="24"/>
                <w:highlight w:val="none"/>
              </w:rPr>
              <w:t>1</w:t>
            </w:r>
          </w:p>
        </w:tc>
        <w:tc>
          <w:tcPr>
            <w:tcW w:w="1192" w:type="pct"/>
            <w:vAlign w:val="center"/>
          </w:tcPr>
          <w:p w14:paraId="7EA999D1">
            <w:pPr>
              <w:pStyle w:val="37"/>
              <w:widowControl w:val="0"/>
              <w:shd w:val="clear"/>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付款方式</w:t>
            </w:r>
          </w:p>
        </w:tc>
        <w:tc>
          <w:tcPr>
            <w:tcW w:w="3219" w:type="pct"/>
            <w:vAlign w:val="center"/>
          </w:tcPr>
          <w:p w14:paraId="2599D005">
            <w:pPr>
              <w:pStyle w:val="37"/>
              <w:widowControl w:val="0"/>
              <w:shd w:val="clear"/>
              <w:spacing w:before="0" w:beforeAutospacing="0" w:after="0" w:afterAutospacing="0" w:line="360" w:lineRule="auto"/>
              <w:jc w:val="both"/>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按阶段付款，合同签订后预付合同总价50%，整体验收合格，正式交付使用，再支付合同价50%。</w:t>
            </w:r>
          </w:p>
          <w:p w14:paraId="4D737FC5">
            <w:pPr>
              <w:pStyle w:val="37"/>
              <w:widowControl w:val="0"/>
              <w:shd w:val="clear"/>
              <w:spacing w:before="0" w:beforeAutospacing="0" w:after="0" w:afterAutospacing="0" w:line="360" w:lineRule="auto"/>
              <w:jc w:val="both"/>
              <w:rPr>
                <w:rFonts w:hint="eastAsia" w:ascii="宋体" w:hAnsi="宋体" w:eastAsia="宋体" w:cs="宋体"/>
                <w:b w:val="0"/>
                <w:sz w:val="24"/>
                <w:szCs w:val="24"/>
                <w:highlight w:val="none"/>
                <w:lang w:val="en-US" w:eastAsia="zh-CN"/>
              </w:rPr>
            </w:pPr>
            <w:r>
              <w:rPr>
                <w:rFonts w:hint="eastAsia" w:ascii="宋体" w:hAnsi="宋体" w:eastAsia="宋体" w:cs="宋体"/>
                <w:b w:val="0"/>
                <w:sz w:val="24"/>
                <w:szCs w:val="24"/>
                <w:highlight w:val="none"/>
                <w:lang w:val="en-US" w:eastAsia="zh-CN"/>
              </w:rPr>
              <w:t>注：</w:t>
            </w:r>
          </w:p>
          <w:p w14:paraId="27C86D6C">
            <w:pPr>
              <w:pStyle w:val="37"/>
              <w:widowControl w:val="0"/>
              <w:numPr>
                <w:ilvl w:val="0"/>
                <w:numId w:val="0"/>
              </w:numPr>
              <w:shd w:val="clear"/>
              <w:spacing w:before="0" w:beforeAutospacing="0" w:after="0" w:afterAutospacing="0" w:line="360" w:lineRule="auto"/>
              <w:jc w:val="both"/>
              <w:rPr>
                <w:rFonts w:hint="eastAsia" w:ascii="宋体" w:hAnsi="宋体" w:eastAsia="宋体" w:cs="宋体"/>
                <w:b w:val="0"/>
                <w:sz w:val="24"/>
                <w:szCs w:val="24"/>
                <w:highlight w:val="none"/>
                <w:lang w:val="en-US" w:eastAsia="zh-CN"/>
              </w:rPr>
            </w:pPr>
            <w:r>
              <w:rPr>
                <w:rFonts w:hint="eastAsia" w:ascii="宋体" w:hAnsi="宋体" w:eastAsia="宋体" w:cs="宋体"/>
                <w:b w:val="0"/>
                <w:bCs/>
                <w:kern w:val="0"/>
                <w:sz w:val="24"/>
                <w:szCs w:val="24"/>
                <w:highlight w:val="none"/>
                <w:lang w:val="en-US" w:eastAsia="zh-CN" w:bidi="ar-SA"/>
              </w:rPr>
              <w:t>（1）</w:t>
            </w:r>
            <w:r>
              <w:rPr>
                <w:rFonts w:hint="eastAsia" w:ascii="宋体" w:hAnsi="宋体" w:eastAsia="宋体" w:cs="宋体"/>
                <w:b w:val="0"/>
                <w:sz w:val="24"/>
                <w:szCs w:val="24"/>
                <w:highlight w:val="none"/>
                <w:lang w:val="en-US" w:eastAsia="zh-CN"/>
              </w:rPr>
              <w:t>中标人未按规定提供预付款担保的，视为放弃预付款；</w:t>
            </w:r>
          </w:p>
          <w:p w14:paraId="29BDCE87">
            <w:pPr>
              <w:pStyle w:val="37"/>
              <w:widowControl w:val="0"/>
              <w:numPr>
                <w:ilvl w:val="0"/>
                <w:numId w:val="0"/>
              </w:numPr>
              <w:shd w:val="clear"/>
              <w:spacing w:before="0" w:beforeAutospacing="0" w:after="0" w:afterAutospacing="0" w:line="360" w:lineRule="auto"/>
              <w:jc w:val="both"/>
              <w:rPr>
                <w:rFonts w:hint="default" w:ascii="宋体" w:hAnsi="宋体" w:eastAsia="宋体" w:cs="宋体"/>
                <w:b w:val="0"/>
                <w:sz w:val="24"/>
                <w:szCs w:val="24"/>
                <w:highlight w:val="none"/>
                <w:lang w:val="en-US" w:eastAsia="zh-CN"/>
              </w:rPr>
            </w:pPr>
            <w:r>
              <w:rPr>
                <w:rFonts w:hint="default" w:ascii="宋体" w:hAnsi="宋体" w:eastAsia="宋体" w:cs="宋体"/>
                <w:b w:val="0"/>
                <w:bCs/>
                <w:kern w:val="0"/>
                <w:sz w:val="24"/>
                <w:szCs w:val="24"/>
                <w:highlight w:val="none"/>
                <w:lang w:val="en-US" w:eastAsia="zh-CN" w:bidi="ar-SA"/>
              </w:rPr>
              <w:t>（2）</w:t>
            </w:r>
            <w:r>
              <w:rPr>
                <w:rFonts w:hint="eastAsia" w:ascii="宋体" w:hAnsi="宋体" w:eastAsia="宋体" w:cs="宋体"/>
                <w:b w:val="0"/>
                <w:sz w:val="24"/>
                <w:szCs w:val="24"/>
                <w:highlight w:val="none"/>
                <w:lang w:val="en-US" w:eastAsia="zh-CN"/>
              </w:rPr>
              <w:t>预付款担保要求：如采用银行保函、担保机构出具的包含均满足无条件见索即付要求。</w:t>
            </w:r>
          </w:p>
        </w:tc>
      </w:tr>
      <w:tr w14:paraId="54BAEB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9" w:hRule="atLeast"/>
          <w:jc w:val="center"/>
        </w:trPr>
        <w:tc>
          <w:tcPr>
            <w:tcW w:w="587" w:type="pct"/>
            <w:vAlign w:val="center"/>
          </w:tcPr>
          <w:p w14:paraId="1BFF4145">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Cs/>
                <w:kern w:val="2"/>
                <w:szCs w:val="24"/>
                <w:highlight w:val="none"/>
              </w:rPr>
            </w:pPr>
            <w:r>
              <w:rPr>
                <w:rFonts w:hint="eastAsia" w:ascii="宋体" w:hAnsi="宋体" w:eastAsia="宋体" w:cs="宋体"/>
                <w:bCs/>
                <w:kern w:val="2"/>
                <w:szCs w:val="24"/>
                <w:highlight w:val="none"/>
              </w:rPr>
              <w:t>2</w:t>
            </w:r>
          </w:p>
        </w:tc>
        <w:tc>
          <w:tcPr>
            <w:tcW w:w="1192" w:type="pct"/>
            <w:vAlign w:val="center"/>
          </w:tcPr>
          <w:p w14:paraId="400801A7">
            <w:pPr>
              <w:pStyle w:val="37"/>
              <w:widowControl w:val="0"/>
              <w:shd w:val="clear"/>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供货及安装地点</w:t>
            </w:r>
          </w:p>
        </w:tc>
        <w:tc>
          <w:tcPr>
            <w:tcW w:w="3219" w:type="pct"/>
            <w:vAlign w:val="center"/>
          </w:tcPr>
          <w:p w14:paraId="0F220F51">
            <w:pPr>
              <w:pStyle w:val="37"/>
              <w:widowControl w:val="0"/>
              <w:shd w:val="clear"/>
              <w:spacing w:before="0" w:beforeAutospacing="0" w:after="0" w:afterAutospacing="0" w:line="360" w:lineRule="auto"/>
              <w:jc w:val="both"/>
              <w:rPr>
                <w:rFonts w:hint="eastAsia" w:ascii="宋体" w:hAnsi="宋体" w:eastAsia="宋体" w:cs="宋体"/>
                <w:b w:val="0"/>
                <w:sz w:val="24"/>
                <w:szCs w:val="24"/>
                <w:highlight w:val="none"/>
              </w:rPr>
            </w:pPr>
            <w:r>
              <w:rPr>
                <w:rFonts w:hint="eastAsia" w:ascii="宋体" w:hAnsi="宋体" w:eastAsia="宋体" w:cs="宋体"/>
                <w:b w:val="0"/>
                <w:sz w:val="24"/>
                <w:szCs w:val="24"/>
                <w:highlight w:val="none"/>
              </w:rPr>
              <w:t>安徽中医药大学第二附属医院采购人指定地点</w:t>
            </w:r>
          </w:p>
        </w:tc>
      </w:tr>
      <w:tr w14:paraId="453DE9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1" w:hRule="atLeast"/>
          <w:jc w:val="center"/>
        </w:trPr>
        <w:tc>
          <w:tcPr>
            <w:tcW w:w="587" w:type="pct"/>
            <w:vAlign w:val="center"/>
          </w:tcPr>
          <w:p w14:paraId="79C64E8A">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Cs/>
                <w:kern w:val="2"/>
                <w:szCs w:val="24"/>
                <w:highlight w:val="none"/>
              </w:rPr>
            </w:pPr>
            <w:r>
              <w:rPr>
                <w:rFonts w:hint="eastAsia" w:ascii="宋体" w:hAnsi="宋体" w:eastAsia="宋体" w:cs="宋体"/>
                <w:bCs/>
                <w:kern w:val="2"/>
                <w:szCs w:val="24"/>
                <w:highlight w:val="none"/>
              </w:rPr>
              <w:t>3</w:t>
            </w:r>
          </w:p>
        </w:tc>
        <w:tc>
          <w:tcPr>
            <w:tcW w:w="1192" w:type="pct"/>
            <w:vAlign w:val="center"/>
          </w:tcPr>
          <w:p w14:paraId="28D0729D">
            <w:pPr>
              <w:pStyle w:val="37"/>
              <w:widowControl w:val="0"/>
              <w:shd w:val="clear"/>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供货及安装期限</w:t>
            </w:r>
          </w:p>
        </w:tc>
        <w:tc>
          <w:tcPr>
            <w:tcW w:w="3219" w:type="pct"/>
            <w:vAlign w:val="center"/>
          </w:tcPr>
          <w:p w14:paraId="4BC71542">
            <w:pPr>
              <w:widowControl/>
              <w:shd w:val="clear"/>
              <w:adjustRightInd w:val="0"/>
              <w:snapToGrid w:val="0"/>
              <w:spacing w:line="288" w:lineRule="auto"/>
              <w:rPr>
                <w:rFonts w:ascii="宋体" w:hAnsi="宋体" w:eastAsia="宋体" w:cs="宋体"/>
                <w:b w:val="0"/>
                <w:sz w:val="24"/>
                <w:szCs w:val="24"/>
                <w:highlight w:val="none"/>
              </w:rPr>
            </w:pPr>
            <w:r>
              <w:rPr>
                <w:rFonts w:hint="eastAsia" w:ascii="宋体" w:hAnsi="宋体" w:eastAsia="宋体" w:cs="宋体"/>
                <w:bCs/>
                <w:kern w:val="0"/>
                <w:sz w:val="24"/>
                <w:szCs w:val="24"/>
                <w:highlight w:val="none"/>
              </w:rPr>
              <w:t>合同签订生效后，接采购人通知后 60 个日历天内完成上线。</w:t>
            </w:r>
          </w:p>
        </w:tc>
      </w:tr>
      <w:tr w14:paraId="1661AD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587" w:type="pct"/>
            <w:vAlign w:val="center"/>
          </w:tcPr>
          <w:p w14:paraId="0A86A6BE">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Cs/>
                <w:kern w:val="2"/>
                <w:szCs w:val="24"/>
                <w:highlight w:val="none"/>
              </w:rPr>
            </w:pPr>
            <w:r>
              <w:rPr>
                <w:rFonts w:hint="eastAsia" w:ascii="宋体" w:hAnsi="宋体" w:eastAsia="宋体" w:cs="宋体"/>
                <w:bCs/>
                <w:kern w:val="2"/>
                <w:szCs w:val="24"/>
                <w:highlight w:val="none"/>
              </w:rPr>
              <w:t>4</w:t>
            </w:r>
          </w:p>
        </w:tc>
        <w:tc>
          <w:tcPr>
            <w:tcW w:w="1192" w:type="pct"/>
            <w:vAlign w:val="center"/>
          </w:tcPr>
          <w:p w14:paraId="6BA5A37C">
            <w:pPr>
              <w:pStyle w:val="37"/>
              <w:widowControl w:val="0"/>
              <w:shd w:val="clear"/>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免费质保期</w:t>
            </w:r>
          </w:p>
        </w:tc>
        <w:tc>
          <w:tcPr>
            <w:tcW w:w="3219" w:type="pct"/>
            <w:vAlign w:val="center"/>
          </w:tcPr>
          <w:p w14:paraId="0E805113">
            <w:pPr>
              <w:widowControl/>
              <w:shd w:val="clear"/>
              <w:adjustRightInd w:val="0"/>
              <w:snapToGrid w:val="0"/>
              <w:spacing w:line="360" w:lineRule="auto"/>
              <w:rPr>
                <w:rFonts w:ascii="宋体" w:hAnsi="宋体" w:eastAsia="宋体" w:cs="宋体"/>
                <w:bCs/>
                <w:sz w:val="24"/>
                <w:szCs w:val="24"/>
                <w:highlight w:val="none"/>
              </w:rPr>
            </w:pPr>
            <w:r>
              <w:rPr>
                <w:rFonts w:hint="eastAsia" w:ascii="宋体" w:hAnsi="宋体" w:eastAsia="宋体" w:cs="宋体"/>
                <w:bCs/>
                <w:kern w:val="0"/>
                <w:sz w:val="24"/>
                <w:szCs w:val="24"/>
                <w:highlight w:val="none"/>
              </w:rPr>
              <w:t>软件自验收合格之日起质保不少于2年；硬件设备自验收合格之日起整体质保不少于五年。</w:t>
            </w:r>
          </w:p>
        </w:tc>
      </w:tr>
      <w:tr w14:paraId="5CCB0F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587" w:type="pct"/>
            <w:vAlign w:val="center"/>
          </w:tcPr>
          <w:p w14:paraId="3CD8B1F9">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Cs/>
                <w:kern w:val="2"/>
                <w:szCs w:val="24"/>
                <w:highlight w:val="none"/>
              </w:rPr>
            </w:pPr>
            <w:r>
              <w:rPr>
                <w:rFonts w:hint="eastAsia" w:ascii="宋体" w:hAnsi="宋体" w:eastAsia="宋体" w:cs="宋体"/>
                <w:bCs/>
                <w:kern w:val="2"/>
                <w:szCs w:val="24"/>
                <w:highlight w:val="none"/>
              </w:rPr>
              <w:t>5</w:t>
            </w:r>
          </w:p>
        </w:tc>
        <w:tc>
          <w:tcPr>
            <w:tcW w:w="1192" w:type="pct"/>
            <w:vAlign w:val="center"/>
          </w:tcPr>
          <w:p w14:paraId="2B5EB983">
            <w:pPr>
              <w:pStyle w:val="37"/>
              <w:widowControl w:val="0"/>
              <w:shd w:val="clear"/>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质量要求</w:t>
            </w:r>
          </w:p>
        </w:tc>
        <w:tc>
          <w:tcPr>
            <w:tcW w:w="3219" w:type="pct"/>
            <w:vAlign w:val="center"/>
          </w:tcPr>
          <w:p w14:paraId="643BFDA9">
            <w:pPr>
              <w:pStyle w:val="37"/>
              <w:widowControl w:val="0"/>
              <w:shd w:val="clear"/>
              <w:spacing w:before="0" w:beforeAutospacing="0" w:after="0" w:afterAutospacing="0" w:line="360" w:lineRule="auto"/>
              <w:jc w:val="both"/>
              <w:rPr>
                <w:rFonts w:ascii="宋体" w:hAnsi="宋体" w:eastAsia="宋体" w:cs="宋体"/>
                <w:b w:val="0"/>
                <w:color w:val="000000" w:themeColor="text1"/>
                <w:sz w:val="24"/>
                <w:szCs w:val="24"/>
                <w:highlight w:val="none"/>
                <w14:textFill>
                  <w14:solidFill>
                    <w14:schemeClr w14:val="tx1"/>
                  </w14:solidFill>
                </w14:textFill>
              </w:rPr>
            </w:pPr>
            <w:r>
              <w:rPr>
                <w:rFonts w:hint="eastAsia" w:ascii="宋体" w:hAnsi="宋体" w:eastAsia="宋体" w:cs="宋体"/>
                <w:b w:val="0"/>
                <w:color w:val="000000" w:themeColor="text1"/>
                <w:sz w:val="24"/>
                <w:szCs w:val="24"/>
                <w:highlight w:val="none"/>
                <w14:textFill>
                  <w14:solidFill>
                    <w14:schemeClr w14:val="tx1"/>
                  </w14:solidFill>
                </w14:textFill>
              </w:rPr>
              <w:t>最终的交付物须满足国家卫生健康委统计信息中心发布的《数智医院建设与应用评价标准》（预计</w:t>
            </w:r>
            <w:r>
              <w:rPr>
                <w:rFonts w:ascii="宋体" w:hAnsi="宋体" w:eastAsia="宋体" w:cs="宋体"/>
                <w:b w:val="0"/>
                <w:color w:val="000000" w:themeColor="text1"/>
                <w:sz w:val="24"/>
                <w:szCs w:val="24"/>
                <w:highlight w:val="none"/>
                <w14:textFill>
                  <w14:solidFill>
                    <w14:schemeClr w14:val="tx1"/>
                  </w14:solidFill>
                </w14:textFill>
              </w:rPr>
              <w:t>2027年正式实施，该标准已整合原电子病历分级评价、互联互通成熟度测评、智慧服务分级评估、智慧管理分级评估四套体系），</w:t>
            </w:r>
            <w:r>
              <w:rPr>
                <w:rFonts w:ascii="宋体" w:hAnsi="宋体" w:eastAsia="宋体" w:cs="宋体"/>
                <w:color w:val="000000" w:themeColor="text1"/>
                <w:sz w:val="24"/>
                <w:szCs w:val="24"/>
                <w:highlight w:val="none"/>
                <w14:textFill>
                  <w14:solidFill>
                    <w14:schemeClr w14:val="tx1"/>
                  </w14:solidFill>
                </w14:textFill>
              </w:rPr>
              <w:t>投标文件须提供承诺函</w:t>
            </w:r>
            <w:r>
              <w:rPr>
                <w:rFonts w:hint="eastAsia" w:ascii="宋体" w:hAnsi="宋体" w:eastAsia="宋体" w:cs="宋体"/>
                <w:b w:val="0"/>
                <w:color w:val="000000" w:themeColor="text1"/>
                <w:sz w:val="24"/>
                <w:szCs w:val="24"/>
                <w:highlight w:val="none"/>
                <w14:textFill>
                  <w14:solidFill>
                    <w14:schemeClr w14:val="tx1"/>
                  </w14:solidFill>
                </w14:textFill>
              </w:rPr>
              <w:t>。承诺</w:t>
            </w:r>
            <w:r>
              <w:rPr>
                <w:rFonts w:ascii="宋体" w:hAnsi="宋体" w:eastAsia="宋体" w:cs="宋体"/>
                <w:b w:val="0"/>
                <w:color w:val="000000" w:themeColor="text1"/>
                <w:sz w:val="24"/>
                <w:szCs w:val="24"/>
                <w:highlight w:val="none"/>
                <w14:textFill>
                  <w14:solidFill>
                    <w14:schemeClr w14:val="tx1"/>
                  </w14:solidFill>
                </w14:textFill>
              </w:rPr>
              <w:t>该系统须能够支撑医院整体达到新标准中相当于原“电子病历分级评价5级、医院信息互联互通标准化成熟度四级甲等、医院智慧服务分级评估三级”所对应的等级要求，重点包括：</w:t>
            </w:r>
          </w:p>
          <w:p w14:paraId="662DDAE8">
            <w:pPr>
              <w:pStyle w:val="37"/>
              <w:widowControl w:val="0"/>
              <w:shd w:val="clear"/>
              <w:spacing w:before="0" w:beforeAutospacing="0" w:after="0" w:afterAutospacing="0" w:line="360" w:lineRule="auto"/>
              <w:jc w:val="both"/>
              <w:rPr>
                <w:rFonts w:ascii="宋体" w:hAnsi="宋体" w:eastAsia="宋体" w:cs="宋体"/>
                <w:b w:val="0"/>
                <w:color w:val="000000" w:themeColor="text1"/>
                <w:sz w:val="24"/>
                <w:szCs w:val="24"/>
                <w:highlight w:val="none"/>
                <w14:textFill>
                  <w14:solidFill>
                    <w14:schemeClr w14:val="tx1"/>
                  </w14:solidFill>
                </w14:textFill>
              </w:rPr>
            </w:pPr>
            <w:r>
              <w:rPr>
                <w:rFonts w:hint="eastAsia" w:ascii="宋体" w:hAnsi="宋体" w:eastAsia="宋体" w:cs="宋体"/>
                <w:b w:val="0"/>
                <w:color w:val="000000" w:themeColor="text1"/>
                <w:sz w:val="24"/>
                <w:szCs w:val="24"/>
                <w:highlight w:val="none"/>
                <w14:textFill>
                  <w14:solidFill>
                    <w14:schemeClr w14:val="tx1"/>
                  </w14:solidFill>
                </w14:textFill>
              </w:rPr>
              <w:t>1</w:t>
            </w:r>
            <w:r>
              <w:rPr>
                <w:rFonts w:ascii="宋体" w:hAnsi="宋体" w:eastAsia="宋体" w:cs="宋体"/>
                <w:b w:val="0"/>
                <w:color w:val="000000" w:themeColor="text1"/>
                <w:sz w:val="24"/>
                <w:szCs w:val="24"/>
                <w:highlight w:val="none"/>
                <w14:textFill>
                  <w14:solidFill>
                    <w14:schemeClr w14:val="tx1"/>
                  </w14:solidFill>
                </w14:textFill>
              </w:rPr>
              <w:t>. 建立中药处方全流程数据治理机制，确保处方调剂、煎药、配送等业务数据的标准化、完</w:t>
            </w:r>
            <w:r>
              <w:rPr>
                <w:rFonts w:hint="eastAsia" w:ascii="宋体" w:hAnsi="宋体" w:eastAsia="宋体" w:cs="宋体"/>
                <w:b w:val="0"/>
                <w:color w:val="000000" w:themeColor="text1"/>
                <w:sz w:val="24"/>
                <w:szCs w:val="24"/>
                <w:highlight w:val="none"/>
                <w14:textFill>
                  <w14:solidFill>
                    <w14:schemeClr w14:val="tx1"/>
                  </w14:solidFill>
                </w14:textFill>
              </w:rPr>
              <w:t>整性及可追溯性，满足全院数据质量管控要求；</w:t>
            </w:r>
          </w:p>
          <w:p w14:paraId="07C99A0D">
            <w:pPr>
              <w:pStyle w:val="37"/>
              <w:widowControl w:val="0"/>
              <w:shd w:val="clear"/>
              <w:spacing w:before="0" w:beforeAutospacing="0" w:after="0" w:afterAutospacing="0" w:line="360" w:lineRule="auto"/>
              <w:jc w:val="both"/>
              <w:rPr>
                <w:rFonts w:ascii="宋体" w:hAnsi="宋体" w:eastAsia="宋体" w:cs="宋体"/>
                <w:b w:val="0"/>
                <w:color w:val="000000" w:themeColor="text1"/>
                <w:sz w:val="24"/>
                <w:szCs w:val="24"/>
                <w:highlight w:val="none"/>
                <w14:textFill>
                  <w14:solidFill>
                    <w14:schemeClr w14:val="tx1"/>
                  </w14:solidFill>
                </w14:textFill>
              </w:rPr>
            </w:pPr>
            <w:r>
              <w:rPr>
                <w:rFonts w:hint="eastAsia" w:ascii="宋体" w:hAnsi="宋体" w:eastAsia="宋体" w:cs="宋体"/>
                <w:b w:val="0"/>
                <w:color w:val="000000" w:themeColor="text1"/>
                <w:sz w:val="24"/>
                <w:szCs w:val="24"/>
                <w:highlight w:val="none"/>
                <w14:textFill>
                  <w14:solidFill>
                    <w14:schemeClr w14:val="tx1"/>
                  </w14:solidFill>
                </w14:textFill>
              </w:rPr>
              <w:t>2</w:t>
            </w:r>
            <w:r>
              <w:rPr>
                <w:rFonts w:ascii="宋体" w:hAnsi="宋体" w:eastAsia="宋体" w:cs="宋体"/>
                <w:b w:val="0"/>
                <w:color w:val="000000" w:themeColor="text1"/>
                <w:sz w:val="24"/>
                <w:szCs w:val="24"/>
                <w:highlight w:val="none"/>
                <w14:textFill>
                  <w14:solidFill>
                    <w14:schemeClr w14:val="tx1"/>
                  </w14:solidFill>
                </w14:textFill>
              </w:rPr>
              <w:t xml:space="preserve">. </w:t>
            </w:r>
            <w:r>
              <w:rPr>
                <w:rFonts w:hint="eastAsia" w:ascii="宋体" w:hAnsi="宋体" w:eastAsia="宋体" w:cs="宋体"/>
                <w:b w:val="0"/>
                <w:color w:val="000000" w:themeColor="text1"/>
                <w:sz w:val="24"/>
                <w:szCs w:val="24"/>
                <w:highlight w:val="none"/>
                <w14:textFill>
                  <w14:solidFill>
                    <w14:schemeClr w14:val="tx1"/>
                  </w14:solidFill>
                </w14:textFill>
              </w:rPr>
              <w:t>系统须通过医院既有集成平台与</w:t>
            </w:r>
            <w:r>
              <w:rPr>
                <w:rFonts w:ascii="宋体" w:hAnsi="宋体" w:eastAsia="宋体" w:cs="宋体"/>
                <w:b w:val="0"/>
                <w:color w:val="000000" w:themeColor="text1"/>
                <w:sz w:val="24"/>
                <w:szCs w:val="24"/>
                <w:highlight w:val="none"/>
                <w14:textFill>
                  <w14:solidFill>
                    <w14:schemeClr w14:val="tx1"/>
                  </w14:solidFill>
                </w14:textFill>
              </w:rPr>
              <w:t>HIS、LIS等系统实现无缝对接，并严格落实信息安全一票否决制及国产化适配要求（含OFD电子处方归档、国产密码算法加密）；</w:t>
            </w:r>
          </w:p>
          <w:p w14:paraId="119BD83B">
            <w:pPr>
              <w:pStyle w:val="37"/>
              <w:widowControl w:val="0"/>
              <w:shd w:val="clear"/>
              <w:spacing w:before="0" w:beforeAutospacing="0" w:after="0" w:afterAutospacing="0" w:line="360" w:lineRule="auto"/>
              <w:jc w:val="both"/>
              <w:rPr>
                <w:rFonts w:ascii="宋体" w:hAnsi="宋体" w:eastAsia="宋体" w:cs="宋体"/>
                <w:b w:val="0"/>
                <w:color w:val="000000" w:themeColor="text1"/>
                <w:sz w:val="24"/>
                <w:szCs w:val="24"/>
                <w:highlight w:val="none"/>
                <w14:textFill>
                  <w14:solidFill>
                    <w14:schemeClr w14:val="tx1"/>
                  </w14:solidFill>
                </w14:textFill>
              </w:rPr>
            </w:pPr>
            <w:r>
              <w:rPr>
                <w:rFonts w:hint="eastAsia" w:ascii="宋体" w:hAnsi="宋体" w:eastAsia="宋体" w:cs="宋体"/>
                <w:b w:val="0"/>
                <w:color w:val="000000" w:themeColor="text1"/>
                <w:sz w:val="24"/>
                <w:szCs w:val="24"/>
                <w:highlight w:val="none"/>
                <w14:textFill>
                  <w14:solidFill>
                    <w14:schemeClr w14:val="tx1"/>
                  </w14:solidFill>
                </w14:textFill>
              </w:rPr>
              <w:t>3</w:t>
            </w:r>
            <w:r>
              <w:rPr>
                <w:rFonts w:ascii="宋体" w:hAnsi="宋体" w:eastAsia="宋体" w:cs="宋体"/>
                <w:b w:val="0"/>
                <w:color w:val="000000" w:themeColor="text1"/>
                <w:sz w:val="24"/>
                <w:szCs w:val="24"/>
                <w:highlight w:val="none"/>
                <w14:textFill>
                  <w14:solidFill>
                    <w14:schemeClr w14:val="tx1"/>
                  </w14:solidFill>
                </w14:textFill>
              </w:rPr>
              <w:t>. 投标人还须承诺在服务期限内免费配合医院完成与新标准相关的各项数据对接、系统整改及迎评配合工作。</w:t>
            </w:r>
          </w:p>
          <w:p w14:paraId="3E697700">
            <w:pPr>
              <w:pStyle w:val="37"/>
              <w:widowControl w:val="0"/>
              <w:shd w:val="clear"/>
              <w:spacing w:before="0" w:beforeAutospacing="0" w:after="0" w:afterAutospacing="0" w:line="360" w:lineRule="auto"/>
              <w:jc w:val="both"/>
              <w:rPr>
                <w:rFonts w:ascii="宋体" w:hAnsi="宋体" w:eastAsia="宋体" w:cs="宋体"/>
                <w:b w:val="0"/>
                <w:color w:val="000000" w:themeColor="text1"/>
                <w:sz w:val="24"/>
                <w:szCs w:val="24"/>
                <w:highlight w:val="none"/>
                <w14:textFill>
                  <w14:solidFill>
                    <w14:schemeClr w14:val="tx1"/>
                  </w14:solidFill>
                </w14:textFill>
              </w:rPr>
            </w:pPr>
            <w:r>
              <w:rPr>
                <w:rFonts w:hint="eastAsia" w:ascii="宋体" w:hAnsi="宋体" w:eastAsia="宋体" w:cs="宋体"/>
                <w:b w:val="0"/>
                <w:color w:val="000000" w:themeColor="text1"/>
                <w:sz w:val="24"/>
                <w:szCs w:val="24"/>
                <w:highlight w:val="none"/>
                <w14:textFill>
                  <w14:solidFill>
                    <w14:schemeClr w14:val="tx1"/>
                  </w14:solidFill>
                </w14:textFill>
              </w:rPr>
              <w:t>4. 投标人须承诺配合医院完成历史数据迁移工作。</w:t>
            </w:r>
          </w:p>
          <w:p w14:paraId="6AD0C3E9">
            <w:pPr>
              <w:pStyle w:val="37"/>
              <w:widowControl w:val="0"/>
              <w:shd w:val="clear"/>
              <w:spacing w:before="0" w:beforeAutospacing="0" w:after="0" w:afterAutospacing="0" w:line="360" w:lineRule="auto"/>
              <w:jc w:val="both"/>
              <w:rPr>
                <w:rFonts w:ascii="宋体" w:hAnsi="宋体" w:eastAsia="宋体" w:cs="宋体"/>
                <w:b w:val="0"/>
                <w:sz w:val="24"/>
                <w:szCs w:val="24"/>
                <w:highlight w:val="none"/>
              </w:rPr>
            </w:pPr>
            <w:r>
              <w:rPr>
                <w:rFonts w:hint="eastAsia" w:ascii="宋体" w:hAnsi="宋体" w:eastAsia="宋体" w:cs="宋体"/>
                <w:b w:val="0"/>
                <w:color w:val="000000" w:themeColor="text1"/>
                <w:sz w:val="24"/>
                <w:szCs w:val="24"/>
                <w:highlight w:val="none"/>
                <w14:textFill>
                  <w14:solidFill>
                    <w14:schemeClr w14:val="tx1"/>
                  </w14:solidFill>
                </w14:textFill>
              </w:rPr>
              <w:t>5.投标人须承诺软件验收时提供软件评测报告。</w:t>
            </w:r>
          </w:p>
        </w:tc>
      </w:tr>
      <w:tr w14:paraId="1A46F2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587" w:type="pct"/>
            <w:vAlign w:val="center"/>
          </w:tcPr>
          <w:p w14:paraId="4E71922E">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Cs/>
                <w:kern w:val="2"/>
                <w:szCs w:val="24"/>
                <w:highlight w:val="none"/>
              </w:rPr>
            </w:pPr>
            <w:bookmarkStart w:id="75" w:name="_Toc5944"/>
            <w:bookmarkStart w:id="76" w:name="_Toc7671"/>
            <w:r>
              <w:rPr>
                <w:rFonts w:hint="eastAsia" w:ascii="宋体" w:hAnsi="宋体" w:eastAsia="宋体" w:cs="宋体"/>
                <w:bCs/>
                <w:kern w:val="2"/>
                <w:szCs w:val="24"/>
                <w:highlight w:val="none"/>
              </w:rPr>
              <w:t>6</w:t>
            </w:r>
          </w:p>
        </w:tc>
        <w:tc>
          <w:tcPr>
            <w:tcW w:w="1192" w:type="pct"/>
            <w:vAlign w:val="center"/>
          </w:tcPr>
          <w:p w14:paraId="4DC24A1B">
            <w:pPr>
              <w:pStyle w:val="37"/>
              <w:widowControl w:val="0"/>
              <w:shd w:val="clear"/>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验收要求</w:t>
            </w:r>
          </w:p>
        </w:tc>
        <w:tc>
          <w:tcPr>
            <w:tcW w:w="3219" w:type="pct"/>
            <w:vAlign w:val="center"/>
          </w:tcPr>
          <w:p w14:paraId="170BACE9">
            <w:pPr>
              <w:pStyle w:val="37"/>
              <w:widowControl w:val="0"/>
              <w:shd w:val="clear"/>
              <w:spacing w:before="0" w:beforeAutospacing="0" w:after="0" w:afterAutospacing="0" w:line="360" w:lineRule="auto"/>
              <w:jc w:val="both"/>
              <w:rPr>
                <w:rFonts w:ascii="Times New Roman" w:hAnsi="Times New Roman" w:eastAsia="宋体" w:cs="宋体"/>
                <w:b w:val="0"/>
                <w:bCs w:val="0"/>
                <w:color w:val="000000" w:themeColor="text1"/>
                <w:sz w:val="24"/>
                <w:szCs w:val="24"/>
                <w:highlight w:val="none"/>
                <w:lang w:bidi="ar"/>
                <w14:textFill>
                  <w14:solidFill>
                    <w14:schemeClr w14:val="tx1"/>
                  </w14:solidFill>
                </w14:textFill>
              </w:rPr>
            </w:pPr>
            <w:r>
              <w:rPr>
                <w:rFonts w:hint="eastAsia" w:ascii="宋体" w:hAnsi="宋体" w:eastAsia="宋体" w:cs="宋体"/>
                <w:b w:val="0"/>
                <w:sz w:val="24"/>
                <w:szCs w:val="24"/>
                <w:highlight w:val="none"/>
              </w:rPr>
              <w:t>中标人须配合招标人完成</w:t>
            </w:r>
            <w:r>
              <w:rPr>
                <w:rFonts w:hint="eastAsia" w:ascii="Times New Roman" w:hAnsi="Times New Roman" w:eastAsia="宋体" w:cs="宋体"/>
                <w:b w:val="0"/>
                <w:bCs w:val="0"/>
                <w:color w:val="000000" w:themeColor="text1"/>
                <w:sz w:val="24"/>
                <w:szCs w:val="24"/>
                <w:highlight w:val="none"/>
                <w:lang w:bidi="ar"/>
                <w14:textFill>
                  <w14:solidFill>
                    <w14:schemeClr w14:val="tx1"/>
                  </w14:solidFill>
                </w14:textFill>
              </w:rPr>
              <w:t>智慧中药房建设系统项目验收工作</w:t>
            </w:r>
            <w:r>
              <w:rPr>
                <w:rFonts w:hint="eastAsia" w:ascii="Times New Roman" w:hAnsi="Times New Roman" w:eastAsia="宋体" w:cs="宋体"/>
                <w:color w:val="000000" w:themeColor="text1"/>
                <w:sz w:val="24"/>
                <w:szCs w:val="24"/>
                <w:highlight w:val="none"/>
                <w:lang w:bidi="ar"/>
                <w14:textFill>
                  <w14:solidFill>
                    <w14:schemeClr w14:val="tx1"/>
                  </w14:solidFill>
                </w14:textFill>
              </w:rPr>
              <w:t>（投标文件提供承诺函）</w:t>
            </w:r>
            <w:r>
              <w:rPr>
                <w:rFonts w:hint="eastAsia" w:ascii="Times New Roman" w:hAnsi="Times New Roman" w:eastAsia="宋体" w:cs="宋体"/>
                <w:b w:val="0"/>
                <w:bCs w:val="0"/>
                <w:color w:val="000000" w:themeColor="text1"/>
                <w:sz w:val="24"/>
                <w:szCs w:val="24"/>
                <w:highlight w:val="none"/>
                <w:lang w:bidi="ar"/>
                <w14:textFill>
                  <w14:solidFill>
                    <w14:schemeClr w14:val="tx1"/>
                  </w14:solidFill>
                </w14:textFill>
              </w:rPr>
              <w:t>。</w:t>
            </w:r>
          </w:p>
        </w:tc>
      </w:tr>
      <w:tr w14:paraId="26E2A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96" w:hRule="atLeast"/>
          <w:jc w:val="center"/>
        </w:trPr>
        <w:tc>
          <w:tcPr>
            <w:tcW w:w="587" w:type="pct"/>
            <w:vAlign w:val="center"/>
          </w:tcPr>
          <w:p w14:paraId="48F715BA">
            <w:pPr>
              <w:pStyle w:val="38"/>
              <w:pBdr>
                <w:bottom w:val="none" w:color="auto" w:sz="0" w:space="0"/>
              </w:pBdr>
              <w:shd w:val="clear"/>
              <w:tabs>
                <w:tab w:val="clear" w:pos="4153"/>
                <w:tab w:val="clear" w:pos="8306"/>
              </w:tabs>
              <w:adjustRightInd/>
              <w:spacing w:line="240" w:lineRule="auto"/>
              <w:textAlignment w:val="auto"/>
              <w:rPr>
                <w:rFonts w:ascii="宋体" w:hAnsi="宋体" w:eastAsia="宋体" w:cs="宋体"/>
                <w:bCs/>
                <w:kern w:val="2"/>
                <w:szCs w:val="24"/>
                <w:highlight w:val="none"/>
              </w:rPr>
            </w:pPr>
            <w:r>
              <w:rPr>
                <w:rFonts w:hint="eastAsia" w:ascii="宋体" w:hAnsi="宋体" w:eastAsia="宋体" w:cs="宋体"/>
                <w:bCs/>
                <w:kern w:val="2"/>
                <w:szCs w:val="24"/>
                <w:highlight w:val="none"/>
              </w:rPr>
              <w:t>7</w:t>
            </w:r>
          </w:p>
        </w:tc>
        <w:tc>
          <w:tcPr>
            <w:tcW w:w="1192" w:type="pct"/>
            <w:vAlign w:val="center"/>
          </w:tcPr>
          <w:p w14:paraId="21C3C8A7">
            <w:pPr>
              <w:pStyle w:val="37"/>
              <w:widowControl w:val="0"/>
              <w:shd w:val="clear"/>
              <w:spacing w:before="0" w:beforeAutospacing="0" w:after="0" w:afterAutospacing="0" w:line="360" w:lineRule="auto"/>
              <w:rPr>
                <w:rFonts w:ascii="宋体" w:hAnsi="宋体" w:eastAsia="宋体" w:cs="宋体"/>
                <w:b w:val="0"/>
                <w:sz w:val="24"/>
                <w:szCs w:val="24"/>
                <w:highlight w:val="none"/>
              </w:rPr>
            </w:pPr>
            <w:r>
              <w:rPr>
                <w:rFonts w:hint="eastAsia" w:ascii="宋体" w:hAnsi="宋体" w:eastAsia="宋体" w:cs="宋体"/>
                <w:b w:val="0"/>
                <w:sz w:val="24"/>
                <w:szCs w:val="24"/>
                <w:highlight w:val="none"/>
              </w:rPr>
              <w:t>其他要求</w:t>
            </w:r>
          </w:p>
        </w:tc>
        <w:tc>
          <w:tcPr>
            <w:tcW w:w="3219" w:type="pct"/>
            <w:vAlign w:val="center"/>
          </w:tcPr>
          <w:p w14:paraId="19816D4A">
            <w:pPr>
              <w:pStyle w:val="37"/>
              <w:widowControl w:val="0"/>
              <w:shd w:val="clear"/>
              <w:spacing w:before="0" w:beforeAutospacing="0" w:after="0" w:afterAutospacing="0" w:line="360" w:lineRule="auto"/>
              <w:jc w:val="both"/>
              <w:rPr>
                <w:rFonts w:ascii="Times New Roman" w:hAnsi="Times New Roman" w:eastAsia="宋体" w:cs="宋体"/>
                <w:b w:val="0"/>
                <w:bCs w:val="0"/>
                <w:color w:val="000000" w:themeColor="text1"/>
                <w:sz w:val="24"/>
                <w:szCs w:val="24"/>
                <w:highlight w:val="none"/>
                <w:lang w:bidi="ar"/>
                <w14:textFill>
                  <w14:solidFill>
                    <w14:schemeClr w14:val="tx1"/>
                  </w14:solidFill>
                </w14:textFill>
              </w:rPr>
            </w:pPr>
            <w:r>
              <w:rPr>
                <w:rFonts w:hint="eastAsia" w:ascii="Times New Roman" w:hAnsi="Times New Roman" w:eastAsia="宋体" w:cs="宋体"/>
                <w:b w:val="0"/>
                <w:bCs w:val="0"/>
                <w:color w:val="000000" w:themeColor="text1"/>
                <w:sz w:val="24"/>
                <w:szCs w:val="24"/>
                <w:highlight w:val="none"/>
                <w:lang w:bidi="ar"/>
                <w14:textFill>
                  <w14:solidFill>
                    <w14:schemeClr w14:val="tx1"/>
                  </w14:solidFill>
                </w14:textFill>
              </w:rPr>
              <w:t>软件系统须具备国产化信创环境适配能力，硬件配置可根据后期医院实际情况进行个性化增减调整，供应商须承诺无条件配合</w:t>
            </w:r>
            <w:r>
              <w:rPr>
                <w:rFonts w:hint="eastAsia" w:ascii="Times New Roman" w:hAnsi="Times New Roman" w:eastAsia="宋体" w:cs="宋体"/>
                <w:color w:val="000000" w:themeColor="text1"/>
                <w:sz w:val="24"/>
                <w:szCs w:val="24"/>
                <w:highlight w:val="none"/>
                <w:lang w:bidi="ar"/>
                <w14:textFill>
                  <w14:solidFill>
                    <w14:schemeClr w14:val="tx1"/>
                  </w14:solidFill>
                </w14:textFill>
              </w:rPr>
              <w:t>（投标文件提供承诺函）</w:t>
            </w:r>
            <w:r>
              <w:rPr>
                <w:rFonts w:hint="eastAsia" w:ascii="Times New Roman" w:hAnsi="Times New Roman" w:eastAsia="宋体" w:cs="宋体"/>
                <w:b w:val="0"/>
                <w:bCs w:val="0"/>
                <w:color w:val="000000" w:themeColor="text1"/>
                <w:sz w:val="24"/>
                <w:szCs w:val="24"/>
                <w:highlight w:val="none"/>
                <w:lang w:bidi="ar"/>
                <w14:textFill>
                  <w14:solidFill>
                    <w14:schemeClr w14:val="tx1"/>
                  </w14:solidFill>
                </w14:textFill>
              </w:rPr>
              <w:t>。</w:t>
            </w:r>
          </w:p>
        </w:tc>
      </w:tr>
    </w:tbl>
    <w:p w14:paraId="3E806DB2">
      <w:pPr>
        <w:shd w:val="clear"/>
        <w:spacing w:line="360" w:lineRule="auto"/>
        <w:outlineLvl w:val="1"/>
        <w:rPr>
          <w:rFonts w:ascii="宋体" w:hAnsi="宋体" w:eastAsia="宋体"/>
          <w:b/>
          <w:sz w:val="24"/>
          <w:szCs w:val="18"/>
          <w:highlight w:val="none"/>
        </w:rPr>
      </w:pPr>
      <w:r>
        <w:rPr>
          <w:rFonts w:hint="eastAsia" w:ascii="宋体" w:hAnsi="宋体" w:eastAsia="宋体"/>
          <w:b/>
          <w:sz w:val="24"/>
          <w:szCs w:val="18"/>
          <w:highlight w:val="none"/>
        </w:rPr>
        <w:t>二、货物需求</w:t>
      </w:r>
      <w:bookmarkEnd w:id="75"/>
      <w:bookmarkEnd w:id="76"/>
    </w:p>
    <w:p w14:paraId="6C3D332C">
      <w:pPr>
        <w:widowControl/>
        <w:shd w:val="clear"/>
        <w:spacing w:before="156" w:beforeLines="50" w:after="156" w:afterLines="50"/>
        <w:outlineLvl w:val="2"/>
        <w:rPr>
          <w:rFonts w:ascii="宋体" w:hAnsi="宋体" w:eastAsia="宋体" w:cs="宋体"/>
          <w:b/>
          <w:bCs/>
          <w:sz w:val="24"/>
          <w:szCs w:val="24"/>
          <w:highlight w:val="none"/>
        </w:rPr>
      </w:pPr>
      <w:r>
        <w:rPr>
          <w:rFonts w:hint="eastAsia" w:ascii="宋体" w:hAnsi="宋体" w:eastAsia="宋体" w:cs="宋体"/>
          <w:b/>
          <w:bCs/>
          <w:sz w:val="24"/>
          <w:szCs w:val="24"/>
          <w:highlight w:val="none"/>
        </w:rPr>
        <w:t>（一）标识符号</w:t>
      </w:r>
    </w:p>
    <w:tbl>
      <w:tblPr>
        <w:tblStyle w:val="25"/>
        <w:tblW w:w="82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747"/>
        <w:gridCol w:w="1329"/>
        <w:gridCol w:w="5223"/>
      </w:tblGrid>
      <w:tr w14:paraId="3F093C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8" w:hRule="atLeast"/>
          <w:jc w:val="center"/>
        </w:trPr>
        <w:tc>
          <w:tcPr>
            <w:tcW w:w="1747" w:type="dxa"/>
            <w:vAlign w:val="center"/>
          </w:tcPr>
          <w:p w14:paraId="69E44409">
            <w:pPr>
              <w:shd w:val="clear"/>
              <w:jc w:val="center"/>
              <w:rPr>
                <w:rFonts w:ascii="宋体" w:hAnsi="宋体" w:eastAsia="宋体" w:cs="宋体"/>
                <w:b/>
                <w:sz w:val="24"/>
                <w:szCs w:val="24"/>
                <w:highlight w:val="none"/>
              </w:rPr>
            </w:pPr>
            <w:r>
              <w:rPr>
                <w:rFonts w:hint="eastAsia" w:ascii="宋体" w:hAnsi="宋体" w:eastAsia="宋体" w:cs="宋体"/>
                <w:b/>
                <w:sz w:val="24"/>
                <w:szCs w:val="24"/>
                <w:highlight w:val="none"/>
              </w:rPr>
              <w:t>标识类型</w:t>
            </w:r>
          </w:p>
        </w:tc>
        <w:tc>
          <w:tcPr>
            <w:tcW w:w="1329" w:type="dxa"/>
            <w:vAlign w:val="center"/>
          </w:tcPr>
          <w:p w14:paraId="5A1C0A9F">
            <w:pPr>
              <w:shd w:val="clear"/>
              <w:jc w:val="center"/>
              <w:rPr>
                <w:rFonts w:ascii="宋体" w:hAnsi="宋体" w:eastAsia="宋体" w:cs="宋体"/>
                <w:b/>
                <w:sz w:val="24"/>
                <w:szCs w:val="24"/>
                <w:highlight w:val="none"/>
              </w:rPr>
            </w:pPr>
            <w:r>
              <w:rPr>
                <w:rFonts w:hint="eastAsia" w:ascii="宋体" w:hAnsi="宋体" w:eastAsia="宋体" w:cs="宋体"/>
                <w:b/>
                <w:sz w:val="24"/>
                <w:szCs w:val="24"/>
                <w:highlight w:val="none"/>
              </w:rPr>
              <w:t>标识符号</w:t>
            </w:r>
          </w:p>
        </w:tc>
        <w:tc>
          <w:tcPr>
            <w:tcW w:w="5223" w:type="dxa"/>
            <w:vAlign w:val="center"/>
          </w:tcPr>
          <w:p w14:paraId="144C8CF0">
            <w:pPr>
              <w:shd w:val="clear"/>
              <w:jc w:val="center"/>
              <w:rPr>
                <w:rFonts w:ascii="宋体" w:hAnsi="宋体" w:eastAsia="宋体" w:cs="宋体"/>
                <w:b/>
                <w:sz w:val="24"/>
                <w:szCs w:val="24"/>
                <w:highlight w:val="none"/>
              </w:rPr>
            </w:pPr>
            <w:r>
              <w:rPr>
                <w:rFonts w:hint="eastAsia" w:ascii="宋体" w:hAnsi="宋体" w:eastAsia="宋体" w:cs="宋体"/>
                <w:b/>
                <w:sz w:val="24"/>
                <w:szCs w:val="24"/>
                <w:highlight w:val="none"/>
              </w:rPr>
              <w:t>标识符号含义</w:t>
            </w:r>
          </w:p>
        </w:tc>
      </w:tr>
      <w:tr w14:paraId="017A78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747" w:type="dxa"/>
            <w:vAlign w:val="center"/>
          </w:tcPr>
          <w:p w14:paraId="309193C6">
            <w:pPr>
              <w:shd w:val="clear"/>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核心指标项</w:t>
            </w:r>
          </w:p>
        </w:tc>
        <w:tc>
          <w:tcPr>
            <w:tcW w:w="1329" w:type="dxa"/>
            <w:vAlign w:val="center"/>
          </w:tcPr>
          <w:p w14:paraId="64C4671D">
            <w:pPr>
              <w:shd w:val="clear"/>
              <w:wordWrap w:val="0"/>
              <w:adjustRightInd w:val="0"/>
              <w:snapToGrid w:val="0"/>
              <w:jc w:val="center"/>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w:t>
            </w:r>
          </w:p>
        </w:tc>
        <w:tc>
          <w:tcPr>
            <w:tcW w:w="5223" w:type="dxa"/>
            <w:vAlign w:val="center"/>
          </w:tcPr>
          <w:p w14:paraId="33E24031">
            <w:pPr>
              <w:shd w:val="clear"/>
              <w:wordWrap w:val="0"/>
              <w:adjustRightInd w:val="0"/>
              <w:snapToGrid w:val="0"/>
              <w:jc w:val="left"/>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符合性审查项，该指标项负偏离或未响应的，</w:t>
            </w:r>
            <w:r>
              <w:rPr>
                <w:rFonts w:hint="eastAsia" w:ascii="宋体" w:hAnsi="宋体" w:eastAsia="宋体" w:cs="宋体"/>
                <w:b/>
                <w:color w:val="000000"/>
                <w:sz w:val="24"/>
                <w:szCs w:val="24"/>
                <w:highlight w:val="none"/>
              </w:rPr>
              <w:t>投标无效</w:t>
            </w:r>
            <w:r>
              <w:rPr>
                <w:rFonts w:hint="eastAsia" w:ascii="宋体" w:hAnsi="宋体" w:eastAsia="宋体" w:cs="宋体"/>
                <w:bCs/>
                <w:color w:val="000000"/>
                <w:sz w:val="24"/>
                <w:szCs w:val="24"/>
                <w:highlight w:val="none"/>
              </w:rPr>
              <w:t>。</w:t>
            </w:r>
          </w:p>
        </w:tc>
      </w:tr>
      <w:tr w14:paraId="7E0ED9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1747" w:type="dxa"/>
            <w:shd w:val="clear" w:color="auto" w:fill="auto"/>
            <w:vAlign w:val="center"/>
          </w:tcPr>
          <w:p w14:paraId="3406318F">
            <w:pPr>
              <w:shd w:val="clear"/>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重要指标项</w:t>
            </w:r>
          </w:p>
        </w:tc>
        <w:tc>
          <w:tcPr>
            <w:tcW w:w="1329" w:type="dxa"/>
            <w:shd w:val="clear" w:color="auto" w:fill="auto"/>
            <w:vAlign w:val="center"/>
          </w:tcPr>
          <w:p w14:paraId="761D9B82">
            <w:pPr>
              <w:shd w:val="clear"/>
              <w:wordWrap w:val="0"/>
              <w:adjustRightInd w:val="0"/>
              <w:snapToGrid w:val="0"/>
              <w:jc w:val="center"/>
              <w:rPr>
                <w:rFonts w:ascii="宋体" w:hAnsi="宋体" w:eastAsia="宋体" w:cs="宋体"/>
                <w:bCs/>
                <w:color w:val="000000"/>
                <w:sz w:val="24"/>
                <w:szCs w:val="24"/>
                <w:highlight w:val="none"/>
              </w:rPr>
            </w:pPr>
            <w:r>
              <w:rPr>
                <w:rFonts w:hint="eastAsia" w:ascii="宋体" w:hAnsi="宋体" w:eastAsia="宋体" w:cs="宋体"/>
                <w:color w:val="000000"/>
                <w:sz w:val="24"/>
                <w:szCs w:val="24"/>
                <w:highlight w:val="none"/>
              </w:rPr>
              <w:t>★</w:t>
            </w:r>
          </w:p>
        </w:tc>
        <w:tc>
          <w:tcPr>
            <w:tcW w:w="5223" w:type="dxa"/>
            <w:shd w:val="clear" w:color="auto" w:fill="auto"/>
            <w:vAlign w:val="center"/>
          </w:tcPr>
          <w:p w14:paraId="4EF10B6C">
            <w:pPr>
              <w:shd w:val="clear"/>
              <w:wordWrap w:val="0"/>
              <w:adjustRightInd w:val="0"/>
              <w:snapToGrid w:val="0"/>
              <w:jc w:val="left"/>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评分项，</w:t>
            </w:r>
            <w:r>
              <w:rPr>
                <w:rFonts w:hint="eastAsia" w:ascii="宋体" w:hAnsi="宋体" w:eastAsia="宋体" w:cs="宋体"/>
                <w:color w:val="000000"/>
                <w:sz w:val="24"/>
                <w:szCs w:val="24"/>
                <w:highlight w:val="none"/>
                <w:lang w:bidi="ar"/>
              </w:rPr>
              <w:t>详见评标办法和标准。</w:t>
            </w:r>
          </w:p>
        </w:tc>
      </w:tr>
      <w:tr w14:paraId="05A63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3" w:hRule="atLeast"/>
          <w:jc w:val="center"/>
        </w:trPr>
        <w:tc>
          <w:tcPr>
            <w:tcW w:w="1747" w:type="dxa"/>
            <w:vAlign w:val="center"/>
          </w:tcPr>
          <w:p w14:paraId="4929B256">
            <w:pPr>
              <w:shd w:val="clear"/>
              <w:jc w:val="center"/>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无标识项</w:t>
            </w:r>
          </w:p>
        </w:tc>
        <w:tc>
          <w:tcPr>
            <w:tcW w:w="1329" w:type="dxa"/>
            <w:vAlign w:val="center"/>
          </w:tcPr>
          <w:p w14:paraId="37BD2C26">
            <w:pPr>
              <w:shd w:val="clear"/>
              <w:wordWrap w:val="0"/>
              <w:adjustRightInd w:val="0"/>
              <w:snapToGrid w:val="0"/>
              <w:jc w:val="center"/>
              <w:rPr>
                <w:rFonts w:ascii="宋体" w:hAnsi="宋体" w:eastAsia="宋体" w:cs="宋体"/>
                <w:bCs/>
                <w:color w:val="000000"/>
                <w:sz w:val="24"/>
                <w:szCs w:val="24"/>
                <w:highlight w:val="none"/>
              </w:rPr>
            </w:pPr>
          </w:p>
        </w:tc>
        <w:tc>
          <w:tcPr>
            <w:tcW w:w="5223" w:type="dxa"/>
            <w:vAlign w:val="center"/>
          </w:tcPr>
          <w:p w14:paraId="31CD4D0C">
            <w:pPr>
              <w:shd w:val="clear"/>
              <w:adjustRightInd w:val="0"/>
              <w:snapToGrid w:val="0"/>
              <w:jc w:val="left"/>
              <w:rPr>
                <w:rFonts w:ascii="宋体" w:hAnsi="宋体" w:eastAsia="宋体" w:cs="宋体"/>
                <w:bCs/>
                <w:color w:val="000000"/>
                <w:sz w:val="24"/>
                <w:szCs w:val="24"/>
                <w:highlight w:val="none"/>
              </w:rPr>
            </w:pPr>
            <w:r>
              <w:rPr>
                <w:rFonts w:hint="eastAsia" w:ascii="宋体" w:hAnsi="宋体" w:eastAsia="宋体" w:cs="宋体"/>
                <w:bCs/>
                <w:color w:val="000000"/>
                <w:sz w:val="24"/>
                <w:szCs w:val="24"/>
                <w:highlight w:val="none"/>
              </w:rPr>
              <w:t>符合性审查项，该指标项最大允许负偏离</w:t>
            </w:r>
            <w:r>
              <w:rPr>
                <w:rFonts w:hint="eastAsia" w:ascii="宋体" w:hAnsi="宋体" w:eastAsia="宋体" w:cs="宋体"/>
                <w:bCs/>
                <w:color w:val="000000"/>
                <w:sz w:val="24"/>
                <w:szCs w:val="24"/>
                <w:highlight w:val="none"/>
                <w:u w:val="single"/>
              </w:rPr>
              <w:t xml:space="preserve"> 10 </w:t>
            </w:r>
            <w:r>
              <w:rPr>
                <w:rFonts w:hint="eastAsia" w:ascii="宋体" w:hAnsi="宋体" w:eastAsia="宋体" w:cs="宋体"/>
                <w:bCs/>
                <w:color w:val="000000"/>
                <w:sz w:val="24"/>
                <w:szCs w:val="24"/>
                <w:highlight w:val="none"/>
              </w:rPr>
              <w:t>项，超过最大允许负偏离项数的，</w:t>
            </w:r>
            <w:r>
              <w:rPr>
                <w:rFonts w:hint="eastAsia" w:ascii="宋体" w:hAnsi="宋体" w:eastAsia="宋体" w:cs="宋体"/>
                <w:b/>
                <w:color w:val="000000"/>
                <w:sz w:val="24"/>
                <w:szCs w:val="24"/>
                <w:highlight w:val="none"/>
              </w:rPr>
              <w:t>投标无效</w:t>
            </w:r>
            <w:r>
              <w:rPr>
                <w:rFonts w:hint="eastAsia" w:ascii="宋体" w:hAnsi="宋体" w:eastAsia="宋体" w:cs="宋体"/>
                <w:bCs/>
                <w:color w:val="000000"/>
                <w:sz w:val="24"/>
                <w:szCs w:val="24"/>
                <w:highlight w:val="none"/>
              </w:rPr>
              <w:t>。</w:t>
            </w:r>
          </w:p>
        </w:tc>
      </w:tr>
      <w:tr w14:paraId="6912D7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8299" w:type="dxa"/>
            <w:gridSpan w:val="3"/>
            <w:vAlign w:val="center"/>
          </w:tcPr>
          <w:p w14:paraId="7DC57536">
            <w:pPr>
              <w:shd w:val="clear"/>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注：</w:t>
            </w:r>
          </w:p>
          <w:p w14:paraId="1B3374F6">
            <w:pPr>
              <w:shd w:val="clear"/>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（1）如某项标识中包含多条技术参数或要求，则该项标识所含内容均需满足或优于采购文件要求，否则不予认可。</w:t>
            </w:r>
          </w:p>
          <w:p w14:paraId="32506066">
            <w:pPr>
              <w:shd w:val="clear"/>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（2）所属行业中标注“/”的品目，无须在《中小企业声明函》中列明。</w:t>
            </w:r>
          </w:p>
          <w:p w14:paraId="4416ED76">
            <w:pPr>
              <w:shd w:val="clear"/>
              <w:jc w:val="left"/>
              <w:rPr>
                <w:rFonts w:ascii="宋体" w:hAnsi="宋体" w:eastAsia="宋体" w:cs="宋体"/>
                <w:color w:val="000000"/>
                <w:sz w:val="24"/>
                <w:szCs w:val="24"/>
                <w:highlight w:val="none"/>
              </w:rPr>
            </w:pPr>
            <w:r>
              <w:rPr>
                <w:rFonts w:hint="eastAsia" w:ascii="宋体" w:hAnsi="宋体" w:eastAsia="宋体" w:cs="宋体"/>
                <w:color w:val="000000"/>
                <w:sz w:val="24"/>
                <w:szCs w:val="24"/>
                <w:highlight w:val="none"/>
              </w:rPr>
              <w:t>（3）货物需求清单所有指定的具体技术参数或参数范围、系统技术要求与技术指标，均应理解为是采购人可接受的最低要求。即，当对应技术参数或参数范围、技术要求和技术指标是越小越好时，则指定的具体技术参数或参数范围应理解为是上限值或最大允许范围；当对应技术参数或参数范围是越大越好时，则指定的具体技术参数或参数范围应理解为是下限值或最小允许范围。</w:t>
            </w:r>
          </w:p>
        </w:tc>
      </w:tr>
    </w:tbl>
    <w:p w14:paraId="7E9B8411">
      <w:pPr>
        <w:widowControl/>
        <w:shd w:val="clear"/>
        <w:spacing w:before="156" w:beforeLines="50" w:after="156" w:afterLines="50"/>
        <w:outlineLvl w:val="2"/>
        <w:rPr>
          <w:rFonts w:ascii="宋体" w:hAnsi="宋体" w:eastAsia="宋体" w:cs="宋体"/>
          <w:b/>
          <w:bCs/>
          <w:sz w:val="24"/>
          <w:szCs w:val="24"/>
          <w:highlight w:val="none"/>
        </w:rPr>
      </w:pPr>
      <w:r>
        <w:rPr>
          <w:rFonts w:hint="eastAsia" w:ascii="宋体" w:hAnsi="宋体" w:eastAsia="宋体" w:cs="宋体"/>
          <w:b/>
          <w:bCs/>
          <w:sz w:val="24"/>
          <w:szCs w:val="24"/>
          <w:highlight w:val="none"/>
        </w:rPr>
        <w:t>（二）货物需求清单</w:t>
      </w:r>
    </w:p>
    <w:tbl>
      <w:tblPr>
        <w:tblStyle w:val="25"/>
        <w:tblW w:w="491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39"/>
        <w:gridCol w:w="3252"/>
        <w:gridCol w:w="1747"/>
        <w:gridCol w:w="1737"/>
      </w:tblGrid>
      <w:tr w14:paraId="6E4DF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78" w:type="pct"/>
            <w:vAlign w:val="center"/>
          </w:tcPr>
          <w:p w14:paraId="467B4F73">
            <w:pPr>
              <w:shd w:val="clea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序号</w:t>
            </w:r>
          </w:p>
        </w:tc>
        <w:tc>
          <w:tcPr>
            <w:tcW w:w="1941" w:type="pct"/>
            <w:vAlign w:val="center"/>
          </w:tcPr>
          <w:p w14:paraId="5F31DA5C">
            <w:pPr>
              <w:shd w:val="clea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货物名称</w:t>
            </w:r>
          </w:p>
        </w:tc>
        <w:tc>
          <w:tcPr>
            <w:tcW w:w="1043" w:type="pct"/>
            <w:vAlign w:val="center"/>
          </w:tcPr>
          <w:p w14:paraId="5FAB4FEE">
            <w:pPr>
              <w:shd w:val="clea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数量</w:t>
            </w:r>
          </w:p>
          <w:p w14:paraId="4469B55E">
            <w:pPr>
              <w:shd w:val="clea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（单位）</w:t>
            </w:r>
          </w:p>
        </w:tc>
        <w:tc>
          <w:tcPr>
            <w:tcW w:w="1037" w:type="pct"/>
            <w:vAlign w:val="center"/>
          </w:tcPr>
          <w:p w14:paraId="738F3E2D">
            <w:pPr>
              <w:shd w:val="clea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所属</w:t>
            </w:r>
          </w:p>
          <w:p w14:paraId="732EB27B">
            <w:pPr>
              <w:shd w:val="clear"/>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行业</w:t>
            </w:r>
          </w:p>
        </w:tc>
      </w:tr>
      <w:tr w14:paraId="666291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78" w:type="pct"/>
            <w:vAlign w:val="center"/>
          </w:tcPr>
          <w:p w14:paraId="3946058B">
            <w:pPr>
              <w:shd w:val="clear"/>
              <w:jc w:val="center"/>
              <w:rPr>
                <w:rFonts w:ascii="宋体" w:hAnsi="宋体" w:eastAsia="宋体" w:cs="宋体"/>
                <w:sz w:val="24"/>
                <w:szCs w:val="24"/>
                <w:highlight w:val="none"/>
              </w:rPr>
            </w:pPr>
            <w:r>
              <w:rPr>
                <w:rFonts w:hint="eastAsia" w:ascii="宋体" w:hAnsi="宋体" w:eastAsia="宋体" w:cs="宋体"/>
                <w:sz w:val="24"/>
                <w:szCs w:val="24"/>
                <w:highlight w:val="none"/>
              </w:rPr>
              <w:t>1</w:t>
            </w:r>
          </w:p>
        </w:tc>
        <w:tc>
          <w:tcPr>
            <w:tcW w:w="1941" w:type="pct"/>
            <w:vAlign w:val="center"/>
          </w:tcPr>
          <w:p w14:paraId="62E3082A">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智慧中药房全流程管理系统</w:t>
            </w:r>
          </w:p>
        </w:tc>
        <w:tc>
          <w:tcPr>
            <w:tcW w:w="1043" w:type="pct"/>
            <w:vAlign w:val="center"/>
          </w:tcPr>
          <w:p w14:paraId="007D5475">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1套</w:t>
            </w:r>
          </w:p>
        </w:tc>
        <w:tc>
          <w:tcPr>
            <w:tcW w:w="1037" w:type="pct"/>
            <w:vAlign w:val="center"/>
          </w:tcPr>
          <w:p w14:paraId="6B596790">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软件和信息技术服务业</w:t>
            </w:r>
          </w:p>
        </w:tc>
      </w:tr>
      <w:tr w14:paraId="12444C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74" w:hRule="atLeast"/>
          <w:jc w:val="center"/>
        </w:trPr>
        <w:tc>
          <w:tcPr>
            <w:tcW w:w="978" w:type="pct"/>
            <w:vAlign w:val="center"/>
          </w:tcPr>
          <w:p w14:paraId="7A70745C">
            <w:pPr>
              <w:shd w:val="clear"/>
              <w:jc w:val="center"/>
              <w:rPr>
                <w:rFonts w:ascii="宋体" w:hAnsi="宋体" w:eastAsia="宋体" w:cs="宋体"/>
                <w:sz w:val="24"/>
                <w:szCs w:val="24"/>
                <w:highlight w:val="none"/>
              </w:rPr>
            </w:pPr>
            <w:r>
              <w:rPr>
                <w:rFonts w:hint="eastAsia" w:ascii="宋体" w:hAnsi="宋体" w:eastAsia="宋体" w:cs="宋体"/>
                <w:sz w:val="24"/>
                <w:szCs w:val="24"/>
                <w:highlight w:val="none"/>
              </w:rPr>
              <w:t>2</w:t>
            </w:r>
          </w:p>
        </w:tc>
        <w:tc>
          <w:tcPr>
            <w:tcW w:w="1941" w:type="pct"/>
            <w:vAlign w:val="center"/>
          </w:tcPr>
          <w:p w14:paraId="65021CFC">
            <w:pPr>
              <w:shd w:val="clear"/>
              <w:jc w:val="center"/>
              <w:rPr>
                <w:rFonts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智慧中药房合理用药系统</w:t>
            </w:r>
          </w:p>
        </w:tc>
        <w:tc>
          <w:tcPr>
            <w:tcW w:w="1043" w:type="pct"/>
            <w:vAlign w:val="center"/>
          </w:tcPr>
          <w:p w14:paraId="75B31CF4">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1套</w:t>
            </w:r>
          </w:p>
        </w:tc>
        <w:tc>
          <w:tcPr>
            <w:tcW w:w="1037" w:type="pct"/>
            <w:vAlign w:val="center"/>
          </w:tcPr>
          <w:p w14:paraId="79E4D808">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软件和信息技术服务业</w:t>
            </w:r>
          </w:p>
        </w:tc>
      </w:tr>
      <w:tr w14:paraId="7A49D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78" w:type="pct"/>
            <w:vAlign w:val="center"/>
          </w:tcPr>
          <w:p w14:paraId="4BE84AF3">
            <w:pPr>
              <w:shd w:val="clear"/>
              <w:jc w:val="center"/>
              <w:rPr>
                <w:rFonts w:ascii="宋体" w:hAnsi="宋体" w:eastAsia="宋体" w:cs="宋体"/>
                <w:sz w:val="24"/>
                <w:szCs w:val="24"/>
                <w:highlight w:val="none"/>
              </w:rPr>
            </w:pPr>
            <w:r>
              <w:rPr>
                <w:rFonts w:hint="eastAsia" w:ascii="宋体" w:hAnsi="宋体" w:eastAsia="宋体" w:cs="宋体"/>
                <w:sz w:val="24"/>
                <w:szCs w:val="24"/>
                <w:highlight w:val="none"/>
              </w:rPr>
              <w:t>3</w:t>
            </w:r>
          </w:p>
        </w:tc>
        <w:tc>
          <w:tcPr>
            <w:tcW w:w="1941" w:type="pct"/>
            <w:vAlign w:val="center"/>
          </w:tcPr>
          <w:p w14:paraId="0590B955">
            <w:pPr>
              <w:shd w:val="clear"/>
              <w:jc w:val="center"/>
              <w:rPr>
                <w:rFonts w:ascii="宋体" w:hAnsi="宋体" w:eastAsia="宋体" w:cs="宋体"/>
                <w:bCs/>
                <w:sz w:val="24"/>
                <w:szCs w:val="24"/>
                <w:highlight w:val="none"/>
              </w:rPr>
            </w:pPr>
            <w:r>
              <w:rPr>
                <w:rFonts w:hint="eastAsia" w:ascii="宋体" w:hAnsi="宋体" w:eastAsia="宋体" w:cs="宋体"/>
                <w:color w:val="000000"/>
                <w:kern w:val="0"/>
                <w:sz w:val="24"/>
                <w:szCs w:val="24"/>
                <w:highlight w:val="none"/>
                <w:lang w:bidi="ar"/>
              </w:rPr>
              <w:t>智能取药柜</w:t>
            </w:r>
          </w:p>
        </w:tc>
        <w:tc>
          <w:tcPr>
            <w:tcW w:w="1043" w:type="pct"/>
            <w:vAlign w:val="center"/>
          </w:tcPr>
          <w:p w14:paraId="6BE62890">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1套</w:t>
            </w:r>
          </w:p>
        </w:tc>
        <w:tc>
          <w:tcPr>
            <w:tcW w:w="1037" w:type="pct"/>
            <w:vAlign w:val="center"/>
          </w:tcPr>
          <w:p w14:paraId="159C1C81">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工业</w:t>
            </w:r>
          </w:p>
        </w:tc>
      </w:tr>
      <w:tr w14:paraId="347B1D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78" w:type="pct"/>
            <w:vAlign w:val="center"/>
          </w:tcPr>
          <w:p w14:paraId="114C975C">
            <w:pPr>
              <w:shd w:val="clear"/>
              <w:jc w:val="center"/>
              <w:rPr>
                <w:rFonts w:ascii="宋体" w:hAnsi="宋体" w:eastAsia="宋体" w:cs="宋体"/>
                <w:sz w:val="24"/>
                <w:szCs w:val="24"/>
                <w:highlight w:val="none"/>
              </w:rPr>
            </w:pPr>
            <w:r>
              <w:rPr>
                <w:rFonts w:hint="eastAsia" w:ascii="宋体" w:hAnsi="宋体" w:eastAsia="宋体" w:cs="宋体"/>
                <w:sz w:val="24"/>
                <w:szCs w:val="24"/>
                <w:highlight w:val="none"/>
              </w:rPr>
              <w:t>4</w:t>
            </w:r>
          </w:p>
        </w:tc>
        <w:tc>
          <w:tcPr>
            <w:tcW w:w="1941" w:type="pct"/>
            <w:vAlign w:val="center"/>
          </w:tcPr>
          <w:p w14:paraId="25C64BBB">
            <w:pPr>
              <w:shd w:val="clear"/>
              <w:jc w:val="center"/>
              <w:rPr>
                <w:rFonts w:ascii="宋体" w:hAnsi="宋体" w:eastAsia="宋体" w:cs="宋体"/>
                <w:bCs/>
                <w:sz w:val="24"/>
                <w:szCs w:val="24"/>
                <w:highlight w:val="none"/>
              </w:rPr>
            </w:pPr>
            <w:r>
              <w:rPr>
                <w:rFonts w:hint="eastAsia" w:ascii="宋体" w:hAnsi="宋体" w:eastAsia="宋体" w:cs="宋体"/>
                <w:color w:val="000000"/>
                <w:kern w:val="0"/>
                <w:sz w:val="24"/>
                <w:szCs w:val="24"/>
                <w:highlight w:val="none"/>
                <w:lang w:bidi="ar"/>
              </w:rPr>
              <w:t>平板PAD</w:t>
            </w:r>
          </w:p>
        </w:tc>
        <w:tc>
          <w:tcPr>
            <w:tcW w:w="1043" w:type="pct"/>
            <w:vAlign w:val="center"/>
          </w:tcPr>
          <w:p w14:paraId="38014081">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6个</w:t>
            </w:r>
          </w:p>
        </w:tc>
        <w:tc>
          <w:tcPr>
            <w:tcW w:w="1037" w:type="pct"/>
            <w:vAlign w:val="center"/>
          </w:tcPr>
          <w:p w14:paraId="66A3B590">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工业</w:t>
            </w:r>
          </w:p>
        </w:tc>
      </w:tr>
      <w:tr w14:paraId="34C6FE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78" w:type="pct"/>
            <w:vAlign w:val="center"/>
          </w:tcPr>
          <w:p w14:paraId="39568012">
            <w:pPr>
              <w:shd w:val="clear"/>
              <w:jc w:val="center"/>
              <w:rPr>
                <w:rFonts w:ascii="宋体" w:hAnsi="宋体" w:eastAsia="宋体" w:cs="宋体"/>
                <w:sz w:val="24"/>
                <w:szCs w:val="24"/>
                <w:highlight w:val="none"/>
              </w:rPr>
            </w:pPr>
            <w:r>
              <w:rPr>
                <w:rFonts w:hint="eastAsia" w:ascii="宋体" w:hAnsi="宋体" w:eastAsia="宋体" w:cs="宋体"/>
                <w:sz w:val="24"/>
                <w:szCs w:val="24"/>
                <w:highlight w:val="none"/>
              </w:rPr>
              <w:t>5</w:t>
            </w:r>
          </w:p>
        </w:tc>
        <w:tc>
          <w:tcPr>
            <w:tcW w:w="1941" w:type="pct"/>
            <w:vAlign w:val="center"/>
          </w:tcPr>
          <w:p w14:paraId="74F7AFD5">
            <w:pPr>
              <w:shd w:val="clear"/>
              <w:jc w:val="center"/>
              <w:rPr>
                <w:rFonts w:ascii="宋体" w:hAnsi="宋体" w:eastAsia="宋体" w:cs="宋体"/>
                <w:bCs/>
                <w:sz w:val="24"/>
                <w:szCs w:val="24"/>
                <w:highlight w:val="none"/>
              </w:rPr>
            </w:pPr>
            <w:r>
              <w:rPr>
                <w:rFonts w:hint="eastAsia" w:ascii="宋体" w:hAnsi="宋体" w:eastAsia="宋体" w:cs="宋体"/>
                <w:color w:val="000000"/>
                <w:kern w:val="0"/>
                <w:sz w:val="24"/>
                <w:szCs w:val="24"/>
                <w:highlight w:val="none"/>
                <w:lang w:bidi="ar"/>
              </w:rPr>
              <w:t>手持PDA</w:t>
            </w:r>
          </w:p>
        </w:tc>
        <w:tc>
          <w:tcPr>
            <w:tcW w:w="1043" w:type="pct"/>
            <w:vAlign w:val="center"/>
          </w:tcPr>
          <w:p w14:paraId="0DC36687">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10个</w:t>
            </w:r>
          </w:p>
        </w:tc>
        <w:tc>
          <w:tcPr>
            <w:tcW w:w="1037" w:type="pct"/>
            <w:vAlign w:val="center"/>
          </w:tcPr>
          <w:p w14:paraId="56E343B6">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工业</w:t>
            </w:r>
          </w:p>
        </w:tc>
      </w:tr>
      <w:tr w14:paraId="57F69F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2" w:hRule="atLeast"/>
          <w:jc w:val="center"/>
        </w:trPr>
        <w:tc>
          <w:tcPr>
            <w:tcW w:w="978" w:type="pct"/>
            <w:vAlign w:val="center"/>
          </w:tcPr>
          <w:p w14:paraId="2CF661DB">
            <w:pPr>
              <w:shd w:val="clear"/>
              <w:jc w:val="center"/>
              <w:rPr>
                <w:rFonts w:ascii="宋体" w:hAnsi="宋体" w:eastAsia="宋体" w:cs="宋体"/>
                <w:sz w:val="24"/>
                <w:szCs w:val="24"/>
                <w:highlight w:val="none"/>
              </w:rPr>
            </w:pPr>
            <w:r>
              <w:rPr>
                <w:rFonts w:hint="eastAsia" w:ascii="宋体" w:hAnsi="宋体" w:eastAsia="宋体" w:cs="宋体"/>
                <w:sz w:val="24"/>
                <w:szCs w:val="24"/>
                <w:highlight w:val="none"/>
              </w:rPr>
              <w:t>6</w:t>
            </w:r>
          </w:p>
        </w:tc>
        <w:tc>
          <w:tcPr>
            <w:tcW w:w="1941" w:type="pct"/>
            <w:vAlign w:val="center"/>
          </w:tcPr>
          <w:p w14:paraId="68F65673">
            <w:pPr>
              <w:shd w:val="clear"/>
              <w:jc w:val="center"/>
              <w:rPr>
                <w:rFonts w:ascii="宋体" w:hAnsi="宋体" w:eastAsia="宋体" w:cs="宋体"/>
                <w:bCs/>
                <w:sz w:val="24"/>
                <w:szCs w:val="24"/>
                <w:highlight w:val="none"/>
              </w:rPr>
            </w:pPr>
            <w:r>
              <w:rPr>
                <w:rFonts w:hint="eastAsia" w:ascii="宋体" w:hAnsi="宋体" w:eastAsia="宋体" w:cs="宋体"/>
                <w:color w:val="000000"/>
                <w:kern w:val="0"/>
                <w:sz w:val="24"/>
                <w:szCs w:val="24"/>
                <w:highlight w:val="none"/>
                <w:lang w:bidi="ar"/>
              </w:rPr>
              <w:t>显示屏</w:t>
            </w:r>
          </w:p>
        </w:tc>
        <w:tc>
          <w:tcPr>
            <w:tcW w:w="1043" w:type="pct"/>
            <w:vAlign w:val="center"/>
          </w:tcPr>
          <w:p w14:paraId="173D3B5A">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1个</w:t>
            </w:r>
          </w:p>
        </w:tc>
        <w:tc>
          <w:tcPr>
            <w:tcW w:w="1037" w:type="pct"/>
            <w:vAlign w:val="center"/>
          </w:tcPr>
          <w:p w14:paraId="3BD02711">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工业</w:t>
            </w:r>
          </w:p>
        </w:tc>
      </w:tr>
      <w:tr w14:paraId="2B2965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atLeast"/>
          <w:jc w:val="center"/>
        </w:trPr>
        <w:tc>
          <w:tcPr>
            <w:tcW w:w="978" w:type="pct"/>
            <w:vAlign w:val="center"/>
          </w:tcPr>
          <w:p w14:paraId="13F4BA27">
            <w:pPr>
              <w:shd w:val="clear"/>
              <w:jc w:val="center"/>
              <w:rPr>
                <w:rFonts w:hint="eastAsia" w:ascii="宋体" w:hAnsi="宋体" w:eastAsia="宋体" w:cs="宋体"/>
                <w:sz w:val="24"/>
                <w:szCs w:val="24"/>
                <w:highlight w:val="none"/>
              </w:rPr>
            </w:pPr>
            <w:r>
              <w:rPr>
                <w:rFonts w:hint="eastAsia" w:ascii="宋体" w:hAnsi="宋体" w:eastAsia="宋体" w:cs="宋体"/>
                <w:sz w:val="24"/>
                <w:szCs w:val="24"/>
                <w:highlight w:val="none"/>
              </w:rPr>
              <w:t>7</w:t>
            </w:r>
          </w:p>
        </w:tc>
        <w:tc>
          <w:tcPr>
            <w:tcW w:w="1941" w:type="pct"/>
            <w:vAlign w:val="center"/>
          </w:tcPr>
          <w:p w14:paraId="2E9613FB">
            <w:pPr>
              <w:shd w:val="clear"/>
              <w:jc w:val="center"/>
              <w:rPr>
                <w:rFonts w:ascii="宋体" w:hAnsi="宋体" w:eastAsia="宋体" w:cs="宋体"/>
                <w:color w:val="000000"/>
                <w:kern w:val="0"/>
                <w:sz w:val="24"/>
                <w:szCs w:val="24"/>
                <w:highlight w:val="none"/>
                <w:lang w:bidi="ar"/>
              </w:rPr>
            </w:pPr>
            <w:r>
              <w:rPr>
                <w:rFonts w:hint="eastAsia" w:ascii="宋体" w:hAnsi="宋体" w:eastAsia="宋体" w:cs="宋体"/>
                <w:color w:val="000000"/>
                <w:kern w:val="0"/>
                <w:sz w:val="24"/>
                <w:szCs w:val="24"/>
                <w:highlight w:val="none"/>
                <w:lang w:bidi="ar"/>
              </w:rPr>
              <w:t>服务器</w:t>
            </w:r>
          </w:p>
        </w:tc>
        <w:tc>
          <w:tcPr>
            <w:tcW w:w="1043" w:type="pct"/>
            <w:vAlign w:val="center"/>
          </w:tcPr>
          <w:p w14:paraId="4E89454C">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lang w:val="en-US" w:eastAsia="zh-CN"/>
              </w:rPr>
              <w:t>1</w:t>
            </w:r>
            <w:r>
              <w:rPr>
                <w:rFonts w:hint="eastAsia" w:ascii="宋体" w:hAnsi="宋体" w:eastAsia="宋体" w:cs="宋体"/>
                <w:bCs/>
                <w:sz w:val="24"/>
                <w:szCs w:val="24"/>
                <w:highlight w:val="none"/>
              </w:rPr>
              <w:t>台</w:t>
            </w:r>
          </w:p>
        </w:tc>
        <w:tc>
          <w:tcPr>
            <w:tcW w:w="1037" w:type="pct"/>
            <w:vAlign w:val="center"/>
          </w:tcPr>
          <w:p w14:paraId="03344888">
            <w:pPr>
              <w:shd w:val="clear"/>
              <w:jc w:val="center"/>
              <w:rPr>
                <w:rFonts w:ascii="宋体" w:hAnsi="宋体" w:eastAsia="宋体" w:cs="宋体"/>
                <w:bCs/>
                <w:sz w:val="24"/>
                <w:szCs w:val="24"/>
                <w:highlight w:val="none"/>
              </w:rPr>
            </w:pPr>
            <w:r>
              <w:rPr>
                <w:rFonts w:hint="eastAsia" w:ascii="宋体" w:hAnsi="宋体" w:eastAsia="宋体" w:cs="宋体"/>
                <w:bCs/>
                <w:sz w:val="24"/>
                <w:szCs w:val="24"/>
                <w:highlight w:val="none"/>
              </w:rPr>
              <w:t>工业</w:t>
            </w:r>
          </w:p>
        </w:tc>
      </w:tr>
    </w:tbl>
    <w:p w14:paraId="303CD463">
      <w:pPr>
        <w:widowControl/>
        <w:shd w:val="clear"/>
        <w:spacing w:before="156" w:beforeLines="50" w:after="156" w:afterLines="50"/>
        <w:outlineLvl w:val="2"/>
        <w:rPr>
          <w:rFonts w:ascii="宋体" w:hAnsi="宋体" w:eastAsia="宋体" w:cs="宋体"/>
          <w:b/>
          <w:bCs/>
          <w:sz w:val="24"/>
          <w:szCs w:val="24"/>
          <w:highlight w:val="none"/>
        </w:rPr>
      </w:pPr>
      <w:bookmarkStart w:id="77" w:name="_Toc4843"/>
      <w:bookmarkStart w:id="78" w:name="_Toc7421"/>
      <w:r>
        <w:rPr>
          <w:rFonts w:hint="eastAsia" w:ascii="宋体" w:hAnsi="宋体" w:eastAsia="宋体" w:cs="宋体"/>
          <w:b/>
          <w:bCs/>
          <w:sz w:val="24"/>
          <w:szCs w:val="24"/>
          <w:highlight w:val="none"/>
        </w:rPr>
        <w:t>（三）技术参数及要求</w:t>
      </w:r>
    </w:p>
    <w:p w14:paraId="3526274D">
      <w:pPr>
        <w:widowControl/>
        <w:shd w:val="clear"/>
        <w:spacing w:line="360" w:lineRule="auto"/>
        <w:jc w:val="center"/>
        <w:rPr>
          <w:rFonts w:ascii="仿宋" w:hAnsi="仿宋" w:eastAsia="仿宋" w:cs="仿宋"/>
          <w:b/>
          <w:bCs/>
          <w:color w:val="000000"/>
          <w:kern w:val="0"/>
          <w:sz w:val="24"/>
          <w:highlight w:val="none"/>
          <w:lang w:bidi="ar"/>
        </w:rPr>
      </w:pPr>
      <w:r>
        <w:rPr>
          <w:rFonts w:hint="eastAsia" w:ascii="仿宋" w:hAnsi="仿宋" w:eastAsia="仿宋" w:cs="仿宋"/>
          <w:b/>
          <w:bCs/>
          <w:kern w:val="44"/>
          <w:sz w:val="24"/>
          <w:highlight w:val="none"/>
        </w:rPr>
        <w:t>▲产品1智慧中药房全流程管理系统</w:t>
      </w:r>
    </w:p>
    <w:p w14:paraId="08BB3917">
      <w:pPr>
        <w:shd w:val="clear"/>
        <w:spacing w:line="360" w:lineRule="auto"/>
        <w:rPr>
          <w:rFonts w:ascii="宋体" w:hAnsi="宋体" w:eastAsia="宋体"/>
          <w:b/>
          <w:bCs/>
          <w:szCs w:val="21"/>
          <w:highlight w:val="none"/>
        </w:rPr>
      </w:pPr>
      <w:r>
        <w:rPr>
          <w:rFonts w:hint="eastAsia" w:ascii="宋体" w:hAnsi="宋体" w:eastAsia="宋体"/>
          <w:b/>
          <w:bCs/>
          <w:szCs w:val="21"/>
          <w:highlight w:val="none"/>
        </w:rPr>
        <w:t>1.智慧中药房功能需求</w:t>
      </w:r>
    </w:p>
    <w:tbl>
      <w:tblPr>
        <w:tblStyle w:val="61"/>
        <w:tblW w:w="5007" w:type="pct"/>
        <w:tblInd w:w="-2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autofit"/>
        <w:tblCellMar>
          <w:top w:w="0" w:type="dxa"/>
          <w:left w:w="0" w:type="dxa"/>
          <w:bottom w:w="0" w:type="dxa"/>
          <w:right w:w="0" w:type="dxa"/>
        </w:tblCellMar>
      </w:tblPr>
      <w:tblGrid>
        <w:gridCol w:w="1331"/>
        <w:gridCol w:w="6997"/>
      </w:tblGrid>
      <w:tr w14:paraId="318CB3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Pr>
          <w:p w14:paraId="5BFD141D">
            <w:pPr>
              <w:shd w:val="clear"/>
              <w:autoSpaceDE w:val="0"/>
              <w:autoSpaceDN w:val="0"/>
              <w:spacing w:before="134"/>
              <w:ind w:left="60"/>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zh-CN" w:eastAsia="en-US" w:bidi="zh-CN"/>
              </w:rPr>
              <w:t>功能模块</w:t>
            </w:r>
          </w:p>
        </w:tc>
        <w:tc>
          <w:tcPr>
            <w:tcW w:w="4200" w:type="pct"/>
          </w:tcPr>
          <w:p w14:paraId="6D09F1C3">
            <w:pPr>
              <w:shd w:val="clear"/>
              <w:autoSpaceDE w:val="0"/>
              <w:autoSpaceDN w:val="0"/>
              <w:spacing w:before="134"/>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eastAsia="en-US" w:bidi="zh-CN"/>
              </w:rPr>
              <w:t>参数</w:t>
            </w:r>
            <w:r>
              <w:rPr>
                <w:rFonts w:hint="eastAsia" w:ascii="宋体" w:hAnsi="宋体" w:eastAsia="宋体" w:cs="宋体"/>
                <w:kern w:val="0"/>
                <w:szCs w:val="21"/>
                <w:highlight w:val="none"/>
                <w:lang w:val="zh-CN" w:eastAsia="en-US" w:bidi="zh-CN"/>
              </w:rPr>
              <w:t>描述</w:t>
            </w:r>
          </w:p>
        </w:tc>
      </w:tr>
      <w:tr w14:paraId="0CC8EBE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vAlign w:val="center"/>
          </w:tcPr>
          <w:p w14:paraId="50C094F0">
            <w:pPr>
              <w:shd w:val="clear"/>
              <w:autoSpaceDE w:val="0"/>
              <w:autoSpaceDN w:val="0"/>
              <w:jc w:val="center"/>
              <w:rPr>
                <w:rFonts w:ascii="宋体" w:hAnsi="宋体" w:eastAsia="宋体" w:cs="宋体"/>
                <w:szCs w:val="21"/>
                <w:highlight w:val="none"/>
              </w:rPr>
            </w:pPr>
            <w:r>
              <w:rPr>
                <w:rFonts w:hint="eastAsia" w:ascii="宋体" w:hAnsi="宋体" w:eastAsia="宋体" w:cs="宋体"/>
                <w:szCs w:val="21"/>
                <w:highlight w:val="none"/>
              </w:rPr>
              <w:t>数据分析与</w:t>
            </w:r>
          </w:p>
          <w:p w14:paraId="09ACC008">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展示</w:t>
            </w:r>
          </w:p>
        </w:tc>
        <w:tc>
          <w:tcPr>
            <w:tcW w:w="4200" w:type="pct"/>
            <w:vAlign w:val="center"/>
          </w:tcPr>
          <w:p w14:paraId="6745853B">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具备对系统中相关数据进行分析统计以及展示，统计维度如从今日处方汇总、异常处方角度进行数据分析展示；</w:t>
            </w:r>
          </w:p>
          <w:p w14:paraId="499C46CA">
            <w:pPr>
              <w:widowControl/>
              <w:numPr>
                <w:ilvl w:val="0"/>
                <w:numId w:val="1"/>
              </w:numPr>
              <w:shd w:val="clear"/>
              <w:autoSpaceDE w:val="0"/>
              <w:autoSpaceDN w:val="0"/>
              <w:ind w:left="210" w:leftChars="100"/>
              <w:jc w:val="left"/>
              <w:rPr>
                <w:rFonts w:ascii="宋体" w:hAnsi="宋体" w:eastAsia="宋体" w:cs="宋体"/>
                <w:kern w:val="0"/>
                <w:szCs w:val="21"/>
                <w:highlight w:val="none"/>
                <w:lang w:val="zh-CN" w:bidi="zh-CN"/>
              </w:rPr>
            </w:pPr>
            <w:r>
              <w:rPr>
                <w:rFonts w:hint="eastAsia" w:ascii="宋体" w:hAnsi="宋体" w:eastAsia="宋体" w:cs="宋体"/>
                <w:szCs w:val="21"/>
                <w:highlight w:val="none"/>
              </w:rPr>
              <w:t>支持处方进度汇总展示，即按处方配药和煎药流程统计各个环节的当前处方量。</w:t>
            </w:r>
          </w:p>
        </w:tc>
      </w:tr>
      <w:tr w14:paraId="41721D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vAlign w:val="center"/>
          </w:tcPr>
          <w:p w14:paraId="125EC0B1">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处方管理</w:t>
            </w:r>
          </w:p>
        </w:tc>
        <w:tc>
          <w:tcPr>
            <w:tcW w:w="4200" w:type="pct"/>
            <w:vAlign w:val="center"/>
          </w:tcPr>
          <w:p w14:paraId="09588694">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具备处方详细信息查询，支持根据条件筛选查询历史处方；</w:t>
            </w:r>
          </w:p>
          <w:p w14:paraId="20F77A4A">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支持查看处方配药记录，支持查看处方信息修改记录；</w:t>
            </w:r>
          </w:p>
          <w:p w14:paraId="0DABD027">
            <w:pPr>
              <w:widowControl/>
              <w:numPr>
                <w:ilvl w:val="0"/>
                <w:numId w:val="1"/>
              </w:numPr>
              <w:shd w:val="clear"/>
              <w:autoSpaceDE w:val="0"/>
              <w:autoSpaceDN w:val="0"/>
              <w:ind w:left="210" w:leftChars="100"/>
              <w:jc w:val="left"/>
              <w:rPr>
                <w:rFonts w:ascii="宋体" w:hAnsi="宋体" w:eastAsia="宋体" w:cs="宋体"/>
                <w:szCs w:val="21"/>
                <w:highlight w:val="none"/>
              </w:rPr>
            </w:pPr>
            <w:r>
              <w:rPr>
                <w:rFonts w:hint="eastAsia" w:ascii="宋体" w:hAnsi="宋体" w:eastAsia="宋体" w:cs="宋体"/>
                <w:szCs w:val="21"/>
                <w:highlight w:val="none"/>
              </w:rPr>
              <w:t>支持PDA扫描取药凭条、处方笺二维码等查询就诊处方全流程节点信息；</w:t>
            </w:r>
          </w:p>
          <w:p w14:paraId="14030571">
            <w:pPr>
              <w:numPr>
                <w:ilvl w:val="0"/>
                <w:numId w:val="1"/>
              </w:numPr>
              <w:shd w:val="clear"/>
              <w:autoSpaceDE w:val="0"/>
              <w:autoSpaceDN w:val="0"/>
              <w:ind w:left="210" w:leftChars="100"/>
              <w:rPr>
                <w:rFonts w:ascii="宋体" w:hAnsi="宋体" w:eastAsia="宋体" w:cs="宋体"/>
                <w:kern w:val="0"/>
                <w:szCs w:val="21"/>
                <w:highlight w:val="none"/>
                <w:lang w:val="zh-CN" w:bidi="zh-CN"/>
              </w:rPr>
            </w:pPr>
            <w:r>
              <w:rPr>
                <w:rFonts w:hint="eastAsia" w:ascii="宋体" w:hAnsi="宋体" w:eastAsia="宋体" w:cs="宋体"/>
                <w:szCs w:val="21"/>
                <w:highlight w:val="none"/>
              </w:rPr>
              <w:t>支持处方单、标签、加工流程单等单据个性化设置与打印。</w:t>
            </w:r>
          </w:p>
        </w:tc>
      </w:tr>
      <w:tr w14:paraId="394E18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vAlign w:val="center"/>
          </w:tcPr>
          <w:p w14:paraId="3D52D507">
            <w:pPr>
              <w:widowControl/>
              <w:shd w:val="clear"/>
              <w:autoSpaceDE w:val="0"/>
              <w:autoSpaceDN w:val="0"/>
              <w:jc w:val="center"/>
              <w:textAlignment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处方审核</w:t>
            </w:r>
          </w:p>
        </w:tc>
        <w:tc>
          <w:tcPr>
            <w:tcW w:w="4200" w:type="pct"/>
            <w:vAlign w:val="center"/>
          </w:tcPr>
          <w:p w14:paraId="6AEC017A">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支持审方规则包含十九畏规则、药品超剂量规则、管理妊娠禁用药品和忌用药品规则，并且规则可自定义维护；</w:t>
            </w:r>
          </w:p>
          <w:p w14:paraId="7572EFF5">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支持按药品设置毒麻标记用于处方审核规则判定；</w:t>
            </w:r>
          </w:p>
          <w:p w14:paraId="2503683D">
            <w:pPr>
              <w:numPr>
                <w:ilvl w:val="0"/>
                <w:numId w:val="1"/>
              </w:numPr>
              <w:shd w:val="clear"/>
              <w:autoSpaceDE w:val="0"/>
              <w:autoSpaceDN w:val="0"/>
              <w:ind w:left="210" w:leftChars="100"/>
              <w:rPr>
                <w:rFonts w:ascii="宋体" w:hAnsi="宋体" w:eastAsia="宋体" w:cs="宋体"/>
                <w:kern w:val="0"/>
                <w:szCs w:val="21"/>
                <w:highlight w:val="none"/>
                <w:lang w:val="zh-CN" w:bidi="zh-CN"/>
              </w:rPr>
            </w:pPr>
            <w:r>
              <w:rPr>
                <w:rFonts w:hint="eastAsia" w:ascii="宋体" w:hAnsi="宋体" w:eastAsia="宋体" w:cs="宋体"/>
                <w:szCs w:val="21"/>
                <w:highlight w:val="none"/>
              </w:rPr>
              <w:t>支持按照按配伍禁忌、超剂量毒性药品等进行自动审方并可进行详细信息提示。</w:t>
            </w:r>
          </w:p>
        </w:tc>
      </w:tr>
      <w:tr w14:paraId="38ACB02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vAlign w:val="center"/>
          </w:tcPr>
          <w:p w14:paraId="758C208A">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智能派单</w:t>
            </w:r>
          </w:p>
        </w:tc>
        <w:tc>
          <w:tcPr>
            <w:tcW w:w="4200" w:type="pct"/>
            <w:vAlign w:val="center"/>
          </w:tcPr>
          <w:p w14:paraId="51566D7D">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具备药师功能账号管理，对在岗人员进行处方派发；</w:t>
            </w:r>
          </w:p>
          <w:p w14:paraId="2121654A">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支持根据药师配药工作量情况可进行循环模式派发或平均派发处方模式；</w:t>
            </w:r>
          </w:p>
          <w:p w14:paraId="5F461E47">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支持手工调整派发队列如人工加急、对特定处方进行人工加急；</w:t>
            </w:r>
          </w:p>
          <w:p w14:paraId="103EDDF3">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支持代煎代配中心派发处方及处方量统计，统计维度如品种数，消耗量，金额；</w:t>
            </w:r>
          </w:p>
          <w:p w14:paraId="789A802D">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支持统计各药师的工作量，处方量，味剂量等相关信息。</w:t>
            </w:r>
          </w:p>
        </w:tc>
      </w:tr>
      <w:tr w14:paraId="27125A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vAlign w:val="center"/>
          </w:tcPr>
          <w:p w14:paraId="06F9264B">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平板调剂</w:t>
            </w:r>
          </w:p>
        </w:tc>
        <w:tc>
          <w:tcPr>
            <w:tcW w:w="4200" w:type="pct"/>
            <w:vAlign w:val="center"/>
          </w:tcPr>
          <w:p w14:paraId="0DF9A962">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支持调剂台管理，实现与调剂平板、打印机绑定；</w:t>
            </w:r>
          </w:p>
          <w:p w14:paraId="7E3D71EE">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具备平板电脑展示处方相关信息，用于配药人员信息查看；</w:t>
            </w:r>
          </w:p>
          <w:p w14:paraId="07D14F17">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支持平板电脑配药操作，记录配药人员、时间、用时、以及可明显区分已配未配药品显示；</w:t>
            </w:r>
          </w:p>
          <w:p w14:paraId="0417576F">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支持配药过程中的异常情况处理</w:t>
            </w:r>
          </w:p>
          <w:p w14:paraId="4ED2A224">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支持对于复核不通过的处方进行提示并展示审核不通过具体原因，支持此类处方再次调剂。</w:t>
            </w:r>
          </w:p>
        </w:tc>
      </w:tr>
      <w:tr w14:paraId="7D4162A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vAlign w:val="center"/>
          </w:tcPr>
          <w:p w14:paraId="702F7C36">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平板复核</w:t>
            </w:r>
          </w:p>
        </w:tc>
        <w:tc>
          <w:tcPr>
            <w:tcW w:w="4200" w:type="pct"/>
            <w:vAlign w:val="center"/>
          </w:tcPr>
          <w:p w14:paraId="60C4DF30">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具备平板扫描标签即展示处方信息，进入复核操作页面；</w:t>
            </w:r>
          </w:p>
          <w:p w14:paraId="25E07EE1">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支持复核时拍照留存;</w:t>
            </w:r>
          </w:p>
          <w:p w14:paraId="0B28FDEE">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支持复核时称重，数据自动读取或手工录入；</w:t>
            </w:r>
          </w:p>
          <w:p w14:paraId="59F2D123">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支持按处方生成调剂误差登记表；</w:t>
            </w:r>
          </w:p>
          <w:p w14:paraId="6AB7C4DA">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支持按时间段导出调剂误差登记表；</w:t>
            </w:r>
          </w:p>
          <w:p w14:paraId="1E1479EC">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支持复核不通过处方回退原配方员，可进行再次提交复核。</w:t>
            </w:r>
          </w:p>
        </w:tc>
      </w:tr>
      <w:tr w14:paraId="086C4B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68C4B79A">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发药管理</w:t>
            </w:r>
          </w:p>
        </w:tc>
        <w:tc>
          <w:tcPr>
            <w:tcW w:w="4200" w:type="pct"/>
            <w:vAlign w:val="center"/>
          </w:tcPr>
          <w:p w14:paraId="6A7FE638">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具备发药信息查询，以列表形式进行展示，并可进行条件筛选；</w:t>
            </w:r>
          </w:p>
          <w:p w14:paraId="5D02C769">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支持处方绑定电子标签进行上架；</w:t>
            </w:r>
          </w:p>
          <w:p w14:paraId="71A10488">
            <w:pPr>
              <w:numPr>
                <w:ilvl w:val="0"/>
                <w:numId w:val="1"/>
              </w:numPr>
              <w:shd w:val="clear"/>
              <w:autoSpaceDE w:val="0"/>
              <w:autoSpaceDN w:val="0"/>
              <w:ind w:left="210" w:leftChars="100"/>
              <w:rPr>
                <w:rFonts w:ascii="宋体" w:hAnsi="宋体" w:eastAsia="宋体" w:cs="宋体"/>
                <w:szCs w:val="21"/>
                <w:highlight w:val="none"/>
              </w:rPr>
            </w:pPr>
          </w:p>
          <w:p w14:paraId="2C5069DD">
            <w:pPr>
              <w:shd w:val="clear"/>
              <w:autoSpaceDE w:val="0"/>
              <w:autoSpaceDN w:val="0"/>
              <w:ind w:firstLine="210" w:firstLineChars="100"/>
              <w:rPr>
                <w:rFonts w:ascii="宋体" w:hAnsi="宋体" w:eastAsia="宋体" w:cs="宋体"/>
                <w:szCs w:val="21"/>
                <w:highlight w:val="none"/>
              </w:rPr>
            </w:pPr>
            <w:r>
              <w:rPr>
                <w:rFonts w:hint="eastAsia" w:ascii="宋体" w:hAnsi="宋体" w:eastAsia="宋体" w:cs="宋体"/>
                <w:szCs w:val="21"/>
                <w:highlight w:val="none"/>
              </w:rPr>
              <w:t>支持取药时通过声光电子标签进行定位查找，快速取药；</w:t>
            </w:r>
          </w:p>
          <w:p w14:paraId="2EBA5D8A">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支持取药信息大屏显示；</w:t>
            </w:r>
          </w:p>
          <w:p w14:paraId="28E40F9D">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支持小程序或短信平台提醒，通知患者取药。</w:t>
            </w:r>
          </w:p>
        </w:tc>
      </w:tr>
      <w:tr w14:paraId="103E230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0993FFE6">
            <w:pPr>
              <w:widowControl/>
              <w:shd w:val="clear"/>
              <w:autoSpaceDE w:val="0"/>
              <w:autoSpaceDN w:val="0"/>
              <w:jc w:val="center"/>
              <w:textAlignment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预警管理</w:t>
            </w:r>
          </w:p>
        </w:tc>
        <w:tc>
          <w:tcPr>
            <w:tcW w:w="4200" w:type="pct"/>
            <w:vAlign w:val="center"/>
          </w:tcPr>
          <w:p w14:paraId="46B25320">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支持展示实时预警信息，查询历史预警记录；</w:t>
            </w:r>
          </w:p>
          <w:p w14:paraId="5C061D7D">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支持预警规则管理，可以按实际管理需要设置预警规则；</w:t>
            </w:r>
          </w:p>
          <w:p w14:paraId="467F6ACD">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支持预警规则自动生成，信息可提示管理人员。</w:t>
            </w:r>
          </w:p>
        </w:tc>
      </w:tr>
      <w:tr w14:paraId="7BF98B6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57157ED8">
            <w:pPr>
              <w:widowControl/>
              <w:shd w:val="clear"/>
              <w:autoSpaceDE w:val="0"/>
              <w:autoSpaceDN w:val="0"/>
              <w:jc w:val="center"/>
              <w:textAlignment w:val="center"/>
              <w:rPr>
                <w:rFonts w:ascii="宋体" w:hAnsi="宋体" w:eastAsia="宋体" w:cs="宋体"/>
                <w:color w:val="000000" w:themeColor="text1"/>
                <w:szCs w:val="21"/>
                <w:highlight w:val="none"/>
                <w14:textFill>
                  <w14:solidFill>
                    <w14:schemeClr w14:val="tx1"/>
                  </w14:solidFill>
                </w14:textFill>
              </w:rPr>
            </w:pPr>
            <w:r>
              <w:rPr>
                <w:rFonts w:hint="eastAsia" w:ascii="宋体" w:hAnsi="宋体" w:eastAsia="宋体" w:cs="宋体"/>
                <w:color w:val="000000" w:themeColor="text1"/>
                <w:szCs w:val="21"/>
                <w:highlight w:val="none"/>
                <w14:textFill>
                  <w14:solidFill>
                    <w14:schemeClr w14:val="tx1"/>
                  </w14:solidFill>
                </w14:textFill>
              </w:rPr>
              <w:t>配送管理</w:t>
            </w:r>
          </w:p>
        </w:tc>
        <w:tc>
          <w:tcPr>
            <w:tcW w:w="4200" w:type="pct"/>
            <w:vAlign w:val="center"/>
          </w:tcPr>
          <w:p w14:paraId="6CB4F141">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支持代煎代配中心配送至院内管理，便捷药师及护士站药品交接；</w:t>
            </w:r>
          </w:p>
          <w:p w14:paraId="2D1DD5B5">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支持出院带药患者的处方进行管理。</w:t>
            </w:r>
          </w:p>
        </w:tc>
      </w:tr>
      <w:tr w14:paraId="5462CBC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12BEC685">
            <w:pPr>
              <w:shd w:val="clear"/>
              <w:autoSpaceDE w:val="0"/>
              <w:autoSpaceDN w:val="0"/>
              <w:jc w:val="center"/>
              <w:rPr>
                <w:rFonts w:ascii="宋体" w:hAnsi="宋体" w:eastAsia="宋体" w:cs="宋体"/>
                <w:szCs w:val="21"/>
                <w:highlight w:val="none"/>
                <w:lang w:val="zh-CN"/>
              </w:rPr>
            </w:pPr>
            <w:r>
              <w:rPr>
                <w:rFonts w:hint="eastAsia" w:ascii="宋体" w:hAnsi="宋体" w:eastAsia="宋体" w:cs="宋体"/>
                <w:szCs w:val="21"/>
                <w:highlight w:val="none"/>
              </w:rPr>
              <w:t>质控抽检</w:t>
            </w:r>
          </w:p>
        </w:tc>
        <w:tc>
          <w:tcPr>
            <w:tcW w:w="4200" w:type="pct"/>
            <w:vAlign w:val="center"/>
          </w:tcPr>
          <w:p w14:paraId="18717A05">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支持质检人员现场使用手持操作的抽检；</w:t>
            </w:r>
          </w:p>
          <w:p w14:paraId="00AD2642">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支持重点养护中药品种基本信息、养护属性等信息维护；</w:t>
            </w:r>
          </w:p>
          <w:p w14:paraId="7D68392C">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支持手持端养护管理，维护原因勾选并记录数据，形成报表，具备文档导出功能；</w:t>
            </w:r>
          </w:p>
        </w:tc>
      </w:tr>
      <w:tr w14:paraId="45D1600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4DA67ED0">
            <w:pPr>
              <w:shd w:val="clear"/>
              <w:autoSpaceDE w:val="0"/>
              <w:autoSpaceDN w:val="0"/>
              <w:jc w:val="center"/>
              <w:rPr>
                <w:rFonts w:ascii="宋体" w:hAnsi="宋体" w:eastAsia="宋体" w:cs="宋体"/>
                <w:szCs w:val="21"/>
                <w:highlight w:val="none"/>
              </w:rPr>
            </w:pPr>
            <w:r>
              <w:rPr>
                <w:rFonts w:hint="eastAsia" w:ascii="宋体" w:hAnsi="宋体" w:eastAsia="宋体" w:cs="宋体"/>
                <w:szCs w:val="21"/>
                <w:highlight w:val="none"/>
              </w:rPr>
              <w:t>装斗清斗管理</w:t>
            </w:r>
          </w:p>
        </w:tc>
        <w:tc>
          <w:tcPr>
            <w:tcW w:w="4200" w:type="pct"/>
            <w:vAlign w:val="center"/>
          </w:tcPr>
          <w:p w14:paraId="2AB2E14C">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支持调剂斗位、周转库位维护与管理；</w:t>
            </w:r>
          </w:p>
          <w:p w14:paraId="1083734C">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持编码标签单个或整体文档输出，具备自主标签打印功能；</w:t>
            </w:r>
          </w:p>
          <w:p w14:paraId="2812D52E">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支持装斗时斗位码与追溯码双扫码实现绑定装斗，具备扫描药品追溯码实现信息实时记录；</w:t>
            </w:r>
          </w:p>
          <w:p w14:paraId="57463CAD">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清斗时自动显示理论剩余重量、批次，同时实现人工二次核验修改，具备文档导出功能；清斗原因实现自主维护，形成勾选项及其他人工录入功能，通过勾选或其他项录入实现清斗记录报表，具备文档导出功能。</w:t>
            </w:r>
          </w:p>
        </w:tc>
      </w:tr>
      <w:tr w14:paraId="6BC045D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5B7B74BF">
            <w:pPr>
              <w:shd w:val="clear"/>
              <w:autoSpaceDE w:val="0"/>
              <w:autoSpaceDN w:val="0"/>
              <w:jc w:val="center"/>
              <w:rPr>
                <w:rFonts w:ascii="宋体" w:hAnsi="宋体" w:eastAsia="宋体" w:cs="宋体"/>
                <w:kern w:val="0"/>
                <w:szCs w:val="21"/>
                <w:highlight w:val="none"/>
                <w:lang w:val="zh-CN" w:bidi="zh-CN"/>
              </w:rPr>
            </w:pPr>
            <w:r>
              <w:rPr>
                <w:rFonts w:hint="eastAsia" w:ascii="宋体" w:hAnsi="宋体" w:eastAsia="宋体" w:cs="宋体"/>
                <w:szCs w:val="21"/>
                <w:highlight w:val="none"/>
              </w:rPr>
              <w:t>协定方管理</w:t>
            </w:r>
          </w:p>
        </w:tc>
        <w:tc>
          <w:tcPr>
            <w:tcW w:w="4200" w:type="pct"/>
            <w:vAlign w:val="center"/>
          </w:tcPr>
          <w:p w14:paraId="266D2235">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highlight w:val="none"/>
              </w:rPr>
              <w:t>★</w:t>
            </w:r>
            <w:r>
              <w:rPr>
                <w:rFonts w:hint="eastAsia" w:ascii="宋体" w:hAnsi="宋体" w:eastAsia="宋体" w:cs="宋体"/>
                <w:szCs w:val="21"/>
                <w:highlight w:val="none"/>
              </w:rPr>
              <w:t>具备院内协定方维护与管理。</w:t>
            </w:r>
          </w:p>
        </w:tc>
      </w:tr>
      <w:tr w14:paraId="17C8668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6AEAAFAB">
            <w:pPr>
              <w:shd w:val="clear"/>
              <w:autoSpaceDE w:val="0"/>
              <w:autoSpaceDN w:val="0"/>
              <w:jc w:val="center"/>
              <w:rPr>
                <w:rFonts w:ascii="宋体" w:hAnsi="宋体" w:eastAsia="宋体" w:cs="宋体"/>
                <w:color w:val="000000"/>
                <w:kern w:val="0"/>
                <w:szCs w:val="21"/>
                <w:highlight w:val="none"/>
                <w:lang w:bidi="ar"/>
              </w:rPr>
            </w:pPr>
            <w:r>
              <w:rPr>
                <w:rFonts w:hint="eastAsia" w:ascii="宋体" w:hAnsi="宋体" w:eastAsia="宋体" w:cs="宋体"/>
                <w:szCs w:val="21"/>
                <w:highlight w:val="none"/>
              </w:rPr>
              <w:t>中药房大屏</w:t>
            </w:r>
          </w:p>
        </w:tc>
        <w:tc>
          <w:tcPr>
            <w:tcW w:w="4200" w:type="pct"/>
            <w:vAlign w:val="center"/>
          </w:tcPr>
          <w:p w14:paraId="289FCD6B">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具备药房数据大屏展示，可实时展示处方统计数据，直观了解目前处方任务情况。</w:t>
            </w:r>
          </w:p>
        </w:tc>
      </w:tr>
      <w:tr w14:paraId="3439122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56F2673A">
            <w:pPr>
              <w:shd w:val="clear"/>
              <w:autoSpaceDE w:val="0"/>
              <w:autoSpaceDN w:val="0"/>
              <w:jc w:val="center"/>
              <w:rPr>
                <w:rFonts w:ascii="宋体" w:hAnsi="宋体" w:eastAsia="宋体" w:cs="宋体"/>
                <w:szCs w:val="21"/>
                <w:highlight w:val="none"/>
              </w:rPr>
            </w:pPr>
            <w:r>
              <w:rPr>
                <w:rFonts w:hint="eastAsia" w:ascii="宋体" w:hAnsi="宋体" w:eastAsia="宋体" w:cs="宋体"/>
                <w:szCs w:val="21"/>
                <w:highlight w:val="none"/>
              </w:rPr>
              <w:t>系统灵活性</w:t>
            </w:r>
          </w:p>
          <w:p w14:paraId="638716C8">
            <w:pPr>
              <w:shd w:val="clear"/>
              <w:autoSpaceDE w:val="0"/>
              <w:autoSpaceDN w:val="0"/>
              <w:jc w:val="center"/>
              <w:rPr>
                <w:rFonts w:ascii="宋体" w:hAnsi="宋体" w:eastAsia="宋体" w:cs="宋体"/>
                <w:szCs w:val="21"/>
                <w:highlight w:val="none"/>
              </w:rPr>
            </w:pPr>
            <w:r>
              <w:rPr>
                <w:rFonts w:hint="eastAsia" w:ascii="宋体" w:hAnsi="宋体" w:eastAsia="宋体" w:cs="宋体"/>
                <w:szCs w:val="21"/>
                <w:highlight w:val="none"/>
              </w:rPr>
              <w:t>设置</w:t>
            </w:r>
          </w:p>
          <w:p w14:paraId="13C63FAA">
            <w:pPr>
              <w:widowControl/>
              <w:shd w:val="clear"/>
              <w:autoSpaceDE w:val="0"/>
              <w:autoSpaceDN w:val="0"/>
              <w:jc w:val="center"/>
              <w:textAlignment w:val="center"/>
              <w:rPr>
                <w:rFonts w:ascii="宋体" w:hAnsi="宋体" w:eastAsia="宋体" w:cs="宋体"/>
                <w:kern w:val="0"/>
                <w:szCs w:val="21"/>
                <w:highlight w:val="none"/>
                <w:lang w:val="zh-CN" w:eastAsia="en-US" w:bidi="zh-CN"/>
              </w:rPr>
            </w:pPr>
          </w:p>
        </w:tc>
        <w:tc>
          <w:tcPr>
            <w:tcW w:w="4200" w:type="pct"/>
            <w:vAlign w:val="center"/>
          </w:tcPr>
          <w:p w14:paraId="72DE6E30">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支持维护煎煮方案信息：浸泡时间、煎煮时间、二煎时间、包装药液量，用于处方和审方模块煎煮方案确认；</w:t>
            </w:r>
          </w:p>
          <w:p w14:paraId="34BDDAF1">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支持自定义标签模板管理可按医院、住院/门诊、加工方式配置不同的标签打印格式、标签数量规则；</w:t>
            </w:r>
          </w:p>
          <w:p w14:paraId="4B24ED54">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支持展示历史物流配送的处方记录，支持筛选查询；</w:t>
            </w:r>
          </w:p>
          <w:p w14:paraId="76C8A566">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支持根据审方规则，自动进行审方，配伍禁忌、超剂量、毒性饮片等。</w:t>
            </w:r>
          </w:p>
        </w:tc>
      </w:tr>
      <w:tr w14:paraId="6E3C55A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50A80731">
            <w:pPr>
              <w:shd w:val="clear"/>
              <w:autoSpaceDE w:val="0"/>
              <w:autoSpaceDN w:val="0"/>
              <w:jc w:val="center"/>
              <w:rPr>
                <w:rFonts w:ascii="宋体" w:hAnsi="宋体" w:eastAsia="宋体" w:cs="宋体"/>
                <w:szCs w:val="21"/>
                <w:highlight w:val="none"/>
              </w:rPr>
            </w:pPr>
            <w:r>
              <w:rPr>
                <w:rFonts w:hint="eastAsia" w:ascii="宋体" w:hAnsi="宋体" w:eastAsia="宋体" w:cs="宋体"/>
                <w:szCs w:val="21"/>
                <w:highlight w:val="none"/>
              </w:rPr>
              <w:t>煎煮流程管理精细化与质量控制</w:t>
            </w:r>
          </w:p>
          <w:p w14:paraId="525E9CD3">
            <w:pPr>
              <w:widowControl/>
              <w:shd w:val="clear"/>
              <w:autoSpaceDE w:val="0"/>
              <w:autoSpaceDN w:val="0"/>
              <w:jc w:val="center"/>
              <w:textAlignment w:val="center"/>
              <w:rPr>
                <w:rFonts w:ascii="宋体" w:hAnsi="宋体" w:eastAsia="宋体" w:cs="宋体"/>
                <w:kern w:val="0"/>
                <w:szCs w:val="21"/>
                <w:highlight w:val="none"/>
                <w:lang w:val="zh-CN" w:bidi="zh-CN"/>
              </w:rPr>
            </w:pPr>
          </w:p>
        </w:tc>
        <w:tc>
          <w:tcPr>
            <w:tcW w:w="4200" w:type="pct"/>
            <w:vAlign w:val="center"/>
          </w:tcPr>
          <w:p w14:paraId="76705E9F">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具备浸泡、煎药（包含先煎后下）、包装、发货复核扫描和流程追溯；</w:t>
            </w:r>
          </w:p>
          <w:p w14:paraId="74FCBB44">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支持煎药、膏方、打粉、制丸的加工流程管控;</w:t>
            </w:r>
          </w:p>
          <w:p w14:paraId="36666BE8">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支持工艺流程管理与提醒，如浸泡和煎煮时间不足，无法进行接续工序提醒;</w:t>
            </w:r>
          </w:p>
          <w:p w14:paraId="663E8531">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支持成品复核；</w:t>
            </w:r>
          </w:p>
          <w:p w14:paraId="0327D94B">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支持巡检煎药设备，设备是否清洁、消毒等；</w:t>
            </w:r>
          </w:p>
          <w:p w14:paraId="434334E5">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支持成品打包环节拍照；</w:t>
            </w:r>
          </w:p>
          <w:p w14:paraId="767A672A">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支持根据中药饮片类别维护加水量公式，浸泡扫描提醒加水量；</w:t>
            </w:r>
          </w:p>
          <w:p w14:paraId="2856E23E">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支持煎药室接收已复核的饮片并记录。</w:t>
            </w:r>
          </w:p>
        </w:tc>
      </w:tr>
      <w:tr w14:paraId="6E1F96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361A587A">
            <w:pPr>
              <w:widowControl/>
              <w:shd w:val="clear"/>
              <w:autoSpaceDE w:val="0"/>
              <w:autoSpaceDN w:val="0"/>
              <w:jc w:val="center"/>
              <w:textAlignment w:val="center"/>
              <w:rPr>
                <w:rFonts w:ascii="宋体" w:hAnsi="宋体" w:eastAsia="宋体" w:cs="宋体"/>
                <w:kern w:val="0"/>
                <w:szCs w:val="21"/>
                <w:highlight w:val="none"/>
                <w:lang w:eastAsia="en-US" w:bidi="zh-CN"/>
              </w:rPr>
            </w:pPr>
            <w:r>
              <w:rPr>
                <w:rFonts w:hint="eastAsia" w:ascii="宋体" w:hAnsi="宋体" w:eastAsia="宋体" w:cs="宋体"/>
                <w:bCs/>
                <w:szCs w:val="21"/>
                <w:highlight w:val="none"/>
              </w:rPr>
              <w:t>临方加工膏方管理</w:t>
            </w:r>
          </w:p>
        </w:tc>
        <w:tc>
          <w:tcPr>
            <w:tcW w:w="4200" w:type="pct"/>
            <w:vAlign w:val="center"/>
          </w:tcPr>
          <w:p w14:paraId="1F6E9B6B">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w:t>
            </w:r>
            <w:r>
              <w:rPr>
                <w:rFonts w:hint="eastAsia" w:ascii="宋体" w:hAnsi="宋体" w:eastAsia="宋体" w:cs="宋体"/>
                <w:szCs w:val="21"/>
                <w:highlight w:val="none"/>
                <w:lang w:eastAsia="zh-Hans"/>
              </w:rPr>
              <w:t>膏方流程管理，PDA支持扫描流程进行记录</w:t>
            </w:r>
            <w:r>
              <w:rPr>
                <w:rFonts w:hint="eastAsia" w:ascii="宋体" w:hAnsi="宋体" w:eastAsia="宋体" w:cs="宋体"/>
                <w:szCs w:val="21"/>
                <w:highlight w:val="none"/>
              </w:rPr>
              <w:t>及处方详情查看</w:t>
            </w:r>
            <w:r>
              <w:rPr>
                <w:rFonts w:hint="eastAsia" w:ascii="宋体" w:hAnsi="宋体" w:eastAsia="宋体" w:cs="宋体"/>
                <w:szCs w:val="21"/>
                <w:highlight w:val="none"/>
                <w:lang w:eastAsia="zh-Hans"/>
              </w:rPr>
              <w:t>，包含浸泡、开始煎煮、开始二煎、结束煎煮、已沉淀、开始浓缩、结束浓缩、已收膏、已凉膏、已打包</w:t>
            </w:r>
            <w:r>
              <w:rPr>
                <w:rFonts w:hint="eastAsia" w:ascii="宋体" w:hAnsi="宋体" w:eastAsia="宋体" w:cs="宋体"/>
                <w:szCs w:val="21"/>
                <w:highlight w:val="none"/>
              </w:rPr>
              <w:t>。</w:t>
            </w:r>
          </w:p>
        </w:tc>
      </w:tr>
      <w:tr w14:paraId="24A34DF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78ABADF0">
            <w:pPr>
              <w:widowControl/>
              <w:shd w:val="clear"/>
              <w:autoSpaceDE w:val="0"/>
              <w:autoSpaceDN w:val="0"/>
              <w:jc w:val="center"/>
              <w:textAlignment w:val="center"/>
              <w:rPr>
                <w:rFonts w:ascii="宋体" w:hAnsi="宋体" w:eastAsia="宋体" w:cs="宋体"/>
                <w:bCs/>
                <w:szCs w:val="21"/>
                <w:highlight w:val="none"/>
              </w:rPr>
            </w:pPr>
            <w:r>
              <w:rPr>
                <w:rFonts w:hint="eastAsia" w:ascii="宋体" w:hAnsi="宋体" w:eastAsia="宋体" w:cs="宋体"/>
                <w:bCs/>
                <w:szCs w:val="21"/>
                <w:highlight w:val="none"/>
              </w:rPr>
              <w:t>临方加工打粉管理</w:t>
            </w:r>
          </w:p>
        </w:tc>
        <w:tc>
          <w:tcPr>
            <w:tcW w:w="4200" w:type="pct"/>
            <w:vAlign w:val="center"/>
          </w:tcPr>
          <w:p w14:paraId="7FA68569">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w:t>
            </w:r>
            <w:r>
              <w:rPr>
                <w:rFonts w:hint="eastAsia" w:ascii="宋体" w:hAnsi="宋体" w:eastAsia="宋体" w:cs="宋体"/>
                <w:szCs w:val="21"/>
                <w:highlight w:val="none"/>
                <w:lang w:eastAsia="zh-Hans"/>
              </w:rPr>
              <w:t>粉剂流程管理，PDA支持扫描流程进行记录</w:t>
            </w:r>
            <w:r>
              <w:rPr>
                <w:rFonts w:hint="eastAsia" w:ascii="宋体" w:hAnsi="宋体" w:eastAsia="宋体" w:cs="宋体"/>
                <w:szCs w:val="21"/>
                <w:highlight w:val="none"/>
              </w:rPr>
              <w:t>及处方详情查看</w:t>
            </w:r>
            <w:r>
              <w:rPr>
                <w:rFonts w:hint="eastAsia" w:ascii="宋体" w:hAnsi="宋体" w:eastAsia="宋体" w:cs="宋体"/>
                <w:szCs w:val="21"/>
                <w:highlight w:val="none"/>
                <w:lang w:eastAsia="zh-Hans"/>
              </w:rPr>
              <w:t>，包含已干燥、已粉碎、已打包</w:t>
            </w:r>
            <w:r>
              <w:rPr>
                <w:rFonts w:hint="eastAsia" w:ascii="宋体" w:hAnsi="宋体" w:eastAsia="宋体" w:cs="宋体"/>
                <w:szCs w:val="21"/>
                <w:highlight w:val="none"/>
              </w:rPr>
              <w:t>。</w:t>
            </w:r>
          </w:p>
        </w:tc>
      </w:tr>
      <w:tr w14:paraId="3C0E4E1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2F4551A5">
            <w:pPr>
              <w:widowControl/>
              <w:shd w:val="clear"/>
              <w:autoSpaceDE w:val="0"/>
              <w:autoSpaceDN w:val="0"/>
              <w:jc w:val="center"/>
              <w:textAlignment w:val="center"/>
              <w:rPr>
                <w:rFonts w:ascii="宋体" w:hAnsi="宋体" w:eastAsia="宋体" w:cs="宋体"/>
                <w:bCs/>
                <w:szCs w:val="21"/>
                <w:highlight w:val="none"/>
              </w:rPr>
            </w:pPr>
            <w:r>
              <w:rPr>
                <w:rFonts w:hint="eastAsia" w:ascii="宋体" w:hAnsi="宋体" w:eastAsia="宋体" w:cs="宋体"/>
                <w:bCs/>
                <w:szCs w:val="21"/>
                <w:highlight w:val="none"/>
              </w:rPr>
              <w:t>临方加工制丸管理</w:t>
            </w:r>
          </w:p>
        </w:tc>
        <w:tc>
          <w:tcPr>
            <w:tcW w:w="4200" w:type="pct"/>
            <w:vAlign w:val="center"/>
          </w:tcPr>
          <w:p w14:paraId="210BE5D6">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highlight w:val="none"/>
              </w:rPr>
              <w:t>★</w:t>
            </w:r>
            <w:r>
              <w:rPr>
                <w:rFonts w:hint="eastAsia" w:ascii="宋体" w:hAnsi="宋体" w:eastAsia="宋体" w:cs="宋体"/>
                <w:szCs w:val="21"/>
                <w:highlight w:val="none"/>
              </w:rPr>
              <w:t>具备</w:t>
            </w:r>
            <w:r>
              <w:rPr>
                <w:rFonts w:hint="eastAsia" w:ascii="宋体" w:hAnsi="宋体" w:eastAsia="宋体" w:cs="宋体"/>
                <w:szCs w:val="21"/>
                <w:highlight w:val="none"/>
                <w:lang w:eastAsia="zh-Hans"/>
              </w:rPr>
              <w:t>丸剂流程管理，PDA支持扫描流程进行记录</w:t>
            </w:r>
            <w:r>
              <w:rPr>
                <w:rFonts w:hint="eastAsia" w:ascii="宋体" w:hAnsi="宋体" w:eastAsia="宋体" w:cs="宋体"/>
                <w:szCs w:val="21"/>
                <w:highlight w:val="none"/>
              </w:rPr>
              <w:t>及处方详情查看</w:t>
            </w:r>
            <w:r>
              <w:rPr>
                <w:rFonts w:hint="eastAsia" w:ascii="宋体" w:hAnsi="宋体" w:eastAsia="宋体" w:cs="宋体"/>
                <w:szCs w:val="21"/>
                <w:highlight w:val="none"/>
                <w:lang w:eastAsia="zh-Hans"/>
              </w:rPr>
              <w:t>，包含</w:t>
            </w:r>
            <w:r>
              <w:rPr>
                <w:rFonts w:hint="eastAsia" w:ascii="宋体" w:hAnsi="宋体" w:eastAsia="宋体" w:cs="宋体"/>
                <w:szCs w:val="21"/>
                <w:highlight w:val="none"/>
              </w:rPr>
              <w:t>药材一煎煮（</w:t>
            </w:r>
            <w:r>
              <w:rPr>
                <w:rFonts w:hint="eastAsia" w:ascii="宋体" w:hAnsi="宋体" w:eastAsia="宋体" w:cs="宋体"/>
                <w:szCs w:val="21"/>
                <w:highlight w:val="none"/>
                <w:lang w:eastAsia="zh-Hans"/>
              </w:rPr>
              <w:t>包含浸泡、开始煎煮、开始二煎、结束煎煮</w:t>
            </w:r>
            <w:r>
              <w:rPr>
                <w:rFonts w:hint="eastAsia" w:ascii="宋体" w:hAnsi="宋体" w:eastAsia="宋体" w:cs="宋体"/>
                <w:szCs w:val="21"/>
                <w:highlight w:val="none"/>
              </w:rPr>
              <w:t>）、药材二打粉（包含干燥、打粉、过筛）、</w:t>
            </w:r>
            <w:r>
              <w:rPr>
                <w:rFonts w:hint="eastAsia" w:ascii="宋体" w:hAnsi="宋体" w:eastAsia="宋体" w:cs="宋体"/>
                <w:szCs w:val="21"/>
                <w:highlight w:val="none"/>
                <w:lang w:eastAsia="zh-Hans"/>
              </w:rPr>
              <w:t>已制丸</w:t>
            </w:r>
            <w:r>
              <w:rPr>
                <w:rFonts w:hint="eastAsia" w:ascii="宋体" w:hAnsi="宋体" w:eastAsia="宋体" w:cs="宋体"/>
                <w:szCs w:val="21"/>
                <w:highlight w:val="none"/>
              </w:rPr>
              <w:t>、</w:t>
            </w:r>
            <w:r>
              <w:rPr>
                <w:rFonts w:hint="eastAsia" w:ascii="宋体" w:hAnsi="宋体" w:eastAsia="宋体" w:cs="宋体"/>
                <w:szCs w:val="21"/>
                <w:highlight w:val="none"/>
                <w:lang w:eastAsia="zh-Hans"/>
              </w:rPr>
              <w:t>已打包</w:t>
            </w:r>
            <w:r>
              <w:rPr>
                <w:rFonts w:hint="eastAsia" w:ascii="宋体" w:hAnsi="宋体" w:eastAsia="宋体" w:cs="宋体"/>
                <w:szCs w:val="21"/>
                <w:highlight w:val="none"/>
              </w:rPr>
              <w:t>。</w:t>
            </w:r>
          </w:p>
        </w:tc>
      </w:tr>
      <w:tr w14:paraId="7426171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239B001A">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患者服务</w:t>
            </w:r>
          </w:p>
        </w:tc>
        <w:tc>
          <w:tcPr>
            <w:tcW w:w="4200" w:type="pct"/>
            <w:vAlign w:val="center"/>
          </w:tcPr>
          <w:p w14:paraId="774DA081">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highlight w:val="none"/>
              </w:rPr>
              <w:t>★</w:t>
            </w:r>
            <w:r>
              <w:rPr>
                <w:rFonts w:hint="eastAsia" w:ascii="宋体" w:hAnsi="宋体" w:eastAsia="宋体" w:cs="宋体"/>
                <w:szCs w:val="21"/>
                <w:highlight w:val="none"/>
              </w:rPr>
              <w:t>具备患者微信端查询处方状态及配送流程；</w:t>
            </w:r>
          </w:p>
        </w:tc>
      </w:tr>
      <w:tr w14:paraId="58D5CA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vAlign w:val="center"/>
          </w:tcPr>
          <w:p w14:paraId="29576DDF">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基础管理</w:t>
            </w:r>
          </w:p>
        </w:tc>
        <w:tc>
          <w:tcPr>
            <w:tcW w:w="4200" w:type="pct"/>
            <w:vAlign w:val="center"/>
          </w:tcPr>
          <w:p w14:paraId="1829D59F">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支持医院的药品与智慧中药房建设系统药品关联维护；</w:t>
            </w:r>
          </w:p>
          <w:p w14:paraId="185EC9B9">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支持智慧中药房建设系统的标准药品信息维护；</w:t>
            </w:r>
          </w:p>
          <w:p w14:paraId="43F6935D">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支持智慧中药房建设系统操作人员基本信息维护，如调剂人员、浸泡人员、煎煮人员、平台管理人员等；</w:t>
            </w:r>
          </w:p>
          <w:p w14:paraId="3A22ADCC">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支持平台操作人员权限分配；</w:t>
            </w:r>
          </w:p>
          <w:p w14:paraId="14B256B5">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支持统计报表汇总导出。</w:t>
            </w:r>
          </w:p>
        </w:tc>
      </w:tr>
      <w:tr w14:paraId="10341C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shd w:val="clear" w:color="auto" w:fill="auto"/>
            <w:vAlign w:val="center"/>
          </w:tcPr>
          <w:p w14:paraId="5A9B5FE4">
            <w:pPr>
              <w:shd w:val="clear"/>
              <w:autoSpaceDE w:val="0"/>
              <w:autoSpaceDN w:val="0"/>
              <w:spacing w:line="360" w:lineRule="auto"/>
              <w:ind w:firstLine="210" w:firstLineChars="100"/>
              <w:jc w:val="center"/>
              <w:rPr>
                <w:rFonts w:ascii="宋体" w:hAnsi="宋体" w:eastAsia="宋体" w:cs="宋体"/>
                <w:color w:val="FF0000"/>
                <w:szCs w:val="21"/>
                <w:highlight w:val="none"/>
                <w:lang w:val="zh-CN" w:eastAsia="en-US"/>
              </w:rPr>
            </w:pPr>
            <w:r>
              <w:rPr>
                <w:rFonts w:hint="eastAsia" w:ascii="宋体" w:hAnsi="宋体" w:eastAsia="宋体" w:cs="宋体"/>
                <w:color w:val="000000" w:themeColor="text1"/>
                <w:szCs w:val="21"/>
                <w:highlight w:val="none"/>
                <w14:textFill>
                  <w14:solidFill>
                    <w14:schemeClr w14:val="tx1"/>
                  </w14:solidFill>
                </w14:textFill>
              </w:rPr>
              <w:t>药房盘点</w:t>
            </w:r>
          </w:p>
        </w:tc>
        <w:tc>
          <w:tcPr>
            <w:tcW w:w="4200" w:type="pct"/>
            <w:shd w:val="clear" w:color="auto" w:fill="auto"/>
            <w:vAlign w:val="center"/>
          </w:tcPr>
          <w:p w14:paraId="51931AD3">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w:t>
            </w:r>
            <w:r>
              <w:rPr>
                <w:rFonts w:hint="eastAsia" w:ascii="宋体" w:hAnsi="宋体" w:eastAsia="宋体" w:cs="宋体"/>
                <w:szCs w:val="21"/>
                <w:highlight w:val="none"/>
                <w:lang w:eastAsia="zh-Hans"/>
              </w:rPr>
              <w:t>展示历史仓库和药房的库存盘点数据，支持筛选查询，点击查看盘点单详情</w:t>
            </w:r>
            <w:r>
              <w:rPr>
                <w:rFonts w:hint="eastAsia" w:ascii="宋体" w:hAnsi="宋体" w:eastAsia="宋体" w:cs="宋体"/>
                <w:szCs w:val="21"/>
                <w:highlight w:val="none"/>
              </w:rPr>
              <w:t>；</w:t>
            </w:r>
          </w:p>
          <w:p w14:paraId="42EBD1CF">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w:t>
            </w:r>
            <w:r>
              <w:rPr>
                <w:rFonts w:hint="eastAsia" w:ascii="宋体" w:hAnsi="宋体" w:eastAsia="宋体" w:cs="宋体"/>
                <w:szCs w:val="21"/>
                <w:highlight w:val="none"/>
                <w:lang w:eastAsia="zh-Hans"/>
              </w:rPr>
              <w:t>按盘点药品明细级别展示数据，便于查找盘点药品</w:t>
            </w:r>
            <w:r>
              <w:rPr>
                <w:rFonts w:hint="eastAsia" w:ascii="宋体" w:hAnsi="宋体" w:eastAsia="宋体" w:cs="宋体"/>
                <w:szCs w:val="21"/>
                <w:highlight w:val="none"/>
              </w:rPr>
              <w:t>；</w:t>
            </w:r>
          </w:p>
          <w:p w14:paraId="0A1C1B26">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w:t>
            </w:r>
            <w:r>
              <w:rPr>
                <w:rFonts w:hint="eastAsia" w:ascii="宋体" w:hAnsi="宋体" w:eastAsia="宋体" w:cs="宋体"/>
                <w:szCs w:val="21"/>
                <w:highlight w:val="none"/>
                <w:lang w:eastAsia="zh-Hans"/>
              </w:rPr>
              <w:t>对仓库和药房的盘点维护，支持批量载入仓库/药房的库存药品和库存量，根据实际盘点情况修改实际数量</w:t>
            </w:r>
            <w:r>
              <w:rPr>
                <w:rFonts w:hint="eastAsia" w:ascii="宋体" w:hAnsi="宋体" w:eastAsia="宋体" w:cs="宋体"/>
                <w:szCs w:val="21"/>
                <w:highlight w:val="none"/>
              </w:rPr>
              <w:t>；</w:t>
            </w:r>
          </w:p>
          <w:p w14:paraId="6913365E">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lang w:eastAsia="zh-Hans"/>
              </w:rPr>
              <w:t>支持导出盘点单明细清单，线下修改后一键导入更新盘点单数据</w:t>
            </w:r>
            <w:r>
              <w:rPr>
                <w:rFonts w:hint="eastAsia" w:ascii="宋体" w:hAnsi="宋体" w:eastAsia="宋体" w:cs="宋体"/>
                <w:szCs w:val="21"/>
                <w:highlight w:val="none"/>
              </w:rPr>
              <w:t>；</w:t>
            </w:r>
          </w:p>
          <w:p w14:paraId="59A79443">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w:t>
            </w:r>
            <w:r>
              <w:rPr>
                <w:rFonts w:hint="eastAsia" w:ascii="宋体" w:hAnsi="宋体" w:eastAsia="宋体" w:cs="宋体"/>
                <w:szCs w:val="21"/>
                <w:highlight w:val="none"/>
                <w:lang w:eastAsia="zh-Hans"/>
              </w:rPr>
              <w:t>审核后，对应仓库/药房的库存量更新</w:t>
            </w:r>
            <w:r>
              <w:rPr>
                <w:rFonts w:hint="eastAsia" w:ascii="宋体" w:hAnsi="宋体" w:eastAsia="宋体" w:cs="宋体"/>
                <w:szCs w:val="21"/>
                <w:highlight w:val="none"/>
              </w:rPr>
              <w:t>；</w:t>
            </w:r>
          </w:p>
          <w:p w14:paraId="76334F3D">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w:t>
            </w:r>
            <w:r>
              <w:rPr>
                <w:rFonts w:hint="eastAsia" w:ascii="宋体" w:hAnsi="宋体" w:eastAsia="宋体" w:cs="宋体"/>
                <w:szCs w:val="21"/>
                <w:highlight w:val="none"/>
                <w:lang w:eastAsia="zh-Hans"/>
              </w:rPr>
              <w:t>系统自动根据盘点差值生成报损、</w:t>
            </w:r>
            <w:r>
              <w:rPr>
                <w:rFonts w:hint="eastAsia" w:ascii="宋体" w:hAnsi="宋体" w:eastAsia="宋体" w:cs="宋体"/>
                <w:szCs w:val="21"/>
                <w:highlight w:val="none"/>
              </w:rPr>
              <w:t>盘亏盘盈；</w:t>
            </w:r>
          </w:p>
          <w:p w14:paraId="41FC51FD">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lang w:eastAsia="zh-Hans"/>
              </w:rPr>
              <w:t>支持作废未审核的盘点单</w:t>
            </w:r>
            <w:r>
              <w:rPr>
                <w:rFonts w:hint="eastAsia" w:ascii="宋体" w:hAnsi="宋体" w:eastAsia="宋体" w:cs="宋体"/>
                <w:szCs w:val="21"/>
                <w:highlight w:val="none"/>
              </w:rPr>
              <w:t>。</w:t>
            </w:r>
          </w:p>
        </w:tc>
      </w:tr>
      <w:tr w14:paraId="0C7FAB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shd w:val="clear" w:color="auto" w:fill="auto"/>
            <w:vAlign w:val="center"/>
          </w:tcPr>
          <w:p w14:paraId="7ACEA835">
            <w:pPr>
              <w:widowControl/>
              <w:shd w:val="clear"/>
              <w:jc w:val="center"/>
              <w:textAlignment w:val="center"/>
              <w:rPr>
                <w:rFonts w:ascii="宋体" w:hAnsi="宋体" w:eastAsia="宋体" w:cs="宋体"/>
                <w:szCs w:val="21"/>
                <w:highlight w:val="none"/>
              </w:rPr>
            </w:pPr>
            <w:r>
              <w:rPr>
                <w:rFonts w:hint="eastAsia" w:ascii="宋体" w:hAnsi="宋体" w:eastAsia="宋体" w:cs="宋体"/>
                <w:szCs w:val="21"/>
                <w:highlight w:val="none"/>
              </w:rPr>
              <w:t>手持移动端</w:t>
            </w:r>
          </w:p>
          <w:p w14:paraId="35DB2262">
            <w:pPr>
              <w:widowControl/>
              <w:shd w:val="clear"/>
              <w:jc w:val="center"/>
              <w:textAlignment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应用</w:t>
            </w:r>
          </w:p>
        </w:tc>
        <w:tc>
          <w:tcPr>
            <w:tcW w:w="4200" w:type="pct"/>
            <w:shd w:val="clear" w:color="auto" w:fill="auto"/>
            <w:vAlign w:val="center"/>
          </w:tcPr>
          <w:p w14:paraId="1DB7804E">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支持药房药品请领；</w:t>
            </w:r>
          </w:p>
          <w:p w14:paraId="4050F1A9">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支持扫描药品追溯码校验药品与数量；</w:t>
            </w:r>
          </w:p>
          <w:p w14:paraId="33DEAE06">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支持记录药房收货异常药品信息，如少量、缺药。</w:t>
            </w:r>
          </w:p>
        </w:tc>
      </w:tr>
      <w:tr w14:paraId="2223792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799" w:type="pct"/>
            <w:tcBorders>
              <w:left w:val="single" w:color="auto" w:sz="4" w:space="0"/>
            </w:tcBorders>
            <w:shd w:val="clear" w:color="auto" w:fill="auto"/>
            <w:vAlign w:val="center"/>
          </w:tcPr>
          <w:p w14:paraId="2CDB5B55">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rPr>
              <w:t>对接接口</w:t>
            </w:r>
          </w:p>
        </w:tc>
        <w:tc>
          <w:tcPr>
            <w:tcW w:w="4200" w:type="pct"/>
            <w:shd w:val="clear" w:color="auto" w:fill="auto"/>
            <w:vAlign w:val="center"/>
          </w:tcPr>
          <w:p w14:paraId="09C89DE5">
            <w:pPr>
              <w:numPr>
                <w:ilvl w:val="0"/>
                <w:numId w:val="1"/>
              </w:numPr>
              <w:shd w:val="clear"/>
              <w:autoSpaceDE w:val="0"/>
              <w:autoSpaceDN w:val="0"/>
              <w:ind w:left="210" w:leftChars="100"/>
              <w:rPr>
                <w:rFonts w:ascii="宋体" w:hAnsi="宋体" w:eastAsia="宋体" w:cs="宋体"/>
                <w:szCs w:val="21"/>
                <w:highlight w:val="none"/>
              </w:rPr>
            </w:pPr>
            <w:r>
              <w:rPr>
                <w:rFonts w:hint="eastAsia" w:ascii="宋体" w:hAnsi="宋体" w:eastAsia="宋体" w:cs="宋体"/>
                <w:szCs w:val="21"/>
                <w:highlight w:val="none"/>
              </w:rPr>
              <w:t>支持提供电子处方对接接口标准,中医院HIS按接口标准，将中药饮片电子处方传给智慧中药房建设系统；</w:t>
            </w:r>
          </w:p>
          <w:p w14:paraId="675E9A01">
            <w:pPr>
              <w:numPr>
                <w:ilvl w:val="0"/>
                <w:numId w:val="1"/>
              </w:numPr>
              <w:shd w:val="clear"/>
              <w:autoSpaceDE w:val="0"/>
              <w:autoSpaceDN w:val="0"/>
              <w:ind w:left="210" w:leftChars="100"/>
              <w:rPr>
                <w:rFonts w:ascii="宋体" w:hAnsi="宋体" w:eastAsia="宋体" w:cs="宋体"/>
                <w:szCs w:val="21"/>
                <w:highlight w:val="none"/>
                <w:lang w:val="zh-CN"/>
              </w:rPr>
            </w:pPr>
            <w:r>
              <w:rPr>
                <w:rFonts w:hint="eastAsia" w:ascii="宋体" w:hAnsi="宋体" w:eastAsia="宋体" w:cs="宋体"/>
                <w:szCs w:val="21"/>
                <w:highlight w:val="none"/>
              </w:rPr>
              <w:t>支持与邮寄系统对接。</w:t>
            </w:r>
          </w:p>
        </w:tc>
      </w:tr>
    </w:tbl>
    <w:p w14:paraId="31102F0F">
      <w:pPr>
        <w:shd w:val="clear"/>
        <w:spacing w:line="360" w:lineRule="auto"/>
        <w:rPr>
          <w:rFonts w:ascii="宋体" w:hAnsi="宋体" w:eastAsia="宋体"/>
          <w:b/>
          <w:bCs/>
          <w:szCs w:val="21"/>
          <w:highlight w:val="none"/>
        </w:rPr>
      </w:pPr>
      <w:r>
        <w:rPr>
          <w:rFonts w:hint="eastAsia" w:ascii="宋体" w:hAnsi="宋体" w:eastAsia="宋体"/>
          <w:b/>
          <w:bCs/>
          <w:szCs w:val="21"/>
          <w:highlight w:val="none"/>
        </w:rPr>
        <w:t>2.智能代煎质控监管平台</w:t>
      </w:r>
    </w:p>
    <w:tbl>
      <w:tblPr>
        <w:tblStyle w:val="61"/>
        <w:tblW w:w="8318"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22"/>
        <w:gridCol w:w="6996"/>
      </w:tblGrid>
      <w:tr w14:paraId="4210AE1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22" w:type="dxa"/>
          </w:tcPr>
          <w:p w14:paraId="485BE7AA">
            <w:pPr>
              <w:shd w:val="clear"/>
              <w:autoSpaceDE w:val="0"/>
              <w:autoSpaceDN w:val="0"/>
              <w:ind w:left="60"/>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kern w:val="0"/>
                <w:szCs w:val="21"/>
                <w:highlight w:val="none"/>
                <w:lang w:val="zh-CN" w:eastAsia="en-US" w:bidi="zh-CN"/>
              </w:rPr>
              <w:t>功能模块</w:t>
            </w:r>
          </w:p>
        </w:tc>
        <w:tc>
          <w:tcPr>
            <w:tcW w:w="6996" w:type="dxa"/>
          </w:tcPr>
          <w:p w14:paraId="39495D1A">
            <w:pPr>
              <w:shd w:val="clear"/>
              <w:autoSpaceDE w:val="0"/>
              <w:autoSpaceDN w:val="0"/>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kern w:val="0"/>
                <w:szCs w:val="21"/>
                <w:highlight w:val="none"/>
                <w:lang w:eastAsia="en-US" w:bidi="zh-CN"/>
              </w:rPr>
              <w:t>参数</w:t>
            </w:r>
            <w:r>
              <w:rPr>
                <w:rFonts w:hint="eastAsia" w:ascii="Times New Roman" w:hAnsi="Times New Roman" w:eastAsia="宋体" w:cs="宋体"/>
                <w:kern w:val="0"/>
                <w:szCs w:val="21"/>
                <w:highlight w:val="none"/>
                <w:lang w:val="zh-CN" w:eastAsia="en-US" w:bidi="zh-CN"/>
              </w:rPr>
              <w:t>描述</w:t>
            </w:r>
          </w:p>
        </w:tc>
      </w:tr>
      <w:tr w14:paraId="1631F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22" w:type="dxa"/>
            <w:vAlign w:val="center"/>
          </w:tcPr>
          <w:p w14:paraId="3E17301C">
            <w:pPr>
              <w:shd w:val="clear"/>
              <w:autoSpaceDE w:val="0"/>
              <w:autoSpaceDN w:val="0"/>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kern w:val="0"/>
                <w:szCs w:val="21"/>
                <w:highlight w:val="none"/>
                <w:lang w:val="zh-CN" w:eastAsia="en-US" w:bidi="zh-CN"/>
              </w:rPr>
              <w:t>患者服务端应用</w:t>
            </w:r>
          </w:p>
        </w:tc>
        <w:tc>
          <w:tcPr>
            <w:tcW w:w="6996" w:type="dxa"/>
            <w:vAlign w:val="center"/>
          </w:tcPr>
          <w:p w14:paraId="0992A6BD">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根据手机号、医院处方号查询</w:t>
            </w:r>
            <w:r>
              <w:rPr>
                <w:rFonts w:hint="eastAsia" w:ascii="Times New Roman" w:hAnsi="Times New Roman" w:eastAsia="宋体" w:cs="宋体"/>
                <w:color w:val="000000"/>
                <w:kern w:val="0"/>
                <w:szCs w:val="21"/>
                <w:highlight w:val="none"/>
                <w:lang w:bidi="ar"/>
              </w:rPr>
              <w:t>；</w:t>
            </w:r>
          </w:p>
          <w:p w14:paraId="74E9F75B">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支持展示患者在医院所开代煎代配的处方；</w:t>
            </w:r>
          </w:p>
          <w:p w14:paraId="13EB2F24">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查询代煎流程追溯信息</w:t>
            </w:r>
            <w:r>
              <w:rPr>
                <w:rFonts w:hint="eastAsia" w:ascii="Times New Roman" w:hAnsi="Times New Roman" w:eastAsia="宋体" w:cs="宋体"/>
                <w:color w:val="000000"/>
                <w:kern w:val="0"/>
                <w:szCs w:val="21"/>
                <w:highlight w:val="none"/>
                <w:lang w:bidi="ar"/>
              </w:rPr>
              <w:t>；</w:t>
            </w:r>
          </w:p>
          <w:p w14:paraId="70E94CF3">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查询实时物流节点信息</w:t>
            </w:r>
            <w:r>
              <w:rPr>
                <w:rFonts w:hint="eastAsia" w:ascii="Times New Roman" w:hAnsi="Times New Roman" w:eastAsia="宋体" w:cs="宋体"/>
                <w:color w:val="000000"/>
                <w:kern w:val="0"/>
                <w:szCs w:val="21"/>
                <w:highlight w:val="none"/>
                <w:lang w:bidi="ar"/>
              </w:rPr>
              <w:t>；</w:t>
            </w:r>
          </w:p>
          <w:p w14:paraId="3B01D176">
            <w:pPr>
              <w:widowControl/>
              <w:numPr>
                <w:ilvl w:val="0"/>
                <w:numId w:val="2"/>
              </w:numPr>
              <w:shd w:val="clear"/>
              <w:autoSpaceDE w:val="0"/>
              <w:autoSpaceDN w:val="0"/>
              <w:ind w:left="210" w:leftChars="100"/>
              <w:jc w:val="left"/>
              <w:textAlignment w:val="center"/>
              <w:rPr>
                <w:rFonts w:ascii="Times New Roman" w:hAnsi="Times New Roman" w:eastAsia="宋体" w:cs="宋体"/>
                <w:kern w:val="0"/>
                <w:szCs w:val="21"/>
                <w:highlight w:val="none"/>
                <w:lang w:val="zh-CN" w:bidi="zh-CN"/>
              </w:rPr>
            </w:pPr>
            <w:r>
              <w:rPr>
                <w:rFonts w:hint="eastAsia" w:ascii="Times New Roman" w:hAnsi="Times New Roman" w:eastAsia="宋体" w:cs="宋体"/>
                <w:color w:val="000000"/>
                <w:kern w:val="0"/>
                <w:szCs w:val="21"/>
                <w:highlight w:val="none"/>
                <w:lang w:bidi="ar"/>
              </w:rPr>
              <w:t>支持患者对用药进行评价，评分、留言、上传图片。</w:t>
            </w:r>
          </w:p>
        </w:tc>
      </w:tr>
      <w:tr w14:paraId="57F898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22" w:type="dxa"/>
            <w:vAlign w:val="center"/>
          </w:tcPr>
          <w:p w14:paraId="1383FE18">
            <w:pPr>
              <w:shd w:val="clear"/>
              <w:autoSpaceDE w:val="0"/>
              <w:autoSpaceDN w:val="0"/>
              <w:jc w:val="center"/>
              <w:rPr>
                <w:rFonts w:ascii="Times New Roman" w:hAnsi="Times New Roman" w:eastAsia="宋体" w:cs="宋体"/>
                <w:kern w:val="0"/>
                <w:szCs w:val="21"/>
                <w:highlight w:val="none"/>
                <w:lang w:val="zh-CN" w:bidi="zh-CN"/>
              </w:rPr>
            </w:pPr>
            <w:r>
              <w:rPr>
                <w:rFonts w:hint="eastAsia" w:ascii="Times New Roman" w:hAnsi="Times New Roman" w:eastAsia="宋体" w:cs="宋体"/>
                <w:kern w:val="0"/>
                <w:szCs w:val="21"/>
                <w:highlight w:val="none"/>
                <w:lang w:val="zh-CN" w:bidi="zh-CN"/>
              </w:rPr>
              <w:t>医疗机构监管应用模块</w:t>
            </w:r>
          </w:p>
        </w:tc>
        <w:tc>
          <w:tcPr>
            <w:tcW w:w="6996" w:type="dxa"/>
            <w:vAlign w:val="center"/>
          </w:tcPr>
          <w:p w14:paraId="2BE0BE45">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筛选查询代煎代配的处方</w:t>
            </w:r>
            <w:r>
              <w:rPr>
                <w:rFonts w:hint="eastAsia" w:ascii="Times New Roman" w:hAnsi="Times New Roman" w:eastAsia="宋体" w:cs="宋体"/>
                <w:color w:val="000000"/>
                <w:kern w:val="0"/>
                <w:szCs w:val="21"/>
                <w:highlight w:val="none"/>
                <w:lang w:bidi="ar"/>
              </w:rPr>
              <w:t>；</w:t>
            </w:r>
          </w:p>
          <w:p w14:paraId="5C5A03D8">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处方基本信息、药品明细查看</w:t>
            </w:r>
            <w:r>
              <w:rPr>
                <w:rFonts w:hint="eastAsia" w:ascii="Times New Roman" w:hAnsi="Times New Roman" w:eastAsia="宋体" w:cs="宋体"/>
                <w:color w:val="000000"/>
                <w:kern w:val="0"/>
                <w:szCs w:val="21"/>
                <w:highlight w:val="none"/>
                <w:lang w:bidi="ar"/>
              </w:rPr>
              <w:t>；</w:t>
            </w:r>
          </w:p>
          <w:p w14:paraId="6B17E591">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配药、煎煮全流程追溯信息查看</w:t>
            </w:r>
            <w:r>
              <w:rPr>
                <w:rFonts w:hint="eastAsia" w:ascii="Times New Roman" w:hAnsi="Times New Roman" w:eastAsia="宋体" w:cs="宋体"/>
                <w:color w:val="000000"/>
                <w:kern w:val="0"/>
                <w:szCs w:val="21"/>
                <w:highlight w:val="none"/>
                <w:lang w:bidi="ar"/>
              </w:rPr>
              <w:t>；</w:t>
            </w:r>
          </w:p>
          <w:p w14:paraId="44DA22AC">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查询实时物流节点信息</w:t>
            </w:r>
            <w:r>
              <w:rPr>
                <w:rFonts w:hint="eastAsia" w:ascii="Times New Roman" w:hAnsi="Times New Roman" w:eastAsia="宋体" w:cs="宋体"/>
                <w:color w:val="000000"/>
                <w:kern w:val="0"/>
                <w:szCs w:val="21"/>
                <w:highlight w:val="none"/>
                <w:lang w:bidi="ar"/>
              </w:rPr>
              <w:t>；</w:t>
            </w:r>
          </w:p>
          <w:p w14:paraId="1EDCB476">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支持医院查询员工资质证书；</w:t>
            </w:r>
          </w:p>
          <w:p w14:paraId="6922CA9B">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管理平台操作账户（增、删、改、查）</w:t>
            </w:r>
            <w:r>
              <w:rPr>
                <w:rFonts w:hint="eastAsia" w:ascii="Times New Roman" w:hAnsi="Times New Roman" w:eastAsia="宋体" w:cs="宋体"/>
                <w:color w:val="000000"/>
                <w:kern w:val="0"/>
                <w:szCs w:val="21"/>
                <w:highlight w:val="none"/>
                <w:lang w:bidi="ar"/>
              </w:rPr>
              <w:t>；</w:t>
            </w:r>
          </w:p>
          <w:p w14:paraId="577F037F">
            <w:pPr>
              <w:widowControl/>
              <w:numPr>
                <w:ilvl w:val="0"/>
                <w:numId w:val="2"/>
              </w:numPr>
              <w:shd w:val="clear"/>
              <w:autoSpaceDE w:val="0"/>
              <w:autoSpaceDN w:val="0"/>
              <w:ind w:left="210" w:leftChars="100"/>
              <w:jc w:val="left"/>
              <w:textAlignment w:val="center"/>
              <w:rPr>
                <w:rFonts w:ascii="Times New Roman" w:hAnsi="Times New Roman" w:eastAsia="宋体" w:cs="宋体"/>
                <w:kern w:val="0"/>
                <w:szCs w:val="21"/>
                <w:highlight w:val="none"/>
                <w:lang w:val="zh-CN" w:bidi="zh-CN"/>
              </w:rPr>
            </w:pPr>
            <w:r>
              <w:rPr>
                <w:rFonts w:hint="eastAsia" w:ascii="Times New Roman" w:hAnsi="Times New Roman" w:eastAsia="宋体" w:cs="宋体"/>
                <w:color w:val="000000"/>
                <w:kern w:val="0"/>
                <w:szCs w:val="21"/>
                <w:highlight w:val="none"/>
                <w:lang w:bidi="ar"/>
              </w:rPr>
              <w:t>支持汇总查询患者评价，优化患者服务。</w:t>
            </w:r>
          </w:p>
        </w:tc>
      </w:tr>
      <w:tr w14:paraId="7C57EC2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22" w:type="dxa"/>
            <w:vAlign w:val="center"/>
          </w:tcPr>
          <w:p w14:paraId="5AE110FF">
            <w:pPr>
              <w:shd w:val="clear"/>
              <w:autoSpaceDE w:val="0"/>
              <w:autoSpaceDN w:val="0"/>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color w:val="000000"/>
                <w:kern w:val="0"/>
                <w:szCs w:val="21"/>
                <w:highlight w:val="none"/>
                <w:lang w:bidi="ar"/>
              </w:rPr>
              <w:t>代煎视频实时监控中心</w:t>
            </w:r>
          </w:p>
        </w:tc>
        <w:tc>
          <w:tcPr>
            <w:tcW w:w="6996" w:type="dxa"/>
            <w:vAlign w:val="center"/>
          </w:tcPr>
          <w:p w14:paraId="285B9A46">
            <w:pPr>
              <w:widowControl/>
              <w:numPr>
                <w:ilvl w:val="0"/>
                <w:numId w:val="2"/>
              </w:numPr>
              <w:shd w:val="clear"/>
              <w:autoSpaceDE w:val="0"/>
              <w:autoSpaceDN w:val="0"/>
              <w:ind w:left="210" w:leftChars="100"/>
              <w:jc w:val="left"/>
              <w:textAlignment w:val="center"/>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支持提供接入接口，供代煎企业进行现场多路视频接入；</w:t>
            </w:r>
          </w:p>
          <w:p w14:paraId="02927B1D">
            <w:pPr>
              <w:widowControl/>
              <w:numPr>
                <w:ilvl w:val="0"/>
                <w:numId w:val="2"/>
              </w:numPr>
              <w:shd w:val="clear"/>
              <w:autoSpaceDE w:val="0"/>
              <w:autoSpaceDN w:val="0"/>
              <w:ind w:left="210" w:leftChars="100"/>
              <w:jc w:val="left"/>
              <w:textAlignment w:val="center"/>
              <w:rPr>
                <w:rFonts w:ascii="Times New Roman" w:hAnsi="Times New Roman" w:eastAsia="宋体" w:cs="宋体"/>
                <w:kern w:val="0"/>
                <w:szCs w:val="21"/>
                <w:highlight w:val="none"/>
                <w:lang w:val="zh-CN" w:bidi="zh-CN"/>
              </w:rPr>
            </w:pPr>
            <w:r>
              <w:rPr>
                <w:rFonts w:hint="eastAsia" w:ascii="Times New Roman" w:hAnsi="Times New Roman" w:eastAsia="宋体" w:cs="宋体"/>
                <w:color w:val="000000"/>
                <w:kern w:val="0"/>
                <w:szCs w:val="21"/>
                <w:highlight w:val="none"/>
                <w:lang w:bidi="ar"/>
              </w:rPr>
              <w:t>支持展示质控相关节点实地场景画面，满足多煎药中心画面切换展示。</w:t>
            </w:r>
          </w:p>
        </w:tc>
      </w:tr>
      <w:tr w14:paraId="23FE443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22" w:type="dxa"/>
            <w:vAlign w:val="center"/>
          </w:tcPr>
          <w:p w14:paraId="3EA7F725">
            <w:pPr>
              <w:widowControl/>
              <w:shd w:val="clear"/>
              <w:autoSpaceDE w:val="0"/>
              <w:autoSpaceDN w:val="0"/>
              <w:jc w:val="center"/>
              <w:textAlignment w:val="center"/>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eastAsia="zh-Hans" w:bidi="ar"/>
              </w:rPr>
              <w:t>中药代煎</w:t>
            </w:r>
            <w:r>
              <w:rPr>
                <w:rFonts w:hint="eastAsia" w:ascii="Times New Roman" w:hAnsi="Times New Roman" w:eastAsia="宋体" w:cs="宋体"/>
                <w:color w:val="000000"/>
                <w:kern w:val="0"/>
                <w:szCs w:val="21"/>
                <w:highlight w:val="none"/>
                <w:lang w:bidi="ar"/>
              </w:rPr>
              <w:t>质控</w:t>
            </w:r>
          </w:p>
          <w:p w14:paraId="785B046B">
            <w:pPr>
              <w:widowControl/>
              <w:shd w:val="clear"/>
              <w:autoSpaceDE w:val="0"/>
              <w:autoSpaceDN w:val="0"/>
              <w:jc w:val="center"/>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color w:val="000000"/>
                <w:kern w:val="0"/>
                <w:szCs w:val="21"/>
                <w:highlight w:val="none"/>
                <w:lang w:bidi="ar"/>
              </w:rPr>
              <w:t>驾驶舱</w:t>
            </w:r>
          </w:p>
        </w:tc>
        <w:tc>
          <w:tcPr>
            <w:tcW w:w="6996" w:type="dxa"/>
            <w:vAlign w:val="center"/>
          </w:tcPr>
          <w:p w14:paraId="6989D8AD">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医院处方量统计</w:t>
            </w:r>
            <w:r>
              <w:rPr>
                <w:rFonts w:hint="eastAsia" w:ascii="Times New Roman" w:hAnsi="Times New Roman" w:eastAsia="宋体" w:cs="宋体"/>
                <w:color w:val="000000"/>
                <w:kern w:val="0"/>
                <w:szCs w:val="21"/>
                <w:highlight w:val="none"/>
                <w:lang w:bidi="ar"/>
              </w:rPr>
              <w:t>；</w:t>
            </w:r>
          </w:p>
          <w:p w14:paraId="4173E052">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视频对接</w:t>
            </w:r>
            <w:r>
              <w:rPr>
                <w:rFonts w:hint="eastAsia" w:ascii="Times New Roman" w:hAnsi="Times New Roman" w:eastAsia="宋体" w:cs="宋体"/>
                <w:color w:val="000000"/>
                <w:kern w:val="0"/>
                <w:szCs w:val="21"/>
                <w:highlight w:val="none"/>
                <w:lang w:bidi="ar"/>
              </w:rPr>
              <w:t>；</w:t>
            </w:r>
          </w:p>
          <w:p w14:paraId="48545B3A">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实时操作动态</w:t>
            </w:r>
            <w:r>
              <w:rPr>
                <w:rFonts w:hint="eastAsia" w:ascii="Times New Roman" w:hAnsi="Times New Roman" w:eastAsia="宋体" w:cs="宋体"/>
                <w:color w:val="000000"/>
                <w:kern w:val="0"/>
                <w:szCs w:val="21"/>
                <w:highlight w:val="none"/>
                <w:lang w:bidi="ar"/>
              </w:rPr>
              <w:t>；</w:t>
            </w:r>
          </w:p>
          <w:p w14:paraId="4E471E04">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实时操作记录</w:t>
            </w:r>
            <w:r>
              <w:rPr>
                <w:rFonts w:hint="eastAsia" w:ascii="Times New Roman" w:hAnsi="Times New Roman" w:eastAsia="宋体" w:cs="宋体"/>
                <w:color w:val="000000"/>
                <w:kern w:val="0"/>
                <w:szCs w:val="21"/>
                <w:highlight w:val="none"/>
                <w:lang w:bidi="ar"/>
              </w:rPr>
              <w:t>；</w:t>
            </w:r>
          </w:p>
          <w:p w14:paraId="6B51B34E">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复核照片展示</w:t>
            </w:r>
            <w:r>
              <w:rPr>
                <w:rFonts w:hint="eastAsia" w:ascii="Times New Roman" w:hAnsi="Times New Roman" w:eastAsia="宋体" w:cs="宋体"/>
                <w:color w:val="000000"/>
                <w:kern w:val="0"/>
                <w:szCs w:val="21"/>
                <w:highlight w:val="none"/>
                <w:lang w:bidi="ar"/>
              </w:rPr>
              <w:t>；</w:t>
            </w:r>
          </w:p>
          <w:p w14:paraId="4E3A50FB">
            <w:pPr>
              <w:numPr>
                <w:ilvl w:val="0"/>
                <w:numId w:val="2"/>
              </w:numPr>
              <w:shd w:val="clear"/>
              <w:tabs>
                <w:tab w:val="left" w:pos="3278"/>
              </w:tabs>
              <w:autoSpaceDE w:val="0"/>
              <w:autoSpaceDN w:val="0"/>
              <w:ind w:left="210" w:leftChars="100"/>
              <w:jc w:val="left"/>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w:t>
            </w:r>
            <w:r>
              <w:rPr>
                <w:rFonts w:hint="eastAsia" w:ascii="Times New Roman" w:hAnsi="Times New Roman" w:eastAsia="宋体" w:cs="宋体"/>
                <w:color w:val="000000"/>
                <w:kern w:val="0"/>
                <w:szCs w:val="21"/>
                <w:highlight w:val="none"/>
                <w:lang w:eastAsia="zh-Hans" w:bidi="ar"/>
              </w:rPr>
              <w:t>追溯码</w:t>
            </w:r>
            <w:r>
              <w:rPr>
                <w:rFonts w:hint="eastAsia" w:ascii="Times New Roman" w:hAnsi="Times New Roman" w:eastAsia="宋体" w:cs="宋体"/>
                <w:color w:val="000000"/>
                <w:kern w:val="0"/>
                <w:szCs w:val="21"/>
                <w:highlight w:val="none"/>
                <w:lang w:bidi="ar"/>
              </w:rPr>
              <w:t>；</w:t>
            </w:r>
          </w:p>
          <w:p w14:paraId="55E93416">
            <w:pPr>
              <w:numPr>
                <w:ilvl w:val="0"/>
                <w:numId w:val="2"/>
              </w:numPr>
              <w:shd w:val="clear"/>
              <w:tabs>
                <w:tab w:val="left" w:pos="3278"/>
              </w:tabs>
              <w:autoSpaceDE w:val="0"/>
              <w:autoSpaceDN w:val="0"/>
              <w:ind w:left="210" w:leftChars="100"/>
              <w:jc w:val="left"/>
              <w:rPr>
                <w:rFonts w:ascii="Times New Roman" w:hAnsi="Times New Roman" w:eastAsia="宋体" w:cs="宋体"/>
                <w:kern w:val="0"/>
                <w:szCs w:val="21"/>
                <w:highlight w:val="none"/>
                <w:lang w:val="zh-CN" w:bidi="zh-CN"/>
              </w:rPr>
            </w:pPr>
            <w:r>
              <w:rPr>
                <w:rFonts w:hint="eastAsia" w:ascii="Times New Roman" w:hAnsi="Times New Roman" w:eastAsia="宋体" w:cs="宋体"/>
                <w:color w:val="000000"/>
                <w:kern w:val="0"/>
                <w:szCs w:val="21"/>
                <w:highlight w:val="none"/>
                <w:lang w:bidi="ar"/>
              </w:rPr>
              <w:t>支持人员资质证书展示。</w:t>
            </w:r>
          </w:p>
        </w:tc>
      </w:tr>
    </w:tbl>
    <w:p w14:paraId="0DCB6EE1">
      <w:pPr>
        <w:shd w:val="clear"/>
        <w:spacing w:line="360" w:lineRule="auto"/>
        <w:rPr>
          <w:rFonts w:ascii="宋体" w:hAnsi="宋体" w:eastAsia="宋体"/>
          <w:b/>
          <w:bCs/>
          <w:szCs w:val="21"/>
          <w:highlight w:val="none"/>
        </w:rPr>
      </w:pPr>
      <w:r>
        <w:rPr>
          <w:rFonts w:hint="eastAsia" w:ascii="宋体" w:hAnsi="宋体" w:eastAsia="宋体"/>
          <w:b/>
          <w:bCs/>
          <w:szCs w:val="21"/>
          <w:highlight w:val="none"/>
        </w:rPr>
        <w:t>3.药嘱服务管理</w:t>
      </w:r>
    </w:p>
    <w:tbl>
      <w:tblPr>
        <w:tblStyle w:val="61"/>
        <w:tblW w:w="8318" w:type="dxa"/>
        <w:tblInd w:w="-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36"/>
        <w:gridCol w:w="6982"/>
      </w:tblGrid>
      <w:tr w14:paraId="56F4A7D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tcPr>
          <w:p w14:paraId="3CEC0D10">
            <w:pPr>
              <w:shd w:val="clear"/>
              <w:autoSpaceDE w:val="0"/>
              <w:autoSpaceDN w:val="0"/>
              <w:spacing w:before="134"/>
              <w:ind w:left="60"/>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kern w:val="0"/>
                <w:szCs w:val="21"/>
                <w:highlight w:val="none"/>
                <w:lang w:val="zh-CN" w:eastAsia="en-US" w:bidi="zh-CN"/>
              </w:rPr>
              <w:t>功能模块</w:t>
            </w:r>
          </w:p>
        </w:tc>
        <w:tc>
          <w:tcPr>
            <w:tcW w:w="6982" w:type="dxa"/>
          </w:tcPr>
          <w:p w14:paraId="48BD08C7">
            <w:pPr>
              <w:shd w:val="clear"/>
              <w:autoSpaceDE w:val="0"/>
              <w:autoSpaceDN w:val="0"/>
              <w:spacing w:before="134"/>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kern w:val="0"/>
                <w:szCs w:val="21"/>
                <w:highlight w:val="none"/>
                <w:lang w:eastAsia="en-US" w:bidi="zh-CN"/>
              </w:rPr>
              <w:t>参数</w:t>
            </w:r>
            <w:r>
              <w:rPr>
                <w:rFonts w:hint="eastAsia" w:ascii="Times New Roman" w:hAnsi="Times New Roman" w:eastAsia="宋体" w:cs="宋体"/>
                <w:kern w:val="0"/>
                <w:szCs w:val="21"/>
                <w:highlight w:val="none"/>
                <w:lang w:val="zh-CN" w:eastAsia="en-US" w:bidi="zh-CN"/>
              </w:rPr>
              <w:t>描述</w:t>
            </w:r>
          </w:p>
        </w:tc>
      </w:tr>
      <w:tr w14:paraId="012469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62B978D3">
            <w:pPr>
              <w:shd w:val="clear"/>
              <w:autoSpaceDE w:val="0"/>
              <w:autoSpaceDN w:val="0"/>
              <w:jc w:val="center"/>
              <w:rPr>
                <w:rFonts w:ascii="Times New Roman" w:hAnsi="Times New Roman" w:eastAsia="宋体" w:cs="宋体"/>
                <w:kern w:val="0"/>
                <w:szCs w:val="21"/>
                <w:highlight w:val="none"/>
                <w:lang w:eastAsia="en-US" w:bidi="zh-CN"/>
              </w:rPr>
            </w:pPr>
            <w:r>
              <w:rPr>
                <w:rFonts w:hint="eastAsia" w:ascii="Times New Roman" w:hAnsi="Times New Roman" w:eastAsia="宋体" w:cs="宋体"/>
                <w:color w:val="000000"/>
                <w:kern w:val="0"/>
                <w:szCs w:val="21"/>
                <w:highlight w:val="none"/>
                <w:lang w:bidi="ar"/>
              </w:rPr>
              <w:t>患者基本信息</w:t>
            </w:r>
          </w:p>
        </w:tc>
        <w:tc>
          <w:tcPr>
            <w:tcW w:w="6982" w:type="dxa"/>
            <w:vAlign w:val="center"/>
          </w:tcPr>
          <w:p w14:paraId="5DB9598E">
            <w:pPr>
              <w:widowControl/>
              <w:numPr>
                <w:ilvl w:val="0"/>
                <w:numId w:val="3"/>
              </w:numPr>
              <w:shd w:val="clear"/>
              <w:autoSpaceDE w:val="0"/>
              <w:autoSpaceDN w:val="0"/>
              <w:ind w:left="210" w:leftChars="100"/>
              <w:jc w:val="left"/>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color w:val="000000"/>
                <w:kern w:val="0"/>
                <w:szCs w:val="21"/>
                <w:highlight w:val="none"/>
                <w:lang w:bidi="ar"/>
              </w:rPr>
              <w:t>姓名、性别、年龄、诊断内容。</w:t>
            </w:r>
          </w:p>
        </w:tc>
      </w:tr>
      <w:tr w14:paraId="66CE4CB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0125DD67">
            <w:pPr>
              <w:shd w:val="clear"/>
              <w:autoSpaceDE w:val="0"/>
              <w:autoSpaceDN w:val="0"/>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color w:val="000000"/>
                <w:kern w:val="0"/>
                <w:szCs w:val="21"/>
                <w:highlight w:val="none"/>
                <w:lang w:bidi="ar"/>
              </w:rPr>
              <w:t>患者用药信息</w:t>
            </w:r>
          </w:p>
        </w:tc>
        <w:tc>
          <w:tcPr>
            <w:tcW w:w="6982" w:type="dxa"/>
            <w:vAlign w:val="center"/>
          </w:tcPr>
          <w:p w14:paraId="35074836">
            <w:pPr>
              <w:widowControl/>
              <w:numPr>
                <w:ilvl w:val="0"/>
                <w:numId w:val="3"/>
              </w:numPr>
              <w:shd w:val="clear"/>
              <w:autoSpaceDE w:val="0"/>
              <w:autoSpaceDN w:val="0"/>
              <w:ind w:left="210" w:leftChars="100"/>
              <w:jc w:val="left"/>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color w:val="000000"/>
                <w:kern w:val="0"/>
                <w:szCs w:val="21"/>
                <w:highlight w:val="none"/>
                <w:lang w:bidi="ar"/>
              </w:rPr>
              <w:t>中药饮片处方信息、含饮片名称、单位、重量。</w:t>
            </w:r>
          </w:p>
        </w:tc>
      </w:tr>
      <w:tr w14:paraId="45AE83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4A7628AB">
            <w:pPr>
              <w:shd w:val="clear"/>
              <w:autoSpaceDE w:val="0"/>
              <w:autoSpaceDN w:val="0"/>
              <w:jc w:val="center"/>
              <w:rPr>
                <w:rFonts w:ascii="Times New Roman" w:hAnsi="Times New Roman" w:eastAsia="宋体" w:cs="宋体"/>
                <w:kern w:val="0"/>
                <w:szCs w:val="21"/>
                <w:highlight w:val="none"/>
                <w:lang w:val="zh-CN" w:eastAsia="en-US" w:bidi="zh-CN"/>
              </w:rPr>
            </w:pPr>
            <w:r>
              <w:rPr>
                <w:rFonts w:hint="eastAsia" w:ascii="Times New Roman" w:hAnsi="Times New Roman" w:eastAsia="宋体" w:cs="宋体"/>
                <w:kern w:val="0"/>
                <w:szCs w:val="21"/>
                <w:highlight w:val="none"/>
                <w:lang w:val="zh-CN" w:eastAsia="en-US" w:bidi="zh-CN"/>
              </w:rPr>
              <w:t>煎煮方案</w:t>
            </w:r>
          </w:p>
        </w:tc>
        <w:tc>
          <w:tcPr>
            <w:tcW w:w="6982" w:type="dxa"/>
            <w:vAlign w:val="center"/>
          </w:tcPr>
          <w:p w14:paraId="12BC1F4A">
            <w:pPr>
              <w:widowControl/>
              <w:numPr>
                <w:ilvl w:val="0"/>
                <w:numId w:val="3"/>
              </w:numPr>
              <w:shd w:val="clear"/>
              <w:autoSpaceDE w:val="0"/>
              <w:autoSpaceDN w:val="0"/>
              <w:ind w:left="210" w:leftChars="100"/>
              <w:jc w:val="left"/>
              <w:textAlignment w:val="center"/>
              <w:rPr>
                <w:rFonts w:ascii="Times New Roman" w:hAnsi="Times New Roman" w:eastAsia="宋体" w:cs="宋体"/>
                <w:color w:val="000000"/>
                <w:kern w:val="0"/>
                <w:szCs w:val="21"/>
                <w:highlight w:val="none"/>
                <w:lang w:val="zh-CN" w:bidi="ar"/>
              </w:rPr>
            </w:pPr>
            <w:r>
              <w:rPr>
                <w:rFonts w:hint="eastAsia" w:ascii="Times New Roman" w:hAnsi="Times New Roman" w:eastAsia="宋体" w:cs="宋体"/>
                <w:color w:val="000000"/>
                <w:kern w:val="0"/>
                <w:szCs w:val="21"/>
                <w:highlight w:val="none"/>
                <w:lang w:val="zh-CN" w:bidi="ar"/>
              </w:rPr>
              <w:t>依据处方中饮片的特殊煎法、方剂类型等因素设计煎煮方案（一煎、二煎、轻煎、浓煎、</w:t>
            </w:r>
            <w:r>
              <w:rPr>
                <w:rFonts w:hint="eastAsia" w:ascii="Times New Roman" w:hAnsi="Times New Roman" w:eastAsia="宋体" w:cs="宋体"/>
                <w:color w:val="000000"/>
                <w:kern w:val="0"/>
                <w:szCs w:val="21"/>
                <w:highlight w:val="none"/>
                <w:lang w:bidi="ar"/>
              </w:rPr>
              <w:t>煎煮时间</w:t>
            </w:r>
            <w:r>
              <w:rPr>
                <w:rFonts w:hint="eastAsia" w:ascii="Times New Roman" w:hAnsi="Times New Roman" w:eastAsia="宋体" w:cs="宋体"/>
                <w:color w:val="000000"/>
                <w:kern w:val="0"/>
                <w:szCs w:val="21"/>
                <w:highlight w:val="none"/>
                <w:lang w:val="zh-CN" w:bidi="ar"/>
              </w:rPr>
              <w:t>等）。</w:t>
            </w:r>
          </w:p>
        </w:tc>
      </w:tr>
      <w:tr w14:paraId="5F8FD4C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55257721">
            <w:pPr>
              <w:widowControl/>
              <w:shd w:val="clear"/>
              <w:autoSpaceDE w:val="0"/>
              <w:autoSpaceDN w:val="0"/>
              <w:jc w:val="center"/>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kern w:val="0"/>
                <w:szCs w:val="21"/>
                <w:highlight w:val="none"/>
                <w:lang w:val="zh-CN" w:bidi="zh-CN"/>
              </w:rPr>
              <w:t>服用方法</w:t>
            </w:r>
          </w:p>
        </w:tc>
        <w:tc>
          <w:tcPr>
            <w:tcW w:w="6982" w:type="dxa"/>
            <w:vAlign w:val="center"/>
          </w:tcPr>
          <w:p w14:paraId="1A30F541">
            <w:pPr>
              <w:widowControl/>
              <w:numPr>
                <w:ilvl w:val="0"/>
                <w:numId w:val="3"/>
              </w:numPr>
              <w:shd w:val="clear"/>
              <w:autoSpaceDE w:val="0"/>
              <w:autoSpaceDN w:val="0"/>
              <w:ind w:left="210" w:leftChars="100"/>
              <w:jc w:val="left"/>
              <w:textAlignment w:val="center"/>
              <w:rPr>
                <w:rFonts w:ascii="Times New Roman" w:hAnsi="Times New Roman" w:eastAsia="宋体" w:cs="宋体"/>
                <w:color w:val="000000"/>
                <w:kern w:val="0"/>
                <w:szCs w:val="21"/>
                <w:highlight w:val="none"/>
                <w:lang w:val="zh-CN" w:bidi="ar"/>
              </w:rPr>
            </w:pPr>
            <w:r>
              <w:rPr>
                <w:rFonts w:hint="eastAsia" w:ascii="Times New Roman" w:hAnsi="Times New Roman" w:eastAsia="宋体" w:cs="宋体"/>
                <w:color w:val="000000"/>
                <w:kern w:val="0"/>
                <w:szCs w:val="21"/>
                <w:highlight w:val="none"/>
                <w:lang w:val="zh-CN" w:bidi="ar"/>
              </w:rPr>
              <w:t>服药时间、服药次数、服药剂量</w:t>
            </w:r>
            <w:r>
              <w:rPr>
                <w:rFonts w:hint="eastAsia" w:ascii="Times New Roman" w:hAnsi="Times New Roman" w:eastAsia="宋体" w:cs="宋体"/>
                <w:color w:val="000000"/>
                <w:kern w:val="0"/>
                <w:szCs w:val="21"/>
                <w:highlight w:val="none"/>
                <w:lang w:bidi="ar"/>
              </w:rPr>
              <w:t>等。</w:t>
            </w:r>
          </w:p>
        </w:tc>
      </w:tr>
      <w:tr w14:paraId="156927C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6697473D">
            <w:pPr>
              <w:widowControl/>
              <w:shd w:val="clear"/>
              <w:autoSpaceDE w:val="0"/>
              <w:autoSpaceDN w:val="0"/>
              <w:jc w:val="center"/>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kern w:val="0"/>
                <w:szCs w:val="21"/>
                <w:highlight w:val="none"/>
                <w:lang w:val="zh-CN" w:bidi="zh-CN"/>
              </w:rPr>
              <w:t>贮存</w:t>
            </w:r>
            <w:r>
              <w:rPr>
                <w:rFonts w:hint="eastAsia" w:ascii="Times New Roman" w:hAnsi="Times New Roman" w:eastAsia="宋体" w:cs="宋体"/>
                <w:kern w:val="0"/>
                <w:szCs w:val="21"/>
                <w:highlight w:val="none"/>
                <w:lang w:bidi="zh-CN"/>
              </w:rPr>
              <w:t>方法</w:t>
            </w:r>
          </w:p>
        </w:tc>
        <w:tc>
          <w:tcPr>
            <w:tcW w:w="6982" w:type="dxa"/>
            <w:vAlign w:val="center"/>
          </w:tcPr>
          <w:p w14:paraId="7FAEC12D">
            <w:pPr>
              <w:widowControl/>
              <w:numPr>
                <w:ilvl w:val="0"/>
                <w:numId w:val="3"/>
              </w:numPr>
              <w:shd w:val="clear"/>
              <w:autoSpaceDE w:val="0"/>
              <w:autoSpaceDN w:val="0"/>
              <w:ind w:left="210" w:leftChars="100"/>
              <w:jc w:val="left"/>
              <w:textAlignment w:val="center"/>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根据饮片、药液、膏方、丸剂等不同剂型确定贮存条件。</w:t>
            </w:r>
          </w:p>
        </w:tc>
      </w:tr>
      <w:tr w14:paraId="78755DA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3FC7E59B">
            <w:pPr>
              <w:widowControl/>
              <w:shd w:val="clear"/>
              <w:autoSpaceDE w:val="0"/>
              <w:autoSpaceDN w:val="0"/>
              <w:jc w:val="center"/>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kern w:val="0"/>
                <w:szCs w:val="21"/>
                <w:highlight w:val="none"/>
                <w:lang w:bidi="zh-CN"/>
              </w:rPr>
              <w:t>患者评价</w:t>
            </w:r>
          </w:p>
        </w:tc>
        <w:tc>
          <w:tcPr>
            <w:tcW w:w="6982" w:type="dxa"/>
            <w:vAlign w:val="center"/>
          </w:tcPr>
          <w:p w14:paraId="2434EEA7">
            <w:pPr>
              <w:widowControl/>
              <w:numPr>
                <w:ilvl w:val="0"/>
                <w:numId w:val="3"/>
              </w:numPr>
              <w:shd w:val="clear"/>
              <w:autoSpaceDE w:val="0"/>
              <w:autoSpaceDN w:val="0"/>
              <w:ind w:left="210" w:leftChars="100"/>
              <w:jc w:val="left"/>
              <w:textAlignment w:val="center"/>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患者微信端对本次用药进行评价，打分、留言、上传图片。</w:t>
            </w:r>
          </w:p>
        </w:tc>
      </w:tr>
      <w:tr w14:paraId="593CC44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6CBDBCFA">
            <w:pPr>
              <w:widowControl/>
              <w:shd w:val="clear"/>
              <w:autoSpaceDE w:val="0"/>
              <w:autoSpaceDN w:val="0"/>
              <w:jc w:val="center"/>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kern w:val="0"/>
                <w:szCs w:val="21"/>
                <w:highlight w:val="none"/>
                <w:lang w:bidi="zh-CN"/>
              </w:rPr>
              <w:t>个性化用药指导</w:t>
            </w:r>
          </w:p>
        </w:tc>
        <w:tc>
          <w:tcPr>
            <w:tcW w:w="6982" w:type="dxa"/>
            <w:vAlign w:val="center"/>
          </w:tcPr>
          <w:p w14:paraId="4D05B04D">
            <w:pPr>
              <w:widowControl/>
              <w:numPr>
                <w:ilvl w:val="0"/>
                <w:numId w:val="3"/>
              </w:numPr>
              <w:shd w:val="clear"/>
              <w:autoSpaceDE w:val="0"/>
              <w:autoSpaceDN w:val="0"/>
              <w:ind w:left="210" w:leftChars="100"/>
              <w:jc w:val="left"/>
              <w:textAlignment w:val="center"/>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支持药师对用药指导提出意见建议，生成个性化用药指导并推送至患者端。</w:t>
            </w:r>
          </w:p>
        </w:tc>
      </w:tr>
      <w:tr w14:paraId="4895D5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45E8BD31">
            <w:pPr>
              <w:widowControl/>
              <w:shd w:val="clear"/>
              <w:autoSpaceDE w:val="0"/>
              <w:autoSpaceDN w:val="0"/>
              <w:jc w:val="center"/>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color w:val="000000"/>
                <w:kern w:val="0"/>
                <w:szCs w:val="21"/>
                <w:highlight w:val="none"/>
                <w:lang w:bidi="ar"/>
              </w:rPr>
              <w:t>统计报表</w:t>
            </w:r>
          </w:p>
        </w:tc>
        <w:tc>
          <w:tcPr>
            <w:tcW w:w="6982" w:type="dxa"/>
            <w:vAlign w:val="center"/>
          </w:tcPr>
          <w:p w14:paraId="1FD71114">
            <w:pPr>
              <w:widowControl/>
              <w:numPr>
                <w:ilvl w:val="0"/>
                <w:numId w:val="3"/>
              </w:numPr>
              <w:shd w:val="clear"/>
              <w:autoSpaceDE w:val="0"/>
              <w:autoSpaceDN w:val="0"/>
              <w:ind w:left="210" w:leftChars="100"/>
              <w:jc w:val="left"/>
              <w:textAlignment w:val="center"/>
              <w:rPr>
                <w:rFonts w:ascii="Times New Roman" w:hAnsi="Times New Roman" w:eastAsia="宋体" w:cs="宋体"/>
                <w:color w:val="000000"/>
                <w:kern w:val="0"/>
                <w:szCs w:val="21"/>
                <w:highlight w:val="none"/>
                <w:lang w:bidi="ar"/>
              </w:rPr>
            </w:pPr>
            <w:r>
              <w:rPr>
                <w:rFonts w:hint="eastAsia" w:ascii="Times New Roman" w:hAnsi="Times New Roman" w:eastAsia="宋体" w:cs="宋体"/>
                <w:color w:val="000000"/>
                <w:kern w:val="0"/>
                <w:szCs w:val="21"/>
                <w:highlight w:val="none"/>
                <w:lang w:bidi="ar"/>
              </w:rPr>
              <w:t>支持统计药师人工进行用药指导频次、药物及患者个性化需求分析。支持对患者评价结果统计。</w:t>
            </w:r>
          </w:p>
        </w:tc>
      </w:tr>
      <w:tr w14:paraId="20D34BC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vAlign w:val="center"/>
          </w:tcPr>
          <w:p w14:paraId="1CA9B268">
            <w:pPr>
              <w:widowControl/>
              <w:shd w:val="clear"/>
              <w:autoSpaceDE w:val="0"/>
              <w:autoSpaceDN w:val="0"/>
              <w:jc w:val="center"/>
              <w:textAlignment w:val="center"/>
              <w:rPr>
                <w:rFonts w:ascii="Times New Roman" w:hAnsi="Times New Roman" w:eastAsia="宋体" w:cs="宋体"/>
                <w:kern w:val="0"/>
                <w:szCs w:val="21"/>
                <w:highlight w:val="none"/>
                <w:lang w:bidi="zh-CN"/>
              </w:rPr>
            </w:pPr>
            <w:r>
              <w:rPr>
                <w:rFonts w:hint="eastAsia" w:ascii="Times New Roman" w:hAnsi="Times New Roman" w:eastAsia="宋体" w:cs="宋体"/>
                <w:kern w:val="0"/>
                <w:szCs w:val="21"/>
                <w:highlight w:val="none"/>
                <w:lang w:bidi="zh-CN"/>
              </w:rPr>
              <w:t>数据维护</w:t>
            </w:r>
          </w:p>
        </w:tc>
        <w:tc>
          <w:tcPr>
            <w:tcW w:w="6982" w:type="dxa"/>
            <w:vAlign w:val="center"/>
          </w:tcPr>
          <w:p w14:paraId="5AFBAF0D">
            <w:pPr>
              <w:numPr>
                <w:ilvl w:val="0"/>
                <w:numId w:val="3"/>
              </w:numPr>
              <w:shd w:val="clear"/>
              <w:tabs>
                <w:tab w:val="left" w:pos="3278"/>
              </w:tabs>
              <w:autoSpaceDE w:val="0"/>
              <w:autoSpaceDN w:val="0"/>
              <w:ind w:left="210" w:leftChars="100"/>
              <w:jc w:val="left"/>
              <w:rPr>
                <w:rFonts w:ascii="Times New Roman" w:hAnsi="Times New Roman" w:eastAsia="宋体" w:cs="宋体"/>
                <w:kern w:val="0"/>
                <w:szCs w:val="21"/>
                <w:highlight w:val="none"/>
                <w:lang w:bidi="zh-CN"/>
              </w:rPr>
            </w:pPr>
            <w:r>
              <w:rPr>
                <w:rFonts w:hint="eastAsia" w:ascii="Times New Roman" w:hAnsi="Times New Roman" w:eastAsia="宋体" w:cs="宋体"/>
                <w:kern w:val="0"/>
                <w:szCs w:val="21"/>
                <w:highlight w:val="none"/>
                <w:lang w:bidi="zh-CN"/>
              </w:rPr>
              <w:t>支持用药指导各模块人工维护、优化等。</w:t>
            </w:r>
          </w:p>
        </w:tc>
      </w:tr>
      <w:tr w14:paraId="602731A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trPr>
        <w:tc>
          <w:tcPr>
            <w:tcW w:w="1336" w:type="dxa"/>
            <w:shd w:val="clear" w:color="auto" w:fill="auto"/>
            <w:vAlign w:val="center"/>
          </w:tcPr>
          <w:p w14:paraId="53CF036D">
            <w:pPr>
              <w:widowControl/>
              <w:shd w:val="clear"/>
              <w:autoSpaceDE w:val="0"/>
              <w:autoSpaceDN w:val="0"/>
              <w:jc w:val="center"/>
              <w:textAlignment w:val="center"/>
              <w:rPr>
                <w:rFonts w:ascii="Times New Roman" w:hAnsi="Times New Roman" w:eastAsia="宋体" w:cs="宋体"/>
                <w:color w:val="000000" w:themeColor="text1"/>
                <w:kern w:val="0"/>
                <w:szCs w:val="21"/>
                <w:highlight w:val="none"/>
                <w:lang w:bidi="zh-CN"/>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接口对接</w:t>
            </w:r>
          </w:p>
        </w:tc>
        <w:tc>
          <w:tcPr>
            <w:tcW w:w="6982" w:type="dxa"/>
            <w:shd w:val="clear" w:color="auto" w:fill="auto"/>
            <w:vAlign w:val="center"/>
          </w:tcPr>
          <w:p w14:paraId="7EA74DE4">
            <w:pPr>
              <w:numPr>
                <w:ilvl w:val="0"/>
                <w:numId w:val="3"/>
              </w:numPr>
              <w:shd w:val="clear"/>
              <w:tabs>
                <w:tab w:val="left" w:pos="3278"/>
              </w:tabs>
              <w:autoSpaceDE w:val="0"/>
              <w:autoSpaceDN w:val="0"/>
              <w:ind w:left="210" w:leftChars="100"/>
              <w:jc w:val="left"/>
              <w:rPr>
                <w:rFonts w:ascii="Times New Roman" w:hAnsi="Times New Roman" w:eastAsia="宋体" w:cs="宋体"/>
                <w:color w:val="000000" w:themeColor="text1"/>
                <w:kern w:val="0"/>
                <w:szCs w:val="21"/>
                <w:highlight w:val="none"/>
                <w:lang w:bidi="zh-CN"/>
                <w14:textFill>
                  <w14:solidFill>
                    <w14:schemeClr w14:val="tx1"/>
                  </w14:solidFill>
                </w14:textFill>
              </w:rPr>
            </w:pPr>
            <w:r>
              <w:rPr>
                <w:rFonts w:hint="eastAsia" w:ascii="宋体" w:hAnsi="宋体" w:eastAsia="宋体" w:cs="宋体"/>
                <w:color w:val="000000" w:themeColor="text1"/>
                <w:kern w:val="0"/>
                <w:szCs w:val="21"/>
                <w:highlight w:val="none"/>
                <w:lang w:bidi="ar"/>
                <w14:textFill>
                  <w14:solidFill>
                    <w14:schemeClr w14:val="tx1"/>
                  </w14:solidFill>
                </w14:textFill>
              </w:rPr>
              <w:t>提供标准API接口，支持与智慧中药房系统、医院微信公众号、小程序等对接。</w:t>
            </w:r>
          </w:p>
        </w:tc>
      </w:tr>
    </w:tbl>
    <w:p w14:paraId="2BA6D406">
      <w:pPr>
        <w:shd w:val="clear"/>
        <w:spacing w:line="360" w:lineRule="auto"/>
        <w:rPr>
          <w:rFonts w:ascii="宋体" w:hAnsi="宋体" w:eastAsia="宋体"/>
          <w:b/>
          <w:bCs/>
          <w:szCs w:val="21"/>
          <w:highlight w:val="none"/>
        </w:rPr>
      </w:pPr>
      <w:r>
        <w:rPr>
          <w:rFonts w:hint="eastAsia" w:ascii="宋体" w:hAnsi="宋体" w:eastAsia="宋体"/>
          <w:b/>
          <w:bCs/>
          <w:szCs w:val="21"/>
          <w:highlight w:val="none"/>
        </w:rPr>
        <w:t>4.中药库房管理</w:t>
      </w:r>
    </w:p>
    <w:tbl>
      <w:tblPr>
        <w:tblStyle w:val="61"/>
        <w:tblW w:w="8333"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343"/>
        <w:gridCol w:w="6990"/>
      </w:tblGrid>
      <w:tr w14:paraId="516A126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23" w:hRule="atLeast"/>
          <w:jc w:val="center"/>
        </w:trPr>
        <w:tc>
          <w:tcPr>
            <w:tcW w:w="1343" w:type="dxa"/>
          </w:tcPr>
          <w:p w14:paraId="187025CA">
            <w:pPr>
              <w:shd w:val="clear"/>
              <w:autoSpaceDE w:val="0"/>
              <w:autoSpaceDN w:val="0"/>
              <w:ind w:left="60"/>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val="zh-CN" w:eastAsia="en-US" w:bidi="zh-CN"/>
              </w:rPr>
              <w:t>功能模块</w:t>
            </w:r>
          </w:p>
        </w:tc>
        <w:tc>
          <w:tcPr>
            <w:tcW w:w="6990" w:type="dxa"/>
          </w:tcPr>
          <w:p w14:paraId="5988EFA5">
            <w:pPr>
              <w:shd w:val="clear"/>
              <w:autoSpaceDE w:val="0"/>
              <w:autoSpaceDN w:val="0"/>
              <w:jc w:val="center"/>
              <w:rPr>
                <w:rFonts w:ascii="宋体" w:hAnsi="宋体" w:eastAsia="宋体" w:cs="宋体"/>
                <w:kern w:val="0"/>
                <w:szCs w:val="21"/>
                <w:highlight w:val="none"/>
                <w:lang w:val="zh-CN" w:eastAsia="en-US" w:bidi="zh-CN"/>
              </w:rPr>
            </w:pPr>
            <w:r>
              <w:rPr>
                <w:rFonts w:hint="eastAsia" w:ascii="宋体" w:hAnsi="宋体" w:eastAsia="宋体" w:cs="宋体"/>
                <w:kern w:val="0"/>
                <w:szCs w:val="21"/>
                <w:highlight w:val="none"/>
                <w:lang w:eastAsia="en-US" w:bidi="zh-CN"/>
              </w:rPr>
              <w:t>参数</w:t>
            </w:r>
            <w:r>
              <w:rPr>
                <w:rFonts w:hint="eastAsia" w:ascii="宋体" w:hAnsi="宋体" w:eastAsia="宋体" w:cs="宋体"/>
                <w:kern w:val="0"/>
                <w:szCs w:val="21"/>
                <w:highlight w:val="none"/>
                <w:lang w:val="zh-CN" w:eastAsia="en-US" w:bidi="zh-CN"/>
              </w:rPr>
              <w:t>描述</w:t>
            </w:r>
          </w:p>
        </w:tc>
      </w:tr>
      <w:tr w14:paraId="3B02B6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339D898B">
            <w:pPr>
              <w:shd w:val="clear"/>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lang w:eastAsia="en-US"/>
              </w:rPr>
              <w:t>库存管理</w:t>
            </w:r>
          </w:p>
        </w:tc>
        <w:tc>
          <w:tcPr>
            <w:tcW w:w="6990" w:type="dxa"/>
            <w:vAlign w:val="center"/>
          </w:tcPr>
          <w:p w14:paraId="558AB9A7">
            <w:pPr>
              <w:pStyle w:val="64"/>
              <w:numPr>
                <w:ilvl w:val="0"/>
                <w:numId w:val="4"/>
              </w:numPr>
              <w:shd w:val="clear"/>
              <w:ind w:left="210" w:leftChars="100" w:firstLine="420"/>
              <w:jc w:val="left"/>
              <w:rPr>
                <w:rFonts w:ascii="宋体" w:hAnsi="宋体" w:eastAsia="宋体" w:cs="宋体"/>
                <w:highlight w:val="none"/>
              </w:rPr>
            </w:pPr>
            <w:r>
              <w:rPr>
                <w:rFonts w:hint="eastAsia" w:ascii="宋体" w:hAnsi="宋体" w:eastAsia="宋体" w:cs="宋体"/>
                <w:highlight w:val="none"/>
              </w:rPr>
              <w:t>支持扫描药品二维码验收入库；</w:t>
            </w:r>
          </w:p>
          <w:p w14:paraId="1F39189C">
            <w:pPr>
              <w:pStyle w:val="64"/>
              <w:numPr>
                <w:ilvl w:val="0"/>
                <w:numId w:val="4"/>
              </w:numPr>
              <w:shd w:val="clear"/>
              <w:ind w:left="210" w:leftChars="100" w:firstLine="420"/>
              <w:jc w:val="left"/>
              <w:rPr>
                <w:rFonts w:ascii="宋体" w:hAnsi="宋体" w:eastAsia="宋体" w:cs="宋体"/>
                <w:kern w:val="0"/>
                <w:highlight w:val="none"/>
                <w:lang w:val="zh-CN" w:bidi="zh-CN"/>
              </w:rPr>
            </w:pPr>
            <w:r>
              <w:rPr>
                <w:rFonts w:hint="eastAsia" w:ascii="宋体" w:hAnsi="宋体" w:eastAsia="宋体" w:cs="宋体"/>
                <w:highlight w:val="none"/>
              </w:rPr>
              <w:t>支持系统库存数据进行统计分析。</w:t>
            </w:r>
          </w:p>
        </w:tc>
      </w:tr>
      <w:tr w14:paraId="4BFBC1D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0FD08322">
            <w:pPr>
              <w:shd w:val="clear"/>
              <w:jc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lang w:eastAsia="en-US"/>
              </w:rPr>
              <w:t>到货管理</w:t>
            </w:r>
          </w:p>
        </w:tc>
        <w:tc>
          <w:tcPr>
            <w:tcW w:w="6990" w:type="dxa"/>
            <w:vAlign w:val="center"/>
          </w:tcPr>
          <w:p w14:paraId="716CD527">
            <w:pPr>
              <w:numPr>
                <w:ilvl w:val="0"/>
                <w:numId w:val="4"/>
              </w:numPr>
              <w:shd w:val="clear"/>
              <w:ind w:left="210" w:leftChars="100"/>
              <w:jc w:val="left"/>
              <w:rPr>
                <w:rFonts w:ascii="宋体" w:hAnsi="宋体" w:eastAsia="宋体" w:cs="宋体"/>
                <w:szCs w:val="21"/>
                <w:highlight w:val="none"/>
              </w:rPr>
            </w:pPr>
            <w:r>
              <w:rPr>
                <w:rFonts w:hint="eastAsia" w:ascii="宋体" w:hAnsi="宋体" w:eastAsia="宋体" w:cs="宋体"/>
                <w:szCs w:val="21"/>
                <w:highlight w:val="none"/>
              </w:rPr>
              <w:t>支持管理所有配送单，历史配送查询；</w:t>
            </w:r>
          </w:p>
          <w:p w14:paraId="216103BC">
            <w:pPr>
              <w:pStyle w:val="64"/>
              <w:numPr>
                <w:ilvl w:val="0"/>
                <w:numId w:val="4"/>
              </w:numPr>
              <w:shd w:val="clear"/>
              <w:ind w:left="210" w:leftChars="100" w:firstLine="420"/>
              <w:jc w:val="left"/>
              <w:rPr>
                <w:rFonts w:ascii="宋体" w:hAnsi="宋体" w:eastAsia="宋体" w:cs="宋体"/>
                <w:highlight w:val="none"/>
              </w:rPr>
            </w:pPr>
            <w:r>
              <w:rPr>
                <w:rFonts w:hint="eastAsia" w:ascii="宋体" w:hAnsi="宋体" w:eastAsia="宋体" w:cs="宋体"/>
                <w:highlight w:val="none"/>
              </w:rPr>
              <w:t>支持一般类和特殊类验收单格式打印；</w:t>
            </w:r>
          </w:p>
          <w:p w14:paraId="41868602">
            <w:pPr>
              <w:pStyle w:val="64"/>
              <w:numPr>
                <w:ilvl w:val="0"/>
                <w:numId w:val="4"/>
              </w:numPr>
              <w:shd w:val="clear"/>
              <w:ind w:left="210" w:leftChars="100" w:firstLine="420"/>
              <w:jc w:val="left"/>
              <w:rPr>
                <w:rFonts w:ascii="宋体" w:hAnsi="宋体" w:eastAsia="宋体" w:cs="宋体"/>
                <w:highlight w:val="none"/>
              </w:rPr>
            </w:pPr>
            <w:r>
              <w:rPr>
                <w:rFonts w:hint="eastAsia" w:ascii="宋体" w:hAnsi="宋体" w:eastAsia="宋体" w:cs="宋体"/>
                <w:highlight w:val="none"/>
              </w:rPr>
              <w:t>支持到货验收异常管理、抽检记录；</w:t>
            </w:r>
          </w:p>
          <w:p w14:paraId="18F5A68B">
            <w:pPr>
              <w:numPr>
                <w:ilvl w:val="0"/>
                <w:numId w:val="4"/>
              </w:numPr>
              <w:shd w:val="clear"/>
              <w:ind w:left="210" w:leftChars="100"/>
              <w:rPr>
                <w:rFonts w:ascii="宋体" w:hAnsi="宋体" w:eastAsia="宋体" w:cs="宋体"/>
                <w:kern w:val="0"/>
                <w:szCs w:val="21"/>
                <w:highlight w:val="none"/>
                <w:lang w:val="zh-CN" w:bidi="zh-CN"/>
              </w:rPr>
            </w:pPr>
            <w:r>
              <w:rPr>
                <w:rFonts w:hint="eastAsia" w:ascii="宋体" w:hAnsi="宋体" w:eastAsia="宋体" w:cs="宋体"/>
                <w:szCs w:val="21"/>
                <w:highlight w:val="none"/>
              </w:rPr>
              <w:t>支持自动根据配送验收实际数据生成入库单。</w:t>
            </w:r>
          </w:p>
        </w:tc>
      </w:tr>
      <w:tr w14:paraId="6CEF1D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75984386">
            <w:pPr>
              <w:widowControl/>
              <w:shd w:val="clear"/>
              <w:jc w:val="center"/>
              <w:textAlignment w:val="center"/>
              <w:rPr>
                <w:rFonts w:ascii="宋体" w:hAnsi="宋体" w:eastAsia="宋体" w:cs="宋体"/>
                <w:kern w:val="0"/>
                <w:szCs w:val="21"/>
                <w:highlight w:val="none"/>
                <w:lang w:val="zh-CN" w:eastAsia="en-US" w:bidi="zh-CN"/>
              </w:rPr>
            </w:pPr>
            <w:r>
              <w:rPr>
                <w:rFonts w:hint="eastAsia" w:ascii="宋体" w:hAnsi="宋体" w:eastAsia="宋体" w:cs="宋体"/>
                <w:szCs w:val="21"/>
                <w:highlight w:val="none"/>
                <w:lang w:eastAsia="en-US"/>
              </w:rPr>
              <w:t>养护管理</w:t>
            </w:r>
          </w:p>
        </w:tc>
        <w:tc>
          <w:tcPr>
            <w:tcW w:w="6990" w:type="dxa"/>
            <w:vAlign w:val="center"/>
          </w:tcPr>
          <w:p w14:paraId="38E59B62">
            <w:pPr>
              <w:numPr>
                <w:ilvl w:val="0"/>
                <w:numId w:val="4"/>
              </w:numPr>
              <w:shd w:val="clear"/>
              <w:ind w:left="210" w:leftChars="100"/>
              <w:jc w:val="left"/>
              <w:rPr>
                <w:rFonts w:ascii="宋体" w:hAnsi="宋体" w:eastAsia="宋体" w:cs="宋体"/>
                <w:szCs w:val="21"/>
                <w:highlight w:val="none"/>
              </w:rPr>
            </w:pPr>
            <w:r>
              <w:rPr>
                <w:rFonts w:hint="eastAsia" w:ascii="宋体" w:hAnsi="宋体" w:eastAsia="宋体" w:cs="宋体"/>
                <w:szCs w:val="21"/>
                <w:highlight w:val="none"/>
              </w:rPr>
              <w:t>支持预先设置养护模板进行养护；</w:t>
            </w:r>
          </w:p>
          <w:p w14:paraId="06D84CF1">
            <w:pPr>
              <w:numPr>
                <w:ilvl w:val="0"/>
                <w:numId w:val="4"/>
              </w:numPr>
              <w:shd w:val="clear"/>
              <w:ind w:left="210" w:leftChars="100"/>
              <w:jc w:val="left"/>
              <w:rPr>
                <w:rFonts w:ascii="宋体" w:hAnsi="宋体" w:eastAsia="宋体" w:cs="宋体"/>
                <w:szCs w:val="21"/>
                <w:highlight w:val="none"/>
                <w:lang w:val="zh-CN"/>
              </w:rPr>
            </w:pPr>
            <w:r>
              <w:rPr>
                <w:rFonts w:hint="eastAsia" w:ascii="宋体" w:hAnsi="宋体" w:eastAsia="宋体" w:cs="宋体"/>
                <w:szCs w:val="21"/>
                <w:highlight w:val="none"/>
              </w:rPr>
              <w:t>支持一键生成养护计划，支持生成养护记录并能导出养护记录表；</w:t>
            </w:r>
          </w:p>
        </w:tc>
      </w:tr>
      <w:tr w14:paraId="0D32C5E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7133CF60">
            <w:pPr>
              <w:widowControl/>
              <w:shd w:val="clear"/>
              <w:jc w:val="center"/>
              <w:textAlignment w:val="center"/>
              <w:rPr>
                <w:rFonts w:ascii="宋体" w:hAnsi="宋体" w:eastAsia="宋体" w:cs="宋体"/>
                <w:kern w:val="0"/>
                <w:szCs w:val="21"/>
                <w:highlight w:val="none"/>
                <w:lang w:bidi="zh-CN"/>
              </w:rPr>
            </w:pPr>
            <w:r>
              <w:rPr>
                <w:rFonts w:hint="eastAsia" w:ascii="宋体" w:hAnsi="宋体" w:eastAsia="宋体" w:cs="宋体"/>
                <w:color w:val="000000"/>
                <w:kern w:val="0"/>
                <w:szCs w:val="21"/>
                <w:highlight w:val="none"/>
              </w:rPr>
              <w:t>供应商资质及效期管理</w:t>
            </w:r>
          </w:p>
        </w:tc>
        <w:tc>
          <w:tcPr>
            <w:tcW w:w="6990" w:type="dxa"/>
            <w:vAlign w:val="center"/>
          </w:tcPr>
          <w:p w14:paraId="7A625552">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支持供应商资质管理，维护供应商资质，包括营业执照、药品生产/经营可证、GMP/GSP证书、中药饮片供应资质等；支持按资质分类管理，如：证照资质、经营范围资质等；</w:t>
            </w:r>
          </w:p>
          <w:p w14:paraId="5634D8B4">
            <w:pPr>
              <w:pStyle w:val="64"/>
              <w:numPr>
                <w:ilvl w:val="0"/>
                <w:numId w:val="4"/>
              </w:numPr>
              <w:shd w:val="clear"/>
              <w:ind w:left="210" w:leftChars="100" w:firstLine="420"/>
              <w:rPr>
                <w:rFonts w:ascii="宋体" w:hAnsi="宋体" w:eastAsia="宋体" w:cs="宋体"/>
                <w:kern w:val="0"/>
                <w:highlight w:val="none"/>
                <w:lang w:val="zh-CN" w:bidi="zh-CN"/>
              </w:rPr>
            </w:pPr>
            <w:r>
              <w:rPr>
                <w:rFonts w:hint="eastAsia" w:ascii="宋体" w:hAnsi="宋体" w:eastAsia="宋体" w:cs="宋体"/>
                <w:kern w:val="0"/>
                <w:highlight w:val="none"/>
              </w:rPr>
              <w:t>支持按资质维护有效期，建立资质效期提醒机制，定期检查供应商资质的有效期，提醒供应商及时更新。</w:t>
            </w:r>
          </w:p>
        </w:tc>
      </w:tr>
      <w:tr w14:paraId="2DC89B7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348E5EC4">
            <w:pPr>
              <w:widowControl/>
              <w:shd w:val="clear"/>
              <w:jc w:val="center"/>
              <w:textAlignment w:val="center"/>
              <w:rPr>
                <w:rFonts w:ascii="宋体" w:hAnsi="宋体" w:eastAsia="宋体" w:cs="宋体"/>
                <w:szCs w:val="21"/>
                <w:highlight w:val="none"/>
                <w:lang w:eastAsia="en-US"/>
              </w:rPr>
            </w:pPr>
            <w:r>
              <w:rPr>
                <w:rFonts w:hint="eastAsia" w:ascii="宋体" w:hAnsi="宋体" w:eastAsia="宋体" w:cs="宋体"/>
                <w:color w:val="000000"/>
                <w:kern w:val="0"/>
                <w:szCs w:val="21"/>
                <w:highlight w:val="none"/>
                <w:lang w:eastAsia="en-US"/>
              </w:rPr>
              <w:t>退换货管理</w:t>
            </w:r>
          </w:p>
        </w:tc>
        <w:tc>
          <w:tcPr>
            <w:tcW w:w="6990" w:type="dxa"/>
            <w:vAlign w:val="center"/>
          </w:tcPr>
          <w:p w14:paraId="1EF51FB4">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支持退换货管理，支持汇总验收环节退货或换货记录；</w:t>
            </w:r>
          </w:p>
          <w:p w14:paraId="799345D9">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验收环节，支持在手持终端记录问题药品退货情况，系统自动同步到退货管理；</w:t>
            </w:r>
          </w:p>
          <w:p w14:paraId="538B0052">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支持根据验收实际情况，分析配送数据和退货数据，自动计算退换货率；</w:t>
            </w:r>
          </w:p>
          <w:p w14:paraId="12506059">
            <w:pPr>
              <w:pStyle w:val="64"/>
              <w:numPr>
                <w:ilvl w:val="0"/>
                <w:numId w:val="4"/>
              </w:numPr>
              <w:shd w:val="clear"/>
              <w:ind w:left="210" w:leftChars="100" w:firstLine="420"/>
              <w:rPr>
                <w:rFonts w:ascii="宋体" w:hAnsi="宋体" w:eastAsia="宋体" w:cs="宋体"/>
                <w:kern w:val="0"/>
                <w:highlight w:val="none"/>
              </w:rPr>
            </w:pPr>
            <w:r>
              <w:rPr>
                <w:rFonts w:hint="eastAsia" w:ascii="宋体" w:hAnsi="宋体" w:eastAsia="宋体" w:cs="宋体"/>
                <w:kern w:val="0"/>
                <w:highlight w:val="none"/>
              </w:rPr>
              <w:t>数据支持关联供应商评估；统计数据支持形成供应商退换货报表导出。</w:t>
            </w:r>
          </w:p>
        </w:tc>
      </w:tr>
      <w:tr w14:paraId="5B11E6A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76E520DF">
            <w:pPr>
              <w:widowControl/>
              <w:shd w:val="clear"/>
              <w:jc w:val="center"/>
              <w:textAlignment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中药饮片质量问题管理</w:t>
            </w:r>
          </w:p>
        </w:tc>
        <w:tc>
          <w:tcPr>
            <w:tcW w:w="6990" w:type="dxa"/>
            <w:vAlign w:val="center"/>
          </w:tcPr>
          <w:p w14:paraId="545AC951">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持提供质量问题管理，支持查询所有质量问题记录；支持手动新增质量问题记录；</w:t>
            </w:r>
          </w:p>
          <w:p w14:paraId="462C9B04">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支持提供手持终端质量问题记录功能，在药库出库、药库/药房盘点、药库/药房养护的环节发现中药饮片存在质量问题，可进入质量问题登记功能，实时记录质量问题并同步到质量问题管理模块；</w:t>
            </w:r>
          </w:p>
          <w:p w14:paraId="3FF74789">
            <w:pPr>
              <w:pStyle w:val="64"/>
              <w:numPr>
                <w:ilvl w:val="0"/>
                <w:numId w:val="4"/>
              </w:numPr>
              <w:shd w:val="clear"/>
              <w:ind w:left="210" w:leftChars="100" w:firstLine="420"/>
              <w:rPr>
                <w:rFonts w:ascii="宋体" w:hAnsi="宋体" w:eastAsia="宋体" w:cs="宋体"/>
                <w:kern w:val="0"/>
                <w:highlight w:val="none"/>
              </w:rPr>
            </w:pPr>
            <w:r>
              <w:rPr>
                <w:rFonts w:hint="eastAsia" w:ascii="宋体" w:hAnsi="宋体" w:eastAsia="宋体" w:cs="宋体"/>
                <w:kern w:val="0"/>
                <w:highlight w:val="none"/>
              </w:rPr>
              <w:t>支持按供应商汇总统计各类质量问题数据，并支持导出excel报表。</w:t>
            </w:r>
          </w:p>
        </w:tc>
      </w:tr>
      <w:tr w14:paraId="444D78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48EB8B65">
            <w:pPr>
              <w:widowControl/>
              <w:shd w:val="clear"/>
              <w:jc w:val="center"/>
              <w:textAlignment w:val="center"/>
              <w:rPr>
                <w:rFonts w:ascii="宋体" w:hAnsi="宋体" w:eastAsia="宋体" w:cs="宋体"/>
                <w:color w:val="000000"/>
                <w:kern w:val="0"/>
                <w:szCs w:val="21"/>
                <w:highlight w:val="none"/>
                <w:lang w:eastAsia="en-US"/>
              </w:rPr>
            </w:pPr>
            <w:r>
              <w:rPr>
                <w:rFonts w:hint="eastAsia" w:ascii="宋体" w:hAnsi="宋体" w:eastAsia="宋体" w:cs="宋体"/>
                <w:color w:val="000000"/>
                <w:kern w:val="0"/>
                <w:szCs w:val="21"/>
                <w:highlight w:val="none"/>
                <w:lang w:eastAsia="en-US"/>
              </w:rPr>
              <w:t>供应商评估管理</w:t>
            </w:r>
          </w:p>
        </w:tc>
        <w:tc>
          <w:tcPr>
            <w:tcW w:w="6990" w:type="dxa"/>
            <w:vAlign w:val="center"/>
          </w:tcPr>
          <w:p w14:paraId="697BEC4F">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支持提供供应商资质定期评估考核功能，支持对供应商证照资质、经营范围、饮片质量、药品供应、服务质量等评估指标进行评估打分，形成供应商评估考核表；</w:t>
            </w:r>
          </w:p>
          <w:p w14:paraId="7B07BA7D">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支持管理所有供应商评估考核表，支持查询、查看历史评估考核表详细信息；</w:t>
            </w:r>
          </w:p>
          <w:p w14:paraId="66860E58">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支持对供应商评估项目、评估指标进行数据分析，形成评估项目和指标分类统计、供应商评估排行等可视化图形，为管理人员提供决策依据；</w:t>
            </w:r>
          </w:p>
        </w:tc>
      </w:tr>
      <w:tr w14:paraId="6088511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3ECF9248">
            <w:pPr>
              <w:widowControl/>
              <w:shd w:val="clear"/>
              <w:jc w:val="center"/>
              <w:textAlignment w:val="center"/>
              <w:rPr>
                <w:rFonts w:ascii="宋体" w:hAnsi="宋体" w:eastAsia="宋体" w:cs="宋体"/>
                <w:color w:val="000000"/>
                <w:kern w:val="0"/>
                <w:szCs w:val="21"/>
                <w:highlight w:val="none"/>
                <w:lang w:eastAsia="en-US"/>
              </w:rPr>
            </w:pPr>
            <w:r>
              <w:rPr>
                <w:rFonts w:hint="eastAsia" w:ascii="宋体" w:hAnsi="宋体" w:eastAsia="宋体" w:cs="宋体"/>
                <w:color w:val="000000"/>
                <w:kern w:val="0"/>
                <w:szCs w:val="21"/>
                <w:highlight w:val="none"/>
                <w:lang w:eastAsia="en-US"/>
              </w:rPr>
              <w:t>中药饮片保质管理</w:t>
            </w:r>
          </w:p>
        </w:tc>
        <w:tc>
          <w:tcPr>
            <w:tcW w:w="6990" w:type="dxa"/>
            <w:vAlign w:val="center"/>
          </w:tcPr>
          <w:p w14:paraId="2949EA49">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支持库存批号查询时支持按在库饮片批号的饮片保质期，具备近效期提醒功能并可一键导出。</w:t>
            </w:r>
          </w:p>
        </w:tc>
      </w:tr>
      <w:tr w14:paraId="2652A6A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4B765BA4">
            <w:pPr>
              <w:widowControl/>
              <w:shd w:val="clear"/>
              <w:jc w:val="center"/>
              <w:textAlignment w:val="center"/>
              <w:rPr>
                <w:rFonts w:ascii="宋体" w:hAnsi="宋体" w:eastAsia="宋体" w:cs="宋体"/>
                <w:color w:val="000000"/>
                <w:kern w:val="0"/>
                <w:szCs w:val="21"/>
                <w:highlight w:val="none"/>
              </w:rPr>
            </w:pPr>
            <w:r>
              <w:rPr>
                <w:rFonts w:hint="eastAsia" w:ascii="宋体" w:hAnsi="宋体" w:eastAsia="宋体" w:cs="宋体"/>
                <w:color w:val="000000"/>
                <w:kern w:val="0"/>
                <w:szCs w:val="21"/>
                <w:highlight w:val="none"/>
              </w:rPr>
              <w:t>中药饮片验收标准管理</w:t>
            </w:r>
          </w:p>
        </w:tc>
        <w:tc>
          <w:tcPr>
            <w:tcW w:w="6990" w:type="dxa"/>
            <w:vAlign w:val="center"/>
          </w:tcPr>
          <w:p w14:paraId="0CD7467C">
            <w:pPr>
              <w:widowControl/>
              <w:numPr>
                <w:ilvl w:val="0"/>
                <w:numId w:val="4"/>
              </w:numPr>
              <w:shd w:val="clear"/>
              <w:autoSpaceDE w:val="0"/>
              <w:autoSpaceDN w:val="0"/>
              <w:ind w:left="210" w:leftChars="100"/>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支持提供验收标准管理，支持维护中药饮片验收标准，内容包括编码、饮片等级、验收标准等，标准可供验收环节参考；</w:t>
            </w:r>
          </w:p>
          <w:p w14:paraId="1E1A5CAA">
            <w:pPr>
              <w:pStyle w:val="64"/>
              <w:numPr>
                <w:ilvl w:val="0"/>
                <w:numId w:val="4"/>
              </w:numPr>
              <w:shd w:val="clear"/>
              <w:ind w:left="210" w:leftChars="100" w:firstLine="420"/>
              <w:rPr>
                <w:rFonts w:ascii="宋体" w:hAnsi="宋体" w:eastAsia="宋体" w:cs="宋体"/>
                <w:kern w:val="0"/>
                <w:highlight w:val="none"/>
              </w:rPr>
            </w:pPr>
            <w:r>
              <w:rPr>
                <w:rFonts w:hint="eastAsia" w:ascii="宋体" w:hAnsi="宋体" w:eastAsia="宋体" w:cs="宋体"/>
                <w:kern w:val="0"/>
                <w:highlight w:val="none"/>
              </w:rPr>
              <w:t>验收环节，支持验收人员使用手持终端扫码验收时，系统自动关联饮片验收标准，支持查看验收标准内容、饮片图片，提升饮片验收规范性。</w:t>
            </w:r>
          </w:p>
        </w:tc>
      </w:tr>
      <w:tr w14:paraId="5A72141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10B9F486">
            <w:pPr>
              <w:widowControl/>
              <w:shd w:val="clear"/>
              <w:jc w:val="center"/>
              <w:textAlignment w:val="center"/>
              <w:rPr>
                <w:rFonts w:ascii="宋体" w:hAnsi="宋体" w:eastAsia="宋体" w:cs="宋体"/>
                <w:kern w:val="0"/>
                <w:szCs w:val="21"/>
                <w:highlight w:val="none"/>
                <w:lang w:eastAsia="en-US" w:bidi="zh-CN"/>
              </w:rPr>
            </w:pPr>
            <w:r>
              <w:rPr>
                <w:rFonts w:hint="eastAsia" w:ascii="宋体" w:hAnsi="宋体" w:eastAsia="宋体" w:cs="宋体"/>
                <w:szCs w:val="21"/>
                <w:highlight w:val="none"/>
                <w:lang w:eastAsia="en-US"/>
              </w:rPr>
              <w:t>手持移动端应用</w:t>
            </w:r>
          </w:p>
        </w:tc>
        <w:tc>
          <w:tcPr>
            <w:tcW w:w="6990" w:type="dxa"/>
            <w:vAlign w:val="center"/>
          </w:tcPr>
          <w:p w14:paraId="4AB1E3A1">
            <w:pPr>
              <w:numPr>
                <w:ilvl w:val="0"/>
                <w:numId w:val="4"/>
              </w:numPr>
              <w:shd w:val="clear"/>
              <w:ind w:left="210" w:leftChars="100"/>
              <w:jc w:val="left"/>
              <w:rPr>
                <w:rFonts w:ascii="宋体" w:hAnsi="宋体" w:eastAsia="宋体" w:cs="宋体"/>
                <w:szCs w:val="21"/>
                <w:highlight w:val="none"/>
              </w:rPr>
            </w:pPr>
            <w:r>
              <w:rPr>
                <w:rFonts w:hint="eastAsia" w:ascii="宋体" w:hAnsi="宋体" w:eastAsia="宋体" w:cs="宋体"/>
                <w:szCs w:val="21"/>
                <w:highlight w:val="none"/>
              </w:rPr>
              <w:t>支持验收入库扫描、验收抽检；</w:t>
            </w:r>
          </w:p>
          <w:p w14:paraId="64409EF2">
            <w:pPr>
              <w:numPr>
                <w:ilvl w:val="0"/>
                <w:numId w:val="4"/>
              </w:numPr>
              <w:shd w:val="clear"/>
              <w:ind w:left="210" w:leftChars="100"/>
              <w:jc w:val="left"/>
              <w:rPr>
                <w:rFonts w:ascii="宋体" w:hAnsi="宋体" w:eastAsia="宋体" w:cs="宋体"/>
                <w:szCs w:val="21"/>
                <w:highlight w:val="none"/>
              </w:rPr>
            </w:pPr>
            <w:r>
              <w:rPr>
                <w:rFonts w:hint="eastAsia" w:ascii="宋体" w:hAnsi="宋体" w:eastAsia="宋体" w:cs="宋体"/>
                <w:szCs w:val="21"/>
                <w:highlight w:val="none"/>
              </w:rPr>
              <w:t>支持验收扫描完成后，保存生成验收单；</w:t>
            </w:r>
          </w:p>
          <w:p w14:paraId="37465F7B">
            <w:pPr>
              <w:numPr>
                <w:ilvl w:val="0"/>
                <w:numId w:val="4"/>
              </w:numPr>
              <w:shd w:val="clear"/>
              <w:ind w:left="210" w:leftChars="100"/>
              <w:jc w:val="left"/>
              <w:rPr>
                <w:rFonts w:ascii="宋体" w:hAnsi="宋体" w:eastAsia="宋体" w:cs="宋体"/>
                <w:szCs w:val="21"/>
                <w:highlight w:val="none"/>
              </w:rPr>
            </w:pPr>
            <w:r>
              <w:rPr>
                <w:rFonts w:hint="eastAsia" w:ascii="宋体" w:hAnsi="宋体" w:eastAsia="宋体" w:cs="宋体"/>
                <w:szCs w:val="21"/>
                <w:highlight w:val="none"/>
              </w:rPr>
              <w:t>支持记录验收异常药品信息，如少量、缺药；</w:t>
            </w:r>
          </w:p>
          <w:p w14:paraId="49FC2F35">
            <w:pPr>
              <w:numPr>
                <w:ilvl w:val="0"/>
                <w:numId w:val="4"/>
              </w:numPr>
              <w:shd w:val="clear"/>
              <w:ind w:left="210" w:leftChars="100"/>
              <w:jc w:val="left"/>
              <w:rPr>
                <w:rFonts w:ascii="宋体" w:hAnsi="宋体" w:eastAsia="宋体" w:cs="宋体"/>
                <w:szCs w:val="21"/>
                <w:highlight w:val="none"/>
              </w:rPr>
            </w:pPr>
            <w:r>
              <w:rPr>
                <w:rFonts w:hint="eastAsia" w:ascii="宋体" w:hAnsi="宋体" w:eastAsia="宋体" w:cs="宋体"/>
                <w:szCs w:val="21"/>
                <w:highlight w:val="none"/>
              </w:rPr>
              <w:t>支持药品验收过程中，支持记录抽检信息；</w:t>
            </w:r>
          </w:p>
          <w:p w14:paraId="33CC7B6E">
            <w:pPr>
              <w:numPr>
                <w:ilvl w:val="0"/>
                <w:numId w:val="4"/>
              </w:numPr>
              <w:shd w:val="clear"/>
              <w:ind w:left="210" w:leftChars="100"/>
              <w:jc w:val="left"/>
              <w:rPr>
                <w:rFonts w:ascii="宋体" w:hAnsi="宋体" w:eastAsia="宋体" w:cs="宋体"/>
                <w:szCs w:val="21"/>
                <w:highlight w:val="none"/>
              </w:rPr>
            </w:pPr>
            <w:r>
              <w:rPr>
                <w:rFonts w:hint="eastAsia" w:ascii="宋体" w:hAnsi="宋体" w:eastAsia="宋体" w:cs="宋体"/>
                <w:szCs w:val="21"/>
                <w:highlight w:val="none"/>
              </w:rPr>
              <w:t>支持仓库出库时，扫描药品码记录出库量和批号信息；</w:t>
            </w:r>
          </w:p>
          <w:p w14:paraId="5F71464C">
            <w:pPr>
              <w:numPr>
                <w:ilvl w:val="0"/>
                <w:numId w:val="4"/>
              </w:numPr>
              <w:shd w:val="clear"/>
              <w:ind w:left="210" w:leftChars="100"/>
              <w:jc w:val="left"/>
              <w:rPr>
                <w:rFonts w:ascii="宋体" w:hAnsi="宋体" w:eastAsia="宋体" w:cs="宋体"/>
                <w:kern w:val="0"/>
                <w:szCs w:val="21"/>
                <w:highlight w:val="none"/>
                <w:lang w:val="zh-CN" w:bidi="zh-CN"/>
              </w:rPr>
            </w:pPr>
            <w:r>
              <w:rPr>
                <w:rFonts w:hint="eastAsia" w:ascii="宋体" w:hAnsi="宋体" w:eastAsia="宋体" w:cs="宋体"/>
                <w:szCs w:val="21"/>
                <w:highlight w:val="none"/>
              </w:rPr>
              <w:t>支持使用手持填写问题药品质量记录；</w:t>
            </w:r>
          </w:p>
        </w:tc>
      </w:tr>
      <w:tr w14:paraId="6DD9630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vAlign w:val="center"/>
          </w:tcPr>
          <w:p w14:paraId="1CB81B6B">
            <w:pPr>
              <w:widowControl/>
              <w:shd w:val="clear"/>
              <w:jc w:val="center"/>
              <w:textAlignment w:val="center"/>
              <w:rPr>
                <w:rFonts w:ascii="宋体" w:hAnsi="宋体" w:eastAsia="宋体" w:cs="宋体"/>
                <w:kern w:val="0"/>
                <w:szCs w:val="21"/>
                <w:highlight w:val="none"/>
                <w:lang w:eastAsia="en-US" w:bidi="zh-CN"/>
              </w:rPr>
            </w:pPr>
            <w:r>
              <w:rPr>
                <w:rFonts w:hint="eastAsia" w:ascii="宋体" w:hAnsi="宋体" w:eastAsia="宋体" w:cs="宋体"/>
                <w:szCs w:val="21"/>
                <w:highlight w:val="none"/>
                <w:lang w:eastAsia="en-US"/>
              </w:rPr>
              <w:t>盘点管理</w:t>
            </w:r>
          </w:p>
        </w:tc>
        <w:tc>
          <w:tcPr>
            <w:tcW w:w="6990" w:type="dxa"/>
            <w:vAlign w:val="center"/>
          </w:tcPr>
          <w:p w14:paraId="1B04E2A4">
            <w:pPr>
              <w:widowControl/>
              <w:numPr>
                <w:ilvl w:val="0"/>
                <w:numId w:val="4"/>
              </w:numPr>
              <w:shd w:val="clear"/>
              <w:autoSpaceDE w:val="0"/>
              <w:autoSpaceDN w:val="0"/>
              <w:ind w:left="210" w:leftChars="100"/>
              <w:jc w:val="left"/>
              <w:textAlignment w:val="center"/>
              <w:rPr>
                <w:rFonts w:ascii="宋体" w:hAnsi="宋体" w:eastAsia="宋体" w:cs="宋体"/>
                <w:kern w:val="0"/>
                <w:szCs w:val="21"/>
                <w:highlight w:val="none"/>
                <w:lang w:val="zh-CN" w:bidi="zh-CN"/>
              </w:rPr>
            </w:pPr>
            <w:r>
              <w:rPr>
                <w:rFonts w:hint="eastAsia" w:ascii="宋体" w:hAnsi="宋体" w:eastAsia="宋体" w:cs="宋体"/>
                <w:kern w:val="0"/>
                <w:szCs w:val="21"/>
                <w:highlight w:val="none"/>
              </w:rPr>
              <w:t>支持操作人员在手持上调整实际库存量，盘点完成后在电脑端生成盘点记录。</w:t>
            </w:r>
          </w:p>
        </w:tc>
      </w:tr>
      <w:tr w14:paraId="55B11C9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3" w:hRule="atLeast"/>
          <w:jc w:val="center"/>
        </w:trPr>
        <w:tc>
          <w:tcPr>
            <w:tcW w:w="1343" w:type="dxa"/>
            <w:shd w:val="clear" w:color="auto" w:fill="auto"/>
            <w:vAlign w:val="center"/>
          </w:tcPr>
          <w:p w14:paraId="1074383B">
            <w:pPr>
              <w:widowControl/>
              <w:shd w:val="clear"/>
              <w:jc w:val="center"/>
              <w:textAlignment w:val="center"/>
              <w:rPr>
                <w:rFonts w:ascii="宋体" w:hAnsi="宋体" w:eastAsia="宋体" w:cs="宋体"/>
                <w:color w:val="FF0000"/>
                <w:szCs w:val="21"/>
                <w:highlight w:val="none"/>
                <w:lang w:eastAsia="en-US"/>
              </w:rPr>
            </w:pPr>
            <w:r>
              <w:rPr>
                <w:rFonts w:hint="eastAsia" w:ascii="宋体" w:hAnsi="宋体" w:eastAsia="宋体" w:cs="宋体"/>
                <w:szCs w:val="21"/>
                <w:highlight w:val="none"/>
                <w:lang w:eastAsia="en-US"/>
              </w:rPr>
              <w:t>医院HIS接口</w:t>
            </w:r>
          </w:p>
        </w:tc>
        <w:tc>
          <w:tcPr>
            <w:tcW w:w="6990" w:type="dxa"/>
            <w:shd w:val="clear" w:color="auto" w:fill="auto"/>
            <w:vAlign w:val="center"/>
          </w:tcPr>
          <w:p w14:paraId="01E8D80F">
            <w:pPr>
              <w:widowControl/>
              <w:numPr>
                <w:ilvl w:val="0"/>
                <w:numId w:val="4"/>
              </w:numPr>
              <w:shd w:val="clear"/>
              <w:autoSpaceDE w:val="0"/>
              <w:autoSpaceDN w:val="0"/>
              <w:ind w:left="210" w:leftChars="100"/>
              <w:jc w:val="left"/>
              <w:textAlignment w:val="center"/>
              <w:rPr>
                <w:rFonts w:ascii="宋体" w:hAnsi="宋体" w:eastAsia="宋体" w:cs="宋体"/>
                <w:kern w:val="0"/>
                <w:szCs w:val="21"/>
                <w:highlight w:val="none"/>
              </w:rPr>
            </w:pPr>
            <w:r>
              <w:rPr>
                <w:rFonts w:hint="eastAsia" w:ascii="宋体" w:hAnsi="宋体" w:eastAsia="宋体" w:cs="宋体"/>
                <w:kern w:val="0"/>
                <w:szCs w:val="21"/>
                <w:highlight w:val="none"/>
              </w:rPr>
              <w:t>支持实际验收入库数据对接HIS系统，HIS系统自动生成入库单；</w:t>
            </w:r>
          </w:p>
          <w:p w14:paraId="78E9DB9B">
            <w:pPr>
              <w:numPr>
                <w:ilvl w:val="0"/>
                <w:numId w:val="4"/>
              </w:numPr>
              <w:shd w:val="clear"/>
              <w:ind w:left="210" w:leftChars="100"/>
              <w:jc w:val="left"/>
              <w:rPr>
                <w:rFonts w:ascii="宋体" w:hAnsi="宋体" w:eastAsia="宋体" w:cs="宋体"/>
                <w:kern w:val="0"/>
                <w:szCs w:val="21"/>
                <w:highlight w:val="none"/>
              </w:rPr>
            </w:pPr>
            <w:r>
              <w:rPr>
                <w:rFonts w:hint="eastAsia" w:ascii="宋体" w:hAnsi="宋体" w:eastAsia="宋体" w:cs="宋体"/>
                <w:kern w:val="0"/>
                <w:szCs w:val="21"/>
                <w:highlight w:val="none"/>
              </w:rPr>
              <w:t>支持出库数据对接HIS系统，HIS系统自动生成出库单。</w:t>
            </w:r>
          </w:p>
        </w:tc>
      </w:tr>
    </w:tbl>
    <w:p w14:paraId="42AADDE4">
      <w:pPr>
        <w:shd w:val="clear"/>
        <w:spacing w:line="360" w:lineRule="auto"/>
        <w:rPr>
          <w:rFonts w:ascii="宋体" w:hAnsi="宋体" w:eastAsia="宋体"/>
          <w:b/>
          <w:bCs/>
          <w:szCs w:val="21"/>
          <w:highlight w:val="none"/>
        </w:rPr>
      </w:pPr>
      <w:r>
        <w:rPr>
          <w:rFonts w:hint="eastAsia" w:ascii="宋体" w:hAnsi="宋体" w:eastAsia="宋体"/>
          <w:b/>
          <w:bCs/>
          <w:szCs w:val="21"/>
          <w:highlight w:val="none"/>
        </w:rPr>
        <w:t>5.高质量数据集管理系统</w:t>
      </w:r>
    </w:p>
    <w:p w14:paraId="078847C4">
      <w:pPr>
        <w:shd w:val="clear"/>
        <w:ind w:firstLine="420" w:firstLineChars="200"/>
        <w:jc w:val="left"/>
        <w:rPr>
          <w:rFonts w:ascii="宋体" w:hAnsi="宋体" w:eastAsia="宋体" w:cs="宋体"/>
          <w:szCs w:val="21"/>
          <w:highlight w:val="none"/>
        </w:rPr>
      </w:pPr>
      <w:r>
        <w:rPr>
          <w:rFonts w:hint="eastAsia" w:ascii="宋体" w:hAnsi="宋体" w:eastAsia="宋体" w:cs="宋体"/>
          <w:szCs w:val="21"/>
          <w:highlight w:val="none"/>
        </w:rPr>
        <w:t xml:space="preserve">5.1 </w:t>
      </w:r>
      <w:r>
        <w:rPr>
          <w:rFonts w:hint="eastAsia" w:ascii="宋体" w:hAnsi="宋体" w:eastAsia="宋体" w:cs="宋体"/>
          <w:highlight w:val="none"/>
        </w:rPr>
        <w:t>★以场景为驱动，以中药药事全流程服务为主线，开展高质量数据集的建设，满足建设要求。</w:t>
      </w:r>
      <w:r>
        <w:rPr>
          <w:rFonts w:hint="eastAsia" w:ascii="宋体" w:hAnsi="宋体" w:eastAsia="宋体" w:cs="宋体"/>
          <w:szCs w:val="21"/>
          <w:highlight w:val="none"/>
        </w:rPr>
        <w:t>支持依托本院的处方数据，抽取一定量的样本，涵盖不同科室（如内科、骨科、康复科等）、不同病种、不同剂型要求及不同煎煮工艺，形成具有院内代表性的高质量、规模化处方数据集。供应商要配合医院完成智慧中药房建设系统项目验收工作</w:t>
      </w:r>
      <w:r>
        <w:rPr>
          <w:rFonts w:hint="eastAsia" w:ascii="宋体" w:hAnsi="宋体" w:eastAsia="宋体" w:cs="宋体"/>
          <w:b/>
          <w:bCs/>
          <w:szCs w:val="21"/>
          <w:highlight w:val="none"/>
        </w:rPr>
        <w:t>（投标文件提供承诺函）</w:t>
      </w:r>
      <w:r>
        <w:rPr>
          <w:rFonts w:hint="eastAsia" w:ascii="宋体" w:hAnsi="宋体" w:eastAsia="宋体" w:cs="宋体"/>
          <w:szCs w:val="21"/>
          <w:highlight w:val="none"/>
        </w:rPr>
        <w:t>。</w:t>
      </w:r>
    </w:p>
    <w:p w14:paraId="731A5F8D">
      <w:pPr>
        <w:shd w:val="clear"/>
        <w:spacing w:before="312" w:beforeLines="100" w:line="360" w:lineRule="auto"/>
        <w:jc w:val="center"/>
        <w:rPr>
          <w:rFonts w:ascii="仿宋" w:hAnsi="仿宋" w:eastAsia="仿宋" w:cs="仿宋"/>
          <w:b/>
          <w:bCs/>
          <w:kern w:val="44"/>
          <w:sz w:val="24"/>
          <w:highlight w:val="none"/>
        </w:rPr>
      </w:pPr>
      <w:r>
        <w:rPr>
          <w:rFonts w:hint="eastAsia" w:ascii="仿宋" w:hAnsi="仿宋" w:eastAsia="仿宋" w:cs="仿宋"/>
          <w:b/>
          <w:bCs/>
          <w:kern w:val="44"/>
          <w:sz w:val="24"/>
          <w:highlight w:val="none"/>
        </w:rPr>
        <w:t>产品2智慧中药房合理用药系统</w:t>
      </w:r>
    </w:p>
    <w:tbl>
      <w:tblPr>
        <w:tblStyle w:val="25"/>
        <w:tblW w:w="8374" w:type="dxa"/>
        <w:jc w:val="center"/>
        <w:tblLayout w:type="fixed"/>
        <w:tblCellMar>
          <w:top w:w="0" w:type="dxa"/>
          <w:left w:w="108" w:type="dxa"/>
          <w:bottom w:w="0" w:type="dxa"/>
          <w:right w:w="108" w:type="dxa"/>
        </w:tblCellMar>
      </w:tblPr>
      <w:tblGrid>
        <w:gridCol w:w="1377"/>
        <w:gridCol w:w="6997"/>
      </w:tblGrid>
      <w:tr w14:paraId="40A27B28">
        <w:tblPrEx>
          <w:tblCellMar>
            <w:top w:w="0" w:type="dxa"/>
            <w:left w:w="108" w:type="dxa"/>
            <w:bottom w:w="0" w:type="dxa"/>
            <w:right w:w="108" w:type="dxa"/>
          </w:tblCellMar>
        </w:tblPrEx>
        <w:trPr>
          <w:tblHeader/>
          <w:jc w:val="center"/>
        </w:trPr>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F8C89B">
            <w:pPr>
              <w:widowControl/>
              <w:shd w:val="clear"/>
              <w:jc w:val="center"/>
              <w:textAlignment w:val="center"/>
              <w:rPr>
                <w:rFonts w:ascii="宋体" w:hAnsi="宋体" w:eastAsia="宋体" w:cs="宋体"/>
                <w:b/>
                <w:bCs/>
                <w:color w:val="000000"/>
                <w:szCs w:val="21"/>
                <w:highlight w:val="none"/>
              </w:rPr>
            </w:pPr>
            <w:r>
              <w:rPr>
                <w:rFonts w:hint="eastAsia" w:ascii="宋体" w:hAnsi="宋体" w:eastAsia="宋体" w:cs="宋体"/>
                <w:b/>
                <w:bCs/>
                <w:color w:val="000000"/>
                <w:kern w:val="0"/>
                <w:szCs w:val="21"/>
                <w:highlight w:val="none"/>
                <w:lang w:bidi="ar"/>
              </w:rPr>
              <w:t>功能模块</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BCA475B">
            <w:pPr>
              <w:widowControl/>
              <w:shd w:val="clear"/>
              <w:jc w:val="left"/>
              <w:textAlignment w:val="center"/>
              <w:rPr>
                <w:rFonts w:ascii="宋体" w:hAnsi="宋体" w:eastAsia="宋体" w:cs="宋体"/>
                <w:b/>
                <w:bCs/>
                <w:color w:val="000000"/>
                <w:szCs w:val="21"/>
                <w:highlight w:val="none"/>
              </w:rPr>
            </w:pPr>
            <w:r>
              <w:rPr>
                <w:rFonts w:hint="eastAsia" w:ascii="宋体" w:hAnsi="宋体" w:eastAsia="宋体" w:cs="宋体"/>
                <w:b/>
                <w:bCs/>
                <w:color w:val="000000"/>
                <w:szCs w:val="21"/>
                <w:highlight w:val="none"/>
              </w:rPr>
              <w:t>参数描述</w:t>
            </w:r>
          </w:p>
        </w:tc>
      </w:tr>
      <w:tr w14:paraId="297371DA">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9DCF9D7">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患者筛选器</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D8DBC7">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提供条件多样的筛选器快速定位患者，具体条件包括患者id、住院号、姓名、科室、性别、年龄区间、在院/出院状态、入院时间/出院时间区间、诊断等。</w:t>
            </w:r>
          </w:p>
        </w:tc>
      </w:tr>
      <w:tr w14:paraId="3771C2FE">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A5F1981">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7C391F7">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 xml:space="preserve">院患者列表信息展示功能：可根据用户权限配置的科室或病区、患者姓名、床号、住院号等条件进行快速筛选。 </w:t>
            </w:r>
          </w:p>
        </w:tc>
      </w:tr>
      <w:tr w14:paraId="62D6F4FB">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F3DCEEA">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患者床位卡</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9351574">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在院患者床位卡：支持可视化卡片形式展示包括床号、住院号、姓名、年龄、住院医生、入院诊断、入院时间护理等级、患者关注。</w:t>
            </w:r>
          </w:p>
        </w:tc>
      </w:tr>
      <w:tr w14:paraId="263A8E40">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76332F">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AC8A901">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在院患者床位卡标记：支持个性化视觉标记，按患者年龄（老年/儿童/新生儿）、性别展示专属头像；对手术患者添加醒目特殊标识。</w:t>
            </w:r>
          </w:p>
        </w:tc>
      </w:tr>
      <w:tr w14:paraId="49DACD96">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C269EDC">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345DBD9">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在院患者床位卡筛选：可根据用户权限配置的科室或病区、患者姓名、床号、住院号等条件进行快速筛选。</w:t>
            </w:r>
          </w:p>
        </w:tc>
      </w:tr>
      <w:tr w14:paraId="6ACBCA71">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A855B7C">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患者标注关注</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DF56266">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临床药师根据患者的病情、当前用药情况等条件决定是否对患者进行关注，关注可以分等级，并且将患者加入到不同的关注分类中。等级分类由临床药师维护，并且可以修改，同时可以对关注标识进行调整更改。</w:t>
            </w:r>
          </w:p>
        </w:tc>
      </w:tr>
      <w:tr w14:paraId="0D490078">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60CD06D">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AAAA289">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出院患者关注：支持对出院患者进行关注，并可查看患者病历。</w:t>
            </w:r>
          </w:p>
        </w:tc>
      </w:tr>
      <w:tr w14:paraId="64ED2FFF">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5DAE9E5">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04F989">
            <w:pPr>
              <w:pStyle w:val="65"/>
              <w:numPr>
                <w:ilvl w:val="0"/>
                <w:numId w:val="5"/>
              </w:numPr>
              <w:shd w:val="clear"/>
              <w:rPr>
                <w:rFonts w:ascii="宋体" w:hAnsi="宋体" w:cs="宋体"/>
                <w:szCs w:val="21"/>
                <w:highlight w:val="none"/>
              </w:rPr>
            </w:pPr>
            <w:r>
              <w:rPr>
                <w:rFonts w:hint="eastAsia" w:ascii="宋体" w:hAnsi="宋体" w:cs="宋体"/>
                <w:color w:val="000000"/>
                <w:kern w:val="0"/>
                <w:szCs w:val="21"/>
                <w:highlight w:val="none"/>
                <w:lang w:bidi="ar"/>
              </w:rPr>
              <w:t>重点患者关注和查询：可添对患者加重点关注标识，并支持对重点关注患者快速查询定位。</w:t>
            </w:r>
          </w:p>
        </w:tc>
      </w:tr>
      <w:tr w14:paraId="238A5274">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5059F6A">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患者统计</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D687C82">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支持从医院HIS系统中自动同步更新出（入）院患者诊断、出（入）院时间等信息。</w:t>
            </w:r>
          </w:p>
        </w:tc>
      </w:tr>
      <w:tr w14:paraId="06BCAEC3">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542C507">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20F211F">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支持根据用户科室病区权限、出院时间、病情、住院号、姓名等条件汇总统计患者数据。</w:t>
            </w:r>
          </w:p>
        </w:tc>
      </w:tr>
      <w:tr w14:paraId="475D4452">
        <w:tblPrEx>
          <w:tblCellMar>
            <w:top w:w="0" w:type="dxa"/>
            <w:left w:w="108" w:type="dxa"/>
            <w:bottom w:w="0" w:type="dxa"/>
            <w:right w:w="108" w:type="dxa"/>
          </w:tblCellMar>
        </w:tblPrEx>
        <w:trPr>
          <w:jc w:val="center"/>
        </w:trPr>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751448A">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患者临床信息</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8A8FAFA">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支持查询患者基本信息、付费身份、入院记录、病程记录、检验和查询结果、体温单。可以根据某项指标画出趋势图；检验异常值进行系统提醒。可以通过Web Service、浏览器（H5方式）等多种方式调阅其它系统的患者临床信息。</w:t>
            </w:r>
          </w:p>
        </w:tc>
      </w:tr>
      <w:tr w14:paraId="38079628">
        <w:tblPrEx>
          <w:tblCellMar>
            <w:top w:w="0" w:type="dxa"/>
            <w:left w:w="108" w:type="dxa"/>
            <w:bottom w:w="0" w:type="dxa"/>
            <w:right w:w="108" w:type="dxa"/>
          </w:tblCellMar>
        </w:tblPrEx>
        <w:trPr>
          <w:jc w:val="center"/>
        </w:trPr>
        <w:tc>
          <w:tcPr>
            <w:tcW w:w="1377" w:type="dxa"/>
            <w:tcBorders>
              <w:top w:val="single" w:color="000000" w:sz="4" w:space="0"/>
              <w:left w:val="single" w:color="000000" w:sz="4" w:space="0"/>
              <w:bottom w:val="single" w:color="auto" w:sz="4" w:space="0"/>
              <w:right w:val="single" w:color="000000" w:sz="4" w:space="0"/>
            </w:tcBorders>
            <w:shd w:val="clear" w:color="auto" w:fill="auto"/>
            <w:vAlign w:val="center"/>
          </w:tcPr>
          <w:p w14:paraId="6FF93AE5">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患者用药信息</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8AB4B51">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能够查询患者用药信息，包括药名、规格、单次用量、给药频次、给药途径、开立时间、已停药的显示停药时间、未停药的显示使用天数、医嘱状态(有效、无效、长期、临时、出院带药等)。</w:t>
            </w:r>
          </w:p>
        </w:tc>
      </w:tr>
      <w:tr w14:paraId="7D559C04">
        <w:tblPrEx>
          <w:tblCellMar>
            <w:top w:w="0" w:type="dxa"/>
            <w:left w:w="108" w:type="dxa"/>
            <w:bottom w:w="0" w:type="dxa"/>
            <w:right w:w="108" w:type="dxa"/>
          </w:tblCellMar>
        </w:tblPrEx>
        <w:trPr>
          <w:jc w:val="center"/>
        </w:trPr>
        <w:tc>
          <w:tcPr>
            <w:tcW w:w="1377"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40FF7205">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患者药学指标</w:t>
            </w: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25D5879B">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从药学视角全方位展示患者用药后的信息，供药师及时、准确把握患者用药后的相关情况。主要是对患者基本信息、生命体征信息、临床数据、历史医嘱等进行统一展示，对生命体征、检验指标进行趋势图展示，对于异常指标进行提示，并且能够支持药品说明书等数据的集成。</w:t>
            </w:r>
          </w:p>
        </w:tc>
      </w:tr>
      <w:tr w14:paraId="54449E96">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485A2D5C">
            <w:pPr>
              <w:shd w:val="clear"/>
              <w:jc w:val="center"/>
              <w:rPr>
                <w:rFonts w:ascii="宋体" w:hAnsi="宋体" w:eastAsia="宋体" w:cs="宋体"/>
                <w:color w:val="000000"/>
                <w:szCs w:val="21"/>
                <w:highlight w:val="none"/>
              </w:rPr>
            </w:pP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3DF793D6">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药师可对患者药学服务的工作进行记录、修改以及查看，包括查房记录、医嘱审核记录、药学评估、药历记录、药学监护记录。</w:t>
            </w:r>
          </w:p>
        </w:tc>
      </w:tr>
      <w:tr w14:paraId="00F5326E">
        <w:tblPrEx>
          <w:tblCellMar>
            <w:top w:w="0" w:type="dxa"/>
            <w:left w:w="108" w:type="dxa"/>
            <w:bottom w:w="0" w:type="dxa"/>
            <w:right w:w="108" w:type="dxa"/>
          </w:tblCellMar>
        </w:tblPrEx>
        <w:trPr>
          <w:jc w:val="center"/>
        </w:trPr>
        <w:tc>
          <w:tcPr>
            <w:tcW w:w="1377"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1006F5C9">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医生用药咨询</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10D4E33">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医生可对患者用药提出输入咨询问题，并且支持发送至药师界面，药师接收请求咨询时有提示功能，药师对咨询内容进行回复后，医生端有提示功能。</w:t>
            </w:r>
          </w:p>
        </w:tc>
      </w:tr>
      <w:tr w14:paraId="2EFF070E">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066A7C2">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CBF2D2B">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历史咨询记录可根据问题类型、药物类型、咨询状态、创建时间筛选查询。</w:t>
            </w:r>
          </w:p>
        </w:tc>
      </w:tr>
      <w:tr w14:paraId="70160C7E">
        <w:tblPrEx>
          <w:tblCellMar>
            <w:top w:w="0" w:type="dxa"/>
            <w:left w:w="108" w:type="dxa"/>
            <w:bottom w:w="0" w:type="dxa"/>
            <w:right w:w="108" w:type="dxa"/>
          </w:tblCellMar>
        </w:tblPrEx>
        <w:trPr>
          <w:jc w:val="center"/>
        </w:trPr>
        <w:tc>
          <w:tcPr>
            <w:tcW w:w="1377"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681F1A23">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患者用药审核</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C3BE247">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支持人工对每条医嘱标识审核意见及记录审核人/审核时间（以服务器时间为准）。</w:t>
            </w:r>
          </w:p>
        </w:tc>
      </w:tr>
      <w:tr w14:paraId="25A37139">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2300824">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D3F653">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支持药师人工进行批量或单条审核医嘱。</w:t>
            </w:r>
          </w:p>
        </w:tc>
      </w:tr>
      <w:tr w14:paraId="4D89C45D">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43809A1C">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0ED551">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支持人工对有问题的医嘱可以驳回，并可填写驳回理由，传送至医生界面。驳回理由可自定义维护模板。</w:t>
            </w:r>
          </w:p>
        </w:tc>
      </w:tr>
      <w:tr w14:paraId="00388AA6">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C51B01A">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8170F">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应提供基础的医嘱审核知识库，审核类型包括适应症、禁忌症、用法用量、频次、相互作用、配伍禁忌、重复用药，系统自动进行医嘱审核并显示系统审核结果。或对接</w:t>
            </w:r>
            <w:r>
              <w:rPr>
                <w:rFonts w:hint="eastAsia" w:ascii="宋体" w:hAnsi="宋体" w:eastAsia="宋体" w:cs="宋体"/>
                <w:color w:val="000000"/>
                <w:kern w:val="0"/>
                <w:szCs w:val="21"/>
                <w:highlight w:val="none"/>
                <w:lang w:val="en-US" w:eastAsia="zh-CN" w:bidi="ar"/>
              </w:rPr>
              <w:t>医</w:t>
            </w:r>
            <w:r>
              <w:rPr>
                <w:rFonts w:hint="eastAsia" w:ascii="宋体" w:hAnsi="宋体" w:eastAsia="宋体" w:cs="宋体"/>
                <w:color w:val="000000"/>
                <w:kern w:val="0"/>
                <w:szCs w:val="21"/>
                <w:highlight w:val="none"/>
                <w:lang w:bidi="ar"/>
              </w:rPr>
              <w:t>院第三方医嘱审核接口实现系统自动审核，供应商自行承担接口费用。如医院提供ai算力和ai接口，系统应有支持对接AI人工智能的能力，并且可在现有临床药师工作站基础上扩展AI 药学助手模块进行AI用药审核。</w:t>
            </w:r>
          </w:p>
        </w:tc>
      </w:tr>
      <w:tr w14:paraId="68ACC167">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4C40129">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1B3B4BE">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驳回的医嘱可以按照医嘱类型/审核人/时间/科室等进行查询。</w:t>
            </w:r>
          </w:p>
        </w:tc>
      </w:tr>
      <w:tr w14:paraId="4ABA1EE7">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9539B85">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DAACD07">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支持集成院内药品说明书系统或提供，并且点击医嘱药品可查看药品说明书。</w:t>
            </w:r>
          </w:p>
        </w:tc>
      </w:tr>
      <w:tr w14:paraId="550744B8">
        <w:tblPrEx>
          <w:tblCellMar>
            <w:top w:w="0" w:type="dxa"/>
            <w:left w:w="108" w:type="dxa"/>
            <w:bottom w:w="0" w:type="dxa"/>
            <w:right w:w="108" w:type="dxa"/>
          </w:tblCellMar>
        </w:tblPrEx>
        <w:trPr>
          <w:jc w:val="center"/>
        </w:trPr>
        <w:tc>
          <w:tcPr>
            <w:tcW w:w="1377"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532BFF01">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患者用药重整</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D9D48">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可在医嘱查询界面添加用药重整药品，支持多选。支持自定义添加药品做用药重整。</w:t>
            </w:r>
          </w:p>
        </w:tc>
      </w:tr>
      <w:tr w14:paraId="7A60FDC1">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69809A2">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6439F61">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提供药品重整规则库，根据药品设置给药频次，规则内容和规则提示内容。</w:t>
            </w:r>
          </w:p>
        </w:tc>
      </w:tr>
      <w:tr w14:paraId="158A6DD2">
        <w:tblPrEx>
          <w:tblCellMar>
            <w:top w:w="0" w:type="dxa"/>
            <w:left w:w="108" w:type="dxa"/>
            <w:bottom w:w="0" w:type="dxa"/>
            <w:right w:w="108" w:type="dxa"/>
          </w:tblCellMar>
        </w:tblPrEx>
        <w:trPr>
          <w:trHeight w:val="821" w:hRule="atLeast"/>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5E35AB7">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584C07">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根据用药重整规则自动生成用药重整单，药师可对用药重整内容进行调整和增加评价。</w:t>
            </w:r>
          </w:p>
        </w:tc>
      </w:tr>
      <w:tr w14:paraId="7C371123">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9688BC8">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BAEFBBF">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用药重整单可打印或导出word。</w:t>
            </w:r>
          </w:p>
        </w:tc>
      </w:tr>
      <w:tr w14:paraId="47C5EF7C">
        <w:tblPrEx>
          <w:tblCellMar>
            <w:top w:w="0" w:type="dxa"/>
            <w:left w:w="108" w:type="dxa"/>
            <w:bottom w:w="0" w:type="dxa"/>
            <w:right w:w="108" w:type="dxa"/>
          </w:tblCellMar>
        </w:tblPrEx>
        <w:trPr>
          <w:jc w:val="center"/>
        </w:trPr>
        <w:tc>
          <w:tcPr>
            <w:tcW w:w="1377"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771049AF">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患者用药教育</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AC15D4A">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根据出院带药或其他医嘱，自动生成用药教育单。也可以修改和选择其他药物，生成用药教育单。提供用药教育基本内容的知识库模板，并且支持自主维护和修改用药教育的模板。</w:t>
            </w:r>
          </w:p>
        </w:tc>
      </w:tr>
      <w:tr w14:paraId="695181AF">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E31F13E">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334775">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支持对患者进行个性化用药指导，并支持打印生成纸质用药指导单，交给患者。</w:t>
            </w:r>
          </w:p>
        </w:tc>
      </w:tr>
      <w:tr w14:paraId="3C536A2E">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0491BCD">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A302F8">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提供用药教育知识库:内容包括用药方法、药物与食物、注意事项、运动员、驾驶和操作机器、妊娠及哺乳、老年人、儿童、肝功能不全、肾功能不全、用药监测、药师意见；</w:t>
            </w:r>
          </w:p>
        </w:tc>
      </w:tr>
      <w:tr w14:paraId="73F55DB0">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B7BF988">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6B9E050">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用药教育知识库内容需由专业药师且具备药学专业中级及以上从业资格的药学专员制作与审核。</w:t>
            </w:r>
          </w:p>
        </w:tc>
      </w:tr>
      <w:tr w14:paraId="3993C4AF">
        <w:tblPrEx>
          <w:tblCellMar>
            <w:top w:w="0" w:type="dxa"/>
            <w:left w:w="108" w:type="dxa"/>
            <w:bottom w:w="0" w:type="dxa"/>
            <w:right w:w="108" w:type="dxa"/>
          </w:tblCellMar>
        </w:tblPrEx>
        <w:trPr>
          <w:jc w:val="center"/>
        </w:trPr>
        <w:tc>
          <w:tcPr>
            <w:tcW w:w="1377" w:type="dxa"/>
            <w:vMerge w:val="restart"/>
            <w:tcBorders>
              <w:top w:val="single" w:color="auto" w:sz="4" w:space="0"/>
              <w:left w:val="single" w:color="000000" w:sz="4" w:space="0"/>
              <w:bottom w:val="single" w:color="auto" w:sz="4" w:space="0"/>
              <w:right w:val="single" w:color="000000" w:sz="4" w:space="0"/>
            </w:tcBorders>
            <w:shd w:val="clear" w:color="auto" w:fill="auto"/>
            <w:vAlign w:val="center"/>
          </w:tcPr>
          <w:p w14:paraId="4390DFFF">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通用评估表单</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5CC4778">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住院患者药学评估登记表入院药学评估</w:t>
            </w:r>
          </w:p>
        </w:tc>
      </w:tr>
      <w:tr w14:paraId="276D6357">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C062926">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0325FA">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碳青霉烯类抗菌药物临床应用评价表</w:t>
            </w:r>
          </w:p>
        </w:tc>
      </w:tr>
      <w:tr w14:paraId="0DA0B107">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2AB2C405">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39E5F11">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肝肾功能评级</w:t>
            </w:r>
          </w:p>
        </w:tc>
      </w:tr>
      <w:tr w14:paraId="2059E41B">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DAD7EB6">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701BEAA9">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住院患者糖皮质激素类药物临床应用评价表</w:t>
            </w:r>
          </w:p>
        </w:tc>
      </w:tr>
      <w:tr w14:paraId="2732896C">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699097C">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66DEC92">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Morisky用药依从性问卷</w:t>
            </w:r>
          </w:p>
        </w:tc>
      </w:tr>
      <w:tr w14:paraId="6D11CD30">
        <w:tblPrEx>
          <w:tblCellMar>
            <w:top w:w="0" w:type="dxa"/>
            <w:left w:w="108" w:type="dxa"/>
            <w:bottom w:w="0" w:type="dxa"/>
            <w:right w:w="108" w:type="dxa"/>
          </w:tblCellMar>
        </w:tblPrEx>
        <w:trPr>
          <w:jc w:val="center"/>
        </w:trPr>
        <w:tc>
          <w:tcPr>
            <w:tcW w:w="1377" w:type="dxa"/>
            <w:tcBorders>
              <w:top w:val="single" w:color="auto" w:sz="4" w:space="0"/>
              <w:left w:val="single" w:color="000000" w:sz="4" w:space="0"/>
              <w:bottom w:val="single" w:color="000000" w:sz="4" w:space="0"/>
              <w:right w:val="single" w:color="000000" w:sz="4" w:space="0"/>
            </w:tcBorders>
            <w:shd w:val="clear" w:color="auto" w:fill="auto"/>
            <w:vAlign w:val="center"/>
          </w:tcPr>
          <w:p w14:paraId="58B7C8C0">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专科评估表单</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63CACA7">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针对呼吸内科、内分泌、神经内科、肠道营养、心血管内科、血液科等建立专科专病评估量表</w:t>
            </w:r>
          </w:p>
        </w:tc>
      </w:tr>
      <w:tr w14:paraId="74E69434">
        <w:tblPrEx>
          <w:tblCellMar>
            <w:top w:w="0" w:type="dxa"/>
            <w:left w:w="108" w:type="dxa"/>
            <w:bottom w:w="0" w:type="dxa"/>
            <w:right w:w="108" w:type="dxa"/>
          </w:tblCellMar>
        </w:tblPrEx>
        <w:trPr>
          <w:jc w:val="center"/>
        </w:trPr>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0D95FA1">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自定义评估量表</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717E53E">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支持根据用户要求自定义新评估量表。</w:t>
            </w:r>
          </w:p>
        </w:tc>
      </w:tr>
      <w:tr w14:paraId="40722974">
        <w:tblPrEx>
          <w:tblCellMar>
            <w:top w:w="0" w:type="dxa"/>
            <w:left w:w="108" w:type="dxa"/>
            <w:bottom w:w="0" w:type="dxa"/>
            <w:right w:w="108" w:type="dxa"/>
          </w:tblCellMar>
        </w:tblPrEx>
        <w:trPr>
          <w:trHeight w:val="624" w:hRule="atLeast"/>
          <w:jc w:val="center"/>
        </w:trPr>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B584F28">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药学监护模板</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F2E5EC7">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监护可分为soap、疗效、安全性、依从性监护模板。</w:t>
            </w:r>
          </w:p>
          <w:p w14:paraId="77AE619B">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对应内容可word导出。</w:t>
            </w:r>
          </w:p>
        </w:tc>
      </w:tr>
      <w:tr w14:paraId="1C5321DE">
        <w:tblPrEx>
          <w:tblCellMar>
            <w:top w:w="0" w:type="dxa"/>
            <w:left w:w="108" w:type="dxa"/>
            <w:bottom w:w="0" w:type="dxa"/>
            <w:right w:w="108" w:type="dxa"/>
          </w:tblCellMar>
        </w:tblPrEx>
        <w:trPr>
          <w:jc w:val="center"/>
        </w:trPr>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9FCA8F4">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常用工具</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1D3B571">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医药公式：系统应提供常用的医药学公式，包括心脏学、肺脏学、肾脏学、儿科学、神经学等公式，并提供计算功能；</w:t>
            </w:r>
          </w:p>
        </w:tc>
      </w:tr>
      <w:tr w14:paraId="07D46A82">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C17006B">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患者药学监护</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260F92">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highlight w:val="none"/>
              </w:rPr>
              <w:t>★具备功能：</w:t>
            </w:r>
            <w:r>
              <w:rPr>
                <w:rFonts w:hint="eastAsia" w:ascii="宋体" w:hAnsi="宋体" w:eastAsia="宋体" w:cs="宋体"/>
                <w:color w:val="000000"/>
                <w:kern w:val="0"/>
                <w:szCs w:val="21"/>
                <w:highlight w:val="none"/>
                <w:lang w:bidi="ar"/>
              </w:rPr>
              <w:t>药师可为选定的病人设定监护计划。监护计划包含：监护类型选择，监护频率，监护指标选择。监护指标主要为各项检验指标。药师可依据监护指标的变化，提供规定频次的药学服务。监护计划创建后可根据监护药物和检验指标的升高降低来进行监护干预填写干预方案</w:t>
            </w:r>
            <w:r>
              <w:rPr>
                <w:rFonts w:hint="eastAsia" w:ascii="宋体" w:hAnsi="宋体" w:eastAsia="宋体" w:cs="宋体"/>
                <w:b/>
                <w:bCs/>
                <w:color w:val="000000"/>
                <w:kern w:val="0"/>
                <w:szCs w:val="21"/>
                <w:highlight w:val="none"/>
                <w:lang w:bidi="ar"/>
              </w:rPr>
              <w:t>（投标文件提供承诺函）。</w:t>
            </w:r>
          </w:p>
        </w:tc>
      </w:tr>
      <w:tr w14:paraId="4B37639D">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3CDA54">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1F7AB8F">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提供重点监护配置，包括检验、诊断、手术、生命体征、检查、药物、特殊人群可自定义设置监护阈值。系统可自动监护重点患者，并且可在查看重点患者信息时进行提示。</w:t>
            </w:r>
          </w:p>
        </w:tc>
      </w:tr>
      <w:tr w14:paraId="20E60EB9">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92DA69F">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C49479C">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默认查询执行中的医嘱，可快速查看患者用药情况和生命体征与用药时间的关系。</w:t>
            </w:r>
          </w:p>
        </w:tc>
      </w:tr>
      <w:tr w14:paraId="2EFE3F9F">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E883A79">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E4986EA">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可在医嘱中添加监护备注。</w:t>
            </w:r>
          </w:p>
        </w:tc>
      </w:tr>
      <w:tr w14:paraId="4D3A1030">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874D478">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患者查房记录</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5CB60D0">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移动端软件及设备可提供药师查房过程中的拍照、录音、录像和手写功能的多媒体记录。</w:t>
            </w:r>
          </w:p>
        </w:tc>
      </w:tr>
      <w:tr w14:paraId="2E701E71">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A94BD67">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C9A5B44">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可通过时间轴或列表的形式，直观的展示药师查房工作内容。</w:t>
            </w:r>
          </w:p>
        </w:tc>
      </w:tr>
      <w:tr w14:paraId="1E65918F">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BBDAF4">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1653CBC">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移动端和pc端支持查房日志文本记录和修改，并且移动端和pc端数据保证数据一致性。</w:t>
            </w:r>
          </w:p>
        </w:tc>
      </w:tr>
      <w:tr w14:paraId="7F05212A">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auto" w:sz="4" w:space="0"/>
              <w:right w:val="single" w:color="000000" w:sz="4" w:space="0"/>
            </w:tcBorders>
            <w:shd w:val="clear" w:color="auto" w:fill="auto"/>
            <w:vAlign w:val="center"/>
          </w:tcPr>
          <w:p w14:paraId="070CCB0D">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2C638E">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支持直接通过word文档的方式，导出查房记录内容。</w:t>
            </w:r>
          </w:p>
        </w:tc>
      </w:tr>
      <w:tr w14:paraId="3AB30B69">
        <w:tblPrEx>
          <w:tblCellMar>
            <w:top w:w="0" w:type="dxa"/>
            <w:left w:w="108" w:type="dxa"/>
            <w:bottom w:w="0" w:type="dxa"/>
            <w:right w:w="108" w:type="dxa"/>
          </w:tblCellMar>
        </w:tblPrEx>
        <w:trPr>
          <w:jc w:val="center"/>
        </w:trPr>
        <w:tc>
          <w:tcPr>
            <w:tcW w:w="1377" w:type="dxa"/>
            <w:vMerge w:val="restart"/>
            <w:tcBorders>
              <w:top w:val="single" w:color="auto" w:sz="4" w:space="0"/>
              <w:left w:val="single" w:color="000000" w:sz="4" w:space="0"/>
              <w:bottom w:val="single" w:color="auto" w:sz="4" w:space="0"/>
              <w:right w:val="single" w:color="auto" w:sz="4" w:space="0"/>
            </w:tcBorders>
            <w:shd w:val="clear" w:color="auto" w:fill="auto"/>
            <w:vAlign w:val="center"/>
          </w:tcPr>
          <w:p w14:paraId="62C3D2CC">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患者电子药历</w:t>
            </w: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519261DE">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提供根据电子病历信息生成SOAP格式的电子药历，详细记录病人药学相关信息，为药学科研与教学工作提供结构化数据支持。</w:t>
            </w:r>
          </w:p>
        </w:tc>
      </w:tr>
      <w:tr w14:paraId="58DDE2AF">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4F563262">
            <w:pPr>
              <w:shd w:val="clear"/>
              <w:jc w:val="center"/>
              <w:rPr>
                <w:rFonts w:ascii="宋体" w:hAnsi="宋体" w:eastAsia="宋体" w:cs="宋体"/>
                <w:color w:val="000000"/>
                <w:szCs w:val="21"/>
                <w:highlight w:val="none"/>
              </w:rPr>
            </w:pP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3070502D">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药历首页：首页包括患者基本信息、主诉、现病史、既往史、个人史、家族史等。可填写初始治疗方案分析，快速选择初始治疗药物。</w:t>
            </w:r>
          </w:p>
        </w:tc>
      </w:tr>
      <w:tr w14:paraId="64C9A24A">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5B7B843D">
            <w:pPr>
              <w:shd w:val="clear"/>
              <w:jc w:val="center"/>
              <w:rPr>
                <w:rFonts w:ascii="宋体" w:hAnsi="宋体" w:eastAsia="宋体" w:cs="宋体"/>
                <w:color w:val="000000"/>
                <w:szCs w:val="21"/>
                <w:highlight w:val="none"/>
              </w:rPr>
            </w:pP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4B5DAC5">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可记录药物治疗日志：自定义加入查房记录/病程记录/检验/检查内容，记录监护计划和监护结果。</w:t>
            </w:r>
          </w:p>
        </w:tc>
      </w:tr>
      <w:tr w14:paraId="3F2328E3">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6EBA3503">
            <w:pPr>
              <w:shd w:val="clear"/>
              <w:jc w:val="center"/>
              <w:rPr>
                <w:rFonts w:ascii="宋体" w:hAnsi="宋体" w:eastAsia="宋体" w:cs="宋体"/>
                <w:color w:val="000000"/>
                <w:szCs w:val="21"/>
                <w:highlight w:val="none"/>
              </w:rPr>
            </w:pP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6DE95CBC">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可设置药物治疗评价：包括1.完整治疗过程的总结性分析意见，2.临床药师在本次治疗中参与药物治疗工作的总结3.患者出院后继续治疗方案和用药指导4.治疗需要的随访计划和应自行监测的指标。</w:t>
            </w:r>
          </w:p>
        </w:tc>
      </w:tr>
      <w:tr w14:paraId="4DE0052E">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6B71C94E">
            <w:pPr>
              <w:shd w:val="clear"/>
              <w:jc w:val="center"/>
              <w:rPr>
                <w:rFonts w:ascii="宋体" w:hAnsi="宋体" w:eastAsia="宋体" w:cs="宋体"/>
                <w:color w:val="000000"/>
                <w:szCs w:val="21"/>
                <w:highlight w:val="none"/>
              </w:rPr>
            </w:pP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2341659A">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可查看和添加药历评价：如临床带教老师评语，药学带教老师评语。</w:t>
            </w:r>
          </w:p>
        </w:tc>
      </w:tr>
      <w:tr w14:paraId="052AA141">
        <w:tblPrEx>
          <w:tblCellMar>
            <w:top w:w="0" w:type="dxa"/>
            <w:left w:w="108" w:type="dxa"/>
            <w:bottom w:w="0" w:type="dxa"/>
            <w:right w:w="108" w:type="dxa"/>
          </w:tblCellMar>
        </w:tblPrEx>
        <w:trPr>
          <w:jc w:val="center"/>
        </w:trPr>
        <w:tc>
          <w:tcPr>
            <w:tcW w:w="1377" w:type="dxa"/>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46DC0C85">
            <w:pPr>
              <w:shd w:val="clear"/>
              <w:jc w:val="center"/>
              <w:rPr>
                <w:rFonts w:ascii="宋体" w:hAnsi="宋体" w:eastAsia="宋体" w:cs="宋体"/>
                <w:color w:val="000000"/>
                <w:szCs w:val="21"/>
                <w:highlight w:val="none"/>
              </w:rPr>
            </w:pPr>
          </w:p>
        </w:tc>
        <w:tc>
          <w:tcPr>
            <w:tcW w:w="6997" w:type="dxa"/>
            <w:tcBorders>
              <w:top w:val="single" w:color="000000" w:sz="4" w:space="0"/>
              <w:left w:val="single" w:color="auto" w:sz="4" w:space="0"/>
              <w:bottom w:val="single" w:color="000000" w:sz="4" w:space="0"/>
              <w:right w:val="single" w:color="000000" w:sz="4" w:space="0"/>
            </w:tcBorders>
            <w:shd w:val="clear" w:color="auto" w:fill="auto"/>
            <w:vAlign w:val="center"/>
          </w:tcPr>
          <w:p w14:paraId="77994722">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可单独设定主任药师权限，并支持对批注学员账号填写的药历进行批注留痕。</w:t>
            </w:r>
          </w:p>
        </w:tc>
      </w:tr>
      <w:tr w14:paraId="12D1D524">
        <w:tblPrEx>
          <w:tblCellMar>
            <w:top w:w="0" w:type="dxa"/>
            <w:left w:w="108" w:type="dxa"/>
            <w:bottom w:w="0" w:type="dxa"/>
            <w:right w:w="108" w:type="dxa"/>
          </w:tblCellMar>
        </w:tblPrEx>
        <w:trPr>
          <w:jc w:val="center"/>
        </w:trPr>
        <w:tc>
          <w:tcPr>
            <w:tcW w:w="1377" w:type="dxa"/>
            <w:tcBorders>
              <w:top w:val="single" w:color="auto" w:sz="4" w:space="0"/>
              <w:left w:val="single" w:color="000000" w:sz="4" w:space="0"/>
              <w:bottom w:val="single" w:color="000000" w:sz="4" w:space="0"/>
              <w:right w:val="single" w:color="000000" w:sz="4" w:space="0"/>
            </w:tcBorders>
            <w:shd w:val="clear" w:color="auto" w:fill="auto"/>
            <w:vAlign w:val="center"/>
          </w:tcPr>
          <w:p w14:paraId="52202F6E">
            <w:pPr>
              <w:widowControl/>
              <w:shd w:val="clear"/>
              <w:jc w:val="center"/>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临床会诊</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0D2DAFF">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rPr>
              <w:t>提供抓取HIS中的药师会诊记录。</w:t>
            </w:r>
          </w:p>
        </w:tc>
      </w:tr>
      <w:tr w14:paraId="2A431BA8">
        <w:tblPrEx>
          <w:tblCellMar>
            <w:top w:w="0" w:type="dxa"/>
            <w:left w:w="108" w:type="dxa"/>
            <w:bottom w:w="0" w:type="dxa"/>
            <w:right w:w="108" w:type="dxa"/>
          </w:tblCellMar>
        </w:tblPrEx>
        <w:trPr>
          <w:jc w:val="center"/>
        </w:trPr>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056FF9B7">
            <w:pPr>
              <w:widowControl/>
              <w:shd w:val="clear"/>
              <w:jc w:val="center"/>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统计分析</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F8F30C3">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rPr>
              <w:t>提供会诊统计功能，可根据会诊目的、会诊类型、病种等方面统计，会诊记录能以PDF 或OFFICE格式导出。</w:t>
            </w:r>
          </w:p>
        </w:tc>
      </w:tr>
      <w:tr w14:paraId="1E82CCC1">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3C35EB">
            <w:pPr>
              <w:widowControl/>
              <w:shd w:val="clear"/>
              <w:jc w:val="center"/>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科室管理与绩效考核</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23E87445">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提供文件管理，包括支持文件创建、修改、删除、文件归类。提供科室内部的工作讨论和信息沟通平台。</w:t>
            </w:r>
          </w:p>
        </w:tc>
      </w:tr>
      <w:tr w14:paraId="7403E937">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F90205F">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3B0E14A6">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提供药师工作量统计功能，如药师查房次数、用药建议数、医嘱审核次数。</w:t>
            </w:r>
          </w:p>
        </w:tc>
      </w:tr>
      <w:tr w14:paraId="52497CF2">
        <w:tblPrEx>
          <w:tblCellMar>
            <w:top w:w="0" w:type="dxa"/>
            <w:left w:w="108" w:type="dxa"/>
            <w:bottom w:w="0" w:type="dxa"/>
            <w:right w:w="108" w:type="dxa"/>
          </w:tblCellMar>
        </w:tblPrEx>
        <w:trPr>
          <w:jc w:val="center"/>
        </w:trPr>
        <w:tc>
          <w:tcPr>
            <w:tcW w:w="1377" w:type="dxa"/>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6B03F7">
            <w:pPr>
              <w:shd w:val="clear"/>
              <w:jc w:val="center"/>
              <w:rPr>
                <w:rFonts w:ascii="宋体" w:hAnsi="宋体" w:eastAsia="宋体" w:cs="宋体"/>
                <w:color w:val="000000"/>
                <w:szCs w:val="21"/>
                <w:highlight w:val="none"/>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18A87768">
            <w:pPr>
              <w:widowControl/>
              <w:numPr>
                <w:ilvl w:val="0"/>
                <w:numId w:val="5"/>
              </w:numPr>
              <w:shd w:val="clear"/>
              <w:jc w:val="left"/>
              <w:textAlignment w:val="center"/>
              <w:rPr>
                <w:rFonts w:ascii="宋体" w:hAnsi="宋体" w:eastAsia="宋体" w:cs="宋体"/>
                <w:color w:val="000000"/>
                <w:szCs w:val="21"/>
                <w:highlight w:val="none"/>
              </w:rPr>
            </w:pPr>
            <w:r>
              <w:rPr>
                <w:rFonts w:hint="eastAsia" w:ascii="宋体" w:hAnsi="宋体" w:eastAsia="宋体" w:cs="宋体"/>
                <w:color w:val="000000"/>
                <w:kern w:val="0"/>
                <w:szCs w:val="21"/>
                <w:highlight w:val="none"/>
                <w:lang w:bidi="ar"/>
              </w:rPr>
              <w:t>提供统计数据图形化展示，如折线图、饼图、条形图。</w:t>
            </w:r>
          </w:p>
        </w:tc>
      </w:tr>
      <w:tr w14:paraId="7413144A">
        <w:tblPrEx>
          <w:tblCellMar>
            <w:top w:w="0" w:type="dxa"/>
            <w:left w:w="108" w:type="dxa"/>
            <w:bottom w:w="0" w:type="dxa"/>
            <w:right w:w="108" w:type="dxa"/>
          </w:tblCellMar>
        </w:tblPrEx>
        <w:trPr>
          <w:jc w:val="center"/>
        </w:trPr>
        <w:tc>
          <w:tcPr>
            <w:tcW w:w="1377" w:type="dxa"/>
            <w:vMerge w:val="restart"/>
            <w:tcBorders>
              <w:top w:val="single" w:color="000000" w:sz="4" w:space="0"/>
              <w:left w:val="single" w:color="000000" w:sz="4" w:space="0"/>
              <w:right w:val="single" w:color="000000" w:sz="4" w:space="0"/>
            </w:tcBorders>
            <w:shd w:val="clear" w:color="auto" w:fill="auto"/>
            <w:vAlign w:val="center"/>
          </w:tcPr>
          <w:p w14:paraId="08808FFC">
            <w:pPr>
              <w:widowControl/>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西成药药嘱服务</w:t>
            </w: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E59C975">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数据自动对接：支持与HIS、EMR等系统实时交互，自动获取患者诊断、检验检查结果、当前及历史处方信息。</w:t>
            </w:r>
          </w:p>
          <w:p w14:paraId="5A97561D">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患者端查询：支持患者绑定个人信息后，通过医院公众号/小程序查看个人处方记录及用药指导。</w:t>
            </w:r>
          </w:p>
          <w:p w14:paraId="74925C84">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标准化用药指导生成：支持依据处方自动生成包含药品名称、适应证、用法用量、注意事项、储存条件、疗程等内容的个体化指导单。</w:t>
            </w:r>
          </w:p>
          <w:p w14:paraId="2941E8D7">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药师个性化干预：支持药师调取患者既往史、过敏史、用药史及特殊人群标识（孕妇、儿童、老人、肝肾功能不全者），编辑并推送个性化用药指导。</w:t>
            </w:r>
          </w:p>
          <w:p w14:paraId="70144CEA">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特殊人群智能提醒：系统应自动对特殊人群处方进行标注和提示。</w:t>
            </w:r>
          </w:p>
        </w:tc>
      </w:tr>
      <w:tr w14:paraId="1F2EA7AA">
        <w:tblPrEx>
          <w:tblCellMar>
            <w:top w:w="0" w:type="dxa"/>
            <w:left w:w="108" w:type="dxa"/>
            <w:bottom w:w="0" w:type="dxa"/>
            <w:right w:w="108" w:type="dxa"/>
          </w:tblCellMar>
        </w:tblPrEx>
        <w:trPr>
          <w:jc w:val="center"/>
        </w:trPr>
        <w:tc>
          <w:tcPr>
            <w:tcW w:w="1377" w:type="dxa"/>
            <w:vMerge w:val="continue"/>
            <w:tcBorders>
              <w:left w:val="single" w:color="000000" w:sz="4" w:space="0"/>
              <w:bottom w:val="single" w:color="000000" w:sz="4" w:space="0"/>
              <w:right w:val="single" w:color="000000" w:sz="4" w:space="0"/>
            </w:tcBorders>
            <w:shd w:val="clear" w:color="auto" w:fill="auto"/>
            <w:vAlign w:val="center"/>
          </w:tcPr>
          <w:p w14:paraId="600B4F5C">
            <w:pPr>
              <w:widowControl/>
              <w:shd w:val="clear"/>
              <w:jc w:val="left"/>
              <w:textAlignment w:val="center"/>
              <w:rPr>
                <w:rFonts w:ascii="宋体" w:hAnsi="宋体" w:eastAsia="宋体" w:cs="宋体"/>
                <w:color w:val="000000"/>
                <w:kern w:val="0"/>
                <w:szCs w:val="21"/>
                <w:highlight w:val="none"/>
                <w:lang w:bidi="ar"/>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549BF9AF">
            <w:pPr>
              <w:widowControl/>
              <w:numPr>
                <w:ilvl w:val="0"/>
                <w:numId w:val="5"/>
              </w:numPr>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统计报表：</w:t>
            </w:r>
          </w:p>
          <w:p w14:paraId="474F85DD">
            <w:pPr>
              <w:widowControl/>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①系统应自动统计服务覆盖率（已生成指导单处方数/总处方数），支持按时间、科室等维度筛选。</w:t>
            </w:r>
          </w:p>
          <w:p w14:paraId="1CFC929D">
            <w:pPr>
              <w:widowControl/>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② 系统应自动记录药师后台维护操作量、人工干预频次及原因分类，生成统计报表，为知识库优化提供依据。</w:t>
            </w:r>
          </w:p>
          <w:p w14:paraId="2E07F6E5">
            <w:pPr>
              <w:widowControl/>
              <w:shd w:val="clear"/>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③ 系统应支持向患者推送满意度调查，收集清晰度、有用性评分及文字反馈，并汇总评分趋势分析。</w:t>
            </w:r>
          </w:p>
        </w:tc>
      </w:tr>
      <w:tr w14:paraId="59C060CD">
        <w:tblPrEx>
          <w:tblCellMar>
            <w:top w:w="0" w:type="dxa"/>
            <w:left w:w="108" w:type="dxa"/>
            <w:bottom w:w="0" w:type="dxa"/>
            <w:right w:w="108" w:type="dxa"/>
          </w:tblCellMar>
        </w:tblPrEx>
        <w:trPr>
          <w:jc w:val="center"/>
        </w:trPr>
        <w:tc>
          <w:tcPr>
            <w:tcW w:w="137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6FEBAB87">
            <w:pPr>
              <w:widowControl/>
              <w:shd w:val="clear"/>
              <w:jc w:val="left"/>
              <w:textAlignment w:val="center"/>
              <w:rPr>
                <w:rFonts w:ascii="宋体" w:hAnsi="宋体" w:eastAsia="宋体" w:cs="宋体"/>
                <w:color w:val="000000"/>
                <w:kern w:val="0"/>
                <w:szCs w:val="21"/>
                <w:highlight w:val="none"/>
                <w:lang w:bidi="ar"/>
              </w:rPr>
            </w:pPr>
          </w:p>
        </w:tc>
        <w:tc>
          <w:tcPr>
            <w:tcW w:w="6997" w:type="dxa"/>
            <w:tcBorders>
              <w:top w:val="single" w:color="000000" w:sz="4" w:space="0"/>
              <w:left w:val="single" w:color="000000" w:sz="4" w:space="0"/>
              <w:bottom w:val="single" w:color="000000" w:sz="4" w:space="0"/>
              <w:right w:val="single" w:color="000000" w:sz="4" w:space="0"/>
            </w:tcBorders>
            <w:shd w:val="clear" w:color="auto" w:fill="auto"/>
            <w:vAlign w:val="center"/>
          </w:tcPr>
          <w:p w14:paraId="4D44E969">
            <w:pPr>
              <w:widowControl/>
              <w:numPr>
                <w:ilvl w:val="0"/>
                <w:numId w:val="5"/>
              </w:numPr>
              <w:shd w:val="clear"/>
              <w:jc w:val="left"/>
              <w:textAlignment w:val="center"/>
              <w:rPr>
                <w:rFonts w:ascii="宋体" w:hAnsi="宋体" w:eastAsia="宋体" w:cs="宋体"/>
                <w:color w:val="0000FF"/>
                <w:kern w:val="0"/>
                <w:szCs w:val="21"/>
                <w:highlight w:val="none"/>
                <w:lang w:bidi="ar"/>
              </w:rPr>
            </w:pPr>
            <w:r>
              <w:rPr>
                <w:rFonts w:hint="eastAsia" w:ascii="宋体" w:hAnsi="宋体" w:eastAsia="宋体" w:cs="宋体"/>
                <w:color w:val="000000"/>
                <w:kern w:val="0"/>
                <w:szCs w:val="21"/>
                <w:highlight w:val="none"/>
                <w:lang w:bidi="ar"/>
              </w:rPr>
              <w:t>数据维护：系统需提供维护界面，支持药师自主增、删、改药品品种及基础数据，并支持数据查看与管理；支持按最新版药品说明书更新并展示内容，确保知识库时效性。</w:t>
            </w:r>
          </w:p>
        </w:tc>
      </w:tr>
    </w:tbl>
    <w:p w14:paraId="6A4BB823">
      <w:pPr>
        <w:shd w:val="clear"/>
        <w:spacing w:before="312" w:beforeLines="100" w:line="360" w:lineRule="auto"/>
        <w:jc w:val="center"/>
        <w:rPr>
          <w:rFonts w:ascii="仿宋" w:hAnsi="仿宋" w:eastAsia="仿宋" w:cs="仿宋"/>
          <w:b/>
          <w:bCs/>
          <w:kern w:val="44"/>
          <w:sz w:val="24"/>
          <w:highlight w:val="none"/>
        </w:rPr>
      </w:pPr>
      <w:r>
        <w:rPr>
          <w:rFonts w:hint="eastAsia" w:ascii="仿宋" w:hAnsi="仿宋" w:eastAsia="仿宋" w:cs="仿宋"/>
          <w:b/>
          <w:bCs/>
          <w:kern w:val="44"/>
          <w:sz w:val="24"/>
          <w:highlight w:val="none"/>
        </w:rPr>
        <w:t>产品3智能取药柜</w:t>
      </w:r>
    </w:p>
    <w:p w14:paraId="7DCA69BB">
      <w:pPr>
        <w:shd w:val="clear"/>
        <w:spacing w:line="360" w:lineRule="auto"/>
        <w:rPr>
          <w:rFonts w:ascii="宋体" w:hAnsi="宋体" w:eastAsia="宋体"/>
          <w:b/>
          <w:bCs/>
          <w:szCs w:val="21"/>
          <w:highlight w:val="none"/>
        </w:rPr>
      </w:pPr>
      <w:r>
        <w:rPr>
          <w:rFonts w:hint="eastAsia" w:ascii="宋体" w:hAnsi="宋体" w:eastAsia="宋体"/>
          <w:b/>
          <w:bCs/>
          <w:szCs w:val="21"/>
          <w:highlight w:val="none"/>
        </w:rPr>
        <w:t>（一）智能自助取药柜场景效果</w:t>
      </w:r>
    </w:p>
    <w:p w14:paraId="2FF008A3">
      <w:pPr>
        <w:widowControl/>
        <w:numPr>
          <w:ilvl w:val="0"/>
          <w:numId w:val="6"/>
        </w:numPr>
        <w:shd w:val="clear"/>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患者凭处方或取药码，通过触屏输入或扫码方式，在自助取药柜完成身份验证并取药，全程无需人工干预。</w:t>
      </w:r>
    </w:p>
    <w:p w14:paraId="6FFC3C3B">
      <w:pPr>
        <w:widowControl/>
        <w:numPr>
          <w:ilvl w:val="0"/>
          <w:numId w:val="6"/>
        </w:numPr>
        <w:shd w:val="clear"/>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支持恒温药品（如中药饮片、需冷藏药品）与常温药品分柜存储，确保药品质量。</w:t>
      </w:r>
    </w:p>
    <w:p w14:paraId="14360239">
      <w:pPr>
        <w:widowControl/>
        <w:numPr>
          <w:ilvl w:val="0"/>
          <w:numId w:val="6"/>
        </w:numPr>
        <w:shd w:val="clear"/>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取药信息实时回传至中药房系统，实现取药状态同步，便于药师跟踪与管理。</w:t>
      </w:r>
    </w:p>
    <w:p w14:paraId="5A253A63">
      <w:pPr>
        <w:widowControl/>
        <w:numPr>
          <w:ilvl w:val="0"/>
          <w:numId w:val="6"/>
        </w:numPr>
        <w:shd w:val="clear"/>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支持短信通知患者取药，提升就医体验与效率。</w:t>
      </w:r>
    </w:p>
    <w:p w14:paraId="00F6F829">
      <w:pPr>
        <w:numPr>
          <w:ilvl w:val="0"/>
          <w:numId w:val="7"/>
        </w:numPr>
        <w:shd w:val="clear"/>
        <w:spacing w:line="360" w:lineRule="auto"/>
        <w:rPr>
          <w:rFonts w:ascii="宋体" w:hAnsi="宋体" w:eastAsia="宋体"/>
          <w:b/>
          <w:bCs/>
          <w:szCs w:val="21"/>
          <w:highlight w:val="none"/>
        </w:rPr>
      </w:pPr>
      <w:r>
        <w:rPr>
          <w:rFonts w:hint="eastAsia" w:ascii="宋体" w:hAnsi="宋体" w:eastAsia="宋体"/>
          <w:b/>
          <w:bCs/>
          <w:szCs w:val="21"/>
          <w:highlight w:val="none"/>
        </w:rPr>
        <w:t>建设内容</w:t>
      </w:r>
    </w:p>
    <w:p w14:paraId="71FBA75B">
      <w:pPr>
        <w:widowControl/>
        <w:numPr>
          <w:ilvl w:val="0"/>
          <w:numId w:val="6"/>
        </w:numPr>
        <w:shd w:val="clear"/>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部署1套自助取药柜，包含：1台主柜（常温）+3台副柜（恒温），72个格子。</w:t>
      </w:r>
    </w:p>
    <w:p w14:paraId="53F7823B">
      <w:pPr>
        <w:widowControl/>
        <w:numPr>
          <w:ilvl w:val="0"/>
          <w:numId w:val="6"/>
        </w:numPr>
        <w:shd w:val="clear"/>
        <w:wordWrap w:val="0"/>
        <w:topLinePunct/>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与医院中药房系统、短信平台对接，支持患者取药与药师管理功能，实现处方获取、状态回写与消息通知。</w:t>
      </w:r>
    </w:p>
    <w:p w14:paraId="1F34347D">
      <w:pPr>
        <w:numPr>
          <w:ilvl w:val="0"/>
          <w:numId w:val="7"/>
        </w:numPr>
        <w:shd w:val="clear"/>
        <w:spacing w:line="360" w:lineRule="auto"/>
        <w:rPr>
          <w:rFonts w:ascii="宋体" w:hAnsi="宋体" w:eastAsia="宋体"/>
          <w:b/>
          <w:bCs/>
          <w:szCs w:val="21"/>
          <w:highlight w:val="none"/>
        </w:rPr>
      </w:pPr>
      <w:r>
        <w:rPr>
          <w:rFonts w:hint="eastAsia" w:ascii="宋体" w:hAnsi="宋体" w:eastAsia="宋体"/>
          <w:b/>
          <w:bCs/>
          <w:szCs w:val="21"/>
          <w:highlight w:val="none"/>
        </w:rPr>
        <w:t>技术要求</w:t>
      </w:r>
    </w:p>
    <w:p w14:paraId="641E0F64">
      <w:pPr>
        <w:widowControl/>
        <w:numPr>
          <w:ilvl w:val="0"/>
          <w:numId w:val="6"/>
        </w:numPr>
        <w:shd w:val="clear"/>
        <w:wordWrap w:val="0"/>
        <w:topLinePunct/>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恒温柜体温度5-20℃可调，常温柜体为室内环境温度。</w:t>
      </w:r>
    </w:p>
    <w:p w14:paraId="0AC84BAB">
      <w:pPr>
        <w:widowControl/>
        <w:numPr>
          <w:ilvl w:val="0"/>
          <w:numId w:val="6"/>
        </w:numPr>
        <w:shd w:val="clear"/>
        <w:wordWrap w:val="0"/>
        <w:topLinePunct/>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支持触屏输入、条形码/二维码扫描验证。</w:t>
      </w:r>
    </w:p>
    <w:p w14:paraId="3835655E">
      <w:pPr>
        <w:widowControl/>
        <w:numPr>
          <w:ilvl w:val="0"/>
          <w:numId w:val="6"/>
        </w:numPr>
        <w:shd w:val="clear"/>
        <w:wordWrap w:val="0"/>
        <w:topLinePunct/>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具备仓位状态实时监测功能，支持异常报警（如门未关、温度异常）。</w:t>
      </w:r>
    </w:p>
    <w:p w14:paraId="760FD0CD">
      <w:pPr>
        <w:widowControl/>
        <w:numPr>
          <w:ilvl w:val="0"/>
          <w:numId w:val="6"/>
        </w:numPr>
        <w:shd w:val="clear"/>
        <w:wordWrap w:val="0"/>
        <w:topLinePunct/>
        <w:spacing w:line="360" w:lineRule="auto"/>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系统需支持7×24小时稳定运行，数据加密传输，保障患者隐私。</w:t>
      </w:r>
    </w:p>
    <w:p w14:paraId="16FA3786">
      <w:pPr>
        <w:numPr>
          <w:ilvl w:val="0"/>
          <w:numId w:val="7"/>
        </w:numPr>
        <w:shd w:val="clear"/>
        <w:spacing w:line="360" w:lineRule="auto"/>
        <w:rPr>
          <w:rFonts w:ascii="宋体" w:hAnsi="宋体" w:eastAsia="宋体"/>
          <w:b/>
          <w:bCs/>
          <w:szCs w:val="21"/>
          <w:highlight w:val="none"/>
        </w:rPr>
      </w:pPr>
      <w:r>
        <w:rPr>
          <w:rFonts w:hint="eastAsia" w:ascii="宋体" w:hAnsi="宋体" w:eastAsia="宋体"/>
          <w:b/>
          <w:bCs/>
          <w:szCs w:val="21"/>
          <w:highlight w:val="none"/>
        </w:rPr>
        <w:t>功能模块参数</w:t>
      </w:r>
    </w:p>
    <w:tbl>
      <w:tblPr>
        <w:tblStyle w:val="25"/>
        <w:tblW w:w="5040" w:type="pct"/>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15" w:type="dxa"/>
          <w:left w:w="15" w:type="dxa"/>
          <w:bottom w:w="15" w:type="dxa"/>
          <w:right w:w="15" w:type="dxa"/>
        </w:tblCellMar>
      </w:tblPr>
      <w:tblGrid>
        <w:gridCol w:w="1479"/>
        <w:gridCol w:w="1773"/>
        <w:gridCol w:w="5367"/>
      </w:tblGrid>
      <w:tr w14:paraId="023CEA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blHeader/>
        </w:trPr>
        <w:tc>
          <w:tcPr>
            <w:tcW w:w="1478" w:type="dxa"/>
            <w:tcMar>
              <w:top w:w="150" w:type="dxa"/>
              <w:left w:w="0" w:type="dxa"/>
              <w:bottom w:w="150" w:type="dxa"/>
              <w:right w:w="240" w:type="dxa"/>
            </w:tcMar>
            <w:vAlign w:val="center"/>
          </w:tcPr>
          <w:p w14:paraId="7965E3E8">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模块</w:t>
            </w:r>
          </w:p>
        </w:tc>
        <w:tc>
          <w:tcPr>
            <w:tcW w:w="1772" w:type="dxa"/>
            <w:tcMar>
              <w:top w:w="150" w:type="dxa"/>
              <w:left w:w="240" w:type="dxa"/>
              <w:bottom w:w="150" w:type="dxa"/>
              <w:right w:w="240" w:type="dxa"/>
            </w:tcMar>
            <w:vAlign w:val="center"/>
          </w:tcPr>
          <w:p w14:paraId="0872ABF6">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功能点</w:t>
            </w:r>
          </w:p>
        </w:tc>
        <w:tc>
          <w:tcPr>
            <w:tcW w:w="5366" w:type="dxa"/>
            <w:tcMar>
              <w:top w:w="150" w:type="dxa"/>
              <w:left w:w="240" w:type="dxa"/>
              <w:bottom w:w="150" w:type="dxa"/>
              <w:right w:w="240" w:type="dxa"/>
            </w:tcMar>
            <w:vAlign w:val="center"/>
          </w:tcPr>
          <w:p w14:paraId="70153B1E">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描述</w:t>
            </w:r>
          </w:p>
        </w:tc>
      </w:tr>
      <w:tr w14:paraId="4F8AA2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restart"/>
            <w:tcMar>
              <w:top w:w="150" w:type="dxa"/>
              <w:left w:w="0" w:type="dxa"/>
              <w:bottom w:w="150" w:type="dxa"/>
              <w:right w:w="240" w:type="dxa"/>
            </w:tcMar>
            <w:vAlign w:val="center"/>
          </w:tcPr>
          <w:p w14:paraId="7C6BCA10">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普通用户</w:t>
            </w:r>
          </w:p>
        </w:tc>
        <w:tc>
          <w:tcPr>
            <w:tcW w:w="1772" w:type="dxa"/>
            <w:tcMar>
              <w:top w:w="150" w:type="dxa"/>
              <w:left w:w="240" w:type="dxa"/>
              <w:bottom w:w="150" w:type="dxa"/>
              <w:right w:w="240" w:type="dxa"/>
            </w:tcMar>
            <w:vAlign w:val="center"/>
          </w:tcPr>
          <w:p w14:paraId="39D5152F">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输入支持</w:t>
            </w:r>
          </w:p>
        </w:tc>
        <w:tc>
          <w:tcPr>
            <w:tcW w:w="5366" w:type="dxa"/>
            <w:tcMar>
              <w:top w:w="150" w:type="dxa"/>
              <w:left w:w="240" w:type="dxa"/>
              <w:bottom w:w="150" w:type="dxa"/>
              <w:right w:w="240" w:type="dxa"/>
            </w:tcMar>
            <w:vAlign w:val="center"/>
          </w:tcPr>
          <w:p w14:paraId="22572779">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7.11支持触屏手动输入取药信息</w:t>
            </w:r>
          </w:p>
        </w:tc>
      </w:tr>
      <w:tr w14:paraId="5C9A80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7A136DAB">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22A9CCEB">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扫码支持</w:t>
            </w:r>
          </w:p>
        </w:tc>
        <w:tc>
          <w:tcPr>
            <w:tcW w:w="5366" w:type="dxa"/>
            <w:tcMar>
              <w:top w:w="150" w:type="dxa"/>
              <w:left w:w="240" w:type="dxa"/>
              <w:bottom w:w="150" w:type="dxa"/>
              <w:right w:w="240" w:type="dxa"/>
            </w:tcMar>
            <w:vAlign w:val="center"/>
          </w:tcPr>
          <w:p w14:paraId="2474740A">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7.12支持扫描条形码、二维码</w:t>
            </w:r>
          </w:p>
        </w:tc>
      </w:tr>
      <w:tr w14:paraId="0D3E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633B1EB5">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4584633F">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取药操作</w:t>
            </w:r>
          </w:p>
        </w:tc>
        <w:tc>
          <w:tcPr>
            <w:tcW w:w="5366" w:type="dxa"/>
            <w:tcMar>
              <w:top w:w="150" w:type="dxa"/>
              <w:left w:w="240" w:type="dxa"/>
              <w:bottom w:w="150" w:type="dxa"/>
              <w:right w:w="240" w:type="dxa"/>
            </w:tcMar>
            <w:vAlign w:val="center"/>
          </w:tcPr>
          <w:p w14:paraId="6916044C">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7.13支持自动检索并打开对应仓位，提示取药</w:t>
            </w:r>
          </w:p>
        </w:tc>
      </w:tr>
      <w:tr w14:paraId="3FB38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restart"/>
            <w:tcMar>
              <w:top w:w="150" w:type="dxa"/>
              <w:left w:w="0" w:type="dxa"/>
              <w:bottom w:w="150" w:type="dxa"/>
              <w:right w:w="240" w:type="dxa"/>
            </w:tcMar>
            <w:vAlign w:val="center"/>
          </w:tcPr>
          <w:p w14:paraId="00034FD1">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管理人员</w:t>
            </w:r>
          </w:p>
        </w:tc>
        <w:tc>
          <w:tcPr>
            <w:tcW w:w="1772" w:type="dxa"/>
            <w:tcMar>
              <w:top w:w="150" w:type="dxa"/>
              <w:left w:w="240" w:type="dxa"/>
              <w:bottom w:w="150" w:type="dxa"/>
              <w:right w:w="240" w:type="dxa"/>
            </w:tcMar>
            <w:vAlign w:val="center"/>
          </w:tcPr>
          <w:p w14:paraId="3A981B66">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登录</w:t>
            </w:r>
          </w:p>
        </w:tc>
        <w:tc>
          <w:tcPr>
            <w:tcW w:w="5366" w:type="dxa"/>
            <w:tcMar>
              <w:top w:w="150" w:type="dxa"/>
              <w:left w:w="240" w:type="dxa"/>
              <w:bottom w:w="150" w:type="dxa"/>
              <w:right w:w="240" w:type="dxa"/>
            </w:tcMar>
            <w:vAlign w:val="center"/>
          </w:tcPr>
          <w:p w14:paraId="7FD659B2">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7.14支持账号密码登录管理界面</w:t>
            </w:r>
          </w:p>
        </w:tc>
      </w:tr>
      <w:tr w14:paraId="737FA6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370C391F">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537A1032">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信息查询</w:t>
            </w:r>
          </w:p>
        </w:tc>
        <w:tc>
          <w:tcPr>
            <w:tcW w:w="5366" w:type="dxa"/>
            <w:tcMar>
              <w:top w:w="150" w:type="dxa"/>
              <w:left w:w="240" w:type="dxa"/>
              <w:bottom w:w="150" w:type="dxa"/>
              <w:right w:w="240" w:type="dxa"/>
            </w:tcMar>
            <w:vAlign w:val="center"/>
          </w:tcPr>
          <w:p w14:paraId="61346D39">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7.15支持查看仓位使用情况、药品信息</w:t>
            </w:r>
          </w:p>
        </w:tc>
      </w:tr>
      <w:tr w14:paraId="12C45F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3E2EFB40">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560528ED">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入库操作</w:t>
            </w:r>
          </w:p>
        </w:tc>
        <w:tc>
          <w:tcPr>
            <w:tcW w:w="5366" w:type="dxa"/>
            <w:tcMar>
              <w:top w:w="150" w:type="dxa"/>
              <w:left w:w="240" w:type="dxa"/>
              <w:bottom w:w="150" w:type="dxa"/>
              <w:right w:w="240" w:type="dxa"/>
            </w:tcMar>
            <w:vAlign w:val="center"/>
          </w:tcPr>
          <w:p w14:paraId="2B99CEFE">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7.16支持扫描处方码，自动分配仓位并打开</w:t>
            </w:r>
          </w:p>
        </w:tc>
      </w:tr>
      <w:tr w14:paraId="3BC862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630425C3">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71C294E0">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出库操作</w:t>
            </w:r>
          </w:p>
        </w:tc>
        <w:tc>
          <w:tcPr>
            <w:tcW w:w="5366" w:type="dxa"/>
            <w:tcMar>
              <w:top w:w="150" w:type="dxa"/>
              <w:left w:w="240" w:type="dxa"/>
              <w:bottom w:w="150" w:type="dxa"/>
              <w:right w:w="240" w:type="dxa"/>
            </w:tcMar>
            <w:vAlign w:val="center"/>
          </w:tcPr>
          <w:p w14:paraId="72E5D1D4">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7.17支持可以打开指定仓位，进行出库操作</w:t>
            </w:r>
          </w:p>
        </w:tc>
      </w:tr>
      <w:tr w14:paraId="011E20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409E1F2D">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7F3742B8">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记录查询</w:t>
            </w:r>
          </w:p>
        </w:tc>
        <w:tc>
          <w:tcPr>
            <w:tcW w:w="5366" w:type="dxa"/>
            <w:tcMar>
              <w:top w:w="150" w:type="dxa"/>
              <w:left w:w="240" w:type="dxa"/>
              <w:bottom w:w="150" w:type="dxa"/>
              <w:right w:w="240" w:type="dxa"/>
            </w:tcMar>
            <w:vAlign w:val="center"/>
          </w:tcPr>
          <w:p w14:paraId="65D65737">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7.18支持查看所有操作记录，支持按仓位筛选</w:t>
            </w:r>
          </w:p>
        </w:tc>
      </w:tr>
      <w:tr w14:paraId="2D139F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restart"/>
            <w:tcMar>
              <w:top w:w="150" w:type="dxa"/>
              <w:left w:w="0" w:type="dxa"/>
              <w:bottom w:w="150" w:type="dxa"/>
              <w:right w:w="240" w:type="dxa"/>
            </w:tcMar>
            <w:vAlign w:val="center"/>
          </w:tcPr>
          <w:p w14:paraId="14996E95">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系统对接</w:t>
            </w:r>
          </w:p>
        </w:tc>
        <w:tc>
          <w:tcPr>
            <w:tcW w:w="1772" w:type="dxa"/>
            <w:tcMar>
              <w:top w:w="150" w:type="dxa"/>
              <w:left w:w="240" w:type="dxa"/>
              <w:bottom w:w="150" w:type="dxa"/>
              <w:right w:w="240" w:type="dxa"/>
            </w:tcMar>
            <w:vAlign w:val="center"/>
          </w:tcPr>
          <w:p w14:paraId="6493C44C">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处方获取</w:t>
            </w:r>
          </w:p>
        </w:tc>
        <w:tc>
          <w:tcPr>
            <w:tcW w:w="5366" w:type="dxa"/>
            <w:tcMar>
              <w:top w:w="150" w:type="dxa"/>
              <w:left w:w="240" w:type="dxa"/>
              <w:bottom w:w="150" w:type="dxa"/>
              <w:right w:w="240" w:type="dxa"/>
            </w:tcMar>
            <w:vAlign w:val="center"/>
          </w:tcPr>
          <w:p w14:paraId="7E8F69A7">
            <w:pPr>
              <w:shd w:val="clear"/>
              <w:jc w:val="left"/>
              <w:rPr>
                <w:rFonts w:hint="eastAsia" w:ascii="宋体" w:hAnsi="宋体" w:eastAsia="宋体" w:cs="宋体"/>
                <w:szCs w:val="21"/>
                <w:highlight w:val="none"/>
              </w:rPr>
            </w:pPr>
            <w:r>
              <w:rPr>
                <w:rFonts w:hint="eastAsia" w:ascii="宋体" w:hAnsi="宋体" w:eastAsia="宋体" w:cs="宋体"/>
                <w:szCs w:val="21"/>
                <w:highlight w:val="none"/>
              </w:rPr>
              <w:t>7.19支持从医院智慧中药房相关系统获取处方信息</w:t>
            </w:r>
          </w:p>
        </w:tc>
      </w:tr>
      <w:tr w14:paraId="6FC4F6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333BCE99">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2EE63B35">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状态回写</w:t>
            </w:r>
          </w:p>
        </w:tc>
        <w:tc>
          <w:tcPr>
            <w:tcW w:w="5366" w:type="dxa"/>
            <w:tcMar>
              <w:top w:w="150" w:type="dxa"/>
              <w:left w:w="240" w:type="dxa"/>
              <w:bottom w:w="150" w:type="dxa"/>
              <w:right w:w="240" w:type="dxa"/>
            </w:tcMar>
            <w:vAlign w:val="center"/>
          </w:tcPr>
          <w:p w14:paraId="3373DDB4">
            <w:pPr>
              <w:shd w:val="clear"/>
              <w:jc w:val="left"/>
              <w:rPr>
                <w:rFonts w:hint="eastAsia" w:ascii="宋体" w:hAnsi="宋体" w:eastAsia="宋体" w:cs="宋体"/>
                <w:szCs w:val="21"/>
                <w:highlight w:val="none"/>
              </w:rPr>
            </w:pPr>
            <w:r>
              <w:rPr>
                <w:rFonts w:hint="eastAsia" w:ascii="宋体" w:hAnsi="宋体" w:eastAsia="宋体" w:cs="宋体"/>
                <w:szCs w:val="21"/>
                <w:highlight w:val="none"/>
              </w:rPr>
              <w:t>7.20支持回写取药状态、时间等信息</w:t>
            </w:r>
          </w:p>
        </w:tc>
      </w:tr>
      <w:tr w14:paraId="0E212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5" w:type="dxa"/>
            <w:left w:w="15" w:type="dxa"/>
            <w:bottom w:w="15" w:type="dxa"/>
            <w:right w:w="15" w:type="dxa"/>
          </w:tblCellMar>
        </w:tblPrEx>
        <w:trPr>
          <w:trHeight w:val="454" w:hRule="exact"/>
        </w:trPr>
        <w:tc>
          <w:tcPr>
            <w:tcW w:w="1478" w:type="dxa"/>
            <w:vMerge w:val="continue"/>
            <w:tcMar>
              <w:top w:w="150" w:type="dxa"/>
              <w:left w:w="0" w:type="dxa"/>
              <w:bottom w:w="150" w:type="dxa"/>
              <w:right w:w="240" w:type="dxa"/>
            </w:tcMar>
            <w:vAlign w:val="center"/>
          </w:tcPr>
          <w:p w14:paraId="39A73EA9">
            <w:pPr>
              <w:shd w:val="clear"/>
              <w:jc w:val="center"/>
              <w:rPr>
                <w:rFonts w:hint="eastAsia" w:ascii="宋体" w:hAnsi="宋体" w:eastAsia="宋体" w:cs="宋体"/>
                <w:szCs w:val="21"/>
                <w:highlight w:val="none"/>
              </w:rPr>
            </w:pPr>
          </w:p>
        </w:tc>
        <w:tc>
          <w:tcPr>
            <w:tcW w:w="1772" w:type="dxa"/>
            <w:tcMar>
              <w:top w:w="150" w:type="dxa"/>
              <w:left w:w="240" w:type="dxa"/>
              <w:bottom w:w="150" w:type="dxa"/>
              <w:right w:w="240" w:type="dxa"/>
            </w:tcMar>
            <w:vAlign w:val="center"/>
          </w:tcPr>
          <w:p w14:paraId="0E9C44F5">
            <w:pPr>
              <w:shd w:val="clear"/>
              <w:jc w:val="center"/>
              <w:rPr>
                <w:rFonts w:hint="eastAsia" w:ascii="宋体" w:hAnsi="宋体" w:eastAsia="宋体" w:cs="宋体"/>
                <w:szCs w:val="21"/>
                <w:highlight w:val="none"/>
              </w:rPr>
            </w:pPr>
            <w:r>
              <w:rPr>
                <w:rFonts w:hint="eastAsia" w:ascii="宋体" w:hAnsi="宋体" w:eastAsia="宋体" w:cs="宋体"/>
                <w:szCs w:val="21"/>
                <w:highlight w:val="none"/>
              </w:rPr>
              <w:t>短信通知</w:t>
            </w:r>
          </w:p>
        </w:tc>
        <w:tc>
          <w:tcPr>
            <w:tcW w:w="5366" w:type="dxa"/>
            <w:tcMar>
              <w:top w:w="150" w:type="dxa"/>
              <w:left w:w="240" w:type="dxa"/>
              <w:bottom w:w="150" w:type="dxa"/>
              <w:right w:w="240" w:type="dxa"/>
            </w:tcMar>
            <w:vAlign w:val="center"/>
          </w:tcPr>
          <w:p w14:paraId="309B1204">
            <w:pPr>
              <w:shd w:val="clear"/>
              <w:jc w:val="left"/>
              <w:rPr>
                <w:rFonts w:hint="eastAsia" w:ascii="宋体" w:hAnsi="宋体" w:eastAsia="宋体" w:cs="宋体"/>
                <w:szCs w:val="21"/>
                <w:highlight w:val="none"/>
              </w:rPr>
            </w:pPr>
            <w:r>
              <w:rPr>
                <w:rFonts w:hint="eastAsia" w:ascii="宋体" w:hAnsi="宋体" w:eastAsia="宋体" w:cs="宋体"/>
                <w:szCs w:val="21"/>
                <w:highlight w:val="none"/>
              </w:rPr>
              <w:t>7.21支持对接短信平台，发送取药通知</w:t>
            </w:r>
          </w:p>
        </w:tc>
      </w:tr>
    </w:tbl>
    <w:p w14:paraId="2141DE47">
      <w:pPr>
        <w:shd w:val="clear"/>
        <w:spacing w:before="312" w:beforeLines="100" w:line="360" w:lineRule="auto"/>
        <w:jc w:val="center"/>
        <w:rPr>
          <w:rFonts w:ascii="仿宋" w:hAnsi="仿宋" w:eastAsia="仿宋" w:cs="仿宋"/>
          <w:b/>
          <w:bCs/>
          <w:kern w:val="44"/>
          <w:sz w:val="24"/>
          <w:highlight w:val="none"/>
        </w:rPr>
      </w:pPr>
      <w:r>
        <w:rPr>
          <w:rFonts w:hint="eastAsia" w:ascii="仿宋" w:hAnsi="仿宋" w:eastAsia="仿宋" w:cs="仿宋"/>
          <w:b/>
          <w:bCs/>
          <w:kern w:val="44"/>
          <w:sz w:val="24"/>
          <w:highlight w:val="none"/>
        </w:rPr>
        <w:t>产品4平板PAD</w:t>
      </w:r>
    </w:p>
    <w:p w14:paraId="57956E19">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操作系统：能对接移动终端安全管理系统，配合接入。与本项目的软件相适配。</w:t>
      </w:r>
    </w:p>
    <w:p w14:paraId="0547D332">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CPU核数：≥四核</w:t>
      </w:r>
    </w:p>
    <w:p w14:paraId="4826CAD7">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屏幕尺寸：≥9英寸</w:t>
      </w:r>
    </w:p>
    <w:p w14:paraId="294BA454">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屏幕类型：LCD</w:t>
      </w:r>
    </w:p>
    <w:p w14:paraId="6E9DFBB0">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分辨率：1920*1200</w:t>
      </w:r>
    </w:p>
    <w:p w14:paraId="5DD17ED9">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运行内存（RAM）：≥8GB</w:t>
      </w:r>
    </w:p>
    <w:p w14:paraId="4EB95EFF">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存储容量（ROM）：≥128GB</w:t>
      </w:r>
    </w:p>
    <w:p w14:paraId="32D81771">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蓝牙：BT5.1</w:t>
      </w:r>
    </w:p>
    <w:p w14:paraId="686F8964">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WLAN：支持</w:t>
      </w:r>
    </w:p>
    <w:p w14:paraId="0C150FB1">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前置摄像头：≥500万像素</w:t>
      </w:r>
    </w:p>
    <w:p w14:paraId="11A8CD96">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后置摄像头：≥500万像素</w:t>
      </w:r>
    </w:p>
    <w:p w14:paraId="6CBDFD32">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电池类型：锂离子聚合物电池</w:t>
      </w:r>
    </w:p>
    <w:p w14:paraId="53C17EC6">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电池容量：≥7700mAh典型值</w:t>
      </w:r>
    </w:p>
    <w:p w14:paraId="66DCA65F">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快充：支持</w:t>
      </w:r>
    </w:p>
    <w:p w14:paraId="2508C513">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数据接口：Type-C</w:t>
      </w:r>
    </w:p>
    <w:p w14:paraId="2411AC4B">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产品存储温度：–40℃～+70℃</w:t>
      </w:r>
    </w:p>
    <w:p w14:paraId="459DF296">
      <w:pPr>
        <w:widowControl/>
        <w:numPr>
          <w:ilvl w:val="0"/>
          <w:numId w:val="8"/>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产品工作温度：0℃～35℃</w:t>
      </w:r>
    </w:p>
    <w:p w14:paraId="20031761">
      <w:pPr>
        <w:shd w:val="clear"/>
        <w:spacing w:before="312" w:beforeLines="100" w:line="360" w:lineRule="auto"/>
        <w:jc w:val="center"/>
        <w:rPr>
          <w:rFonts w:ascii="仿宋" w:hAnsi="仿宋" w:eastAsia="仿宋" w:cs="仿宋"/>
          <w:b/>
          <w:bCs/>
          <w:kern w:val="44"/>
          <w:sz w:val="24"/>
          <w:highlight w:val="none"/>
        </w:rPr>
      </w:pPr>
      <w:r>
        <w:rPr>
          <w:rFonts w:hint="eastAsia" w:ascii="仿宋" w:hAnsi="仿宋" w:eastAsia="仿宋" w:cs="仿宋"/>
          <w:b/>
          <w:bCs/>
          <w:kern w:val="44"/>
          <w:sz w:val="24"/>
          <w:highlight w:val="none"/>
        </w:rPr>
        <w:t>产品5手持PDA</w:t>
      </w:r>
    </w:p>
    <w:p w14:paraId="4C85D48B">
      <w:pPr>
        <w:widowControl/>
        <w:numPr>
          <w:ilvl w:val="0"/>
          <w:numId w:val="9"/>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ascii="宋体" w:hAnsi="宋体" w:eastAsia="宋体" w:cs="宋体"/>
          <w:color w:val="000000"/>
          <w:kern w:val="0"/>
          <w:szCs w:val="21"/>
          <w:highlight w:val="none"/>
          <w:lang w:bidi="ar"/>
        </w:rPr>
        <w:t>支持 WIFI\蓝牙、4G 全网通、5.5英寸高清全屏，二维码激光扫描头，操作系统</w:t>
      </w:r>
      <w:r>
        <w:rPr>
          <w:rFonts w:hint="eastAsia" w:ascii="宋体" w:hAnsi="宋体" w:eastAsia="宋体" w:cs="宋体"/>
          <w:color w:val="000000"/>
          <w:kern w:val="0"/>
          <w:szCs w:val="21"/>
          <w:highlight w:val="none"/>
          <w:lang w:bidi="ar"/>
        </w:rPr>
        <w:t>能对接移动终端安全管理系统，配合接入。与本项目的软件相适配。</w:t>
      </w:r>
    </w:p>
    <w:p w14:paraId="750ECDBA">
      <w:pPr>
        <w:widowControl/>
        <w:numPr>
          <w:ilvl w:val="0"/>
          <w:numId w:val="9"/>
        </w:numPr>
        <w:shd w:val="clear"/>
        <w:wordWrap w:val="0"/>
        <w:topLinePunct/>
        <w:spacing w:line="360" w:lineRule="auto"/>
        <w:ind w:left="0" w:firstLine="420" w:firstLineChars="200"/>
        <w:jc w:val="left"/>
        <w:textAlignment w:val="center"/>
        <w:rPr>
          <w:rFonts w:ascii="宋体" w:hAnsi="宋体" w:eastAsia="宋体" w:cs="宋体"/>
          <w:color w:val="000000"/>
          <w:kern w:val="0"/>
          <w:szCs w:val="21"/>
          <w:highlight w:val="none"/>
          <w:lang w:bidi="ar"/>
        </w:rPr>
      </w:pPr>
      <w:r>
        <w:rPr>
          <w:rFonts w:ascii="宋体" w:hAnsi="宋体" w:eastAsia="宋体" w:cs="宋体"/>
          <w:color w:val="000000"/>
          <w:kern w:val="0"/>
          <w:szCs w:val="21"/>
          <w:highlight w:val="none"/>
          <w:lang w:bidi="ar"/>
        </w:rPr>
        <w:t>1300万像素摄像,CPU 八核 2.0GHz，内存:64GB ROM+4GB RAM</w:t>
      </w:r>
    </w:p>
    <w:p w14:paraId="216564B8">
      <w:pPr>
        <w:shd w:val="clear"/>
        <w:spacing w:before="312" w:beforeLines="100" w:line="360" w:lineRule="auto"/>
        <w:jc w:val="center"/>
        <w:rPr>
          <w:rFonts w:ascii="仿宋" w:hAnsi="仿宋" w:eastAsia="仿宋" w:cs="仿宋"/>
          <w:b/>
          <w:bCs/>
          <w:kern w:val="44"/>
          <w:sz w:val="24"/>
          <w:highlight w:val="none"/>
        </w:rPr>
      </w:pPr>
      <w:r>
        <w:rPr>
          <w:rFonts w:hint="eastAsia" w:ascii="仿宋" w:hAnsi="仿宋" w:eastAsia="仿宋" w:cs="仿宋"/>
          <w:b/>
          <w:bCs/>
          <w:kern w:val="44"/>
          <w:sz w:val="24"/>
          <w:highlight w:val="none"/>
        </w:rPr>
        <w:t>产品6显示屏</w:t>
      </w:r>
    </w:p>
    <w:p w14:paraId="105A97B2">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屏幕尺寸：100</w:t>
      </w:r>
      <w:r>
        <w:rPr>
          <w:rFonts w:hint="eastAsia" w:ascii="宋体" w:hAnsi="宋体" w:eastAsia="宋体" w:cs="宋体"/>
          <w:color w:val="000000"/>
          <w:kern w:val="0"/>
          <w:szCs w:val="21"/>
          <w:highlight w:val="none"/>
          <w:lang w:val="en-US" w:eastAsia="zh-CN" w:bidi="ar"/>
        </w:rPr>
        <w:t>英</w:t>
      </w:r>
      <w:r>
        <w:rPr>
          <w:rFonts w:hint="eastAsia" w:ascii="宋体" w:hAnsi="宋体" w:eastAsia="宋体" w:cs="宋体"/>
          <w:color w:val="000000"/>
          <w:kern w:val="0"/>
          <w:szCs w:val="21"/>
          <w:highlight w:val="none"/>
          <w:lang w:bidi="ar"/>
        </w:rPr>
        <w:t>寸</w:t>
      </w:r>
    </w:p>
    <w:p w14:paraId="35F05591">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屏幕比例：16:9</w:t>
      </w:r>
    </w:p>
    <w:p w14:paraId="05BE84A0">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屏幕分辨率：3840×2160</w:t>
      </w:r>
    </w:p>
    <w:p w14:paraId="1C37F1F3">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高清格式：2160P</w:t>
      </w:r>
    </w:p>
    <w:p w14:paraId="0DBDA33C">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背光性能：直下式</w:t>
      </w:r>
    </w:p>
    <w:p w14:paraId="70CAD08F">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屏幕刷新频率：120Hz</w:t>
      </w:r>
    </w:p>
    <w:p w14:paraId="549FA0A1">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配套主机：</w:t>
      </w:r>
    </w:p>
    <w:p w14:paraId="25352D1D">
      <w:pPr>
        <w:widowControl/>
        <w:numPr>
          <w:ilvl w:val="255"/>
          <w:numId w:val="0"/>
        </w:numPr>
        <w:shd w:val="clear"/>
        <w:wordWrap w:val="0"/>
        <w:topLinePunct/>
        <w:spacing w:line="360" w:lineRule="auto"/>
        <w:ind w:left="420" w:leftChars="20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内存容量：≥2GB</w:t>
      </w:r>
    </w:p>
    <w:p w14:paraId="1BE20746">
      <w:pPr>
        <w:widowControl/>
        <w:numPr>
          <w:ilvl w:val="255"/>
          <w:numId w:val="0"/>
        </w:numPr>
        <w:shd w:val="clear"/>
        <w:wordWrap w:val="0"/>
        <w:topLinePunct/>
        <w:spacing w:line="360" w:lineRule="auto"/>
        <w:ind w:left="420" w:leftChars="20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存储空间：≥32GB</w:t>
      </w:r>
    </w:p>
    <w:p w14:paraId="38CF063E">
      <w:pPr>
        <w:widowControl/>
        <w:numPr>
          <w:ilvl w:val="0"/>
          <w:numId w:val="10"/>
        </w:numPr>
        <w:shd w:val="clear"/>
        <w:wordWrap w:val="0"/>
        <w:topLinePunct/>
        <w:spacing w:line="360" w:lineRule="auto"/>
        <w:ind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WiFi(WLAN)：支持WiFi,2.4GHz</w:t>
      </w:r>
    </w:p>
    <w:p w14:paraId="10CD8E5C">
      <w:pPr>
        <w:shd w:val="clear"/>
        <w:spacing w:before="312" w:beforeLines="100" w:line="360" w:lineRule="auto"/>
        <w:jc w:val="center"/>
        <w:rPr>
          <w:rFonts w:ascii="仿宋" w:hAnsi="仿宋" w:eastAsia="仿宋" w:cs="仿宋"/>
          <w:b/>
          <w:bCs/>
          <w:kern w:val="44"/>
          <w:sz w:val="24"/>
          <w:highlight w:val="none"/>
        </w:rPr>
      </w:pPr>
      <w:r>
        <w:rPr>
          <w:rFonts w:hint="eastAsia" w:ascii="仿宋" w:hAnsi="仿宋" w:eastAsia="仿宋" w:cs="仿宋"/>
          <w:b/>
          <w:bCs/>
          <w:kern w:val="44"/>
          <w:sz w:val="24"/>
          <w:highlight w:val="none"/>
        </w:rPr>
        <w:t>产品</w:t>
      </w:r>
      <w:r>
        <w:rPr>
          <w:rFonts w:hint="eastAsia" w:ascii="仿宋" w:hAnsi="仿宋" w:eastAsia="仿宋" w:cs="仿宋"/>
          <w:b/>
          <w:bCs/>
          <w:kern w:val="44"/>
          <w:sz w:val="24"/>
          <w:highlight w:val="none"/>
          <w:lang w:val="en-US" w:eastAsia="zh-CN"/>
        </w:rPr>
        <w:t>7</w:t>
      </w:r>
      <w:r>
        <w:rPr>
          <w:rFonts w:hint="eastAsia" w:ascii="仿宋" w:hAnsi="仿宋" w:eastAsia="仿宋" w:cs="仿宋"/>
          <w:b/>
          <w:bCs/>
          <w:kern w:val="44"/>
          <w:sz w:val="24"/>
          <w:szCs w:val="20"/>
          <w:highlight w:val="none"/>
        </w:rPr>
        <w:t>服务器</w:t>
      </w:r>
    </w:p>
    <w:p w14:paraId="6AB37430">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default" w:ascii="宋体" w:hAnsi="宋体" w:eastAsia="宋体" w:cs="宋体"/>
          <w:color w:val="000000"/>
          <w:kern w:val="0"/>
          <w:szCs w:val="21"/>
          <w:highlight w:val="none"/>
          <w:lang w:val="en-US" w:eastAsia="zh-CN" w:bidi="ar"/>
        </w:rPr>
      </w:pPr>
      <w:r>
        <w:rPr>
          <w:rFonts w:hint="eastAsia" w:ascii="宋体" w:hAnsi="宋体" w:eastAsia="宋体" w:cs="宋体"/>
          <w:color w:val="000000"/>
          <w:kern w:val="0"/>
          <w:szCs w:val="21"/>
          <w:highlight w:val="none"/>
          <w:lang w:val="en-US" w:eastAsia="zh-CN" w:bidi="ar"/>
        </w:rPr>
        <w:t>11.1</w:t>
      </w:r>
      <w:r>
        <w:rPr>
          <w:rFonts w:hint="eastAsia" w:ascii="宋体" w:hAnsi="宋体" w:eastAsia="宋体" w:cs="宋体"/>
          <w:color w:val="000000"/>
          <w:kern w:val="0"/>
          <w:szCs w:val="21"/>
          <w:highlight w:val="none"/>
          <w:lang w:bidi="ar"/>
        </w:rPr>
        <w:t>超融合服务器</w:t>
      </w:r>
    </w:p>
    <w:p w14:paraId="3022E44D">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bidi="ar"/>
        </w:rPr>
        <w:t>CPU：2颗x86 CPU@2.90GHZ（16C），内存≥128GB（共计不少于24个内存插槽），系统盘≥2块240GB SSD，缓存盘≥2块1.92TB nvme SSD，数据盘≥2*8TB HDD，标配盘位数≥12，白金冗余电源，接口≥4千兆电口、≥6万兆光口（含万兆光模块），≥4个USB3.0口，≥1个VGA口；提供3年质保及集成服务，确保服务器与现有超融合平台兼容适配，不存在兼容性问题。</w:t>
      </w:r>
    </w:p>
    <w:p w14:paraId="1E0E07F8">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w:t>
      </w:r>
      <w:r>
        <w:rPr>
          <w:rFonts w:hint="eastAsia" w:ascii="宋体" w:hAnsi="宋体" w:eastAsia="宋体" w:cs="宋体"/>
          <w:color w:val="000000"/>
          <w:kern w:val="0"/>
          <w:szCs w:val="21"/>
          <w:highlight w:val="none"/>
          <w:lang w:bidi="ar"/>
        </w:rPr>
        <w:t>超融合软件授权</w:t>
      </w:r>
    </w:p>
    <w:p w14:paraId="48968EF8">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11.2.1</w:t>
      </w:r>
      <w:r>
        <w:rPr>
          <w:rFonts w:hint="eastAsia" w:ascii="宋体" w:hAnsi="宋体" w:eastAsia="宋体" w:cs="宋体"/>
          <w:color w:val="000000"/>
          <w:kern w:val="0"/>
          <w:szCs w:val="21"/>
          <w:highlight w:val="none"/>
          <w:lang w:bidi="ar"/>
        </w:rPr>
        <w:t>基于现有超融合平台无缝扩容，扩容2颗服务器虚拟化、网络虚拟化、存储虚拟化授权、安全虚拟化，提供3年软件升级服务；</w:t>
      </w:r>
    </w:p>
    <w:p w14:paraId="2B688988">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11.2.2</w:t>
      </w:r>
      <w:r>
        <w:rPr>
          <w:rFonts w:hint="eastAsia" w:ascii="宋体" w:hAnsi="宋体" w:eastAsia="宋体" w:cs="宋体"/>
          <w:color w:val="000000"/>
          <w:kern w:val="0"/>
          <w:szCs w:val="21"/>
          <w:highlight w:val="none"/>
          <w:lang w:bidi="ar"/>
        </w:rPr>
        <w:t>可在亚健康主机列表界面显示被注入CE、UE错误的主机，实现内存CE、UE告警功能，并扫描到物理主机的内存条出现ECC CE、ECC UE错误时，能够将对应内存空间进行隔离并定位故障内存的槽位；</w:t>
      </w:r>
    </w:p>
    <w:p w14:paraId="56C78F2F">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11.2.3</w:t>
      </w:r>
      <w:r>
        <w:rPr>
          <w:rFonts w:hint="eastAsia" w:ascii="宋体" w:hAnsi="宋体" w:eastAsia="宋体" w:cs="宋体"/>
          <w:color w:val="000000"/>
          <w:kern w:val="0"/>
          <w:szCs w:val="21"/>
          <w:highlight w:val="none"/>
          <w:lang w:bidi="ar"/>
        </w:rPr>
        <w:t>持坏道修复功能，发现坏道后，主动修复坏道区域的数据，及时恢复数据副本的冗余性；当硬盘的坏道数过多，系统能自动将该盘的数据迁移至其他健康的硬盘上，保障数据的安全；</w:t>
      </w:r>
    </w:p>
    <w:p w14:paraId="6B51AAA3">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11.2.4</w:t>
      </w:r>
      <w:r>
        <w:rPr>
          <w:rFonts w:hint="eastAsia" w:ascii="宋体" w:hAnsi="宋体" w:eastAsia="宋体" w:cs="宋体"/>
          <w:color w:val="000000"/>
          <w:kern w:val="0"/>
          <w:szCs w:val="21"/>
          <w:highlight w:val="none"/>
          <w:lang w:bidi="ar"/>
        </w:rPr>
        <w:t>提供虚拟路由器、虚拟交换机等设备的连通性探测功能，能够定位到出现故障的虚拟网络设备，排查到ACL策略配置错误；</w:t>
      </w:r>
    </w:p>
    <w:p w14:paraId="04AB042A">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11.2.5</w:t>
      </w:r>
      <w:r>
        <w:rPr>
          <w:rFonts w:hint="eastAsia" w:ascii="宋体" w:hAnsi="宋体" w:eastAsia="宋体" w:cs="宋体"/>
          <w:color w:val="000000"/>
          <w:kern w:val="0"/>
          <w:szCs w:val="21"/>
          <w:highlight w:val="none"/>
          <w:lang w:bidi="ar"/>
        </w:rPr>
        <w:t>支持在管理平台管理界面上提供虚拟机删除、开关机、挂起与恢复、重启、关闭、关闭电源、克隆、迁移、备份、模板导出、快照、标签管理等功能，并支持批量操作；</w:t>
      </w:r>
    </w:p>
    <w:p w14:paraId="4EDD908F">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11.2.6</w:t>
      </w:r>
      <w:r>
        <w:rPr>
          <w:rFonts w:hint="eastAsia" w:ascii="宋体" w:hAnsi="宋体" w:eastAsia="宋体" w:cs="宋体"/>
          <w:color w:val="000000"/>
          <w:kern w:val="0"/>
          <w:szCs w:val="21"/>
          <w:highlight w:val="none"/>
          <w:lang w:bidi="ar"/>
        </w:rPr>
        <w:t>支持无代理跨物理主机的虚拟机USB映射，需要使用USB KEY时，无需在虚拟机上安装客户端插件，且虚拟机迁移到其它物理主机后，仍能正常使用迁移前所在物理主机上的USB资源，对于业务的自适应能力、使用便捷性更佳；</w:t>
      </w:r>
    </w:p>
    <w:p w14:paraId="213BCFF2">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11.2.7</w:t>
      </w:r>
      <w:r>
        <w:rPr>
          <w:rFonts w:hint="eastAsia" w:ascii="宋体" w:hAnsi="宋体" w:eastAsia="宋体" w:cs="宋体"/>
          <w:color w:val="000000"/>
          <w:kern w:val="0"/>
          <w:szCs w:val="21"/>
          <w:highlight w:val="none"/>
          <w:lang w:bidi="ar"/>
        </w:rPr>
        <w:t>提供数据重建，智能保护业务性能，提供数据重建优先级调整，在故障数据重新恢复时，可由用户指定优先重建的虚拟机，保证重要的业务优先恢复数据的安全性；</w:t>
      </w:r>
    </w:p>
    <w:p w14:paraId="35EE3CD6">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11.2.8</w:t>
      </w:r>
      <w:r>
        <w:rPr>
          <w:rFonts w:hint="eastAsia" w:ascii="宋体" w:hAnsi="宋体" w:eastAsia="宋体" w:cs="宋体"/>
          <w:color w:val="000000"/>
          <w:kern w:val="0"/>
          <w:szCs w:val="21"/>
          <w:highlight w:val="none"/>
          <w:lang w:bidi="ar"/>
        </w:rPr>
        <w:t>分布式防火墙基于监测虚机IP地址和端口进行东西向流量隔离控制，并提供实时拦截日志，以及支持“数据直通ByPass”功能，方便出现问题快速定位问题；</w:t>
      </w:r>
    </w:p>
    <w:p w14:paraId="68806958">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11.2.9</w:t>
      </w:r>
      <w:r>
        <w:rPr>
          <w:rFonts w:hint="eastAsia" w:ascii="宋体" w:hAnsi="宋体" w:eastAsia="宋体" w:cs="宋体"/>
          <w:color w:val="000000"/>
          <w:kern w:val="0"/>
          <w:szCs w:val="21"/>
          <w:highlight w:val="none"/>
          <w:lang w:bidi="ar"/>
        </w:rPr>
        <w:t>虚拟化管理平台具备监控功能，对资源池中CPU、网络、磁盘使用率等指标进行实时的数据统计，当指标超过设置的阈值，可以通过多种方式（短信、邮箱）告知管理员进行排障；</w:t>
      </w:r>
    </w:p>
    <w:p w14:paraId="75F69CA3">
      <w:pPr>
        <w:keepNext w:val="0"/>
        <w:keepLines w:val="0"/>
        <w:pageBreakBefore w:val="0"/>
        <w:widowControl/>
        <w:numPr>
          <w:ilvl w:val="0"/>
          <w:numId w:val="0"/>
        </w:numPr>
        <w:shd w:val="clear"/>
        <w:kinsoku/>
        <w:wordWrap w:val="0"/>
        <w:overflowPunct/>
        <w:topLinePunct/>
        <w:autoSpaceDE/>
        <w:autoSpaceDN/>
        <w:bidi w:val="0"/>
        <w:adjustRightInd/>
        <w:snapToGrid/>
        <w:spacing w:line="360" w:lineRule="auto"/>
        <w:ind w:leftChars="0" w:firstLine="420" w:firstLineChars="200"/>
        <w:jc w:val="left"/>
        <w:textAlignment w:val="center"/>
        <w:rPr>
          <w:rFonts w:hint="eastAsia"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11.2.10</w:t>
      </w:r>
      <w:r>
        <w:rPr>
          <w:rFonts w:hint="eastAsia" w:ascii="宋体" w:hAnsi="宋体" w:eastAsia="宋体" w:cs="宋体"/>
          <w:color w:val="000000"/>
          <w:kern w:val="0"/>
          <w:szCs w:val="21"/>
          <w:highlight w:val="none"/>
          <w:lang w:bidi="ar"/>
        </w:rPr>
        <w:t>可对虚拟机上业务进行监控告警，监控策略包括HTTP、TCP等自定义端口协议等，当业务出现故障时，通过多种方式告知管理员进行排障；</w:t>
      </w:r>
    </w:p>
    <w:p w14:paraId="57DAE148">
      <w:pPr>
        <w:widowControl/>
        <w:numPr>
          <w:ilvl w:val="0"/>
          <w:numId w:val="0"/>
        </w:numPr>
        <w:shd w:val="clear"/>
        <w:wordWrap w:val="0"/>
        <w:topLinePunct/>
        <w:spacing w:line="360" w:lineRule="auto"/>
        <w:ind w:leftChars="0" w:firstLine="420" w:firstLineChars="200"/>
        <w:jc w:val="left"/>
        <w:textAlignment w:val="center"/>
        <w:rPr>
          <w:rFonts w:ascii="宋体" w:hAnsi="宋体" w:eastAsia="宋体" w:cs="宋体"/>
          <w:color w:val="000000"/>
          <w:kern w:val="0"/>
          <w:szCs w:val="21"/>
          <w:highlight w:val="none"/>
          <w:lang w:bidi="ar"/>
        </w:rPr>
      </w:pPr>
      <w:r>
        <w:rPr>
          <w:rFonts w:hint="eastAsia" w:ascii="宋体" w:hAnsi="宋体" w:eastAsia="宋体" w:cs="宋体"/>
          <w:color w:val="000000"/>
          <w:kern w:val="0"/>
          <w:szCs w:val="21"/>
          <w:highlight w:val="none"/>
          <w:lang w:val="en-US" w:eastAsia="zh-CN" w:bidi="ar"/>
        </w:rPr>
        <w:t>11.2.11</w:t>
      </w:r>
      <w:r>
        <w:rPr>
          <w:rFonts w:hint="eastAsia" w:ascii="宋体" w:hAnsi="宋体" w:eastAsia="宋体" w:cs="宋体"/>
          <w:color w:val="000000"/>
          <w:kern w:val="0"/>
          <w:szCs w:val="21"/>
          <w:highlight w:val="none"/>
          <w:lang w:bidi="ar"/>
        </w:rPr>
        <w:t>配置服务器虚拟化授权、网络虚拟化授权、存储虚拟化授权、延伸集群授权、虚拟化防护授权（防病毒、网络攻击防护、漏洞管理和实现虚拟机数据自动保护），提供3年产品软件免费升级，可无缝不停机扩容进现有超融合集群。</w:t>
      </w:r>
    </w:p>
    <w:p w14:paraId="77EA971D">
      <w:pPr>
        <w:numPr>
          <w:ilvl w:val="0"/>
          <w:numId w:val="11"/>
        </w:numPr>
        <w:shd w:val="clear"/>
        <w:spacing w:line="360" w:lineRule="auto"/>
        <w:outlineLvl w:val="1"/>
        <w:rPr>
          <w:rFonts w:ascii="宋体" w:hAnsi="宋体" w:eastAsia="宋体"/>
          <w:b/>
          <w:sz w:val="24"/>
          <w:szCs w:val="18"/>
          <w:highlight w:val="none"/>
        </w:rPr>
      </w:pPr>
      <w:r>
        <w:rPr>
          <w:rFonts w:hint="eastAsia" w:ascii="宋体" w:hAnsi="宋体" w:eastAsia="宋体"/>
          <w:b/>
          <w:sz w:val="24"/>
          <w:szCs w:val="18"/>
          <w:highlight w:val="none"/>
        </w:rPr>
        <w:t>人员配置要求</w:t>
      </w:r>
      <w:r>
        <w:rPr>
          <w:rFonts w:hint="eastAsia" w:ascii="宋体" w:hAnsi="宋体" w:eastAsia="宋体"/>
          <w:b/>
          <w:sz w:val="24"/>
          <w:szCs w:val="18"/>
          <w:highlight w:val="none"/>
          <w:lang w:eastAsia="zh-CN"/>
        </w:rPr>
        <w:t>（</w:t>
      </w:r>
      <w:r>
        <w:rPr>
          <w:rFonts w:hint="eastAsia" w:ascii="宋体" w:hAnsi="宋体" w:eastAsia="宋体"/>
          <w:b/>
          <w:sz w:val="24"/>
          <w:szCs w:val="18"/>
          <w:highlight w:val="none"/>
          <w:lang w:val="en-US" w:eastAsia="zh-CN"/>
        </w:rPr>
        <w:t>投标文件中须提供承诺函，否则作无效投标处理。）</w:t>
      </w:r>
    </w:p>
    <w:p w14:paraId="1985E111">
      <w:pPr>
        <w:widowControl/>
        <w:numPr>
          <w:ilvl w:val="255"/>
          <w:numId w:val="0"/>
        </w:numPr>
        <w:shd w:val="clear"/>
        <w:spacing w:line="360" w:lineRule="auto"/>
        <w:ind w:firstLine="437"/>
        <w:jc w:val="left"/>
        <w:rPr>
          <w:rFonts w:ascii="宋体" w:hAnsi="宋体" w:eastAsia="宋体"/>
          <w:bCs/>
          <w:sz w:val="24"/>
          <w:szCs w:val="18"/>
          <w:highlight w:val="none"/>
        </w:rPr>
      </w:pPr>
      <w:r>
        <w:rPr>
          <w:rFonts w:ascii="宋体" w:hAnsi="宋体" w:eastAsia="宋体"/>
          <w:bCs/>
          <w:sz w:val="24"/>
          <w:szCs w:val="18"/>
          <w:highlight w:val="none"/>
        </w:rPr>
        <w:t>1.项目固定负责人</w:t>
      </w:r>
    </w:p>
    <w:p w14:paraId="1E99F2D1">
      <w:pPr>
        <w:widowControl/>
        <w:numPr>
          <w:ilvl w:val="255"/>
          <w:numId w:val="0"/>
        </w:numPr>
        <w:shd w:val="clear"/>
        <w:spacing w:line="360" w:lineRule="auto"/>
        <w:ind w:firstLine="437"/>
        <w:jc w:val="left"/>
        <w:rPr>
          <w:rFonts w:ascii="宋体" w:hAnsi="宋体" w:eastAsia="宋体"/>
          <w:bCs/>
          <w:sz w:val="24"/>
          <w:szCs w:val="18"/>
          <w:highlight w:val="none"/>
        </w:rPr>
      </w:pPr>
      <w:r>
        <w:rPr>
          <w:rFonts w:hint="eastAsia" w:ascii="宋体" w:hAnsi="宋体" w:eastAsia="宋体"/>
          <w:bCs/>
          <w:sz w:val="24"/>
          <w:szCs w:val="18"/>
          <w:highlight w:val="none"/>
        </w:rPr>
        <w:t>投标人</w:t>
      </w:r>
      <w:r>
        <w:rPr>
          <w:rFonts w:ascii="宋体" w:hAnsi="宋体" w:eastAsia="宋体"/>
          <w:bCs/>
          <w:sz w:val="24"/>
          <w:szCs w:val="18"/>
          <w:highlight w:val="none"/>
        </w:rPr>
        <w:t>须指定1名具备本项目同类实施经验的项目经理作为固定负责人，全程负责需求对接、进度管控及沟通协调；项目固定负责人未经采购人书面同意不得更换；确需更换的，接替人员资历不得低于原人员，并提前15个工作日书面报备。</w:t>
      </w:r>
    </w:p>
    <w:p w14:paraId="762EABAE">
      <w:pPr>
        <w:widowControl/>
        <w:numPr>
          <w:ilvl w:val="255"/>
          <w:numId w:val="0"/>
        </w:numPr>
        <w:shd w:val="clear"/>
        <w:spacing w:line="360" w:lineRule="auto"/>
        <w:ind w:firstLine="437"/>
        <w:jc w:val="left"/>
        <w:rPr>
          <w:rFonts w:ascii="宋体" w:hAnsi="宋体" w:eastAsia="宋体"/>
          <w:bCs/>
          <w:sz w:val="24"/>
          <w:szCs w:val="18"/>
          <w:highlight w:val="none"/>
        </w:rPr>
      </w:pPr>
      <w:r>
        <w:rPr>
          <w:rFonts w:ascii="宋体" w:hAnsi="宋体" w:eastAsia="宋体"/>
          <w:bCs/>
          <w:sz w:val="24"/>
          <w:szCs w:val="18"/>
          <w:highlight w:val="none"/>
        </w:rPr>
        <w:t>2.驻点服务人员</w:t>
      </w:r>
    </w:p>
    <w:p w14:paraId="74DCB9A9">
      <w:pPr>
        <w:widowControl/>
        <w:numPr>
          <w:ilvl w:val="255"/>
          <w:numId w:val="0"/>
        </w:numPr>
        <w:shd w:val="clear"/>
        <w:spacing w:line="360" w:lineRule="auto"/>
        <w:ind w:firstLine="437"/>
        <w:jc w:val="left"/>
        <w:rPr>
          <w:rFonts w:ascii="宋体" w:hAnsi="宋体" w:eastAsia="宋体"/>
          <w:bCs/>
          <w:sz w:val="24"/>
          <w:szCs w:val="18"/>
          <w:highlight w:val="none"/>
        </w:rPr>
      </w:pPr>
      <w:r>
        <w:rPr>
          <w:rFonts w:hint="eastAsia" w:ascii="宋体" w:hAnsi="宋体" w:eastAsia="宋体"/>
          <w:bCs/>
          <w:sz w:val="24"/>
          <w:szCs w:val="18"/>
          <w:highlight w:val="none"/>
        </w:rPr>
        <w:t>（1）</w:t>
      </w:r>
      <w:r>
        <w:rPr>
          <w:rFonts w:ascii="宋体" w:hAnsi="宋体" w:eastAsia="宋体"/>
          <w:bCs/>
          <w:sz w:val="24"/>
          <w:szCs w:val="18"/>
          <w:highlight w:val="none"/>
        </w:rPr>
        <w:t>供应商须配备≥2名的固定驻点人员，每周驻场≥5天，驻点人员变更须经采购人同意，并预留10个工作日工作交接期。</w:t>
      </w:r>
    </w:p>
    <w:p w14:paraId="51FE9435">
      <w:pPr>
        <w:widowControl/>
        <w:numPr>
          <w:ilvl w:val="255"/>
          <w:numId w:val="0"/>
        </w:numPr>
        <w:shd w:val="clear"/>
        <w:spacing w:line="360" w:lineRule="auto"/>
        <w:ind w:firstLine="437"/>
        <w:jc w:val="left"/>
        <w:rPr>
          <w:rFonts w:ascii="宋体" w:hAnsi="宋体" w:eastAsia="宋体"/>
          <w:bCs/>
          <w:sz w:val="24"/>
          <w:szCs w:val="18"/>
          <w:highlight w:val="none"/>
        </w:rPr>
      </w:pPr>
      <w:r>
        <w:rPr>
          <w:rFonts w:hint="eastAsia" w:ascii="宋体" w:hAnsi="宋体" w:eastAsia="宋体"/>
          <w:bCs/>
          <w:sz w:val="24"/>
          <w:szCs w:val="18"/>
          <w:highlight w:val="none"/>
        </w:rPr>
        <w:t>（2）</w:t>
      </w:r>
      <w:r>
        <w:rPr>
          <w:rFonts w:ascii="宋体" w:hAnsi="宋体" w:eastAsia="宋体"/>
          <w:bCs/>
          <w:sz w:val="24"/>
          <w:szCs w:val="18"/>
          <w:highlight w:val="none"/>
        </w:rPr>
        <w:t>驻场人员在完成系统部署、调试及上线工作后，需持续跟进系统运行状况，直至系统进入稳定运行阶段。驻场人员离场条件：通过项目验收之日起满180个日历天。在此期间，系统应无重大功能缺陷、无导致业务中断的故障，且各项性能指标满足合同约定及甲方要求。稳定运行期满后，经采购人书面确认，驻场人员方可撤离现场。</w:t>
      </w:r>
    </w:p>
    <w:p w14:paraId="7211EA8A">
      <w:pPr>
        <w:shd w:val="clear"/>
        <w:spacing w:line="360" w:lineRule="auto"/>
        <w:outlineLvl w:val="1"/>
        <w:rPr>
          <w:rFonts w:ascii="宋体" w:hAnsi="宋体" w:eastAsia="宋体"/>
          <w:b/>
          <w:sz w:val="24"/>
          <w:szCs w:val="18"/>
          <w:highlight w:val="none"/>
        </w:rPr>
      </w:pPr>
      <w:r>
        <w:rPr>
          <w:rFonts w:hint="eastAsia" w:ascii="宋体" w:hAnsi="宋体" w:eastAsia="宋体"/>
          <w:b/>
          <w:sz w:val="24"/>
          <w:szCs w:val="18"/>
          <w:highlight w:val="none"/>
        </w:rPr>
        <w:t>四、报价要求</w:t>
      </w:r>
      <w:bookmarkEnd w:id="77"/>
      <w:bookmarkEnd w:id="78"/>
    </w:p>
    <w:p w14:paraId="6015AA15">
      <w:pPr>
        <w:shd w:val="clear"/>
        <w:spacing w:line="360" w:lineRule="auto"/>
        <w:ind w:firstLine="437"/>
        <w:rPr>
          <w:rFonts w:ascii="宋体" w:hAnsi="宋体" w:eastAsia="宋体"/>
          <w:bCs/>
          <w:sz w:val="24"/>
          <w:szCs w:val="18"/>
          <w:highlight w:val="none"/>
        </w:rPr>
      </w:pPr>
      <w:r>
        <w:rPr>
          <w:rFonts w:hint="eastAsia" w:ascii="宋体" w:hAnsi="宋体" w:eastAsia="宋体"/>
          <w:bCs/>
          <w:sz w:val="24"/>
          <w:szCs w:val="18"/>
          <w:highlight w:val="none"/>
        </w:rPr>
        <w:t>本项目报总价，投标报价</w:t>
      </w:r>
      <w:r>
        <w:rPr>
          <w:rFonts w:ascii="宋体" w:hAnsi="宋体" w:eastAsia="宋体"/>
          <w:bCs/>
          <w:sz w:val="24"/>
          <w:szCs w:val="18"/>
          <w:highlight w:val="none"/>
        </w:rPr>
        <w:t>包括</w:t>
      </w:r>
      <w:r>
        <w:rPr>
          <w:rFonts w:hint="eastAsia" w:ascii="宋体" w:hAnsi="宋体" w:eastAsia="宋体"/>
          <w:bCs/>
          <w:sz w:val="24"/>
          <w:szCs w:val="18"/>
          <w:highlight w:val="none"/>
        </w:rPr>
        <w:t>完成本项目需求的所有软件、硬件设备、所有系统接口费、配套服务器及存储设备费、所需正版软件授权费、所需附件购置费、包装费、运输费、人工费、安装调试费、各种税费、资料费、培训费、质保期内运维服务费及完成项目应有的全部费用，本项目不再追加任何额外费用。</w:t>
      </w:r>
    </w:p>
    <w:p w14:paraId="29D6A966">
      <w:pPr>
        <w:shd w:val="clear"/>
        <w:spacing w:line="360" w:lineRule="auto"/>
        <w:outlineLvl w:val="1"/>
        <w:rPr>
          <w:rFonts w:ascii="宋体" w:hAnsi="宋体" w:eastAsia="宋体"/>
          <w:b/>
          <w:sz w:val="24"/>
          <w:szCs w:val="18"/>
          <w:highlight w:val="none"/>
        </w:rPr>
      </w:pPr>
      <w:bookmarkStart w:id="79" w:name="_Toc532199625"/>
      <w:bookmarkStart w:id="80" w:name="_Toc445554753"/>
      <w:bookmarkStart w:id="81" w:name="_Toc455587278"/>
      <w:bookmarkStart w:id="82" w:name="_Toc455587094"/>
      <w:r>
        <w:rPr>
          <w:rFonts w:hint="eastAsia" w:ascii="宋体" w:hAnsi="宋体" w:eastAsia="宋体"/>
          <w:b/>
          <w:sz w:val="24"/>
          <w:szCs w:val="18"/>
          <w:highlight w:val="none"/>
        </w:rPr>
        <w:t>五、安装调试、验收试验及质量保证</w:t>
      </w:r>
      <w:bookmarkEnd w:id="79"/>
    </w:p>
    <w:p w14:paraId="49EDBB38">
      <w:pPr>
        <w:shd w:val="clear"/>
        <w:spacing w:line="360" w:lineRule="auto"/>
        <w:ind w:firstLine="437"/>
        <w:rPr>
          <w:rFonts w:ascii="宋体" w:hAnsi="宋体" w:eastAsia="宋体"/>
          <w:bCs/>
          <w:sz w:val="24"/>
          <w:szCs w:val="18"/>
          <w:highlight w:val="none"/>
        </w:rPr>
      </w:pPr>
      <w:r>
        <w:rPr>
          <w:rFonts w:ascii="宋体" w:hAnsi="宋体" w:eastAsia="宋体"/>
          <w:bCs/>
          <w:sz w:val="24"/>
          <w:szCs w:val="18"/>
          <w:highlight w:val="none"/>
        </w:rPr>
        <w:t>1、中标人在</w:t>
      </w:r>
      <w:r>
        <w:rPr>
          <w:rFonts w:hint="eastAsia" w:ascii="宋体" w:hAnsi="宋体" w:eastAsia="宋体"/>
          <w:bCs/>
          <w:sz w:val="24"/>
          <w:szCs w:val="18"/>
          <w:highlight w:val="none"/>
        </w:rPr>
        <w:t>采购人指定</w:t>
      </w:r>
      <w:r>
        <w:rPr>
          <w:rFonts w:ascii="宋体" w:hAnsi="宋体" w:eastAsia="宋体"/>
          <w:bCs/>
          <w:sz w:val="24"/>
          <w:szCs w:val="18"/>
          <w:highlight w:val="none"/>
        </w:rPr>
        <w:t>地点负责安装、调试。</w:t>
      </w:r>
    </w:p>
    <w:p w14:paraId="7C8BDAD9">
      <w:pPr>
        <w:shd w:val="clear"/>
        <w:spacing w:line="360" w:lineRule="auto"/>
        <w:ind w:firstLine="437"/>
        <w:rPr>
          <w:rFonts w:ascii="宋体" w:hAnsi="宋体" w:eastAsia="宋体"/>
          <w:bCs/>
          <w:sz w:val="24"/>
          <w:szCs w:val="18"/>
          <w:highlight w:val="none"/>
        </w:rPr>
      </w:pPr>
      <w:r>
        <w:rPr>
          <w:rFonts w:ascii="宋体" w:hAnsi="宋体" w:eastAsia="宋体"/>
          <w:bCs/>
          <w:sz w:val="24"/>
          <w:szCs w:val="18"/>
          <w:highlight w:val="none"/>
        </w:rPr>
        <w:t>2、验收标准和程序按采购人要求执行，下列验收程序可参照执行：</w:t>
      </w:r>
    </w:p>
    <w:p w14:paraId="11840BE4">
      <w:pPr>
        <w:shd w:val="clear"/>
        <w:spacing w:line="360" w:lineRule="auto"/>
        <w:ind w:firstLine="437"/>
        <w:rPr>
          <w:rFonts w:ascii="宋体" w:hAnsi="宋体" w:eastAsia="宋体"/>
          <w:bCs/>
          <w:sz w:val="24"/>
          <w:szCs w:val="18"/>
          <w:highlight w:val="none"/>
        </w:rPr>
      </w:pPr>
      <w:r>
        <w:rPr>
          <w:rFonts w:ascii="宋体" w:hAnsi="宋体" w:eastAsia="宋体"/>
          <w:bCs/>
          <w:sz w:val="24"/>
          <w:szCs w:val="18"/>
          <w:highlight w:val="none"/>
        </w:rPr>
        <w:t>2.1 采购人和相关部门按照招标文件和投标文件承诺进行验收。招标文件没有规定和投标文件没有相应承诺的，按照下列原则进行验收：有国家标准的按照国家标准验收，没有国家标准的按行业标准验收，无行业标准的按地方或企业标准验收，中标人予以配合。</w:t>
      </w:r>
    </w:p>
    <w:p w14:paraId="44EDDDC2">
      <w:pPr>
        <w:shd w:val="clear"/>
        <w:spacing w:line="360" w:lineRule="auto"/>
        <w:ind w:firstLine="437"/>
        <w:rPr>
          <w:rFonts w:ascii="宋体" w:hAnsi="宋体" w:eastAsia="宋体"/>
          <w:bCs/>
          <w:sz w:val="24"/>
          <w:szCs w:val="18"/>
          <w:highlight w:val="none"/>
        </w:rPr>
      </w:pPr>
      <w:r>
        <w:rPr>
          <w:rFonts w:ascii="宋体" w:hAnsi="宋体" w:eastAsia="宋体"/>
          <w:bCs/>
          <w:sz w:val="24"/>
          <w:szCs w:val="18"/>
          <w:highlight w:val="none"/>
        </w:rPr>
        <w:t>2.2货物在验收时，中标人应提供发票、制造厂家出具的产品合格证书</w:t>
      </w:r>
      <w:r>
        <w:rPr>
          <w:rFonts w:hint="eastAsia" w:ascii="宋体" w:hAnsi="宋体" w:eastAsia="宋体"/>
          <w:bCs/>
          <w:sz w:val="24"/>
          <w:szCs w:val="18"/>
          <w:highlight w:val="none"/>
        </w:rPr>
        <w:t>（软件检测报告）</w:t>
      </w:r>
      <w:r>
        <w:rPr>
          <w:rFonts w:ascii="宋体" w:hAnsi="宋体" w:eastAsia="宋体"/>
          <w:bCs/>
          <w:sz w:val="24"/>
          <w:szCs w:val="18"/>
          <w:highlight w:val="none"/>
        </w:rPr>
        <w:t>、装箱清单等,涉及进口的部件须提供中国海关进口货物报关单、完税证明及商检证明等材料；提供有关货物的保养修理所需的各种随机工具及全部有关技术文件（外文应提供中文翻译资料，下同）、操作使用说明书、质保书、保修证明、维护手册及技术性指导资料以及根据中国相关法律规定制造、销售报价货物（包括主要部件和材料）所必备的各种证书 (如产品质量检验报告、国家相关检测机构出具的检验报告等）等文件汇集成册交付采购人和应由中标人提供的必要文件。</w:t>
      </w:r>
    </w:p>
    <w:p w14:paraId="3AFACE87">
      <w:pPr>
        <w:shd w:val="clear"/>
        <w:spacing w:line="360" w:lineRule="auto"/>
        <w:ind w:firstLine="437"/>
        <w:rPr>
          <w:rFonts w:ascii="宋体" w:hAnsi="宋体" w:eastAsia="宋体"/>
          <w:bCs/>
          <w:sz w:val="24"/>
          <w:szCs w:val="18"/>
          <w:highlight w:val="none"/>
        </w:rPr>
      </w:pPr>
      <w:r>
        <w:rPr>
          <w:rFonts w:ascii="宋体" w:hAnsi="宋体" w:eastAsia="宋体"/>
          <w:bCs/>
          <w:sz w:val="24"/>
          <w:szCs w:val="18"/>
          <w:highlight w:val="none"/>
        </w:rPr>
        <w:t>2.</w:t>
      </w:r>
      <w:r>
        <w:rPr>
          <w:rFonts w:hint="eastAsia" w:ascii="宋体" w:hAnsi="宋体" w:eastAsia="宋体"/>
          <w:bCs/>
          <w:sz w:val="24"/>
          <w:szCs w:val="18"/>
          <w:highlight w:val="none"/>
        </w:rPr>
        <w:t>3</w:t>
      </w:r>
      <w:r>
        <w:rPr>
          <w:rFonts w:ascii="宋体" w:hAnsi="宋体" w:eastAsia="宋体"/>
          <w:bCs/>
          <w:sz w:val="24"/>
          <w:szCs w:val="18"/>
          <w:highlight w:val="none"/>
        </w:rPr>
        <w:t xml:space="preserve"> 运行测试及最终验收。在系统安装、调试结束后，采购人对其进行全面的测试，对测试中暴露出来的问题，中标人应及时进行整改，系统最终测试完毕经验收合格后，采购人应向中标人签发最终验收证明。</w:t>
      </w:r>
    </w:p>
    <w:p w14:paraId="0BED61DB">
      <w:pPr>
        <w:shd w:val="clear"/>
        <w:spacing w:line="360" w:lineRule="auto"/>
        <w:ind w:firstLine="437"/>
        <w:rPr>
          <w:rFonts w:ascii="宋体" w:hAnsi="宋体" w:eastAsia="宋体"/>
          <w:bCs/>
          <w:sz w:val="24"/>
          <w:szCs w:val="18"/>
          <w:highlight w:val="none"/>
        </w:rPr>
      </w:pPr>
      <w:r>
        <w:rPr>
          <w:rFonts w:ascii="宋体" w:hAnsi="宋体" w:eastAsia="宋体"/>
          <w:bCs/>
          <w:sz w:val="24"/>
          <w:szCs w:val="18"/>
          <w:highlight w:val="none"/>
        </w:rPr>
        <w:t>2.</w:t>
      </w:r>
      <w:r>
        <w:rPr>
          <w:rFonts w:hint="eastAsia" w:ascii="宋体" w:hAnsi="宋体" w:eastAsia="宋体"/>
          <w:bCs/>
          <w:sz w:val="24"/>
          <w:szCs w:val="18"/>
          <w:highlight w:val="none"/>
        </w:rPr>
        <w:t>4</w:t>
      </w:r>
      <w:r>
        <w:rPr>
          <w:rFonts w:ascii="宋体" w:hAnsi="宋体" w:eastAsia="宋体"/>
          <w:bCs/>
          <w:sz w:val="24"/>
          <w:szCs w:val="18"/>
          <w:highlight w:val="none"/>
        </w:rPr>
        <w:t xml:space="preserve"> 中标人应向采购人提供安装调试过程中的各种文档资料,以便采购人今后能掌握操作和维护方法。</w:t>
      </w:r>
    </w:p>
    <w:bookmarkEnd w:id="80"/>
    <w:bookmarkEnd w:id="81"/>
    <w:bookmarkEnd w:id="82"/>
    <w:p w14:paraId="3C0B4846">
      <w:pPr>
        <w:shd w:val="clear"/>
        <w:spacing w:line="360" w:lineRule="auto"/>
        <w:outlineLvl w:val="1"/>
        <w:rPr>
          <w:rFonts w:ascii="宋体" w:hAnsi="宋体" w:eastAsia="宋体"/>
          <w:b/>
          <w:sz w:val="24"/>
          <w:szCs w:val="18"/>
          <w:highlight w:val="none"/>
        </w:rPr>
      </w:pPr>
      <w:bookmarkStart w:id="83" w:name="_Toc455587279"/>
      <w:bookmarkStart w:id="84" w:name="_Toc445554754"/>
      <w:bookmarkStart w:id="85" w:name="_Toc532199627"/>
      <w:bookmarkStart w:id="86" w:name="_Toc455587095"/>
      <w:r>
        <w:rPr>
          <w:rFonts w:hint="eastAsia" w:ascii="宋体" w:hAnsi="宋体" w:eastAsia="宋体"/>
          <w:b/>
          <w:sz w:val="24"/>
          <w:szCs w:val="18"/>
          <w:highlight w:val="none"/>
        </w:rPr>
        <w:t>六、技术培训</w:t>
      </w:r>
      <w:bookmarkEnd w:id="83"/>
      <w:bookmarkEnd w:id="84"/>
      <w:bookmarkEnd w:id="85"/>
      <w:bookmarkEnd w:id="86"/>
    </w:p>
    <w:p w14:paraId="7C40B88B">
      <w:pPr>
        <w:shd w:val="clear"/>
        <w:spacing w:line="360" w:lineRule="auto"/>
        <w:ind w:firstLine="437"/>
        <w:outlineLvl w:val="1"/>
        <w:rPr>
          <w:rFonts w:ascii="宋体" w:hAnsi="宋体" w:eastAsia="宋体"/>
          <w:bCs/>
          <w:sz w:val="24"/>
          <w:szCs w:val="18"/>
          <w:highlight w:val="none"/>
        </w:rPr>
      </w:pPr>
      <w:r>
        <w:rPr>
          <w:rFonts w:ascii="宋体" w:hAnsi="宋体" w:eastAsia="宋体"/>
          <w:bCs/>
          <w:sz w:val="24"/>
          <w:szCs w:val="18"/>
          <w:highlight w:val="none"/>
        </w:rPr>
        <w:t>1、为使</w:t>
      </w:r>
      <w:r>
        <w:rPr>
          <w:rFonts w:hint="eastAsia" w:ascii="宋体" w:hAnsi="宋体" w:eastAsia="宋体"/>
          <w:bCs/>
          <w:sz w:val="24"/>
          <w:szCs w:val="18"/>
          <w:highlight w:val="none"/>
        </w:rPr>
        <w:t>系统及设备</w:t>
      </w:r>
      <w:r>
        <w:rPr>
          <w:rFonts w:ascii="宋体" w:hAnsi="宋体" w:eastAsia="宋体"/>
          <w:bCs/>
          <w:sz w:val="24"/>
          <w:szCs w:val="18"/>
          <w:highlight w:val="none"/>
        </w:rPr>
        <w:t>能正常安装和运行，由中标人提供相应的技术培训</w:t>
      </w:r>
      <w:r>
        <w:rPr>
          <w:rFonts w:hint="eastAsia" w:ascii="宋体" w:hAnsi="宋体" w:eastAsia="宋体"/>
          <w:bCs/>
          <w:sz w:val="24"/>
          <w:szCs w:val="18"/>
          <w:highlight w:val="none"/>
        </w:rPr>
        <w:t>，</w:t>
      </w:r>
      <w:r>
        <w:rPr>
          <w:rFonts w:ascii="宋体" w:hAnsi="宋体" w:eastAsia="宋体"/>
          <w:bCs/>
          <w:sz w:val="24"/>
          <w:szCs w:val="18"/>
          <w:highlight w:val="none"/>
        </w:rPr>
        <w:t>培训费用</w:t>
      </w:r>
      <w:r>
        <w:rPr>
          <w:rFonts w:hint="eastAsia" w:ascii="宋体" w:hAnsi="宋体" w:eastAsia="宋体"/>
          <w:bCs/>
          <w:sz w:val="24"/>
          <w:szCs w:val="18"/>
          <w:highlight w:val="none"/>
        </w:rPr>
        <w:t>包含在投标报价内</w:t>
      </w:r>
      <w:r>
        <w:rPr>
          <w:rFonts w:ascii="宋体" w:hAnsi="宋体" w:eastAsia="宋体"/>
          <w:bCs/>
          <w:sz w:val="24"/>
          <w:szCs w:val="18"/>
          <w:highlight w:val="none"/>
        </w:rPr>
        <w:t>。</w:t>
      </w:r>
    </w:p>
    <w:p w14:paraId="7183CAF6">
      <w:pPr>
        <w:shd w:val="clear"/>
        <w:spacing w:line="360" w:lineRule="auto"/>
        <w:ind w:firstLine="437"/>
        <w:outlineLvl w:val="1"/>
        <w:rPr>
          <w:rFonts w:ascii="宋体" w:hAnsi="宋体" w:eastAsia="宋体"/>
          <w:bCs/>
          <w:sz w:val="24"/>
          <w:szCs w:val="18"/>
          <w:highlight w:val="none"/>
        </w:rPr>
      </w:pPr>
      <w:r>
        <w:rPr>
          <w:rFonts w:ascii="宋体" w:hAnsi="宋体" w:eastAsia="宋体"/>
          <w:bCs/>
          <w:sz w:val="24"/>
          <w:szCs w:val="18"/>
          <w:highlight w:val="none"/>
        </w:rPr>
        <w:t>2、培训的时间、人数、地点等具体内容由双方商定，内容至少包括：</w:t>
      </w:r>
      <w:r>
        <w:rPr>
          <w:rFonts w:hint="eastAsia" w:ascii="宋体" w:hAnsi="宋体" w:eastAsia="宋体"/>
          <w:bCs/>
          <w:sz w:val="24"/>
          <w:szCs w:val="18"/>
          <w:highlight w:val="none"/>
        </w:rPr>
        <w:t>操作</w:t>
      </w:r>
      <w:r>
        <w:rPr>
          <w:rFonts w:ascii="宋体" w:hAnsi="宋体" w:eastAsia="宋体"/>
          <w:bCs/>
          <w:sz w:val="24"/>
          <w:szCs w:val="18"/>
          <w:highlight w:val="none"/>
        </w:rPr>
        <w:t>原理、使用、维护、运行操作、常见故障处理等。</w:t>
      </w:r>
    </w:p>
    <w:p w14:paraId="016D8747">
      <w:pPr>
        <w:shd w:val="clear"/>
        <w:spacing w:line="360" w:lineRule="auto"/>
        <w:outlineLvl w:val="1"/>
        <w:rPr>
          <w:rFonts w:ascii="宋体" w:hAnsi="宋体" w:eastAsia="宋体"/>
          <w:b/>
          <w:sz w:val="24"/>
          <w:szCs w:val="18"/>
          <w:highlight w:val="none"/>
        </w:rPr>
      </w:pPr>
      <w:bookmarkStart w:id="87" w:name="_Toc532199628"/>
      <w:r>
        <w:rPr>
          <w:rFonts w:hint="eastAsia" w:ascii="宋体" w:hAnsi="宋体" w:eastAsia="宋体"/>
          <w:b/>
          <w:sz w:val="24"/>
          <w:szCs w:val="18"/>
          <w:highlight w:val="none"/>
        </w:rPr>
        <w:t>七、质保及售后服务</w:t>
      </w:r>
    </w:p>
    <w:p w14:paraId="5827F99F">
      <w:pPr>
        <w:shd w:val="clear"/>
        <w:spacing w:line="360" w:lineRule="auto"/>
        <w:ind w:firstLine="437"/>
        <w:outlineLvl w:val="1"/>
        <w:rPr>
          <w:rFonts w:ascii="宋体" w:hAnsi="宋体" w:eastAsia="宋体"/>
          <w:bCs/>
          <w:sz w:val="24"/>
          <w:szCs w:val="18"/>
          <w:highlight w:val="none"/>
        </w:rPr>
      </w:pPr>
      <w:r>
        <w:rPr>
          <w:rFonts w:ascii="宋体" w:hAnsi="宋体" w:eastAsia="宋体"/>
          <w:bCs/>
          <w:sz w:val="24"/>
          <w:szCs w:val="18"/>
          <w:highlight w:val="none"/>
        </w:rPr>
        <w:t>1、自双方签订《验收报告》起进入质保期。</w:t>
      </w:r>
    </w:p>
    <w:p w14:paraId="616CB685">
      <w:pPr>
        <w:widowControl/>
        <w:numPr>
          <w:ilvl w:val="255"/>
          <w:numId w:val="0"/>
        </w:numPr>
        <w:shd w:val="clear"/>
        <w:spacing w:line="360" w:lineRule="auto"/>
        <w:ind w:firstLine="437"/>
        <w:jc w:val="left"/>
        <w:rPr>
          <w:rFonts w:ascii="宋体" w:hAnsi="宋体" w:eastAsia="宋体"/>
          <w:bCs/>
          <w:sz w:val="24"/>
          <w:szCs w:val="18"/>
          <w:highlight w:val="none"/>
        </w:rPr>
      </w:pPr>
      <w:r>
        <w:rPr>
          <w:rFonts w:ascii="宋体" w:hAnsi="宋体" w:eastAsia="宋体"/>
          <w:bCs/>
          <w:sz w:val="24"/>
          <w:szCs w:val="18"/>
          <w:highlight w:val="none"/>
        </w:rPr>
        <w:t>2、</w:t>
      </w:r>
      <w:r>
        <w:rPr>
          <w:rFonts w:hint="eastAsia" w:ascii="宋体" w:hAnsi="宋体" w:eastAsia="宋体"/>
          <w:bCs/>
          <w:sz w:val="24"/>
          <w:szCs w:val="18"/>
          <w:highlight w:val="none"/>
        </w:rPr>
        <w:t>验</w:t>
      </w:r>
      <w:r>
        <w:rPr>
          <w:rFonts w:ascii="宋体" w:hAnsi="宋体" w:eastAsia="宋体"/>
          <w:bCs/>
          <w:sz w:val="24"/>
          <w:szCs w:val="18"/>
          <w:highlight w:val="none"/>
        </w:rPr>
        <w:t>收合格后，</w:t>
      </w:r>
      <w:r>
        <w:rPr>
          <w:rFonts w:hint="eastAsia" w:ascii="宋体" w:hAnsi="宋体" w:eastAsia="宋体"/>
          <w:bCs/>
          <w:sz w:val="24"/>
          <w:szCs w:val="18"/>
          <w:highlight w:val="none"/>
        </w:rPr>
        <w:t>中标人需</w:t>
      </w:r>
      <w:r>
        <w:rPr>
          <w:rFonts w:ascii="宋体" w:hAnsi="宋体" w:eastAsia="宋体"/>
          <w:bCs/>
          <w:sz w:val="24"/>
          <w:szCs w:val="18"/>
          <w:highlight w:val="none"/>
        </w:rPr>
        <w:t>全年7*24小时提供技术支持维护，解决软</w:t>
      </w:r>
      <w:r>
        <w:rPr>
          <w:rFonts w:hint="eastAsia" w:ascii="宋体" w:hAnsi="宋体" w:eastAsia="宋体"/>
          <w:bCs/>
          <w:sz w:val="24"/>
          <w:szCs w:val="18"/>
          <w:highlight w:val="none"/>
          <w:lang w:val="en-US" w:eastAsia="zh-CN"/>
        </w:rPr>
        <w:t>硬件</w:t>
      </w:r>
      <w:r>
        <w:rPr>
          <w:rFonts w:ascii="宋体" w:hAnsi="宋体" w:eastAsia="宋体"/>
          <w:bCs/>
          <w:sz w:val="24"/>
          <w:szCs w:val="18"/>
          <w:highlight w:val="none"/>
        </w:rPr>
        <w:t>故障，支持方式包括不限于电话、传真、电子邮件等，提供实时响应远程解决。出现故障，10分钟内电话响应，在远程维护12小时内无法排除故障后，24小时内到达现场处理问题。</w:t>
      </w:r>
    </w:p>
    <w:p w14:paraId="04DF5FFF">
      <w:pPr>
        <w:shd w:val="clear"/>
        <w:spacing w:line="360" w:lineRule="auto"/>
        <w:ind w:firstLine="437"/>
        <w:outlineLvl w:val="1"/>
        <w:rPr>
          <w:rFonts w:ascii="宋体" w:hAnsi="宋体" w:eastAsia="宋体"/>
          <w:bCs/>
          <w:sz w:val="24"/>
          <w:szCs w:val="18"/>
          <w:highlight w:val="none"/>
        </w:rPr>
      </w:pPr>
      <w:r>
        <w:rPr>
          <w:rFonts w:hint="eastAsia" w:ascii="宋体" w:hAnsi="宋体" w:eastAsia="宋体"/>
          <w:bCs/>
          <w:sz w:val="24"/>
          <w:szCs w:val="18"/>
          <w:highlight w:val="none"/>
        </w:rPr>
        <w:t>3、</w:t>
      </w:r>
      <w:r>
        <w:rPr>
          <w:rFonts w:ascii="宋体" w:hAnsi="宋体" w:eastAsia="宋体"/>
          <w:bCs/>
          <w:sz w:val="24"/>
          <w:szCs w:val="18"/>
          <w:highlight w:val="none"/>
        </w:rPr>
        <w:t>在质保期间内，非采购人过失和故意并且在正常使用的情况下发现</w:t>
      </w:r>
      <w:r>
        <w:rPr>
          <w:rFonts w:hint="eastAsia" w:ascii="宋体" w:hAnsi="宋体" w:eastAsia="宋体"/>
          <w:bCs/>
          <w:sz w:val="24"/>
          <w:szCs w:val="18"/>
          <w:highlight w:val="none"/>
        </w:rPr>
        <w:t>产品</w:t>
      </w:r>
      <w:r>
        <w:rPr>
          <w:rFonts w:ascii="宋体" w:hAnsi="宋体" w:eastAsia="宋体"/>
          <w:bCs/>
          <w:sz w:val="24"/>
          <w:szCs w:val="18"/>
          <w:highlight w:val="none"/>
        </w:rPr>
        <w:t>有缺陷，中标人</w:t>
      </w:r>
      <w:r>
        <w:rPr>
          <w:rFonts w:hint="eastAsia" w:ascii="宋体" w:hAnsi="宋体" w:eastAsia="宋体"/>
          <w:bCs/>
          <w:sz w:val="24"/>
          <w:szCs w:val="18"/>
          <w:highlight w:val="none"/>
        </w:rPr>
        <w:t>应</w:t>
      </w:r>
      <w:r>
        <w:rPr>
          <w:rFonts w:ascii="宋体" w:hAnsi="宋体" w:eastAsia="宋体"/>
          <w:bCs/>
          <w:sz w:val="24"/>
          <w:szCs w:val="18"/>
          <w:highlight w:val="none"/>
        </w:rPr>
        <w:t>修理或替换该设备；在质保期间内，非采购人过失和故意并且在正常使用的情况下设备发生故障，中标人应及时提供服务。</w:t>
      </w:r>
      <w:bookmarkEnd w:id="87"/>
    </w:p>
    <w:p w14:paraId="56C993D7">
      <w:pPr>
        <w:shd w:val="clear"/>
        <w:spacing w:line="360" w:lineRule="auto"/>
        <w:ind w:firstLine="437"/>
        <w:rPr>
          <w:rFonts w:ascii="宋体" w:hAnsi="宋体" w:eastAsia="宋体"/>
          <w:bCs/>
          <w:sz w:val="24"/>
          <w:szCs w:val="18"/>
          <w:highlight w:val="none"/>
        </w:rPr>
      </w:pPr>
    </w:p>
    <w:p w14:paraId="15D04563">
      <w:pPr>
        <w:shd w:val="clear"/>
        <w:spacing w:line="360" w:lineRule="auto"/>
        <w:ind w:firstLine="480" w:firstLineChars="200"/>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279C25AF">
      <w:pPr>
        <w:shd w:val="clear"/>
        <w:spacing w:line="360" w:lineRule="auto"/>
        <w:jc w:val="center"/>
        <w:outlineLvl w:val="0"/>
        <w:rPr>
          <w:rFonts w:asciiTheme="minorEastAsia" w:hAnsiTheme="minorEastAsia" w:eastAsiaTheme="minorEastAsia"/>
          <w:b/>
          <w:sz w:val="28"/>
          <w:highlight w:val="none"/>
        </w:rPr>
      </w:pPr>
      <w:bookmarkStart w:id="88" w:name="_Toc16417"/>
      <w:r>
        <w:rPr>
          <w:rFonts w:hint="eastAsia" w:asciiTheme="minorEastAsia" w:hAnsiTheme="minorEastAsia" w:eastAsiaTheme="minorEastAsia"/>
          <w:b/>
          <w:sz w:val="28"/>
          <w:highlight w:val="none"/>
        </w:rPr>
        <w:t>第四章  评标方法和标准（综合评分法）</w:t>
      </w:r>
      <w:bookmarkEnd w:id="88"/>
    </w:p>
    <w:p w14:paraId="36FB348D">
      <w:pPr>
        <w:shd w:val="clear"/>
        <w:spacing w:line="360" w:lineRule="auto"/>
        <w:ind w:firstLine="437"/>
        <w:outlineLvl w:val="1"/>
        <w:rPr>
          <w:rFonts w:asciiTheme="minorEastAsia" w:hAnsiTheme="minorEastAsia" w:eastAsiaTheme="minorEastAsia"/>
          <w:b/>
          <w:sz w:val="24"/>
          <w:highlight w:val="none"/>
        </w:rPr>
      </w:pPr>
      <w:bookmarkStart w:id="89" w:name="_Toc1246"/>
      <w:bookmarkStart w:id="90" w:name="_Toc11823"/>
      <w:r>
        <w:rPr>
          <w:rFonts w:hint="eastAsia" w:asciiTheme="minorEastAsia" w:hAnsiTheme="minorEastAsia" w:eastAsiaTheme="minorEastAsia"/>
          <w:b/>
          <w:sz w:val="24"/>
          <w:highlight w:val="none"/>
        </w:rPr>
        <w:t>一、总则</w:t>
      </w:r>
      <w:bookmarkEnd w:id="89"/>
      <w:bookmarkEnd w:id="90"/>
    </w:p>
    <w:p w14:paraId="19F1BC40">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本项目将按照招标文件第二章 投标人须知的相关要求</w:t>
      </w:r>
      <w:r>
        <w:rPr>
          <w:rFonts w:asciiTheme="minorEastAsia" w:hAnsiTheme="minorEastAsia" w:eastAsiaTheme="minorEastAsia"/>
          <w:sz w:val="24"/>
          <w:highlight w:val="none"/>
        </w:rPr>
        <w:t>及本章的规定评标。</w:t>
      </w:r>
    </w:p>
    <w:p w14:paraId="7527F94B">
      <w:pPr>
        <w:shd w:val="clear"/>
        <w:spacing w:line="360" w:lineRule="auto"/>
        <w:ind w:firstLine="437"/>
        <w:outlineLvl w:val="1"/>
        <w:rPr>
          <w:rFonts w:asciiTheme="minorEastAsia" w:hAnsiTheme="minorEastAsia" w:eastAsiaTheme="minorEastAsia"/>
          <w:b/>
          <w:sz w:val="24"/>
          <w:highlight w:val="none"/>
        </w:rPr>
      </w:pPr>
      <w:bookmarkStart w:id="91" w:name="_Toc31871"/>
      <w:bookmarkStart w:id="92" w:name="_Toc13117"/>
      <w:r>
        <w:rPr>
          <w:rFonts w:hint="eastAsia" w:asciiTheme="minorEastAsia" w:hAnsiTheme="minorEastAsia" w:eastAsiaTheme="minorEastAsia"/>
          <w:b/>
          <w:sz w:val="24"/>
          <w:highlight w:val="none"/>
        </w:rPr>
        <w:t>二、评标方法</w:t>
      </w:r>
      <w:bookmarkEnd w:id="91"/>
      <w:bookmarkEnd w:id="92"/>
    </w:p>
    <w:p w14:paraId="40AD420F">
      <w:pPr>
        <w:shd w:val="clear"/>
        <w:spacing w:line="360" w:lineRule="auto"/>
        <w:ind w:firstLine="437"/>
        <w:outlineLvl w:val="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2.1资格审查</w:t>
      </w:r>
    </w:p>
    <w:tbl>
      <w:tblPr>
        <w:tblStyle w:val="25"/>
        <w:tblW w:w="521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3"/>
        <w:gridCol w:w="1647"/>
        <w:gridCol w:w="4558"/>
        <w:gridCol w:w="2017"/>
      </w:tblGrid>
      <w:tr w14:paraId="7F0E8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4"/>
            <w:tcBorders>
              <w:bottom w:val="single" w:color="auto" w:sz="4" w:space="0"/>
            </w:tcBorders>
            <w:vAlign w:val="center"/>
          </w:tcPr>
          <w:p w14:paraId="6AE99113">
            <w:pPr>
              <w:keepNext w:val="0"/>
              <w:keepLines w:val="0"/>
              <w:pageBreakBefore w:val="0"/>
              <w:widowControl w:val="0"/>
              <w:shd w:val="clear"/>
              <w:kinsoku/>
              <w:wordWrap/>
              <w:overflowPunct/>
              <w:topLinePunct w:val="0"/>
              <w:autoSpaceDE/>
              <w:autoSpaceDN/>
              <w:bidi w:val="0"/>
              <w:adjustRightInd w:val="0"/>
              <w:snapToGrid w:val="0"/>
              <w:spacing w:line="240" w:lineRule="auto"/>
              <w:ind w:right="-11"/>
              <w:jc w:val="center"/>
              <w:textAlignment w:val="auto"/>
              <w:rPr>
                <w:rFonts w:ascii="宋体" w:hAnsi="宋体" w:eastAsia="宋体"/>
                <w:sz w:val="24"/>
                <w:highlight w:val="none"/>
              </w:rPr>
            </w:pPr>
            <w:r>
              <w:rPr>
                <w:rFonts w:hint="eastAsia" w:ascii="宋体" w:hAnsi="宋体" w:eastAsia="宋体"/>
                <w:b/>
                <w:sz w:val="24"/>
                <w:szCs w:val="22"/>
                <w:highlight w:val="none"/>
              </w:rPr>
              <w:t>资格审查表</w:t>
            </w:r>
          </w:p>
        </w:tc>
      </w:tr>
      <w:tr w14:paraId="5EDA51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373" w:type="pct"/>
            <w:tcBorders>
              <w:bottom w:val="single" w:color="auto" w:sz="4" w:space="0"/>
            </w:tcBorders>
            <w:vAlign w:val="center"/>
          </w:tcPr>
          <w:p w14:paraId="6EF5068C">
            <w:pPr>
              <w:keepNext w:val="0"/>
              <w:keepLines w:val="0"/>
              <w:pageBreakBefore w:val="0"/>
              <w:widowControl w:val="0"/>
              <w:shd w:val="clear"/>
              <w:kinsoku/>
              <w:wordWrap/>
              <w:overflowPunct/>
              <w:topLinePunct w:val="0"/>
              <w:autoSpaceDE/>
              <w:autoSpaceDN/>
              <w:bidi w:val="0"/>
              <w:adjustRightInd w:val="0"/>
              <w:snapToGrid w:val="0"/>
              <w:spacing w:line="240" w:lineRule="auto"/>
              <w:ind w:right="-11"/>
              <w:jc w:val="center"/>
              <w:textAlignment w:val="auto"/>
              <w:rPr>
                <w:rFonts w:ascii="宋体" w:hAnsi="宋体" w:eastAsia="宋体"/>
                <w:sz w:val="24"/>
                <w:highlight w:val="none"/>
              </w:rPr>
            </w:pPr>
            <w:r>
              <w:rPr>
                <w:rFonts w:hint="eastAsia" w:ascii="宋体" w:hAnsi="宋体" w:eastAsia="宋体"/>
                <w:sz w:val="24"/>
                <w:highlight w:val="none"/>
              </w:rPr>
              <w:t>序号</w:t>
            </w:r>
          </w:p>
        </w:tc>
        <w:tc>
          <w:tcPr>
            <w:tcW w:w="927" w:type="pct"/>
            <w:tcBorders>
              <w:bottom w:val="single" w:color="auto" w:sz="4" w:space="0"/>
            </w:tcBorders>
            <w:vAlign w:val="center"/>
          </w:tcPr>
          <w:p w14:paraId="11869532">
            <w:pPr>
              <w:pStyle w:val="38"/>
              <w:keepNext w:val="0"/>
              <w:keepLines w:val="0"/>
              <w:pageBreakBefore w:val="0"/>
              <w:widowControl w:val="0"/>
              <w:pBdr>
                <w:bottom w:val="none" w:color="auto" w:sz="0" w:space="0"/>
              </w:pBdr>
              <w:shd w:val="clear"/>
              <w:tabs>
                <w:tab w:val="clear" w:pos="4153"/>
                <w:tab w:val="clear" w:pos="8306"/>
              </w:tabs>
              <w:kinsoku/>
              <w:wordWrap/>
              <w:overflowPunct/>
              <w:topLinePunct w:val="0"/>
              <w:autoSpaceDE/>
              <w:autoSpaceDN/>
              <w:bidi w:val="0"/>
              <w:adjustRightInd w:val="0"/>
              <w:snapToGrid w:val="0"/>
              <w:spacing w:line="240" w:lineRule="auto"/>
              <w:ind w:right="-11"/>
              <w:textAlignment w:val="auto"/>
              <w:rPr>
                <w:rFonts w:ascii="宋体" w:hAnsi="宋体" w:eastAsia="宋体"/>
                <w:kern w:val="2"/>
                <w:szCs w:val="24"/>
                <w:highlight w:val="none"/>
              </w:rPr>
            </w:pPr>
            <w:r>
              <w:rPr>
                <w:rFonts w:hint="eastAsia" w:ascii="宋体" w:hAnsi="宋体" w:eastAsia="宋体"/>
                <w:kern w:val="2"/>
                <w:szCs w:val="24"/>
                <w:highlight w:val="none"/>
              </w:rPr>
              <w:t>审查因素</w:t>
            </w:r>
          </w:p>
        </w:tc>
        <w:tc>
          <w:tcPr>
            <w:tcW w:w="2565" w:type="pct"/>
            <w:tcBorders>
              <w:bottom w:val="single" w:color="auto" w:sz="4" w:space="0"/>
            </w:tcBorders>
            <w:vAlign w:val="center"/>
          </w:tcPr>
          <w:p w14:paraId="42B470F8">
            <w:pPr>
              <w:keepNext w:val="0"/>
              <w:keepLines w:val="0"/>
              <w:pageBreakBefore w:val="0"/>
              <w:widowControl w:val="0"/>
              <w:shd w:val="clear"/>
              <w:kinsoku/>
              <w:wordWrap/>
              <w:overflowPunct/>
              <w:topLinePunct w:val="0"/>
              <w:autoSpaceDE/>
              <w:autoSpaceDN/>
              <w:bidi w:val="0"/>
              <w:adjustRightInd w:val="0"/>
              <w:snapToGrid w:val="0"/>
              <w:spacing w:line="240" w:lineRule="auto"/>
              <w:ind w:right="-11"/>
              <w:jc w:val="center"/>
              <w:textAlignment w:val="auto"/>
              <w:rPr>
                <w:rFonts w:ascii="宋体" w:hAnsi="宋体" w:eastAsia="宋体"/>
                <w:sz w:val="24"/>
                <w:highlight w:val="none"/>
              </w:rPr>
            </w:pPr>
            <w:r>
              <w:rPr>
                <w:rFonts w:hint="eastAsia" w:ascii="宋体" w:hAnsi="宋体" w:eastAsia="宋体"/>
                <w:sz w:val="24"/>
                <w:highlight w:val="none"/>
              </w:rPr>
              <w:t>审查内容</w:t>
            </w:r>
          </w:p>
        </w:tc>
        <w:tc>
          <w:tcPr>
            <w:tcW w:w="1133" w:type="pct"/>
            <w:tcBorders>
              <w:bottom w:val="single" w:color="auto" w:sz="4" w:space="0"/>
            </w:tcBorders>
            <w:vAlign w:val="center"/>
          </w:tcPr>
          <w:p w14:paraId="55DEE12A">
            <w:pPr>
              <w:keepNext w:val="0"/>
              <w:keepLines w:val="0"/>
              <w:pageBreakBefore w:val="0"/>
              <w:widowControl w:val="0"/>
              <w:shd w:val="clear"/>
              <w:kinsoku/>
              <w:wordWrap/>
              <w:overflowPunct/>
              <w:topLinePunct w:val="0"/>
              <w:autoSpaceDE/>
              <w:autoSpaceDN/>
              <w:bidi w:val="0"/>
              <w:adjustRightInd w:val="0"/>
              <w:snapToGrid w:val="0"/>
              <w:spacing w:line="240" w:lineRule="auto"/>
              <w:ind w:right="-11"/>
              <w:jc w:val="center"/>
              <w:textAlignment w:val="auto"/>
              <w:rPr>
                <w:rFonts w:ascii="宋体" w:hAnsi="宋体" w:eastAsia="宋体"/>
                <w:sz w:val="24"/>
                <w:highlight w:val="none"/>
              </w:rPr>
            </w:pPr>
            <w:r>
              <w:rPr>
                <w:rFonts w:hint="eastAsia" w:ascii="宋体" w:hAnsi="宋体" w:eastAsia="宋体"/>
                <w:sz w:val="24"/>
                <w:highlight w:val="none"/>
              </w:rPr>
              <w:t>格式要求</w:t>
            </w:r>
          </w:p>
        </w:tc>
      </w:tr>
      <w:tr w14:paraId="629BBC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373" w:type="pct"/>
            <w:tcBorders>
              <w:bottom w:val="single" w:color="auto" w:sz="4" w:space="0"/>
            </w:tcBorders>
            <w:vAlign w:val="center"/>
          </w:tcPr>
          <w:p w14:paraId="694D4209">
            <w:pPr>
              <w:numPr>
                <w:ilvl w:val="0"/>
                <w:numId w:val="12"/>
              </w:numPr>
              <w:shd w:val="clear"/>
              <w:tabs>
                <w:tab w:val="clear" w:pos="0"/>
              </w:tabs>
              <w:adjustRightInd w:val="0"/>
              <w:snapToGrid w:val="0"/>
              <w:spacing w:line="360" w:lineRule="auto"/>
              <w:ind w:right="-10"/>
              <w:jc w:val="center"/>
              <w:rPr>
                <w:rFonts w:ascii="宋体" w:hAnsi="宋体" w:eastAsia="宋体"/>
                <w:sz w:val="24"/>
                <w:highlight w:val="none"/>
              </w:rPr>
            </w:pPr>
          </w:p>
        </w:tc>
        <w:tc>
          <w:tcPr>
            <w:tcW w:w="927" w:type="pct"/>
            <w:tcBorders>
              <w:bottom w:val="single" w:color="auto" w:sz="4" w:space="0"/>
            </w:tcBorders>
            <w:vAlign w:val="center"/>
          </w:tcPr>
          <w:p w14:paraId="07E3D5CB">
            <w:pPr>
              <w:shd w:val="clear"/>
              <w:spacing w:after="50" w:line="360" w:lineRule="auto"/>
              <w:ind w:right="-10"/>
              <w:jc w:val="center"/>
              <w:rPr>
                <w:rFonts w:ascii="宋体" w:hAnsi="宋体" w:eastAsia="宋体"/>
                <w:sz w:val="24"/>
                <w:szCs w:val="28"/>
                <w:highlight w:val="none"/>
              </w:rPr>
            </w:pPr>
            <w:r>
              <w:rPr>
                <w:rFonts w:ascii="宋体" w:hAnsi="宋体" w:eastAsia="宋体" w:cs="宋体"/>
                <w:spacing w:val="9"/>
                <w:sz w:val="24"/>
                <w:szCs w:val="24"/>
                <w:highlight w:val="none"/>
              </w:rPr>
              <w:t>营业执照等证明</w:t>
            </w:r>
            <w:r>
              <w:rPr>
                <w:rFonts w:ascii="宋体" w:hAnsi="宋体" w:eastAsia="宋体" w:cs="宋体"/>
                <w:spacing w:val="-3"/>
                <w:sz w:val="24"/>
                <w:szCs w:val="24"/>
                <w:highlight w:val="none"/>
              </w:rPr>
              <w:t>文件</w:t>
            </w:r>
          </w:p>
        </w:tc>
        <w:tc>
          <w:tcPr>
            <w:tcW w:w="2565" w:type="pct"/>
            <w:tcBorders>
              <w:bottom w:val="single" w:color="auto" w:sz="4" w:space="0"/>
            </w:tcBorders>
            <w:vAlign w:val="center"/>
          </w:tcPr>
          <w:p w14:paraId="2D206A20">
            <w:pPr>
              <w:shd w:val="clear"/>
              <w:spacing w:after="50" w:line="360" w:lineRule="auto"/>
              <w:ind w:right="-10"/>
              <w:jc w:val="left"/>
              <w:rPr>
                <w:rFonts w:ascii="宋体" w:hAnsi="宋体" w:eastAsia="宋体" w:cs="宋体"/>
                <w:sz w:val="24"/>
                <w:szCs w:val="24"/>
                <w:highlight w:val="none"/>
              </w:rPr>
            </w:pPr>
            <w:r>
              <w:rPr>
                <w:rFonts w:hint="eastAsia" w:ascii="宋体" w:hAnsi="宋体" w:eastAsia="宋体" w:cs="宋体"/>
                <w:sz w:val="24"/>
                <w:szCs w:val="24"/>
                <w:highlight w:val="none"/>
              </w:rPr>
              <w:t>（1）</w:t>
            </w:r>
            <w:r>
              <w:rPr>
                <w:rFonts w:ascii="宋体" w:hAnsi="宋体" w:eastAsia="宋体" w:cs="宋体"/>
                <w:sz w:val="24"/>
                <w:szCs w:val="24"/>
                <w:highlight w:val="none"/>
              </w:rPr>
              <w:t>投标人为企业（包括合伙企业）的，应</w:t>
            </w:r>
            <w:r>
              <w:rPr>
                <w:rFonts w:hint="eastAsia" w:ascii="宋体" w:hAnsi="宋体" w:eastAsia="宋体" w:cs="宋体"/>
                <w:sz w:val="24"/>
                <w:szCs w:val="24"/>
                <w:highlight w:val="none"/>
              </w:rPr>
              <w:t>提</w:t>
            </w:r>
            <w:r>
              <w:rPr>
                <w:rFonts w:ascii="宋体" w:hAnsi="宋体" w:eastAsia="宋体" w:cs="宋体"/>
                <w:sz w:val="24"/>
                <w:szCs w:val="24"/>
                <w:highlight w:val="none"/>
              </w:rPr>
              <w:t>供有效的营业执照；</w:t>
            </w:r>
          </w:p>
          <w:p w14:paraId="1AD42113">
            <w:pPr>
              <w:shd w:val="clear"/>
              <w:spacing w:after="50" w:line="360" w:lineRule="auto"/>
              <w:ind w:right="-10"/>
              <w:jc w:val="left"/>
              <w:rPr>
                <w:rFonts w:ascii="宋体" w:hAnsi="宋体" w:eastAsia="宋体" w:cs="宋体"/>
                <w:sz w:val="24"/>
                <w:szCs w:val="24"/>
                <w:highlight w:val="none"/>
              </w:rPr>
            </w:pPr>
            <w:r>
              <w:rPr>
                <w:rFonts w:hint="eastAsia" w:ascii="宋体" w:hAnsi="宋体" w:eastAsia="宋体" w:cs="宋体"/>
                <w:sz w:val="24"/>
                <w:szCs w:val="24"/>
                <w:highlight w:val="none"/>
              </w:rPr>
              <w:t>（2）</w:t>
            </w:r>
            <w:r>
              <w:rPr>
                <w:rFonts w:ascii="宋体" w:hAnsi="宋体" w:eastAsia="宋体" w:cs="宋体"/>
                <w:sz w:val="24"/>
                <w:szCs w:val="24"/>
                <w:highlight w:val="none"/>
              </w:rPr>
              <w:t>投标人为事业单位的，应</w:t>
            </w:r>
            <w:r>
              <w:rPr>
                <w:rFonts w:hint="eastAsia" w:ascii="宋体" w:hAnsi="宋体" w:eastAsia="宋体" w:cs="宋体"/>
                <w:sz w:val="24"/>
                <w:szCs w:val="24"/>
                <w:highlight w:val="none"/>
              </w:rPr>
              <w:t>提</w:t>
            </w:r>
            <w:r>
              <w:rPr>
                <w:rFonts w:ascii="宋体" w:hAnsi="宋体" w:eastAsia="宋体" w:cs="宋体"/>
                <w:sz w:val="24"/>
                <w:szCs w:val="24"/>
                <w:highlight w:val="none"/>
              </w:rPr>
              <w:t>供有效的事业单位法人证书；</w:t>
            </w:r>
          </w:p>
          <w:p w14:paraId="6E619164">
            <w:pPr>
              <w:shd w:val="clear"/>
              <w:spacing w:after="50" w:line="360" w:lineRule="auto"/>
              <w:ind w:right="-10"/>
              <w:jc w:val="left"/>
              <w:rPr>
                <w:rFonts w:ascii="宋体" w:hAnsi="宋体" w:eastAsia="宋体" w:cs="宋体"/>
                <w:sz w:val="24"/>
                <w:szCs w:val="24"/>
                <w:highlight w:val="none"/>
              </w:rPr>
            </w:pPr>
            <w:r>
              <w:rPr>
                <w:rFonts w:hint="eastAsia" w:ascii="宋体" w:hAnsi="宋体" w:eastAsia="宋体" w:cs="宋体"/>
                <w:sz w:val="24"/>
                <w:szCs w:val="24"/>
                <w:highlight w:val="none"/>
              </w:rPr>
              <w:t>（3）</w:t>
            </w:r>
            <w:r>
              <w:rPr>
                <w:rFonts w:ascii="宋体" w:hAnsi="宋体" w:eastAsia="宋体" w:cs="宋体"/>
                <w:sz w:val="24"/>
                <w:szCs w:val="24"/>
                <w:highlight w:val="none"/>
              </w:rPr>
              <w:t>投标人是非企业机构的，应</w:t>
            </w:r>
            <w:r>
              <w:rPr>
                <w:rFonts w:hint="eastAsia" w:ascii="宋体" w:hAnsi="宋体" w:eastAsia="宋体" w:cs="宋体"/>
                <w:sz w:val="24"/>
                <w:szCs w:val="24"/>
                <w:highlight w:val="none"/>
              </w:rPr>
              <w:t>提</w:t>
            </w:r>
            <w:r>
              <w:rPr>
                <w:rFonts w:ascii="宋体" w:hAnsi="宋体" w:eastAsia="宋体" w:cs="宋体"/>
                <w:sz w:val="24"/>
                <w:szCs w:val="24"/>
                <w:highlight w:val="none"/>
              </w:rPr>
              <w:t>供有效的执业许可证</w:t>
            </w:r>
            <w:r>
              <w:rPr>
                <w:rFonts w:hint="eastAsia" w:ascii="宋体" w:hAnsi="宋体" w:eastAsia="宋体" w:cs="宋体"/>
                <w:sz w:val="24"/>
                <w:szCs w:val="24"/>
                <w:highlight w:val="none"/>
              </w:rPr>
              <w:t>或</w:t>
            </w:r>
            <w:r>
              <w:rPr>
                <w:rFonts w:ascii="宋体" w:hAnsi="宋体" w:eastAsia="宋体" w:cs="宋体"/>
                <w:sz w:val="24"/>
                <w:szCs w:val="24"/>
                <w:highlight w:val="none"/>
              </w:rPr>
              <w:t>登记证书等证明文件；</w:t>
            </w:r>
          </w:p>
          <w:p w14:paraId="11D3135A">
            <w:pPr>
              <w:shd w:val="clear"/>
              <w:spacing w:after="50" w:line="360" w:lineRule="auto"/>
              <w:ind w:right="-10"/>
              <w:jc w:val="left"/>
              <w:rPr>
                <w:rFonts w:ascii="宋体" w:hAnsi="宋体" w:eastAsia="宋体" w:cs="宋体"/>
                <w:sz w:val="24"/>
                <w:szCs w:val="24"/>
                <w:highlight w:val="none"/>
              </w:rPr>
            </w:pPr>
            <w:r>
              <w:rPr>
                <w:rFonts w:hint="eastAsia" w:ascii="宋体" w:hAnsi="宋体" w:eastAsia="宋体" w:cs="宋体"/>
                <w:sz w:val="24"/>
                <w:szCs w:val="24"/>
                <w:highlight w:val="none"/>
              </w:rPr>
              <w:t>（4）</w:t>
            </w:r>
            <w:r>
              <w:rPr>
                <w:rFonts w:ascii="宋体" w:hAnsi="宋体" w:eastAsia="宋体" w:cs="宋体"/>
                <w:sz w:val="24"/>
                <w:szCs w:val="24"/>
                <w:highlight w:val="none"/>
              </w:rPr>
              <w:t>投标人是个体工商户的，应</w:t>
            </w:r>
            <w:r>
              <w:rPr>
                <w:rFonts w:hint="eastAsia" w:ascii="宋体" w:hAnsi="宋体" w:eastAsia="宋体" w:cs="宋体"/>
                <w:sz w:val="24"/>
                <w:szCs w:val="24"/>
                <w:highlight w:val="none"/>
              </w:rPr>
              <w:t>提</w:t>
            </w:r>
            <w:r>
              <w:rPr>
                <w:rFonts w:ascii="宋体" w:hAnsi="宋体" w:eastAsia="宋体" w:cs="宋体"/>
                <w:sz w:val="24"/>
                <w:szCs w:val="24"/>
                <w:highlight w:val="none"/>
              </w:rPr>
              <w:t>供有效的个体工商户营业执照；</w:t>
            </w:r>
          </w:p>
          <w:p w14:paraId="29D30936">
            <w:pPr>
              <w:shd w:val="clear"/>
              <w:spacing w:after="50" w:line="360" w:lineRule="auto"/>
              <w:ind w:right="-10"/>
              <w:jc w:val="left"/>
              <w:rPr>
                <w:rFonts w:ascii="宋体" w:hAnsi="宋体" w:eastAsia="宋体"/>
                <w:sz w:val="24"/>
                <w:szCs w:val="28"/>
                <w:highlight w:val="none"/>
              </w:rPr>
            </w:pPr>
            <w:r>
              <w:rPr>
                <w:rFonts w:hint="eastAsia" w:ascii="宋体" w:hAnsi="宋体" w:eastAsia="宋体" w:cs="宋体"/>
                <w:sz w:val="24"/>
                <w:szCs w:val="24"/>
                <w:highlight w:val="none"/>
              </w:rPr>
              <w:t>（5）</w:t>
            </w:r>
            <w:r>
              <w:rPr>
                <w:rFonts w:ascii="宋体" w:hAnsi="宋体" w:eastAsia="宋体" w:cs="宋体"/>
                <w:sz w:val="24"/>
                <w:szCs w:val="24"/>
                <w:highlight w:val="none"/>
              </w:rPr>
              <w:t>投标人是自然人的，应</w:t>
            </w:r>
            <w:r>
              <w:rPr>
                <w:rFonts w:hint="eastAsia" w:ascii="宋体" w:hAnsi="宋体" w:eastAsia="宋体" w:cs="宋体"/>
                <w:sz w:val="24"/>
                <w:szCs w:val="24"/>
                <w:highlight w:val="none"/>
              </w:rPr>
              <w:t>提</w:t>
            </w:r>
            <w:r>
              <w:rPr>
                <w:rFonts w:ascii="宋体" w:hAnsi="宋体" w:eastAsia="宋体" w:cs="宋体"/>
                <w:sz w:val="24"/>
                <w:szCs w:val="24"/>
                <w:highlight w:val="none"/>
              </w:rPr>
              <w:t>供有效的自然人身份证明。</w:t>
            </w:r>
          </w:p>
        </w:tc>
        <w:tc>
          <w:tcPr>
            <w:tcW w:w="1133" w:type="pct"/>
            <w:vAlign w:val="center"/>
          </w:tcPr>
          <w:p w14:paraId="6B7C513F">
            <w:pPr>
              <w:shd w:val="clear"/>
              <w:spacing w:line="360" w:lineRule="auto"/>
              <w:jc w:val="left"/>
              <w:rPr>
                <w:rFonts w:ascii="宋体" w:hAnsi="宋体" w:eastAsia="宋体"/>
                <w:sz w:val="24"/>
                <w:highlight w:val="none"/>
              </w:rPr>
            </w:pPr>
            <w:r>
              <w:rPr>
                <w:rFonts w:hint="eastAsia" w:ascii="宋体" w:hAnsi="宋体" w:eastAsia="宋体" w:cs="宋体"/>
                <w:sz w:val="24"/>
                <w:szCs w:val="24"/>
                <w:highlight w:val="none"/>
              </w:rPr>
              <w:t>提供材料扫描件或电子证照，应完整的体现出材料或电子证照全部内容。联合体投标的联合体各方均须提供。</w:t>
            </w:r>
          </w:p>
        </w:tc>
      </w:tr>
      <w:tr w14:paraId="5B239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73" w:type="pct"/>
            <w:tcBorders>
              <w:bottom w:val="single" w:color="auto" w:sz="4" w:space="0"/>
            </w:tcBorders>
            <w:vAlign w:val="center"/>
          </w:tcPr>
          <w:p w14:paraId="02DEF098">
            <w:pPr>
              <w:numPr>
                <w:ilvl w:val="0"/>
                <w:numId w:val="12"/>
              </w:numPr>
              <w:shd w:val="clear"/>
              <w:tabs>
                <w:tab w:val="clear" w:pos="0"/>
              </w:tabs>
              <w:adjustRightInd w:val="0"/>
              <w:snapToGrid w:val="0"/>
              <w:spacing w:line="360" w:lineRule="auto"/>
              <w:ind w:right="-10"/>
              <w:jc w:val="center"/>
              <w:rPr>
                <w:rFonts w:ascii="宋体" w:hAnsi="宋体" w:eastAsia="宋体"/>
                <w:sz w:val="24"/>
                <w:highlight w:val="none"/>
              </w:rPr>
            </w:pPr>
          </w:p>
        </w:tc>
        <w:tc>
          <w:tcPr>
            <w:tcW w:w="927" w:type="pct"/>
            <w:tcBorders>
              <w:bottom w:val="single" w:color="auto" w:sz="4" w:space="0"/>
            </w:tcBorders>
            <w:vAlign w:val="center"/>
          </w:tcPr>
          <w:p w14:paraId="4FE2BB42">
            <w:pPr>
              <w:shd w:val="clear"/>
              <w:spacing w:after="50" w:line="360" w:lineRule="auto"/>
              <w:ind w:right="-10"/>
              <w:jc w:val="center"/>
              <w:rPr>
                <w:rFonts w:ascii="宋体" w:hAnsi="宋体" w:eastAsia="宋体"/>
                <w:sz w:val="24"/>
                <w:szCs w:val="28"/>
                <w:highlight w:val="none"/>
              </w:rPr>
            </w:pPr>
            <w:r>
              <w:rPr>
                <w:rFonts w:hint="eastAsia" w:ascii="宋体" w:hAnsi="宋体" w:eastAsia="宋体"/>
                <w:sz w:val="24"/>
                <w:szCs w:val="18"/>
                <w:highlight w:val="none"/>
              </w:rPr>
              <w:t>投标人资格声明书</w:t>
            </w:r>
          </w:p>
        </w:tc>
        <w:tc>
          <w:tcPr>
            <w:tcW w:w="2565" w:type="pct"/>
            <w:tcBorders>
              <w:bottom w:val="single" w:color="auto" w:sz="4" w:space="0"/>
            </w:tcBorders>
            <w:vAlign w:val="center"/>
          </w:tcPr>
          <w:p w14:paraId="696248A5">
            <w:pPr>
              <w:shd w:val="clear"/>
              <w:spacing w:after="50" w:line="360" w:lineRule="auto"/>
              <w:ind w:right="-10"/>
              <w:jc w:val="left"/>
              <w:rPr>
                <w:rFonts w:ascii="宋体" w:hAnsi="宋体" w:eastAsia="宋体"/>
                <w:sz w:val="24"/>
                <w:szCs w:val="28"/>
                <w:highlight w:val="none"/>
              </w:rPr>
            </w:pPr>
            <w:r>
              <w:rPr>
                <w:rFonts w:hint="eastAsia" w:ascii="宋体" w:hAnsi="宋体" w:eastAsia="宋体" w:cs="宋体"/>
                <w:sz w:val="24"/>
                <w:szCs w:val="24"/>
                <w:highlight w:val="none"/>
              </w:rPr>
              <w:t>提</w:t>
            </w:r>
            <w:r>
              <w:rPr>
                <w:rFonts w:ascii="宋体" w:hAnsi="宋体" w:eastAsia="宋体" w:cs="宋体"/>
                <w:sz w:val="24"/>
                <w:szCs w:val="24"/>
                <w:highlight w:val="none"/>
              </w:rPr>
              <w:t>供符合招标文件要求的《投标人资格声明书》</w:t>
            </w:r>
            <w:r>
              <w:rPr>
                <w:rFonts w:hint="eastAsia" w:ascii="宋体" w:hAnsi="宋体" w:eastAsia="宋体" w:cs="宋体"/>
                <w:sz w:val="24"/>
                <w:szCs w:val="24"/>
                <w:highlight w:val="none"/>
              </w:rPr>
              <w:t>。</w:t>
            </w:r>
          </w:p>
        </w:tc>
        <w:tc>
          <w:tcPr>
            <w:tcW w:w="1133" w:type="pct"/>
            <w:vAlign w:val="center"/>
          </w:tcPr>
          <w:p w14:paraId="75138E7F">
            <w:pPr>
              <w:shd w:val="clear"/>
              <w:spacing w:line="360" w:lineRule="auto"/>
              <w:jc w:val="left"/>
              <w:rPr>
                <w:rFonts w:ascii="宋体" w:hAnsi="宋体" w:eastAsia="宋体" w:cs="宋体"/>
                <w:sz w:val="24"/>
                <w:szCs w:val="24"/>
                <w:highlight w:val="none"/>
              </w:rPr>
            </w:pPr>
            <w:r>
              <w:rPr>
                <w:rFonts w:hint="eastAsia" w:ascii="宋体" w:hAnsi="宋体" w:eastAsia="宋体"/>
                <w:sz w:val="24"/>
                <w:highlight w:val="none"/>
              </w:rPr>
              <w:t>详见第六章投标文件格式。</w:t>
            </w:r>
          </w:p>
        </w:tc>
      </w:tr>
      <w:tr w14:paraId="773D7B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tcBorders>
              <w:bottom w:val="single" w:color="auto" w:sz="4" w:space="0"/>
            </w:tcBorders>
            <w:vAlign w:val="center"/>
          </w:tcPr>
          <w:p w14:paraId="7FF1CBD9">
            <w:pPr>
              <w:numPr>
                <w:ilvl w:val="0"/>
                <w:numId w:val="12"/>
              </w:numPr>
              <w:shd w:val="clear"/>
              <w:tabs>
                <w:tab w:val="clear" w:pos="0"/>
              </w:tabs>
              <w:adjustRightInd w:val="0"/>
              <w:snapToGrid w:val="0"/>
              <w:spacing w:line="360" w:lineRule="auto"/>
              <w:ind w:right="-10"/>
              <w:jc w:val="center"/>
              <w:rPr>
                <w:rFonts w:ascii="宋体" w:hAnsi="宋体" w:eastAsia="宋体"/>
                <w:sz w:val="24"/>
                <w:highlight w:val="none"/>
              </w:rPr>
            </w:pPr>
          </w:p>
        </w:tc>
        <w:tc>
          <w:tcPr>
            <w:tcW w:w="927" w:type="pct"/>
            <w:tcBorders>
              <w:bottom w:val="single" w:color="auto" w:sz="4" w:space="0"/>
            </w:tcBorders>
            <w:vAlign w:val="center"/>
          </w:tcPr>
          <w:p w14:paraId="0E70A6B6">
            <w:pPr>
              <w:shd w:val="clear"/>
              <w:spacing w:after="50" w:line="360" w:lineRule="auto"/>
              <w:ind w:right="-10"/>
              <w:jc w:val="center"/>
              <w:rPr>
                <w:rFonts w:ascii="宋体" w:hAnsi="宋体" w:eastAsia="宋体"/>
                <w:sz w:val="24"/>
                <w:szCs w:val="28"/>
                <w:highlight w:val="none"/>
              </w:rPr>
            </w:pPr>
            <w:r>
              <w:rPr>
                <w:rFonts w:hint="eastAsia" w:ascii="宋体" w:hAnsi="宋体" w:eastAsia="宋体" w:cs="宋体"/>
                <w:sz w:val="24"/>
                <w:szCs w:val="24"/>
                <w:highlight w:val="none"/>
              </w:rPr>
              <w:t>投标人信用记录</w:t>
            </w:r>
          </w:p>
        </w:tc>
        <w:tc>
          <w:tcPr>
            <w:tcW w:w="2565" w:type="pct"/>
            <w:tcBorders>
              <w:bottom w:val="single" w:color="auto" w:sz="4" w:space="0"/>
            </w:tcBorders>
            <w:vAlign w:val="center"/>
          </w:tcPr>
          <w:p w14:paraId="090CE335">
            <w:pPr>
              <w:shd w:val="clear"/>
              <w:spacing w:after="50" w:line="360" w:lineRule="auto"/>
              <w:ind w:right="-10"/>
              <w:jc w:val="left"/>
              <w:rPr>
                <w:highlight w:val="none"/>
              </w:rPr>
            </w:pPr>
            <w:r>
              <w:rPr>
                <w:rFonts w:hint="eastAsia" w:ascii="宋体" w:hAnsi="宋体" w:eastAsia="宋体" w:cs="宋体"/>
                <w:sz w:val="24"/>
                <w:szCs w:val="24"/>
                <w:highlight w:val="none"/>
                <w:lang w:val="zh-CN"/>
              </w:rPr>
              <w:t>投标人不得存在投标人须知正文第1</w:t>
            </w:r>
            <w:r>
              <w:rPr>
                <w:rFonts w:hint="eastAsia" w:ascii="宋体" w:hAnsi="宋体" w:eastAsia="宋体" w:cs="宋体"/>
                <w:sz w:val="24"/>
                <w:szCs w:val="24"/>
                <w:highlight w:val="none"/>
              </w:rPr>
              <w:t>4</w:t>
            </w:r>
            <w:r>
              <w:rPr>
                <w:rFonts w:hint="eastAsia" w:ascii="宋体" w:hAnsi="宋体" w:eastAsia="宋体" w:cs="宋体"/>
                <w:sz w:val="24"/>
                <w:szCs w:val="24"/>
                <w:highlight w:val="none"/>
                <w:lang w:val="zh-CN"/>
              </w:rPr>
              <w:t>.2</w:t>
            </w:r>
            <w:r>
              <w:rPr>
                <w:rFonts w:hint="eastAsia" w:ascii="宋体" w:hAnsi="宋体" w:eastAsia="宋体" w:cs="宋体"/>
                <w:sz w:val="24"/>
                <w:szCs w:val="24"/>
                <w:highlight w:val="none"/>
              </w:rPr>
              <w:t>款中</w:t>
            </w:r>
            <w:r>
              <w:rPr>
                <w:rFonts w:hint="eastAsia" w:ascii="宋体" w:hAnsi="宋体" w:eastAsia="宋体"/>
                <w:sz w:val="24"/>
                <w:szCs w:val="28"/>
                <w:highlight w:val="none"/>
              </w:rPr>
              <w:t>的</w:t>
            </w:r>
            <w:r>
              <w:rPr>
                <w:rFonts w:hint="eastAsia" w:ascii="宋体" w:hAnsi="宋体" w:eastAsia="宋体"/>
                <w:sz w:val="24"/>
                <w:szCs w:val="18"/>
                <w:highlight w:val="none"/>
              </w:rPr>
              <w:t>不良信用记录情形</w:t>
            </w:r>
          </w:p>
        </w:tc>
        <w:tc>
          <w:tcPr>
            <w:tcW w:w="1133" w:type="pct"/>
            <w:tcBorders>
              <w:bottom w:val="single" w:color="auto" w:sz="4" w:space="0"/>
            </w:tcBorders>
            <w:vAlign w:val="center"/>
          </w:tcPr>
          <w:p w14:paraId="5CD1505C">
            <w:pPr>
              <w:shd w:val="clear"/>
              <w:spacing w:line="360" w:lineRule="auto"/>
              <w:jc w:val="left"/>
              <w:rPr>
                <w:highlight w:val="none"/>
              </w:rPr>
            </w:pPr>
            <w:r>
              <w:rPr>
                <w:rFonts w:hint="eastAsia" w:ascii="宋体" w:hAnsi="宋体" w:eastAsia="宋体" w:cs="宋体"/>
                <w:sz w:val="24"/>
                <w:szCs w:val="24"/>
                <w:highlight w:val="none"/>
              </w:rPr>
              <w:t>无须投标人提供，由采购人或采购代理机构查询。</w:t>
            </w:r>
          </w:p>
        </w:tc>
      </w:tr>
      <w:tr w14:paraId="657B0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tcBorders>
              <w:bottom w:val="single" w:color="auto" w:sz="4" w:space="0"/>
            </w:tcBorders>
            <w:vAlign w:val="center"/>
          </w:tcPr>
          <w:p w14:paraId="23481B5F">
            <w:pPr>
              <w:numPr>
                <w:ilvl w:val="0"/>
                <w:numId w:val="12"/>
              </w:numPr>
              <w:shd w:val="clear"/>
              <w:tabs>
                <w:tab w:val="clear" w:pos="0"/>
              </w:tabs>
              <w:adjustRightInd w:val="0"/>
              <w:snapToGrid w:val="0"/>
              <w:spacing w:line="360" w:lineRule="auto"/>
              <w:ind w:right="-10"/>
              <w:jc w:val="center"/>
              <w:rPr>
                <w:rFonts w:ascii="宋体" w:hAnsi="宋体" w:eastAsia="宋体"/>
                <w:sz w:val="24"/>
                <w:highlight w:val="none"/>
              </w:rPr>
            </w:pPr>
          </w:p>
        </w:tc>
        <w:tc>
          <w:tcPr>
            <w:tcW w:w="927" w:type="pct"/>
            <w:tcBorders>
              <w:bottom w:val="single" w:color="auto" w:sz="4" w:space="0"/>
            </w:tcBorders>
            <w:vAlign w:val="center"/>
          </w:tcPr>
          <w:p w14:paraId="0B427E62">
            <w:pPr>
              <w:shd w:val="clear"/>
              <w:spacing w:after="50" w:line="360" w:lineRule="auto"/>
              <w:ind w:right="-10"/>
              <w:jc w:val="center"/>
              <w:rPr>
                <w:rFonts w:ascii="宋体" w:hAnsi="宋体" w:eastAsia="宋体" w:cs="宋体"/>
                <w:sz w:val="24"/>
                <w:szCs w:val="24"/>
                <w:highlight w:val="none"/>
              </w:rPr>
            </w:pPr>
            <w:r>
              <w:rPr>
                <w:rFonts w:hint="eastAsia" w:ascii="宋体" w:hAnsi="宋体" w:eastAsia="宋体" w:cs="宋体"/>
                <w:sz w:val="24"/>
                <w:szCs w:val="24"/>
                <w:highlight w:val="none"/>
              </w:rPr>
              <w:t>中小企业证明文件（</w:t>
            </w:r>
            <w:r>
              <w:rPr>
                <w:rFonts w:hint="eastAsia" w:ascii="宋体" w:hAnsi="宋体" w:eastAsia="宋体" w:cs="宋体"/>
                <w:i/>
                <w:iCs/>
                <w:sz w:val="24"/>
                <w:szCs w:val="24"/>
                <w:highlight w:val="none"/>
              </w:rPr>
              <w:t>适用于专门面向中小企业采购项目或预留中小企业采购份额项目</w:t>
            </w:r>
            <w:r>
              <w:rPr>
                <w:rFonts w:hint="eastAsia" w:ascii="宋体" w:hAnsi="宋体" w:eastAsia="宋体" w:cs="宋体"/>
                <w:sz w:val="24"/>
                <w:szCs w:val="24"/>
                <w:highlight w:val="none"/>
              </w:rPr>
              <w:t>）</w:t>
            </w:r>
          </w:p>
        </w:tc>
        <w:tc>
          <w:tcPr>
            <w:tcW w:w="2565" w:type="pct"/>
            <w:tcBorders>
              <w:bottom w:val="single" w:color="auto" w:sz="4" w:space="0"/>
            </w:tcBorders>
          </w:tcPr>
          <w:p w14:paraId="72980A91">
            <w:pPr>
              <w:shd w:val="clear"/>
              <w:spacing w:after="50" w:line="360" w:lineRule="auto"/>
              <w:ind w:right="-10"/>
              <w:jc w:val="left"/>
              <w:rPr>
                <w:rFonts w:ascii="宋体" w:hAnsi="宋体" w:eastAsia="宋体" w:cs="宋体"/>
                <w:sz w:val="24"/>
                <w:szCs w:val="24"/>
                <w:highlight w:val="none"/>
              </w:rPr>
            </w:pPr>
            <w:r>
              <w:rPr>
                <w:rFonts w:hint="eastAsia" w:ascii="宋体" w:hAnsi="宋体" w:eastAsia="宋体"/>
                <w:sz w:val="24"/>
                <w:szCs w:val="28"/>
                <w:highlight w:val="none"/>
              </w:rPr>
              <w:t>符合申请人的资格要求中落实政府采购政策需满足的资格要求：</w:t>
            </w:r>
          </w:p>
          <w:p w14:paraId="39EFF5F8">
            <w:pPr>
              <w:shd w:val="clear"/>
              <w:spacing w:after="50" w:line="360" w:lineRule="auto"/>
              <w:ind w:right="-10"/>
              <w:jc w:val="left"/>
              <w:rPr>
                <w:rFonts w:ascii="宋体" w:hAnsi="宋体" w:eastAsia="宋体" w:cs="宋体"/>
                <w:sz w:val="24"/>
                <w:szCs w:val="24"/>
                <w:highlight w:val="none"/>
              </w:rPr>
            </w:pPr>
            <w:r>
              <w:rPr>
                <w:rFonts w:hint="eastAsia" w:ascii="宋体" w:hAnsi="宋体" w:eastAsia="宋体" w:cs="宋体"/>
                <w:sz w:val="24"/>
                <w:szCs w:val="24"/>
                <w:highlight w:val="none"/>
              </w:rPr>
              <w:t>（1）专门面向中小企业采购的，</w:t>
            </w:r>
            <w:r>
              <w:rPr>
                <w:rFonts w:hint="eastAsia" w:ascii="宋体" w:hAnsi="宋体" w:eastAsia="宋体" w:cs="宋体"/>
                <w:sz w:val="24"/>
                <w:szCs w:val="24"/>
                <w:highlight w:val="none"/>
                <w:lang w:val="zh-CN"/>
              </w:rPr>
              <w:t>投标人</w:t>
            </w:r>
            <w:r>
              <w:rPr>
                <w:rFonts w:hint="eastAsia" w:ascii="宋体" w:hAnsi="宋体" w:eastAsia="宋体" w:cs="宋体"/>
                <w:sz w:val="24"/>
                <w:szCs w:val="24"/>
                <w:highlight w:val="none"/>
              </w:rPr>
              <w:t>应提供《中小企业声明函》或《残疾人福利性单位声明函》或由省级以上监狱管理局、戒毒管理局（含新疆 生产建设兵团）出具的属于监狱企业的证明文件。</w:t>
            </w:r>
          </w:p>
          <w:p w14:paraId="2786988B">
            <w:pPr>
              <w:shd w:val="clear"/>
              <w:spacing w:after="50" w:line="360" w:lineRule="auto"/>
              <w:ind w:right="-10"/>
              <w:jc w:val="left"/>
              <w:rPr>
                <w:rFonts w:ascii="宋体" w:hAnsi="宋体" w:eastAsia="宋体" w:cs="宋体"/>
                <w:sz w:val="24"/>
                <w:szCs w:val="24"/>
                <w:highlight w:val="none"/>
              </w:rPr>
            </w:pPr>
            <w:r>
              <w:rPr>
                <w:rFonts w:hint="eastAsia" w:ascii="宋体" w:hAnsi="宋体" w:eastAsia="宋体" w:cs="宋体"/>
                <w:sz w:val="24"/>
                <w:szCs w:val="24"/>
                <w:highlight w:val="none"/>
              </w:rPr>
              <w:t>（2）如招标文件要求以联合体形式参加或者要求合同分包的，且投标人为联合体或拟进行合同分包的，则联合体中的中小企业、签订分包意向协议的中小企业具体情况须在《中小企业声明函》或《残疾人福利性单位声明函》或由省级以上监狱管理局、戒毒管理局（含新疆生产建设兵团）出具的属于监狱企业的证明文件中如实填报，且满足招标文件关于预留份额的要求。</w:t>
            </w:r>
          </w:p>
        </w:tc>
        <w:tc>
          <w:tcPr>
            <w:tcW w:w="1133" w:type="pct"/>
            <w:tcBorders>
              <w:bottom w:val="single" w:color="auto" w:sz="4" w:space="0"/>
            </w:tcBorders>
            <w:vAlign w:val="center"/>
          </w:tcPr>
          <w:p w14:paraId="3D63A18C">
            <w:pPr>
              <w:shd w:val="clear"/>
              <w:spacing w:after="50" w:line="360" w:lineRule="auto"/>
              <w:ind w:right="-10"/>
              <w:jc w:val="center"/>
              <w:rPr>
                <w:rFonts w:ascii="宋体" w:hAnsi="宋体" w:eastAsia="宋体" w:cs="宋体"/>
                <w:sz w:val="24"/>
                <w:szCs w:val="24"/>
                <w:highlight w:val="none"/>
              </w:rPr>
            </w:pPr>
            <w:r>
              <w:rPr>
                <w:rFonts w:hint="eastAsia" w:ascii="宋体" w:hAnsi="宋体" w:eastAsia="宋体"/>
                <w:sz w:val="24"/>
                <w:highlight w:val="none"/>
              </w:rPr>
              <w:t>详见第六章投标文件格式。</w:t>
            </w:r>
          </w:p>
        </w:tc>
      </w:tr>
      <w:tr w14:paraId="725419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tcBorders>
              <w:bottom w:val="single" w:color="auto" w:sz="4" w:space="0"/>
            </w:tcBorders>
            <w:vAlign w:val="center"/>
          </w:tcPr>
          <w:p w14:paraId="77C33C4A">
            <w:pPr>
              <w:numPr>
                <w:ilvl w:val="0"/>
                <w:numId w:val="12"/>
              </w:numPr>
              <w:shd w:val="clear"/>
              <w:tabs>
                <w:tab w:val="clear" w:pos="0"/>
              </w:tabs>
              <w:adjustRightInd w:val="0"/>
              <w:snapToGrid w:val="0"/>
              <w:spacing w:line="360" w:lineRule="auto"/>
              <w:ind w:right="-10"/>
              <w:jc w:val="center"/>
              <w:rPr>
                <w:rFonts w:ascii="宋体" w:hAnsi="宋体" w:eastAsia="宋体"/>
                <w:sz w:val="24"/>
                <w:highlight w:val="none"/>
              </w:rPr>
            </w:pPr>
          </w:p>
        </w:tc>
        <w:tc>
          <w:tcPr>
            <w:tcW w:w="927" w:type="pct"/>
            <w:tcBorders>
              <w:bottom w:val="single" w:color="auto" w:sz="4" w:space="0"/>
            </w:tcBorders>
            <w:vAlign w:val="center"/>
          </w:tcPr>
          <w:p w14:paraId="2F5FD024">
            <w:pPr>
              <w:shd w:val="clear"/>
              <w:spacing w:after="50" w:line="360" w:lineRule="auto"/>
              <w:ind w:right="-10"/>
              <w:rPr>
                <w:rFonts w:ascii="宋体" w:hAnsi="宋体" w:eastAsia="宋体" w:cs="宋体"/>
                <w:sz w:val="24"/>
                <w:szCs w:val="24"/>
                <w:highlight w:val="none"/>
              </w:rPr>
            </w:pPr>
            <w:r>
              <w:rPr>
                <w:rFonts w:ascii="宋体" w:hAnsi="宋体" w:eastAsia="宋体" w:cs="宋体"/>
                <w:spacing w:val="10"/>
                <w:sz w:val="24"/>
                <w:szCs w:val="24"/>
                <w:highlight w:val="none"/>
              </w:rPr>
              <w:t>其它落实政府采</w:t>
            </w:r>
            <w:r>
              <w:rPr>
                <w:rFonts w:ascii="宋体" w:hAnsi="宋体" w:eastAsia="宋体" w:cs="宋体"/>
                <w:spacing w:val="11"/>
                <w:sz w:val="24"/>
                <w:szCs w:val="24"/>
                <w:highlight w:val="none"/>
              </w:rPr>
              <w:t>购政策的资格要</w:t>
            </w:r>
            <w:r>
              <w:rPr>
                <w:rFonts w:ascii="宋体" w:hAnsi="宋体" w:eastAsia="宋体" w:cs="宋体"/>
                <w:sz w:val="24"/>
                <w:szCs w:val="24"/>
                <w:highlight w:val="none"/>
              </w:rPr>
              <w:t>求</w:t>
            </w:r>
          </w:p>
        </w:tc>
        <w:tc>
          <w:tcPr>
            <w:tcW w:w="2565" w:type="pct"/>
            <w:tcBorders>
              <w:bottom w:val="single" w:color="auto" w:sz="4" w:space="0"/>
            </w:tcBorders>
            <w:vAlign w:val="center"/>
          </w:tcPr>
          <w:p w14:paraId="18FF0883">
            <w:pPr>
              <w:shd w:val="clear"/>
              <w:spacing w:after="50" w:line="360" w:lineRule="auto"/>
              <w:ind w:right="-10"/>
              <w:rPr>
                <w:rFonts w:ascii="宋体" w:hAnsi="宋体" w:eastAsia="宋体" w:cs="宋体"/>
                <w:sz w:val="24"/>
                <w:szCs w:val="24"/>
                <w:highlight w:val="none"/>
              </w:rPr>
            </w:pPr>
            <w:r>
              <w:rPr>
                <w:rFonts w:ascii="宋体" w:hAnsi="宋体" w:eastAsia="宋体" w:cs="宋体"/>
                <w:spacing w:val="-2"/>
                <w:sz w:val="24"/>
                <w:szCs w:val="24"/>
                <w:highlight w:val="none"/>
              </w:rPr>
              <w:t>如有，见第一章《投标邀请》</w:t>
            </w:r>
          </w:p>
        </w:tc>
        <w:tc>
          <w:tcPr>
            <w:tcW w:w="1133" w:type="pct"/>
            <w:tcBorders>
              <w:bottom w:val="single" w:color="auto" w:sz="4" w:space="0"/>
            </w:tcBorders>
            <w:vAlign w:val="center"/>
          </w:tcPr>
          <w:p w14:paraId="7E76CF47">
            <w:pPr>
              <w:shd w:val="clear"/>
              <w:spacing w:after="50" w:line="360" w:lineRule="auto"/>
              <w:ind w:right="-10"/>
              <w:rPr>
                <w:rFonts w:ascii="宋体" w:hAnsi="宋体" w:eastAsia="宋体"/>
                <w:sz w:val="24"/>
                <w:highlight w:val="none"/>
              </w:rPr>
            </w:pPr>
            <w:r>
              <w:rPr>
                <w:rFonts w:hint="eastAsia" w:ascii="宋体" w:hAnsi="宋体" w:eastAsia="宋体" w:cs="宋体"/>
                <w:sz w:val="24"/>
                <w:szCs w:val="24"/>
                <w:highlight w:val="none"/>
              </w:rPr>
              <w:t>提供材料扫描件或电子证照，应完整的体现出材料或电子证照全部内容。</w:t>
            </w:r>
          </w:p>
        </w:tc>
      </w:tr>
      <w:tr w14:paraId="39D92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tcBorders>
              <w:bottom w:val="single" w:color="auto" w:sz="4" w:space="0"/>
            </w:tcBorders>
            <w:vAlign w:val="center"/>
          </w:tcPr>
          <w:p w14:paraId="7D388E5B">
            <w:pPr>
              <w:numPr>
                <w:ilvl w:val="0"/>
                <w:numId w:val="12"/>
              </w:numPr>
              <w:shd w:val="clear"/>
              <w:tabs>
                <w:tab w:val="clear" w:pos="0"/>
              </w:tabs>
              <w:adjustRightInd w:val="0"/>
              <w:snapToGrid w:val="0"/>
              <w:spacing w:line="360" w:lineRule="auto"/>
              <w:ind w:right="-10"/>
              <w:jc w:val="center"/>
              <w:rPr>
                <w:rFonts w:ascii="宋体" w:hAnsi="宋体" w:eastAsia="宋体"/>
                <w:sz w:val="24"/>
                <w:highlight w:val="none"/>
              </w:rPr>
            </w:pPr>
          </w:p>
        </w:tc>
        <w:tc>
          <w:tcPr>
            <w:tcW w:w="927" w:type="pct"/>
            <w:tcBorders>
              <w:bottom w:val="single" w:color="auto" w:sz="4" w:space="0"/>
            </w:tcBorders>
            <w:vAlign w:val="center"/>
          </w:tcPr>
          <w:p w14:paraId="77CF82B6">
            <w:pPr>
              <w:shd w:val="clear"/>
              <w:spacing w:after="50" w:line="360" w:lineRule="auto"/>
              <w:ind w:right="-10"/>
              <w:rPr>
                <w:rFonts w:ascii="宋体" w:hAnsi="宋体" w:eastAsia="宋体" w:cs="宋体"/>
                <w:spacing w:val="10"/>
                <w:sz w:val="24"/>
                <w:szCs w:val="24"/>
                <w:highlight w:val="none"/>
              </w:rPr>
            </w:pPr>
            <w:r>
              <w:rPr>
                <w:rFonts w:ascii="宋体" w:hAnsi="宋体" w:eastAsia="宋体" w:cs="宋体"/>
                <w:spacing w:val="10"/>
                <w:sz w:val="24"/>
                <w:szCs w:val="24"/>
                <w:highlight w:val="none"/>
              </w:rPr>
              <w:t>本项目对于联合</w:t>
            </w:r>
            <w:r>
              <w:rPr>
                <w:rFonts w:ascii="宋体" w:hAnsi="宋体" w:eastAsia="宋体" w:cs="宋体"/>
                <w:spacing w:val="-2"/>
                <w:sz w:val="24"/>
                <w:szCs w:val="24"/>
                <w:highlight w:val="none"/>
              </w:rPr>
              <w:t>体的要求</w:t>
            </w:r>
            <w:r>
              <w:rPr>
                <w:rFonts w:hint="eastAsia" w:ascii="宋体" w:hAnsi="宋体" w:eastAsia="宋体" w:cs="宋体"/>
                <w:spacing w:val="-2"/>
                <w:sz w:val="24"/>
                <w:szCs w:val="24"/>
                <w:highlight w:val="none"/>
              </w:rPr>
              <w:t>（</w:t>
            </w:r>
            <w:r>
              <w:rPr>
                <w:rFonts w:hint="eastAsia" w:ascii="宋体" w:hAnsi="宋体" w:eastAsia="宋体" w:cs="宋体"/>
                <w:i/>
                <w:iCs/>
                <w:spacing w:val="-2"/>
                <w:sz w:val="24"/>
                <w:szCs w:val="24"/>
                <w:highlight w:val="none"/>
              </w:rPr>
              <w:t>适用于接受联合体投标项目</w:t>
            </w:r>
            <w:r>
              <w:rPr>
                <w:rFonts w:hint="eastAsia" w:ascii="宋体" w:hAnsi="宋体" w:eastAsia="宋体" w:cs="宋体"/>
                <w:spacing w:val="-2"/>
                <w:sz w:val="24"/>
                <w:szCs w:val="24"/>
                <w:highlight w:val="none"/>
              </w:rPr>
              <w:t>）</w:t>
            </w:r>
          </w:p>
        </w:tc>
        <w:tc>
          <w:tcPr>
            <w:tcW w:w="2565" w:type="pct"/>
            <w:tcBorders>
              <w:bottom w:val="single" w:color="auto" w:sz="4" w:space="0"/>
            </w:tcBorders>
            <w:vAlign w:val="center"/>
          </w:tcPr>
          <w:p w14:paraId="7ABA508F">
            <w:pPr>
              <w:shd w:val="clear"/>
              <w:spacing w:after="50" w:line="360" w:lineRule="auto"/>
              <w:ind w:right="-10"/>
              <w:rPr>
                <w:rFonts w:ascii="宋体" w:hAnsi="宋体" w:eastAsia="宋体" w:cs="宋体"/>
                <w:spacing w:val="-2"/>
                <w:sz w:val="24"/>
                <w:szCs w:val="24"/>
                <w:highlight w:val="none"/>
              </w:rPr>
            </w:pPr>
            <w:r>
              <w:rPr>
                <w:rFonts w:hint="eastAsia" w:ascii="宋体" w:hAnsi="宋体" w:eastAsia="宋体" w:cs="宋体"/>
                <w:spacing w:val="-2"/>
                <w:sz w:val="24"/>
                <w:szCs w:val="24"/>
                <w:highlight w:val="none"/>
              </w:rPr>
              <w:t>联合体投标的</w:t>
            </w:r>
            <w:r>
              <w:rPr>
                <w:rFonts w:hint="eastAsia" w:ascii="宋体" w:hAnsi="宋体" w:eastAsia="宋体" w:cs="宋体"/>
                <w:spacing w:val="10"/>
                <w:sz w:val="24"/>
                <w:szCs w:val="24"/>
                <w:highlight w:val="none"/>
              </w:rPr>
              <w:t>详见</w:t>
            </w:r>
            <w:r>
              <w:rPr>
                <w:rFonts w:hint="eastAsia" w:ascii="宋体" w:hAnsi="宋体" w:eastAsia="宋体" w:cs="宋体"/>
                <w:sz w:val="24"/>
                <w:szCs w:val="24"/>
                <w:highlight w:val="none"/>
                <w:lang w:val="zh-CN"/>
              </w:rPr>
              <w:t>投标人须知正文第</w:t>
            </w:r>
            <w:r>
              <w:rPr>
                <w:rFonts w:hint="eastAsia" w:ascii="宋体" w:hAnsi="宋体" w:eastAsia="宋体" w:cs="宋体"/>
                <w:sz w:val="24"/>
                <w:szCs w:val="24"/>
                <w:highlight w:val="none"/>
              </w:rPr>
              <w:t>1.5款，且</w:t>
            </w:r>
            <w:r>
              <w:rPr>
                <w:rFonts w:hint="eastAsia" w:ascii="宋体" w:hAnsi="宋体" w:eastAsia="宋体" w:cs="宋体"/>
                <w:spacing w:val="10"/>
                <w:sz w:val="24"/>
                <w:szCs w:val="24"/>
                <w:highlight w:val="none"/>
              </w:rPr>
              <w:t>提</w:t>
            </w:r>
            <w:r>
              <w:rPr>
                <w:rFonts w:ascii="宋体" w:hAnsi="宋体" w:eastAsia="宋体" w:cs="宋体"/>
                <w:spacing w:val="10"/>
                <w:sz w:val="24"/>
                <w:szCs w:val="24"/>
                <w:highlight w:val="none"/>
              </w:rPr>
              <w:t>供《联合协议》。</w:t>
            </w:r>
          </w:p>
        </w:tc>
        <w:tc>
          <w:tcPr>
            <w:tcW w:w="1133" w:type="pct"/>
            <w:tcBorders>
              <w:bottom w:val="single" w:color="auto" w:sz="4" w:space="0"/>
            </w:tcBorders>
            <w:vAlign w:val="center"/>
          </w:tcPr>
          <w:p w14:paraId="7F58E9E7">
            <w:pPr>
              <w:shd w:val="clear"/>
              <w:spacing w:after="50" w:line="360" w:lineRule="auto"/>
              <w:ind w:right="-10"/>
              <w:rPr>
                <w:rFonts w:ascii="宋体" w:hAnsi="宋体" w:eastAsia="宋体" w:cs="宋体"/>
                <w:sz w:val="24"/>
                <w:szCs w:val="24"/>
                <w:highlight w:val="none"/>
              </w:rPr>
            </w:pPr>
            <w:r>
              <w:rPr>
                <w:rFonts w:ascii="宋体" w:hAnsi="宋体" w:eastAsia="宋体" w:cs="宋体"/>
                <w:spacing w:val="10"/>
                <w:sz w:val="24"/>
                <w:szCs w:val="24"/>
                <w:highlight w:val="none"/>
              </w:rPr>
              <w:t>《联合协议》</w:t>
            </w:r>
            <w:r>
              <w:rPr>
                <w:rFonts w:hint="eastAsia" w:ascii="宋体" w:hAnsi="宋体" w:eastAsia="宋体"/>
                <w:sz w:val="24"/>
                <w:highlight w:val="none"/>
              </w:rPr>
              <w:t>详见第六章投标文件格式。</w:t>
            </w:r>
          </w:p>
        </w:tc>
      </w:tr>
      <w:tr w14:paraId="6F1FF9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73" w:type="pct"/>
            <w:vAlign w:val="center"/>
          </w:tcPr>
          <w:p w14:paraId="1E140DA6">
            <w:pPr>
              <w:numPr>
                <w:ilvl w:val="0"/>
                <w:numId w:val="12"/>
              </w:numPr>
              <w:shd w:val="clear"/>
              <w:tabs>
                <w:tab w:val="clear" w:pos="0"/>
              </w:tabs>
              <w:adjustRightInd w:val="0"/>
              <w:snapToGrid w:val="0"/>
              <w:spacing w:line="360" w:lineRule="auto"/>
              <w:ind w:right="-10"/>
              <w:jc w:val="center"/>
              <w:rPr>
                <w:rFonts w:ascii="宋体" w:hAnsi="宋体" w:eastAsia="宋体"/>
                <w:sz w:val="24"/>
                <w:highlight w:val="none"/>
              </w:rPr>
            </w:pPr>
          </w:p>
        </w:tc>
        <w:tc>
          <w:tcPr>
            <w:tcW w:w="927" w:type="pct"/>
            <w:vAlign w:val="center"/>
          </w:tcPr>
          <w:p w14:paraId="34D8973F">
            <w:pPr>
              <w:shd w:val="clear"/>
              <w:spacing w:after="50" w:line="360" w:lineRule="auto"/>
              <w:ind w:right="-10"/>
              <w:rPr>
                <w:rFonts w:ascii="宋体" w:hAnsi="宋体" w:eastAsia="宋体" w:cs="宋体"/>
                <w:spacing w:val="10"/>
                <w:sz w:val="24"/>
                <w:szCs w:val="24"/>
                <w:highlight w:val="none"/>
              </w:rPr>
            </w:pPr>
            <w:r>
              <w:rPr>
                <w:rFonts w:ascii="宋体" w:hAnsi="宋体" w:eastAsia="宋体" w:cs="宋体"/>
                <w:spacing w:val="10"/>
                <w:sz w:val="24"/>
                <w:szCs w:val="24"/>
                <w:highlight w:val="none"/>
              </w:rPr>
              <w:t>本项目的特定资格要求</w:t>
            </w:r>
          </w:p>
        </w:tc>
        <w:tc>
          <w:tcPr>
            <w:tcW w:w="2565" w:type="pct"/>
            <w:vAlign w:val="center"/>
          </w:tcPr>
          <w:p w14:paraId="6E4DCC4D">
            <w:pPr>
              <w:shd w:val="clear"/>
              <w:spacing w:after="50" w:line="360" w:lineRule="auto"/>
              <w:ind w:right="-10"/>
              <w:rPr>
                <w:rFonts w:ascii="宋体" w:hAnsi="宋体" w:eastAsia="宋体" w:cs="宋体"/>
                <w:spacing w:val="10"/>
                <w:sz w:val="24"/>
                <w:szCs w:val="24"/>
                <w:highlight w:val="none"/>
              </w:rPr>
            </w:pPr>
            <w:r>
              <w:rPr>
                <w:rFonts w:ascii="宋体" w:hAnsi="宋体" w:eastAsia="宋体" w:cs="宋体"/>
                <w:spacing w:val="10"/>
                <w:sz w:val="24"/>
                <w:szCs w:val="24"/>
                <w:highlight w:val="none"/>
              </w:rPr>
              <w:t>如有，见第一章《投标邀请》</w:t>
            </w:r>
          </w:p>
        </w:tc>
        <w:tc>
          <w:tcPr>
            <w:tcW w:w="1133" w:type="pct"/>
            <w:vAlign w:val="center"/>
          </w:tcPr>
          <w:p w14:paraId="7EAB58B4">
            <w:pPr>
              <w:shd w:val="clear"/>
              <w:spacing w:after="50" w:line="360" w:lineRule="auto"/>
              <w:ind w:right="-10"/>
              <w:rPr>
                <w:rFonts w:ascii="宋体" w:hAnsi="宋体" w:eastAsia="宋体" w:cs="宋体"/>
                <w:spacing w:val="10"/>
                <w:sz w:val="24"/>
                <w:szCs w:val="24"/>
                <w:highlight w:val="none"/>
              </w:rPr>
            </w:pPr>
            <w:r>
              <w:rPr>
                <w:rFonts w:hint="eastAsia" w:ascii="宋体" w:hAnsi="宋体" w:eastAsia="宋体" w:cs="宋体"/>
                <w:sz w:val="24"/>
                <w:szCs w:val="24"/>
                <w:highlight w:val="none"/>
              </w:rPr>
              <w:t>提供材料扫描件或电子证照，应完整的体现出材料或电子证照全部内容。</w:t>
            </w:r>
          </w:p>
        </w:tc>
      </w:tr>
    </w:tbl>
    <w:p w14:paraId="5C0F0F0D">
      <w:pPr>
        <w:shd w:val="clear"/>
        <w:spacing w:line="360" w:lineRule="auto"/>
        <w:ind w:firstLine="0"/>
        <w:rPr>
          <w:rFonts w:asciiTheme="minorEastAsia" w:hAnsiTheme="minorEastAsia" w:eastAsiaTheme="minorEastAsia"/>
          <w:sz w:val="24"/>
          <w:highlight w:val="none"/>
        </w:rPr>
      </w:pPr>
      <w:r>
        <w:rPr>
          <w:rFonts w:hint="eastAsia" w:ascii="宋体" w:hAnsi="宋体" w:eastAsia="宋体"/>
          <w:b/>
          <w:bCs/>
          <w:sz w:val="24"/>
          <w:highlight w:val="none"/>
        </w:rPr>
        <w:t>资格审查指标通过标准：</w:t>
      </w:r>
      <w:r>
        <w:rPr>
          <w:rFonts w:hint="eastAsia" w:ascii="宋体" w:hAnsi="宋体" w:eastAsia="宋体"/>
          <w:sz w:val="24"/>
          <w:highlight w:val="none"/>
        </w:rPr>
        <w:t>投标人必须通过资格审查表中的全部评审指标。</w:t>
      </w:r>
    </w:p>
    <w:p w14:paraId="667EA9DF">
      <w:pPr>
        <w:shd w:val="clear"/>
        <w:spacing w:line="240" w:lineRule="auto"/>
        <w:ind w:firstLine="0"/>
        <w:outlineLvl w:val="9"/>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br w:type="page"/>
      </w:r>
    </w:p>
    <w:p w14:paraId="2D1D94D0">
      <w:pPr>
        <w:shd w:val="clear"/>
        <w:spacing w:line="360" w:lineRule="auto"/>
        <w:ind w:firstLine="437"/>
        <w:outlineLvl w:val="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2.2符合性审查</w:t>
      </w:r>
    </w:p>
    <w:p w14:paraId="129ACA9C">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评标委员会对通过资格审查的投标人的投标文件进行符合性审查，以确定其是否满足招标文件的实质性要求。符合性审查表如下：</w:t>
      </w:r>
    </w:p>
    <w:tbl>
      <w:tblPr>
        <w:tblStyle w:val="25"/>
        <w:tblW w:w="519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20"/>
        <w:gridCol w:w="2188"/>
        <w:gridCol w:w="3710"/>
        <w:gridCol w:w="2140"/>
      </w:tblGrid>
      <w:tr w14:paraId="7A2DDD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5000" w:type="pct"/>
            <w:gridSpan w:val="4"/>
            <w:tcBorders>
              <w:bottom w:val="single" w:color="auto" w:sz="4" w:space="0"/>
            </w:tcBorders>
            <w:vAlign w:val="center"/>
          </w:tcPr>
          <w:p w14:paraId="725C2C4F">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宋体" w:hAnsi="宋体" w:eastAsia="宋体"/>
                <w:b/>
                <w:bCs/>
                <w:sz w:val="24"/>
                <w:highlight w:val="none"/>
              </w:rPr>
            </w:pPr>
            <w:r>
              <w:rPr>
                <w:rFonts w:hint="eastAsia" w:ascii="宋体" w:hAnsi="宋体" w:eastAsia="宋体"/>
                <w:b/>
                <w:bCs/>
                <w:sz w:val="24"/>
                <w:highlight w:val="none"/>
              </w:rPr>
              <w:t>符合性审查表</w:t>
            </w:r>
          </w:p>
        </w:tc>
      </w:tr>
      <w:tr w14:paraId="04A32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exact"/>
          <w:jc w:val="center"/>
        </w:trPr>
        <w:tc>
          <w:tcPr>
            <w:tcW w:w="463" w:type="pct"/>
            <w:tcBorders>
              <w:bottom w:val="single" w:color="auto" w:sz="4" w:space="0"/>
            </w:tcBorders>
            <w:vAlign w:val="center"/>
          </w:tcPr>
          <w:p w14:paraId="37E0F440">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宋体" w:hAnsi="宋体" w:eastAsia="宋体"/>
                <w:sz w:val="24"/>
                <w:highlight w:val="none"/>
              </w:rPr>
            </w:pPr>
            <w:r>
              <w:rPr>
                <w:rFonts w:hint="eastAsia" w:ascii="宋体" w:hAnsi="宋体" w:eastAsia="宋体"/>
                <w:sz w:val="24"/>
                <w:highlight w:val="none"/>
              </w:rPr>
              <w:t>序号</w:t>
            </w:r>
          </w:p>
        </w:tc>
        <w:tc>
          <w:tcPr>
            <w:tcW w:w="1235" w:type="pct"/>
            <w:tcBorders>
              <w:bottom w:val="single" w:color="auto" w:sz="4" w:space="0"/>
            </w:tcBorders>
            <w:vAlign w:val="center"/>
          </w:tcPr>
          <w:p w14:paraId="7EEA7CDE">
            <w:pPr>
              <w:pStyle w:val="38"/>
              <w:keepNext w:val="0"/>
              <w:keepLines w:val="0"/>
              <w:pageBreakBefore w:val="0"/>
              <w:pBdr>
                <w:bottom w:val="none" w:color="auto" w:sz="0" w:space="0"/>
              </w:pBdr>
              <w:shd w:val="clear"/>
              <w:tabs>
                <w:tab w:val="clear" w:pos="4153"/>
                <w:tab w:val="clear" w:pos="8306"/>
              </w:tabs>
              <w:kinsoku/>
              <w:wordWrap/>
              <w:overflowPunct/>
              <w:topLinePunct w:val="0"/>
              <w:autoSpaceDE/>
              <w:autoSpaceDN/>
              <w:bidi w:val="0"/>
              <w:snapToGrid w:val="0"/>
              <w:spacing w:line="240" w:lineRule="auto"/>
              <w:ind w:right="-10"/>
              <w:textAlignment w:val="auto"/>
              <w:rPr>
                <w:rFonts w:ascii="宋体" w:hAnsi="宋体" w:eastAsia="宋体"/>
                <w:kern w:val="2"/>
                <w:highlight w:val="none"/>
              </w:rPr>
            </w:pPr>
            <w:r>
              <w:rPr>
                <w:rFonts w:hint="eastAsia" w:ascii="宋体" w:hAnsi="宋体" w:eastAsia="宋体"/>
                <w:kern w:val="2"/>
                <w:highlight w:val="none"/>
              </w:rPr>
              <w:t>审查指标</w:t>
            </w:r>
          </w:p>
        </w:tc>
        <w:tc>
          <w:tcPr>
            <w:tcW w:w="2094" w:type="pct"/>
            <w:tcBorders>
              <w:bottom w:val="single" w:color="auto" w:sz="4" w:space="0"/>
            </w:tcBorders>
            <w:vAlign w:val="center"/>
          </w:tcPr>
          <w:p w14:paraId="66528796">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宋体" w:hAnsi="宋体" w:eastAsia="宋体"/>
                <w:sz w:val="24"/>
                <w:highlight w:val="none"/>
              </w:rPr>
            </w:pPr>
            <w:r>
              <w:rPr>
                <w:rFonts w:hint="eastAsia" w:ascii="宋体" w:hAnsi="宋体" w:eastAsia="宋体"/>
                <w:sz w:val="24"/>
                <w:highlight w:val="none"/>
              </w:rPr>
              <w:t>审查标准</w:t>
            </w:r>
          </w:p>
        </w:tc>
        <w:tc>
          <w:tcPr>
            <w:tcW w:w="1206" w:type="pct"/>
            <w:tcBorders>
              <w:bottom w:val="single" w:color="auto" w:sz="4" w:space="0"/>
            </w:tcBorders>
            <w:vAlign w:val="center"/>
          </w:tcPr>
          <w:p w14:paraId="275F9489">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宋体" w:hAnsi="宋体" w:eastAsia="宋体"/>
                <w:sz w:val="24"/>
                <w:highlight w:val="none"/>
              </w:rPr>
            </w:pPr>
            <w:r>
              <w:rPr>
                <w:rFonts w:hint="eastAsia" w:ascii="宋体" w:hAnsi="宋体" w:eastAsia="宋体"/>
                <w:sz w:val="24"/>
                <w:highlight w:val="none"/>
              </w:rPr>
              <w:t>格式要求</w:t>
            </w:r>
          </w:p>
        </w:tc>
      </w:tr>
      <w:tr w14:paraId="05CA4F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463" w:type="pct"/>
            <w:vAlign w:val="center"/>
          </w:tcPr>
          <w:p w14:paraId="3D38D85B">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vAlign w:val="center"/>
          </w:tcPr>
          <w:p w14:paraId="1AD2D963">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highlight w:val="none"/>
              </w:rPr>
              <w:t>开标一览表</w:t>
            </w:r>
          </w:p>
        </w:tc>
        <w:tc>
          <w:tcPr>
            <w:tcW w:w="2094" w:type="pct"/>
            <w:vAlign w:val="center"/>
          </w:tcPr>
          <w:p w14:paraId="5FFB2C96">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格式、填写要求符合招标文件规定并加盖投标人电子签章</w:t>
            </w:r>
          </w:p>
        </w:tc>
        <w:tc>
          <w:tcPr>
            <w:tcW w:w="1206" w:type="pct"/>
            <w:vAlign w:val="center"/>
          </w:tcPr>
          <w:p w14:paraId="2F9F3473">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详见第六章投标文件格式。</w:t>
            </w:r>
          </w:p>
        </w:tc>
      </w:tr>
      <w:tr w14:paraId="5B691E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463" w:type="pct"/>
            <w:vAlign w:val="center"/>
          </w:tcPr>
          <w:p w14:paraId="2CBA361A">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vAlign w:val="center"/>
          </w:tcPr>
          <w:p w14:paraId="4E436A99">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投标函</w:t>
            </w:r>
          </w:p>
        </w:tc>
        <w:tc>
          <w:tcPr>
            <w:tcW w:w="2094" w:type="pct"/>
            <w:vAlign w:val="center"/>
          </w:tcPr>
          <w:p w14:paraId="71B88ED2">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格式、填写要求符合招标文件规定并加盖投标人电子签章</w:t>
            </w:r>
          </w:p>
        </w:tc>
        <w:tc>
          <w:tcPr>
            <w:tcW w:w="1206" w:type="pct"/>
            <w:vAlign w:val="center"/>
          </w:tcPr>
          <w:p w14:paraId="4FA487B3">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详见第六章投标文件格式。</w:t>
            </w:r>
          </w:p>
        </w:tc>
      </w:tr>
      <w:tr w14:paraId="42B1BB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5" w:hRule="atLeast"/>
          <w:jc w:val="center"/>
        </w:trPr>
        <w:tc>
          <w:tcPr>
            <w:tcW w:w="463" w:type="pct"/>
            <w:vAlign w:val="center"/>
          </w:tcPr>
          <w:p w14:paraId="058DB2FC">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vAlign w:val="center"/>
          </w:tcPr>
          <w:p w14:paraId="7495C389">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授权书</w:t>
            </w:r>
          </w:p>
        </w:tc>
        <w:tc>
          <w:tcPr>
            <w:tcW w:w="2094" w:type="pct"/>
            <w:vAlign w:val="center"/>
          </w:tcPr>
          <w:p w14:paraId="12C2E3FA">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格式、填写要求符合招标文件规定并加盖投标人电子签章</w:t>
            </w:r>
          </w:p>
        </w:tc>
        <w:tc>
          <w:tcPr>
            <w:tcW w:w="1206" w:type="pct"/>
            <w:vAlign w:val="center"/>
          </w:tcPr>
          <w:p w14:paraId="2D906B26">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法定代表人参加投标的无需此件，提供身份证明即可。详见第六章投标文件格式。</w:t>
            </w:r>
          </w:p>
        </w:tc>
      </w:tr>
      <w:tr w14:paraId="3EF13C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463" w:type="pct"/>
            <w:vAlign w:val="center"/>
          </w:tcPr>
          <w:p w14:paraId="49BE6863">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vAlign w:val="center"/>
          </w:tcPr>
          <w:p w14:paraId="7DAECA49">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投标报价</w:t>
            </w:r>
          </w:p>
        </w:tc>
        <w:tc>
          <w:tcPr>
            <w:tcW w:w="2094" w:type="pct"/>
            <w:vAlign w:val="center"/>
          </w:tcPr>
          <w:p w14:paraId="12C4EB26">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符合</w:t>
            </w:r>
            <w:r>
              <w:rPr>
                <w:rFonts w:hint="eastAsia" w:asciiTheme="minorEastAsia" w:hAnsiTheme="minorEastAsia" w:eastAsiaTheme="minorEastAsia"/>
                <w:sz w:val="24"/>
                <w:highlight w:val="none"/>
              </w:rPr>
              <w:t>招标文件投标人须知正文第9条要求</w:t>
            </w:r>
          </w:p>
        </w:tc>
        <w:tc>
          <w:tcPr>
            <w:tcW w:w="1206" w:type="pct"/>
            <w:vAlign w:val="center"/>
          </w:tcPr>
          <w:p w14:paraId="20712899">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详见第六章投标文件格式。</w:t>
            </w:r>
          </w:p>
        </w:tc>
      </w:tr>
      <w:tr w14:paraId="5ECD4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68" w:hRule="atLeast"/>
          <w:jc w:val="center"/>
        </w:trPr>
        <w:tc>
          <w:tcPr>
            <w:tcW w:w="463" w:type="pct"/>
            <w:vAlign w:val="center"/>
          </w:tcPr>
          <w:p w14:paraId="0255A013">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vAlign w:val="center"/>
          </w:tcPr>
          <w:p w14:paraId="4D1992A2">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商务响应情况</w:t>
            </w:r>
          </w:p>
        </w:tc>
        <w:tc>
          <w:tcPr>
            <w:tcW w:w="2094" w:type="pct"/>
            <w:vAlign w:val="center"/>
          </w:tcPr>
          <w:p w14:paraId="6CD21DB3">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符合招标文件采购需求中对付款方式、供货及安装地点</w:t>
            </w:r>
            <w:r>
              <w:rPr>
                <w:rFonts w:hint="eastAsia" w:asciiTheme="minorEastAsia" w:hAnsiTheme="minorEastAsia" w:eastAsiaTheme="minorEastAsia"/>
                <w:sz w:val="24"/>
                <w:szCs w:val="28"/>
                <w:highlight w:val="none"/>
                <w:lang w:eastAsia="zh-CN"/>
              </w:rPr>
              <w:t>、</w:t>
            </w:r>
            <w:r>
              <w:rPr>
                <w:rFonts w:hint="eastAsia" w:asciiTheme="minorEastAsia" w:hAnsiTheme="minorEastAsia" w:eastAsiaTheme="minorEastAsia"/>
                <w:sz w:val="24"/>
                <w:szCs w:val="28"/>
                <w:highlight w:val="none"/>
              </w:rPr>
              <w:t>供货及安装期限、免费质保期</w:t>
            </w:r>
            <w:r>
              <w:rPr>
                <w:rFonts w:hint="eastAsia" w:asciiTheme="minorEastAsia" w:hAnsiTheme="minorEastAsia" w:eastAsiaTheme="minorEastAsia"/>
                <w:sz w:val="24"/>
                <w:szCs w:val="28"/>
                <w:highlight w:val="none"/>
                <w:lang w:eastAsia="zh-CN"/>
              </w:rPr>
              <w:t>、</w:t>
            </w:r>
            <w:r>
              <w:rPr>
                <w:rFonts w:hint="eastAsia" w:ascii="宋体" w:hAnsi="宋体" w:eastAsia="宋体" w:cs="宋体"/>
                <w:b w:val="0"/>
                <w:sz w:val="24"/>
                <w:szCs w:val="24"/>
                <w:highlight w:val="none"/>
              </w:rPr>
              <w:t>质量要求</w:t>
            </w:r>
            <w:r>
              <w:rPr>
                <w:rFonts w:hint="eastAsia" w:ascii="宋体" w:hAnsi="宋体" w:eastAsia="宋体" w:cs="宋体"/>
                <w:b w:val="0"/>
                <w:sz w:val="24"/>
                <w:szCs w:val="24"/>
                <w:highlight w:val="none"/>
                <w:lang w:eastAsia="zh-CN"/>
              </w:rPr>
              <w:t>、</w:t>
            </w:r>
            <w:r>
              <w:rPr>
                <w:rFonts w:hint="eastAsia" w:ascii="宋体" w:hAnsi="宋体" w:eastAsia="宋体" w:cs="宋体"/>
                <w:b w:val="0"/>
                <w:sz w:val="24"/>
                <w:szCs w:val="24"/>
                <w:highlight w:val="none"/>
              </w:rPr>
              <w:t>验收要求</w:t>
            </w:r>
            <w:r>
              <w:rPr>
                <w:rFonts w:hint="eastAsia" w:ascii="宋体" w:hAnsi="宋体" w:eastAsia="宋体" w:cs="宋体"/>
                <w:b w:val="0"/>
                <w:sz w:val="24"/>
                <w:szCs w:val="24"/>
                <w:highlight w:val="none"/>
                <w:lang w:eastAsia="zh-CN"/>
              </w:rPr>
              <w:t>、</w:t>
            </w:r>
            <w:r>
              <w:rPr>
                <w:rFonts w:hint="eastAsia" w:ascii="宋体" w:hAnsi="宋体" w:eastAsia="宋体" w:cs="宋体"/>
                <w:b w:val="0"/>
                <w:sz w:val="24"/>
                <w:szCs w:val="24"/>
                <w:highlight w:val="none"/>
              </w:rPr>
              <w:t>其他要求</w:t>
            </w:r>
            <w:r>
              <w:rPr>
                <w:rFonts w:hint="eastAsia" w:asciiTheme="minorEastAsia" w:hAnsiTheme="minorEastAsia" w:eastAsiaTheme="minorEastAsia"/>
                <w:sz w:val="24"/>
                <w:szCs w:val="28"/>
                <w:highlight w:val="none"/>
              </w:rPr>
              <w:t>等实质性要求</w:t>
            </w:r>
          </w:p>
        </w:tc>
        <w:tc>
          <w:tcPr>
            <w:tcW w:w="1206" w:type="pct"/>
            <w:vAlign w:val="center"/>
          </w:tcPr>
          <w:p w14:paraId="002ED430">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详见第六章投标文件格式。</w:t>
            </w:r>
          </w:p>
        </w:tc>
      </w:tr>
      <w:tr w14:paraId="3F876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8" w:hRule="atLeast"/>
          <w:jc w:val="center"/>
        </w:trPr>
        <w:tc>
          <w:tcPr>
            <w:tcW w:w="463" w:type="pct"/>
            <w:vAlign w:val="center"/>
          </w:tcPr>
          <w:p w14:paraId="35C6D096">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vAlign w:val="center"/>
          </w:tcPr>
          <w:p w14:paraId="5A915EFD">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技术响应情况</w:t>
            </w:r>
          </w:p>
        </w:tc>
        <w:tc>
          <w:tcPr>
            <w:tcW w:w="2094" w:type="pct"/>
            <w:vAlign w:val="center"/>
          </w:tcPr>
          <w:p w14:paraId="67394AE6">
            <w:pPr>
              <w:keepNext w:val="0"/>
              <w:keepLines w:val="0"/>
              <w:pageBreakBefore w:val="0"/>
              <w:shd w:val="clear"/>
              <w:kinsoku/>
              <w:wordWrap/>
              <w:overflowPunct/>
              <w:topLinePunct w:val="0"/>
              <w:autoSpaceDE/>
              <w:autoSpaceDN/>
              <w:bidi w:val="0"/>
              <w:spacing w:after="50" w:line="240" w:lineRule="auto"/>
              <w:ind w:right="-10"/>
              <w:jc w:val="center"/>
              <w:textAlignment w:val="auto"/>
              <w:rPr>
                <w:rFonts w:hint="default" w:asciiTheme="minorEastAsia" w:hAnsiTheme="minorEastAsia" w:eastAsiaTheme="minorEastAsia"/>
                <w:sz w:val="24"/>
                <w:szCs w:val="28"/>
                <w:highlight w:val="none"/>
                <w:lang w:val="en-US" w:eastAsia="zh-CN"/>
              </w:rPr>
            </w:pPr>
            <w:r>
              <w:rPr>
                <w:rFonts w:hint="eastAsia" w:asciiTheme="minorEastAsia" w:hAnsiTheme="minorEastAsia" w:eastAsiaTheme="minorEastAsia"/>
                <w:sz w:val="24"/>
                <w:szCs w:val="28"/>
                <w:highlight w:val="none"/>
              </w:rPr>
              <w:t>符合招标文件采购需求中货物技术参数等实质性要求</w:t>
            </w:r>
            <w:r>
              <w:rPr>
                <w:rFonts w:hint="eastAsia" w:asciiTheme="minorEastAsia" w:hAnsiTheme="minorEastAsia" w:eastAsiaTheme="minorEastAsia"/>
                <w:sz w:val="24"/>
                <w:szCs w:val="28"/>
                <w:highlight w:val="none"/>
                <w:lang w:eastAsia="zh-CN"/>
              </w:rPr>
              <w:t>，</w:t>
            </w:r>
            <w:r>
              <w:rPr>
                <w:rFonts w:hint="eastAsia" w:asciiTheme="minorEastAsia" w:hAnsiTheme="minorEastAsia" w:eastAsiaTheme="minorEastAsia"/>
                <w:sz w:val="24"/>
                <w:szCs w:val="28"/>
                <w:highlight w:val="none"/>
                <w:lang w:val="en-US" w:eastAsia="zh-CN"/>
              </w:rPr>
              <w:t>无标识指标最大允许负偏离10项，</w:t>
            </w:r>
            <w:r>
              <w:rPr>
                <w:rFonts w:hint="eastAsia" w:ascii="宋体" w:hAnsi="宋体" w:eastAsia="宋体" w:cs="宋体"/>
                <w:bCs/>
                <w:color w:val="000000"/>
                <w:sz w:val="24"/>
                <w:szCs w:val="24"/>
                <w:highlight w:val="none"/>
              </w:rPr>
              <w:t>超过最大允许负偏离项数的，</w:t>
            </w:r>
            <w:r>
              <w:rPr>
                <w:rFonts w:hint="eastAsia" w:ascii="宋体" w:hAnsi="宋体" w:eastAsia="宋体" w:cs="宋体"/>
                <w:b/>
                <w:color w:val="000000"/>
                <w:sz w:val="24"/>
                <w:szCs w:val="24"/>
                <w:highlight w:val="none"/>
              </w:rPr>
              <w:t>投标无效</w:t>
            </w:r>
            <w:r>
              <w:rPr>
                <w:rFonts w:hint="eastAsia" w:ascii="宋体" w:hAnsi="宋体" w:eastAsia="宋体" w:cs="宋体"/>
                <w:bCs/>
                <w:color w:val="000000"/>
                <w:sz w:val="24"/>
                <w:szCs w:val="24"/>
                <w:highlight w:val="none"/>
              </w:rPr>
              <w:t>。</w:t>
            </w:r>
          </w:p>
        </w:tc>
        <w:tc>
          <w:tcPr>
            <w:tcW w:w="1206" w:type="pct"/>
            <w:vAlign w:val="center"/>
          </w:tcPr>
          <w:p w14:paraId="4DF86823">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详见第六章投标文件格式。</w:t>
            </w:r>
          </w:p>
        </w:tc>
      </w:tr>
      <w:tr w14:paraId="237352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47" w:hRule="atLeast"/>
          <w:jc w:val="center"/>
        </w:trPr>
        <w:tc>
          <w:tcPr>
            <w:tcW w:w="463" w:type="pct"/>
            <w:vAlign w:val="center"/>
          </w:tcPr>
          <w:p w14:paraId="63203FC6">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shd w:val="clear" w:color="auto" w:fill="auto"/>
            <w:vAlign w:val="center"/>
          </w:tcPr>
          <w:p w14:paraId="2E9CD41E">
            <w:pPr>
              <w:keepNext w:val="0"/>
              <w:keepLines w:val="0"/>
              <w:pageBreakBefore w:val="0"/>
              <w:widowControl/>
              <w:shd w:val="clear"/>
              <w:kinsoku/>
              <w:wordWrap/>
              <w:overflowPunct/>
              <w:topLinePunct w:val="0"/>
              <w:autoSpaceDE/>
              <w:autoSpaceDN/>
              <w:bidi w:val="0"/>
              <w:spacing w:line="240" w:lineRule="auto"/>
              <w:jc w:val="center"/>
              <w:textAlignment w:val="auto"/>
              <w:rPr>
                <w:rFonts w:ascii="宋体" w:hAnsi="宋体" w:eastAsia="宋体" w:cs="宋体"/>
                <w:bCs/>
                <w:spacing w:val="10"/>
                <w:sz w:val="24"/>
                <w:szCs w:val="24"/>
                <w:highlight w:val="none"/>
              </w:rPr>
            </w:pPr>
            <w:r>
              <w:rPr>
                <w:rFonts w:hint="eastAsia" w:ascii="宋体" w:hAnsi="宋体" w:eastAsia="宋体" w:cs="宋体"/>
                <w:bCs/>
                <w:kern w:val="0"/>
                <w:sz w:val="24"/>
                <w:szCs w:val="24"/>
                <w:highlight w:val="none"/>
              </w:rPr>
              <w:t>投标文件异常监测</w:t>
            </w:r>
          </w:p>
        </w:tc>
        <w:tc>
          <w:tcPr>
            <w:tcW w:w="2094" w:type="pct"/>
            <w:shd w:val="clear" w:color="auto" w:fill="auto"/>
            <w:vAlign w:val="center"/>
          </w:tcPr>
          <w:p w14:paraId="5765F9B0">
            <w:pPr>
              <w:keepNext w:val="0"/>
              <w:keepLines w:val="0"/>
              <w:pageBreakBefore w:val="0"/>
              <w:widowControl/>
              <w:shd w:val="clear"/>
              <w:kinsoku/>
              <w:wordWrap/>
              <w:overflowPunct/>
              <w:topLinePunct w:val="0"/>
              <w:autoSpaceDE/>
              <w:autoSpaceDN/>
              <w:bidi w:val="0"/>
              <w:spacing w:line="240" w:lineRule="auto"/>
              <w:jc w:val="center"/>
              <w:textAlignment w:val="auto"/>
              <w:rPr>
                <w:rFonts w:ascii="宋体" w:hAnsi="宋体" w:eastAsia="宋体" w:cs="宋体"/>
                <w:bCs/>
                <w:spacing w:val="-2"/>
                <w:sz w:val="24"/>
                <w:szCs w:val="24"/>
                <w:highlight w:val="none"/>
              </w:rPr>
            </w:pPr>
            <w:r>
              <w:rPr>
                <w:rFonts w:hint="eastAsia" w:ascii="宋体" w:hAnsi="宋体" w:eastAsia="宋体" w:cs="宋体"/>
                <w:bCs/>
                <w:spacing w:val="-2"/>
                <w:sz w:val="24"/>
                <w:szCs w:val="24"/>
                <w:highlight w:val="none"/>
              </w:rPr>
              <w:t>不同投标人的文件制作机器识别码或MAC地址或IP地址或文件创建码或联系方式出现相同的情形，相关投标人均</w:t>
            </w:r>
            <w:r>
              <w:rPr>
                <w:rFonts w:hint="eastAsia" w:ascii="宋体" w:hAnsi="宋体" w:eastAsia="宋体" w:cs="宋体"/>
                <w:b/>
                <w:spacing w:val="-2"/>
                <w:sz w:val="24"/>
                <w:szCs w:val="24"/>
                <w:highlight w:val="none"/>
              </w:rPr>
              <w:t>投标无效</w:t>
            </w:r>
            <w:r>
              <w:rPr>
                <w:rFonts w:hint="eastAsia" w:ascii="宋体" w:hAnsi="宋体" w:eastAsia="宋体" w:cs="宋体"/>
                <w:bCs/>
                <w:spacing w:val="-2"/>
                <w:sz w:val="24"/>
                <w:szCs w:val="24"/>
                <w:highlight w:val="none"/>
              </w:rPr>
              <w:t>。</w:t>
            </w:r>
          </w:p>
        </w:tc>
        <w:tc>
          <w:tcPr>
            <w:tcW w:w="1206" w:type="pct"/>
            <w:vAlign w:val="center"/>
          </w:tcPr>
          <w:p w14:paraId="484376A1">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r>
      <w:tr w14:paraId="4CAB6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4" w:hRule="atLeast"/>
          <w:jc w:val="center"/>
        </w:trPr>
        <w:tc>
          <w:tcPr>
            <w:tcW w:w="463" w:type="pct"/>
            <w:vAlign w:val="center"/>
          </w:tcPr>
          <w:p w14:paraId="3DB55331">
            <w:pPr>
              <w:keepNext w:val="0"/>
              <w:keepLines w:val="0"/>
              <w:pageBreakBefore w:val="0"/>
              <w:numPr>
                <w:ilvl w:val="0"/>
                <w:numId w:val="13"/>
              </w:numPr>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c>
          <w:tcPr>
            <w:tcW w:w="1235" w:type="pct"/>
            <w:vAlign w:val="center"/>
          </w:tcPr>
          <w:p w14:paraId="3AAE0128">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其他要求</w:t>
            </w:r>
          </w:p>
        </w:tc>
        <w:tc>
          <w:tcPr>
            <w:tcW w:w="2094" w:type="pct"/>
            <w:vAlign w:val="center"/>
          </w:tcPr>
          <w:p w14:paraId="21D46057">
            <w:pPr>
              <w:keepNext w:val="0"/>
              <w:keepLines w:val="0"/>
              <w:pageBreakBefore w:val="0"/>
              <w:shd w:val="clear"/>
              <w:kinsoku/>
              <w:wordWrap/>
              <w:overflowPunct/>
              <w:topLinePunct w:val="0"/>
              <w:autoSpaceDE/>
              <w:autoSpaceDN/>
              <w:bidi w:val="0"/>
              <w:spacing w:after="50" w:line="240" w:lineRule="auto"/>
              <w:ind w:right="-10"/>
              <w:jc w:val="center"/>
              <w:textAlignment w:val="auto"/>
              <w:rPr>
                <w:rFonts w:asciiTheme="minorEastAsia" w:hAnsiTheme="minorEastAsia" w:eastAsiaTheme="minorEastAsia"/>
                <w:sz w:val="24"/>
                <w:szCs w:val="28"/>
                <w:highlight w:val="none"/>
              </w:rPr>
            </w:pPr>
            <w:r>
              <w:rPr>
                <w:rFonts w:hint="eastAsia" w:asciiTheme="minorEastAsia" w:hAnsiTheme="minorEastAsia" w:eastAsiaTheme="minorEastAsia"/>
                <w:sz w:val="24"/>
                <w:szCs w:val="28"/>
                <w:highlight w:val="none"/>
              </w:rPr>
              <w:t>符合法律、行政法规规定的其他条件或招标文件列明的其他实质性要求</w:t>
            </w:r>
          </w:p>
        </w:tc>
        <w:tc>
          <w:tcPr>
            <w:tcW w:w="1206" w:type="pct"/>
            <w:vAlign w:val="center"/>
          </w:tcPr>
          <w:p w14:paraId="63368BCE">
            <w:pPr>
              <w:keepNext w:val="0"/>
              <w:keepLines w:val="0"/>
              <w:pageBreakBefore w:val="0"/>
              <w:shd w:val="clear"/>
              <w:kinsoku/>
              <w:wordWrap/>
              <w:overflowPunct/>
              <w:topLinePunct w:val="0"/>
              <w:autoSpaceDE/>
              <w:autoSpaceDN/>
              <w:bidi w:val="0"/>
              <w:adjustRightInd w:val="0"/>
              <w:snapToGrid w:val="0"/>
              <w:spacing w:line="240" w:lineRule="auto"/>
              <w:ind w:right="-10"/>
              <w:jc w:val="center"/>
              <w:textAlignment w:val="auto"/>
              <w:rPr>
                <w:rFonts w:asciiTheme="minorEastAsia" w:hAnsiTheme="minorEastAsia" w:eastAsiaTheme="minorEastAsia"/>
                <w:sz w:val="24"/>
                <w:highlight w:val="none"/>
              </w:rPr>
            </w:pPr>
          </w:p>
        </w:tc>
      </w:tr>
    </w:tbl>
    <w:p w14:paraId="37A78180">
      <w:pPr>
        <w:shd w:val="clear"/>
        <w:spacing w:line="360" w:lineRule="auto"/>
        <w:rPr>
          <w:rFonts w:asciiTheme="minorEastAsia" w:hAnsiTheme="minorEastAsia" w:eastAsiaTheme="minorEastAsia"/>
          <w:sz w:val="24"/>
          <w:highlight w:val="none"/>
        </w:rPr>
      </w:pPr>
      <w:r>
        <w:rPr>
          <w:rFonts w:hint="eastAsia" w:asciiTheme="minorEastAsia" w:hAnsiTheme="minorEastAsia" w:eastAsiaTheme="minorEastAsia"/>
          <w:b/>
          <w:bCs/>
          <w:sz w:val="24"/>
          <w:highlight w:val="none"/>
        </w:rPr>
        <w:t>符合性审查指标通过标准：</w:t>
      </w:r>
      <w:r>
        <w:rPr>
          <w:rFonts w:hint="eastAsia" w:asciiTheme="minorEastAsia" w:hAnsiTheme="minorEastAsia" w:eastAsiaTheme="minorEastAsia"/>
          <w:sz w:val="24"/>
          <w:highlight w:val="none"/>
        </w:rPr>
        <w:t>投标人必须通过符合性审查表中的全部评审指标。</w:t>
      </w:r>
    </w:p>
    <w:p w14:paraId="77B0B735">
      <w:pPr>
        <w:shd w:val="clear"/>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br w:type="page"/>
      </w:r>
    </w:p>
    <w:p w14:paraId="37A2601D">
      <w:pPr>
        <w:shd w:val="clear"/>
        <w:spacing w:line="360" w:lineRule="auto"/>
        <w:ind w:firstLine="435"/>
        <w:outlineLvl w:val="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2.3异常低价投标审查</w:t>
      </w:r>
    </w:p>
    <w:tbl>
      <w:tblPr>
        <w:tblStyle w:val="25"/>
        <w:tblW w:w="525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05"/>
        <w:gridCol w:w="1450"/>
        <w:gridCol w:w="4438"/>
        <w:gridCol w:w="2260"/>
      </w:tblGrid>
      <w:tr w14:paraId="38B52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20" w:hRule="atLeast"/>
          <w:jc w:val="center"/>
        </w:trPr>
        <w:tc>
          <w:tcPr>
            <w:tcW w:w="8954" w:type="dxa"/>
            <w:gridSpan w:val="4"/>
            <w:tcBorders>
              <w:bottom w:val="single" w:color="auto" w:sz="4" w:space="0"/>
            </w:tcBorders>
            <w:vAlign w:val="center"/>
          </w:tcPr>
          <w:p w14:paraId="0490FDDC">
            <w:pPr>
              <w:shd w:val="clear"/>
              <w:adjustRightInd w:val="0"/>
              <w:snapToGrid w:val="0"/>
              <w:spacing w:line="360" w:lineRule="auto"/>
              <w:ind w:right="-10"/>
              <w:jc w:val="center"/>
              <w:rPr>
                <w:rFonts w:ascii="宋体" w:hAnsi="宋体" w:eastAsia="宋体"/>
                <w:sz w:val="24"/>
                <w:highlight w:val="none"/>
              </w:rPr>
            </w:pPr>
            <w:r>
              <w:rPr>
                <w:rFonts w:hint="eastAsia" w:ascii="宋体" w:hAnsi="宋体" w:eastAsia="宋体" w:cs="Times New Roman"/>
                <w:b/>
                <w:bCs/>
                <w:sz w:val="24"/>
                <w:highlight w:val="none"/>
              </w:rPr>
              <w:t>异常低价投标审查表</w:t>
            </w:r>
          </w:p>
        </w:tc>
      </w:tr>
      <w:tr w14:paraId="0B9149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05" w:type="dxa"/>
            <w:tcBorders>
              <w:bottom w:val="single" w:color="auto" w:sz="4" w:space="0"/>
            </w:tcBorders>
            <w:vAlign w:val="center"/>
          </w:tcPr>
          <w:p w14:paraId="3D11B06C">
            <w:pPr>
              <w:shd w:val="clear"/>
              <w:spacing w:line="360" w:lineRule="auto"/>
              <w:jc w:val="center"/>
              <w:rPr>
                <w:rFonts w:ascii="宋体" w:hAnsi="宋体" w:eastAsia="宋体"/>
                <w:sz w:val="24"/>
                <w:highlight w:val="none"/>
              </w:rPr>
            </w:pPr>
            <w:r>
              <w:rPr>
                <w:rFonts w:hint="eastAsia" w:ascii="宋体" w:hAnsi="宋体" w:eastAsia="宋体" w:cs="Times New Roman"/>
                <w:sz w:val="24"/>
                <w:highlight w:val="none"/>
              </w:rPr>
              <w:t>序号</w:t>
            </w:r>
          </w:p>
        </w:tc>
        <w:tc>
          <w:tcPr>
            <w:tcW w:w="1450" w:type="dxa"/>
            <w:tcBorders>
              <w:bottom w:val="single" w:color="auto" w:sz="4" w:space="0"/>
            </w:tcBorders>
            <w:vAlign w:val="center"/>
          </w:tcPr>
          <w:p w14:paraId="1685EC71">
            <w:pPr>
              <w:shd w:val="clear"/>
              <w:spacing w:line="360" w:lineRule="auto"/>
              <w:ind w:firstLine="240" w:firstLineChars="100"/>
              <w:jc w:val="center"/>
              <w:rPr>
                <w:rFonts w:ascii="宋体" w:hAnsi="宋体" w:eastAsia="宋体"/>
                <w:szCs w:val="24"/>
                <w:highlight w:val="none"/>
              </w:rPr>
            </w:pPr>
            <w:r>
              <w:rPr>
                <w:rFonts w:hint="eastAsia" w:ascii="宋体" w:hAnsi="宋体" w:eastAsia="宋体" w:cs="Times New Roman"/>
                <w:sz w:val="24"/>
                <w:highlight w:val="none"/>
              </w:rPr>
              <w:t>评审指标</w:t>
            </w:r>
          </w:p>
        </w:tc>
        <w:tc>
          <w:tcPr>
            <w:tcW w:w="4439" w:type="dxa"/>
            <w:tcBorders>
              <w:bottom w:val="single" w:color="auto" w:sz="4" w:space="0"/>
            </w:tcBorders>
            <w:vAlign w:val="center"/>
          </w:tcPr>
          <w:p w14:paraId="48227F1E">
            <w:pPr>
              <w:shd w:val="clear"/>
              <w:spacing w:line="360" w:lineRule="auto"/>
              <w:ind w:firstLine="240" w:firstLineChars="100"/>
              <w:jc w:val="center"/>
              <w:rPr>
                <w:rFonts w:ascii="宋体" w:hAnsi="宋体" w:eastAsia="宋体"/>
                <w:sz w:val="24"/>
                <w:highlight w:val="none"/>
              </w:rPr>
            </w:pPr>
            <w:r>
              <w:rPr>
                <w:rFonts w:hint="eastAsia" w:ascii="宋体" w:hAnsi="宋体" w:eastAsia="宋体" w:cs="Times New Roman"/>
                <w:sz w:val="24"/>
                <w:highlight w:val="none"/>
              </w:rPr>
              <w:t>评审标准</w:t>
            </w:r>
          </w:p>
        </w:tc>
        <w:tc>
          <w:tcPr>
            <w:tcW w:w="2260" w:type="dxa"/>
            <w:tcBorders>
              <w:bottom w:val="single" w:color="auto" w:sz="4" w:space="0"/>
            </w:tcBorders>
            <w:vAlign w:val="center"/>
          </w:tcPr>
          <w:p w14:paraId="75A52B50">
            <w:pPr>
              <w:shd w:val="clear"/>
              <w:spacing w:line="360" w:lineRule="auto"/>
              <w:jc w:val="center"/>
              <w:rPr>
                <w:rFonts w:ascii="宋体" w:hAnsi="宋体" w:eastAsia="宋体"/>
                <w:sz w:val="24"/>
                <w:highlight w:val="none"/>
              </w:rPr>
            </w:pPr>
            <w:r>
              <w:rPr>
                <w:rFonts w:hint="eastAsia" w:ascii="宋体" w:hAnsi="宋体" w:eastAsia="宋体" w:cs="Times New Roman"/>
                <w:sz w:val="24"/>
                <w:highlight w:val="none"/>
              </w:rPr>
              <w:t>格式及材料要求</w:t>
            </w:r>
          </w:p>
        </w:tc>
      </w:tr>
      <w:tr w14:paraId="398B6F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35" w:hRule="atLeast"/>
          <w:jc w:val="center"/>
        </w:trPr>
        <w:tc>
          <w:tcPr>
            <w:tcW w:w="805" w:type="dxa"/>
            <w:tcBorders>
              <w:bottom w:val="single" w:color="auto" w:sz="4" w:space="0"/>
            </w:tcBorders>
            <w:vAlign w:val="center"/>
          </w:tcPr>
          <w:p w14:paraId="03712B20">
            <w:pPr>
              <w:shd w:val="clear"/>
              <w:spacing w:line="360" w:lineRule="auto"/>
              <w:ind w:firstLine="240" w:firstLineChars="100"/>
              <w:rPr>
                <w:rFonts w:ascii="宋体" w:hAnsi="宋体" w:eastAsia="宋体" w:cs="宋体"/>
                <w:sz w:val="24"/>
                <w:highlight w:val="none"/>
              </w:rPr>
            </w:pPr>
            <w:r>
              <w:rPr>
                <w:rFonts w:hint="eastAsia" w:ascii="宋体" w:hAnsi="宋体" w:eastAsia="宋体" w:cs="宋体"/>
                <w:sz w:val="24"/>
                <w:highlight w:val="none"/>
              </w:rPr>
              <w:t>1</w:t>
            </w:r>
          </w:p>
        </w:tc>
        <w:tc>
          <w:tcPr>
            <w:tcW w:w="1450" w:type="dxa"/>
            <w:tcBorders>
              <w:bottom w:val="single" w:color="auto" w:sz="4" w:space="0"/>
            </w:tcBorders>
            <w:vAlign w:val="center"/>
          </w:tcPr>
          <w:p w14:paraId="6544B483">
            <w:pPr>
              <w:shd w:val="clear"/>
              <w:spacing w:line="360" w:lineRule="auto"/>
              <w:rPr>
                <w:rFonts w:ascii="宋体" w:hAnsi="宋体" w:eastAsia="宋体" w:cs="宋体"/>
                <w:sz w:val="24"/>
                <w:szCs w:val="28"/>
                <w:highlight w:val="none"/>
              </w:rPr>
            </w:pPr>
            <w:r>
              <w:rPr>
                <w:rFonts w:hint="eastAsia" w:ascii="宋体" w:hAnsi="宋体" w:eastAsia="宋体" w:cs="宋体"/>
                <w:sz w:val="24"/>
                <w:highlight w:val="none"/>
              </w:rPr>
              <w:t>异常低价投标审查</w:t>
            </w:r>
          </w:p>
        </w:tc>
        <w:tc>
          <w:tcPr>
            <w:tcW w:w="4439" w:type="dxa"/>
            <w:tcBorders>
              <w:bottom w:val="single" w:color="auto" w:sz="4" w:space="0"/>
            </w:tcBorders>
            <w:vAlign w:val="center"/>
          </w:tcPr>
          <w:p w14:paraId="2B9A75F6">
            <w:pPr>
              <w:shd w:val="clea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（1）投标报价＜全部通过符合性审查投标人投标报价平均值×</w:t>
            </w:r>
            <w:r>
              <w:rPr>
                <w:rFonts w:hint="eastAsia" w:ascii="宋体" w:hAnsi="宋体" w:eastAsia="宋体" w:cs="宋体"/>
                <w:sz w:val="24"/>
                <w:szCs w:val="24"/>
                <w:highlight w:val="none"/>
                <w:u w:val="single"/>
              </w:rPr>
              <w:t>65%</w:t>
            </w:r>
            <w:r>
              <w:rPr>
                <w:rFonts w:hint="eastAsia" w:ascii="宋体" w:hAnsi="宋体" w:eastAsia="宋体" w:cs="宋体"/>
                <w:sz w:val="24"/>
                <w:szCs w:val="24"/>
                <w:highlight w:val="none"/>
              </w:rPr>
              <w:t>；</w:t>
            </w:r>
          </w:p>
          <w:p w14:paraId="388BFE38">
            <w:pPr>
              <w:shd w:val="clea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（2）投标报价＜通过符合性审查的次低报价投标人投标报价×</w:t>
            </w:r>
            <w:r>
              <w:rPr>
                <w:rFonts w:hint="eastAsia" w:ascii="宋体" w:hAnsi="宋体" w:eastAsia="宋体" w:cs="宋体"/>
                <w:sz w:val="24"/>
                <w:szCs w:val="24"/>
                <w:highlight w:val="none"/>
                <w:u w:val="single"/>
              </w:rPr>
              <w:t>65%</w:t>
            </w:r>
            <w:r>
              <w:rPr>
                <w:rFonts w:hint="eastAsia" w:ascii="宋体" w:hAnsi="宋体" w:eastAsia="宋体" w:cs="宋体"/>
                <w:sz w:val="24"/>
                <w:szCs w:val="24"/>
                <w:highlight w:val="none"/>
              </w:rPr>
              <w:t>；</w:t>
            </w:r>
          </w:p>
          <w:p w14:paraId="6A29628A">
            <w:pPr>
              <w:shd w:val="clea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（3）投标报价＜采购项目最高限价（</w:t>
            </w:r>
            <w:r>
              <w:rPr>
                <w:rFonts w:hint="eastAsia" w:ascii="宋体" w:hAnsi="宋体" w:eastAsia="宋体" w:cs="宋体"/>
                <w:sz w:val="24"/>
                <w:highlight w:val="none"/>
              </w:rPr>
              <w:t>如采购项目未设定最高限价的，以采购项目预算金额作为最高限价</w:t>
            </w: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65%</w:t>
            </w:r>
            <w:r>
              <w:rPr>
                <w:rFonts w:hint="eastAsia" w:ascii="宋体" w:hAnsi="宋体" w:eastAsia="宋体" w:cs="宋体"/>
                <w:sz w:val="24"/>
                <w:szCs w:val="24"/>
                <w:highlight w:val="none"/>
              </w:rPr>
              <w:t>；</w:t>
            </w:r>
          </w:p>
          <w:p w14:paraId="2AF026C8">
            <w:pPr>
              <w:pStyle w:val="7"/>
              <w:shd w:val="clear"/>
              <w:spacing w:line="360" w:lineRule="auto"/>
              <w:rPr>
                <w:rFonts w:ascii="宋体" w:hAnsi="宋体" w:eastAsia="宋体" w:cs="宋体"/>
                <w:sz w:val="24"/>
                <w:highlight w:val="none"/>
              </w:rPr>
            </w:pPr>
            <w:r>
              <w:rPr>
                <w:rFonts w:hint="eastAsia" w:ascii="宋体" w:hAnsi="宋体" w:eastAsia="宋体" w:cs="宋体"/>
                <w:sz w:val="24"/>
                <w:highlight w:val="none"/>
              </w:rPr>
              <w:t>（4）评标委员会基于专业判断，认为投标人报价过低，有可能影响产品质量或者不能诚信履约的其他情形。</w:t>
            </w:r>
          </w:p>
          <w:p w14:paraId="23C179B8">
            <w:pPr>
              <w:pStyle w:val="7"/>
              <w:shd w:val="clear"/>
              <w:spacing w:line="360" w:lineRule="auto"/>
              <w:rPr>
                <w:rFonts w:ascii="宋体" w:hAnsi="宋体" w:eastAsia="宋体" w:cs="宋体"/>
                <w:b/>
                <w:bCs/>
                <w:sz w:val="24"/>
                <w:highlight w:val="none"/>
              </w:rPr>
            </w:pPr>
            <w:r>
              <w:rPr>
                <w:rFonts w:hint="eastAsia" w:ascii="宋体" w:hAnsi="宋体" w:eastAsia="宋体" w:cs="宋体"/>
                <w:b/>
                <w:bCs/>
                <w:sz w:val="24"/>
                <w:highlight w:val="none"/>
              </w:rPr>
              <w:t>提醒：</w:t>
            </w:r>
          </w:p>
          <w:p w14:paraId="0B014BAB">
            <w:pPr>
              <w:pStyle w:val="7"/>
              <w:shd w:val="clear"/>
              <w:spacing w:line="360" w:lineRule="auto"/>
              <w:ind w:firstLine="240" w:firstLineChars="100"/>
              <w:rPr>
                <w:rFonts w:ascii="宋体" w:hAnsi="宋体" w:eastAsia="宋体" w:cs="宋体"/>
                <w:sz w:val="24"/>
                <w:highlight w:val="none"/>
              </w:rPr>
            </w:pPr>
            <w:r>
              <w:rPr>
                <w:rFonts w:hint="eastAsia" w:ascii="宋体" w:hAnsi="宋体" w:eastAsia="宋体" w:cs="宋体"/>
                <w:sz w:val="24"/>
                <w:highlight w:val="none"/>
              </w:rPr>
              <w:t>上述</w:t>
            </w:r>
            <w:r>
              <w:rPr>
                <w:rFonts w:hint="eastAsia" w:ascii="宋体" w:hAnsi="宋体" w:eastAsia="宋体"/>
                <w:sz w:val="24"/>
                <w:highlight w:val="none"/>
              </w:rPr>
              <w:t>数值计算：涉及总价、单价的精确到“分”并四舍五入，涉及费率的精确到小数点后两位，第三位四舍五入（例：如平均值为123.456元，即为123.46元；如平均值为80.126%，即为80.13%）。</w:t>
            </w:r>
          </w:p>
        </w:tc>
        <w:tc>
          <w:tcPr>
            <w:tcW w:w="2260" w:type="dxa"/>
            <w:vAlign w:val="center"/>
          </w:tcPr>
          <w:p w14:paraId="483833C3">
            <w:pPr>
              <w:shd w:val="clear"/>
              <w:spacing w:line="360" w:lineRule="auto"/>
              <w:ind w:firstLine="240" w:firstLineChars="100"/>
              <w:rPr>
                <w:rFonts w:ascii="宋体" w:hAnsi="宋体" w:eastAsia="宋体" w:cs="宋体"/>
                <w:sz w:val="24"/>
                <w:highlight w:val="none"/>
              </w:rPr>
            </w:pPr>
            <w:r>
              <w:rPr>
                <w:rFonts w:hint="eastAsia" w:ascii="宋体" w:hAnsi="宋体" w:eastAsia="宋体" w:cs="宋体"/>
                <w:sz w:val="24"/>
                <w:highlight w:val="none"/>
              </w:rPr>
              <w:t>投标人在评审现场合理的时间内对投标价格作出解释，提供项目具体成本测算等与报价合理性相关的书面说明及必要的证明材料，包括但不限于原材料成本、人工成本、制造费用等。</w:t>
            </w:r>
          </w:p>
        </w:tc>
      </w:tr>
    </w:tbl>
    <w:p w14:paraId="7B457B81">
      <w:pPr>
        <w:shd w:val="clear"/>
        <w:spacing w:line="360" w:lineRule="auto"/>
        <w:ind w:firstLine="480" w:firstLineChars="200"/>
        <w:rPr>
          <w:rFonts w:ascii="宋体" w:hAnsi="宋体" w:eastAsia="宋体"/>
          <w:sz w:val="24"/>
          <w:highlight w:val="none"/>
        </w:rPr>
      </w:pPr>
      <w:r>
        <w:rPr>
          <w:rFonts w:hint="eastAsia" w:ascii="宋体" w:hAnsi="宋体" w:eastAsia="宋体" w:cs="Times New Roman"/>
          <w:sz w:val="24"/>
          <w:highlight w:val="none"/>
        </w:rPr>
        <w:t>注：</w:t>
      </w:r>
    </w:p>
    <w:p w14:paraId="1A071BDD">
      <w:pPr>
        <w:shd w:val="clear"/>
        <w:spacing w:line="360" w:lineRule="auto"/>
        <w:ind w:firstLine="480" w:firstLineChars="200"/>
        <w:rPr>
          <w:rFonts w:ascii="宋体" w:hAnsi="宋体" w:eastAsia="宋体" w:cs="Arial"/>
          <w:sz w:val="24"/>
          <w:highlight w:val="none"/>
        </w:rPr>
      </w:pPr>
      <w:r>
        <w:rPr>
          <w:rFonts w:hint="eastAsia" w:ascii="宋体" w:hAnsi="宋体" w:eastAsia="宋体" w:cs="Arial"/>
          <w:sz w:val="24"/>
          <w:highlight w:val="none"/>
        </w:rPr>
        <w:t>评标委员会启动异常低价投标审查后，属于评审标准中第（1）项至第（4）项情形的，应当要求相关投标人在评审现场合理的时间内（不少于30分钟）对投标价格作出解释，提供项目具体成本测算等与报价合理性相关的书面说明及必要的证明材料，包括但不限于原材料成本、人工成本、制造费用等。其中，属于第</w:t>
      </w:r>
      <w:r>
        <w:rPr>
          <w:rFonts w:hint="eastAsia" w:ascii="宋体" w:hAnsi="宋体" w:cs="Arial"/>
          <w:sz w:val="24"/>
          <w:highlight w:val="none"/>
        </w:rPr>
        <w:t>（3）</w:t>
      </w:r>
      <w:r>
        <w:rPr>
          <w:rFonts w:hint="eastAsia" w:ascii="宋体" w:hAnsi="宋体" w:eastAsia="宋体" w:cs="Arial"/>
          <w:sz w:val="24"/>
          <w:highlight w:val="none"/>
        </w:rPr>
        <w:t>项情形，投标人已随投标文件一并提交相关书面说明及必要的证明材料的，在评审现场可不再重复提交。</w:t>
      </w:r>
    </w:p>
    <w:p w14:paraId="1CABF238">
      <w:pPr>
        <w:pStyle w:val="7"/>
        <w:shd w:val="clear"/>
        <w:spacing w:line="360" w:lineRule="auto"/>
        <w:ind w:firstLine="480" w:firstLineChars="200"/>
        <w:rPr>
          <w:rFonts w:ascii="宋体" w:hAnsi="宋体" w:eastAsia="宋体"/>
          <w:sz w:val="24"/>
          <w:highlight w:val="none"/>
        </w:rPr>
      </w:pPr>
      <w:r>
        <w:rPr>
          <w:rFonts w:hint="eastAsia" w:ascii="宋体" w:hAnsi="宋体" w:eastAsia="宋体"/>
          <w:sz w:val="24"/>
          <w:highlight w:val="none"/>
        </w:rPr>
        <w:t>评标委员会依据专业经验，参考同类项目中标（成交）价格、类似产品市场价格水平、行业人工费用标准、国家有关部门指导行业协会发布的行业平均成本等情况，对报价合理性进行判断。投标人不能提供书面说明、证明材料，或者提供的书面说明、证明材料不能证明其报价合理性的，评标委员会应当将其作为</w:t>
      </w:r>
      <w:r>
        <w:rPr>
          <w:rFonts w:hint="eastAsia" w:ascii="宋体" w:hAnsi="宋体" w:eastAsia="宋体"/>
          <w:b/>
          <w:bCs/>
          <w:sz w:val="24"/>
          <w:highlight w:val="none"/>
        </w:rPr>
        <w:t>无效投标</w:t>
      </w:r>
      <w:r>
        <w:rPr>
          <w:rFonts w:hint="eastAsia" w:ascii="宋体" w:hAnsi="宋体" w:eastAsia="宋体"/>
          <w:sz w:val="24"/>
          <w:highlight w:val="none"/>
        </w:rPr>
        <w:t>处理。</w:t>
      </w:r>
    </w:p>
    <w:p w14:paraId="262C0784">
      <w:pPr>
        <w:pStyle w:val="7"/>
        <w:shd w:val="clear"/>
        <w:spacing w:line="360" w:lineRule="auto"/>
        <w:ind w:firstLine="480" w:firstLineChars="200"/>
        <w:rPr>
          <w:rFonts w:ascii="宋体" w:hAnsi="宋体" w:eastAsia="宋体"/>
          <w:sz w:val="24"/>
          <w:highlight w:val="none"/>
        </w:rPr>
      </w:pPr>
      <w:r>
        <w:rPr>
          <w:rFonts w:hint="eastAsia" w:ascii="宋体" w:hAnsi="宋体" w:eastAsia="宋体"/>
          <w:sz w:val="24"/>
          <w:highlight w:val="none"/>
        </w:rPr>
        <w:t>评标委员会借助互联网等渠道查询相关信息的，应当严格遵守评审工作纪律，不得实施影响评审公正的行为。异常低价响应审查的启动原因、审查意见和审查结果应当在评审报告中记录，并随投标人提供的相关书面说明及证明材料，以及评标委员会有关互联网浏览、查询历史一并归档。</w:t>
      </w:r>
    </w:p>
    <w:p w14:paraId="49D55E2D">
      <w:pPr>
        <w:shd w:val="clear"/>
        <w:spacing w:line="360" w:lineRule="auto"/>
        <w:ind w:firstLine="437"/>
        <w:outlineLvl w:val="2"/>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2.4详细审查</w:t>
      </w:r>
    </w:p>
    <w:p w14:paraId="285FBC73">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评标委员会按照下表对投标文件进行详细审查和评分。</w:t>
      </w:r>
    </w:p>
    <w:p w14:paraId="784909A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本项目综合评分满分为1</w:t>
      </w:r>
      <w:r>
        <w:rPr>
          <w:rFonts w:asciiTheme="minorEastAsia" w:hAnsiTheme="minorEastAsia" w:eastAsiaTheme="minorEastAsia"/>
          <w:sz w:val="24"/>
          <w:highlight w:val="none"/>
        </w:rPr>
        <w:t>00</w:t>
      </w:r>
      <w:r>
        <w:rPr>
          <w:rFonts w:hint="eastAsia" w:asciiTheme="minorEastAsia" w:hAnsiTheme="minorEastAsia" w:eastAsiaTheme="minorEastAsia"/>
          <w:sz w:val="24"/>
          <w:highlight w:val="none"/>
        </w:rPr>
        <w:t>分，其中：技术资信分值占总分值的权重为</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u w:val="single"/>
        </w:rPr>
        <w:t>70</w:t>
      </w:r>
      <w:r>
        <w:rPr>
          <w:rFonts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rPr>
        <w:t>%，价格分值占总分值的权重为</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u w:val="single"/>
        </w:rPr>
        <w:t>30</w:t>
      </w:r>
      <w:r>
        <w:rPr>
          <w:rFonts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rPr>
        <w:t>%。具体评分细则如下：</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17"/>
        <w:gridCol w:w="1209"/>
        <w:gridCol w:w="4804"/>
        <w:gridCol w:w="992"/>
      </w:tblGrid>
      <w:tr w14:paraId="210EE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2" w:hRule="atLeast"/>
          <w:jc w:val="center"/>
        </w:trPr>
        <w:tc>
          <w:tcPr>
            <w:tcW w:w="890" w:type="pct"/>
            <w:tcBorders>
              <w:top w:val="single" w:color="auto" w:sz="4" w:space="0"/>
              <w:left w:val="single" w:color="auto" w:sz="4" w:space="0"/>
              <w:bottom w:val="single" w:color="auto" w:sz="4" w:space="0"/>
              <w:right w:val="single" w:color="auto" w:sz="4" w:space="0"/>
            </w:tcBorders>
            <w:vAlign w:val="center"/>
          </w:tcPr>
          <w:p w14:paraId="3A893938">
            <w:pPr>
              <w:shd w:val="clea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类别</w:t>
            </w:r>
          </w:p>
        </w:tc>
        <w:tc>
          <w:tcPr>
            <w:tcW w:w="709" w:type="pct"/>
            <w:tcBorders>
              <w:top w:val="single" w:color="auto" w:sz="4" w:space="0"/>
              <w:left w:val="single" w:color="auto" w:sz="4" w:space="0"/>
              <w:bottom w:val="single" w:color="auto" w:sz="4" w:space="0"/>
              <w:right w:val="single" w:color="auto" w:sz="4" w:space="0"/>
            </w:tcBorders>
            <w:vAlign w:val="center"/>
          </w:tcPr>
          <w:p w14:paraId="14068F5B">
            <w:pPr>
              <w:shd w:val="clea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评分内容</w:t>
            </w:r>
          </w:p>
        </w:tc>
        <w:tc>
          <w:tcPr>
            <w:tcW w:w="2818" w:type="pct"/>
            <w:tcBorders>
              <w:top w:val="single" w:color="auto" w:sz="4" w:space="0"/>
              <w:left w:val="single" w:color="auto" w:sz="4" w:space="0"/>
              <w:bottom w:val="single" w:color="auto" w:sz="4" w:space="0"/>
              <w:right w:val="single" w:color="auto" w:sz="4" w:space="0"/>
            </w:tcBorders>
            <w:vAlign w:val="center"/>
          </w:tcPr>
          <w:p w14:paraId="2F9E0AE8">
            <w:pPr>
              <w:shd w:val="clea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评分标准</w:t>
            </w:r>
          </w:p>
        </w:tc>
        <w:tc>
          <w:tcPr>
            <w:tcW w:w="582" w:type="pct"/>
            <w:tcBorders>
              <w:top w:val="single" w:color="auto" w:sz="4" w:space="0"/>
              <w:left w:val="single" w:color="auto" w:sz="4" w:space="0"/>
              <w:bottom w:val="single" w:color="auto" w:sz="4" w:space="0"/>
              <w:right w:val="single" w:color="auto" w:sz="4" w:space="0"/>
            </w:tcBorders>
            <w:vAlign w:val="center"/>
          </w:tcPr>
          <w:p w14:paraId="204AEBE6">
            <w:pPr>
              <w:shd w:val="clear"/>
              <w:spacing w:line="360" w:lineRule="auto"/>
              <w:jc w:val="center"/>
              <w:rPr>
                <w:rFonts w:ascii="宋体" w:hAnsi="宋体" w:eastAsia="宋体" w:cs="宋体"/>
                <w:b/>
                <w:bCs/>
                <w:sz w:val="24"/>
                <w:szCs w:val="24"/>
                <w:highlight w:val="none"/>
              </w:rPr>
            </w:pPr>
            <w:r>
              <w:rPr>
                <w:rFonts w:hint="eastAsia" w:ascii="宋体" w:hAnsi="宋体" w:eastAsia="宋体" w:cs="宋体"/>
                <w:b/>
                <w:bCs/>
                <w:sz w:val="24"/>
                <w:szCs w:val="24"/>
                <w:highlight w:val="none"/>
              </w:rPr>
              <w:t>分值范围</w:t>
            </w:r>
          </w:p>
        </w:tc>
      </w:tr>
      <w:tr w14:paraId="56156A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restart"/>
            <w:tcBorders>
              <w:top w:val="single" w:color="auto" w:sz="4" w:space="0"/>
              <w:left w:val="single" w:color="auto" w:sz="4" w:space="0"/>
              <w:right w:val="single" w:color="auto" w:sz="4" w:space="0"/>
            </w:tcBorders>
            <w:vAlign w:val="center"/>
          </w:tcPr>
          <w:p w14:paraId="5C7CD238">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技术资信分</w:t>
            </w:r>
          </w:p>
          <w:p w14:paraId="127C554B">
            <w:pPr>
              <w:shd w:val="clear"/>
              <w:spacing w:line="360" w:lineRule="auto"/>
              <w:jc w:val="center"/>
              <w:rPr>
                <w:rFonts w:ascii="宋体" w:hAnsi="宋体" w:eastAsia="宋体" w:cs="宋体"/>
                <w:b/>
                <w:bCs/>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70 </w:t>
            </w:r>
            <w:r>
              <w:rPr>
                <w:rFonts w:hint="eastAsia" w:ascii="宋体" w:hAnsi="宋体" w:eastAsia="宋体" w:cs="宋体"/>
                <w:sz w:val="24"/>
                <w:szCs w:val="24"/>
                <w:highlight w:val="none"/>
              </w:rPr>
              <w:t>分）</w:t>
            </w:r>
          </w:p>
        </w:tc>
        <w:tc>
          <w:tcPr>
            <w:tcW w:w="709" w:type="pct"/>
            <w:tcBorders>
              <w:top w:val="single" w:color="auto" w:sz="4" w:space="0"/>
              <w:left w:val="single" w:color="auto" w:sz="4" w:space="0"/>
              <w:bottom w:val="single" w:color="auto" w:sz="4" w:space="0"/>
              <w:right w:val="single" w:color="auto" w:sz="4" w:space="0"/>
            </w:tcBorders>
            <w:vAlign w:val="center"/>
          </w:tcPr>
          <w:p w14:paraId="0BE8B62D">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企业综合实力</w:t>
            </w:r>
          </w:p>
        </w:tc>
        <w:tc>
          <w:tcPr>
            <w:tcW w:w="2818" w:type="pct"/>
            <w:tcBorders>
              <w:top w:val="single" w:color="auto" w:sz="4" w:space="0"/>
              <w:left w:val="single" w:color="auto" w:sz="4" w:space="0"/>
              <w:bottom w:val="single" w:color="auto" w:sz="4" w:space="0"/>
              <w:right w:val="single" w:color="auto" w:sz="4" w:space="0"/>
            </w:tcBorders>
            <w:vAlign w:val="center"/>
          </w:tcPr>
          <w:p w14:paraId="0DBEFDBF">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kern w:val="2"/>
                <w:sz w:val="24"/>
                <w:szCs w:val="24"/>
                <w:highlight w:val="none"/>
                <w:lang w:val="en-US" w:eastAsia="zh-CN" w:bidi="ar-SA"/>
              </w:rPr>
              <w:t>1、</w:t>
            </w:r>
            <w:r>
              <w:rPr>
                <w:rFonts w:hint="eastAsia" w:ascii="宋体" w:hAnsi="宋体" w:eastAsia="宋体" w:cs="宋体"/>
                <w:bCs/>
                <w:sz w:val="24"/>
                <w:szCs w:val="24"/>
                <w:highlight w:val="none"/>
              </w:rPr>
              <w:t>投标人或所投产品制造商具有智慧中药房管理系统相关的计算机软件著作权证书得2分</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lang w:val="en-US" w:eastAsia="zh-CN"/>
              </w:rPr>
              <w:t>本项满分2分</w:t>
            </w:r>
            <w:r>
              <w:rPr>
                <w:rFonts w:hint="eastAsia" w:ascii="宋体" w:hAnsi="宋体" w:eastAsia="宋体" w:cs="宋体"/>
                <w:bCs/>
                <w:sz w:val="24"/>
                <w:szCs w:val="24"/>
                <w:highlight w:val="none"/>
              </w:rPr>
              <w:t>。</w:t>
            </w:r>
          </w:p>
          <w:p w14:paraId="448C964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注：投标文件提供证书扫描件，如证书为投标人以外的第三方所有，则须同时提供采购合同或购买发票或著作权人授权等资料证明投标人的使用权。</w:t>
            </w:r>
          </w:p>
          <w:p w14:paraId="79CF82CD">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kern w:val="2"/>
                <w:sz w:val="24"/>
                <w:szCs w:val="24"/>
                <w:highlight w:val="none"/>
                <w:lang w:val="en-US" w:eastAsia="zh-CN" w:bidi="ar-SA"/>
              </w:rPr>
              <w:t>2、</w:t>
            </w:r>
            <w:r>
              <w:rPr>
                <w:rFonts w:hint="eastAsia" w:ascii="宋体" w:hAnsi="宋体" w:eastAsia="宋体" w:cs="宋体"/>
                <w:bCs/>
                <w:sz w:val="24"/>
                <w:szCs w:val="24"/>
                <w:highlight w:val="none"/>
              </w:rPr>
              <w:t>投标人或所投产品制造商具有经中国国家认证认可监督管理委员会认证机构颁发的有效的：</w:t>
            </w:r>
          </w:p>
          <w:p w14:paraId="5DCBEF53">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质量管理体系认证；</w:t>
            </w:r>
          </w:p>
          <w:p w14:paraId="03A73C64">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信息技术服务管理体系认证；</w:t>
            </w:r>
          </w:p>
          <w:p w14:paraId="07EDFE7A">
            <w:pPr>
              <w:keepNext w:val="0"/>
              <w:keepLines w:val="0"/>
              <w:pageBreakBefore w:val="0"/>
              <w:widowControl w:val="0"/>
              <w:numPr>
                <w:ilvl w:val="0"/>
                <w:numId w:val="14"/>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信息安全管理体系认证；</w:t>
            </w:r>
          </w:p>
          <w:p w14:paraId="155FDC75">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每提供一项认证得1分，本项满分3分。</w:t>
            </w:r>
          </w:p>
          <w:p w14:paraId="6F9C8631">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注：投标文件提供全国认证认可信息公共服务平台网站认证信息查询截图，未提供或提供的不符合要求的不得分。</w:t>
            </w:r>
          </w:p>
        </w:tc>
        <w:tc>
          <w:tcPr>
            <w:tcW w:w="582" w:type="pct"/>
            <w:tcBorders>
              <w:top w:val="single" w:color="auto" w:sz="4" w:space="0"/>
              <w:left w:val="single" w:color="auto" w:sz="4" w:space="0"/>
              <w:bottom w:val="single" w:color="auto" w:sz="4" w:space="0"/>
              <w:right w:val="single" w:color="auto" w:sz="4" w:space="0"/>
            </w:tcBorders>
            <w:vAlign w:val="center"/>
          </w:tcPr>
          <w:p w14:paraId="34053CF9">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0-5分</w:t>
            </w:r>
          </w:p>
        </w:tc>
      </w:tr>
      <w:tr w14:paraId="6D913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14CD28FE">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2594D885">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所投产品业绩</w:t>
            </w:r>
          </w:p>
        </w:tc>
        <w:tc>
          <w:tcPr>
            <w:tcW w:w="2818" w:type="pct"/>
            <w:tcBorders>
              <w:top w:val="single" w:color="auto" w:sz="4" w:space="0"/>
              <w:left w:val="single" w:color="auto" w:sz="4" w:space="0"/>
              <w:bottom w:val="single" w:color="auto" w:sz="4" w:space="0"/>
              <w:right w:val="single" w:color="auto" w:sz="4" w:space="0"/>
            </w:tcBorders>
            <w:vAlign w:val="center"/>
          </w:tcPr>
          <w:p w14:paraId="3C19BC48">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自2023年1月1日以来（以合同签订时间为准），具有智慧中药房管理系统供货（服务）类似业绩的，每提供1个，得4分，满分12分。</w:t>
            </w:r>
          </w:p>
          <w:p w14:paraId="4F660809">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1）投标文件中提供业绩合同扫描件及验收资料。合同扫描件及验收资料主要内容不得遮掩、涂改，否则不予认可，如无法体现合同签订时间、供货（服务）内容等关键评审信息，须另提供业主单位出具的盖章证明材料。提供不全或不符合要求的，不得分。</w:t>
            </w:r>
          </w:p>
          <w:p w14:paraId="2D2D026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（2）同一合同甲方业绩，不重复计分。</w:t>
            </w:r>
          </w:p>
        </w:tc>
        <w:tc>
          <w:tcPr>
            <w:tcW w:w="582" w:type="pct"/>
            <w:tcBorders>
              <w:top w:val="single" w:color="auto" w:sz="4" w:space="0"/>
              <w:left w:val="single" w:color="auto" w:sz="4" w:space="0"/>
              <w:bottom w:val="single" w:color="auto" w:sz="4" w:space="0"/>
              <w:right w:val="single" w:color="auto" w:sz="4" w:space="0"/>
            </w:tcBorders>
            <w:vAlign w:val="center"/>
          </w:tcPr>
          <w:p w14:paraId="717D62A7">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0-12分</w:t>
            </w:r>
          </w:p>
        </w:tc>
      </w:tr>
      <w:tr w14:paraId="74F69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4B1993BD">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5085B904">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技术参数</w:t>
            </w:r>
          </w:p>
        </w:tc>
        <w:tc>
          <w:tcPr>
            <w:tcW w:w="2818" w:type="pct"/>
            <w:tcBorders>
              <w:top w:val="single" w:color="auto" w:sz="4" w:space="0"/>
              <w:left w:val="single" w:color="auto" w:sz="4" w:space="0"/>
              <w:bottom w:val="single" w:color="auto" w:sz="4" w:space="0"/>
              <w:right w:val="single" w:color="auto" w:sz="4" w:space="0"/>
            </w:tcBorders>
            <w:vAlign w:val="center"/>
          </w:tcPr>
          <w:p w14:paraId="1F107B4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color w:val="000000"/>
                <w:sz w:val="24"/>
                <w:szCs w:val="24"/>
                <w:highlight w:val="none"/>
              </w:rPr>
              <w:t>《</w:t>
            </w:r>
            <w:r>
              <w:rPr>
                <w:rFonts w:hint="eastAsia" w:ascii="宋体" w:hAnsi="宋体" w:eastAsia="宋体" w:cs="宋体"/>
                <w:sz w:val="24"/>
                <w:szCs w:val="24"/>
                <w:highlight w:val="none"/>
              </w:rPr>
              <w:t>第三章 采购需求》中“（三）技术参数及要求”评审明细如下：</w:t>
            </w:r>
          </w:p>
          <w:p w14:paraId="5940A1D6">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bCs/>
                <w:sz w:val="24"/>
                <w:szCs w:val="24"/>
                <w:highlight w:val="none"/>
              </w:rPr>
            </w:pPr>
            <w:r>
              <w:rPr>
                <w:rFonts w:hint="eastAsia" w:ascii="宋体" w:hAnsi="宋体" w:eastAsia="宋体" w:cs="宋体"/>
                <w:bCs/>
                <w:sz w:val="24"/>
                <w:szCs w:val="24"/>
                <w:highlight w:val="none"/>
              </w:rPr>
              <w:t>标注“★”条款的技术指标为</w:t>
            </w:r>
            <w:r>
              <w:rPr>
                <w:rFonts w:hint="eastAsia" w:ascii="宋体" w:hAnsi="宋体" w:eastAsia="宋体" w:cs="宋体"/>
                <w:bCs/>
                <w:sz w:val="24"/>
                <w:szCs w:val="24"/>
                <w:highlight w:val="none"/>
                <w:lang w:val="en-US" w:eastAsia="zh-CN"/>
              </w:rPr>
              <w:t>重要</w:t>
            </w:r>
            <w:r>
              <w:rPr>
                <w:rFonts w:hint="eastAsia" w:ascii="宋体" w:hAnsi="宋体" w:eastAsia="宋体" w:cs="宋体"/>
                <w:bCs/>
                <w:sz w:val="24"/>
                <w:szCs w:val="24"/>
                <w:highlight w:val="none"/>
              </w:rPr>
              <w:t>指标项，每满足（或优于）一项，</w:t>
            </w:r>
            <w:r>
              <w:rPr>
                <w:rFonts w:hint="eastAsia" w:ascii="宋体" w:hAnsi="宋体" w:eastAsia="宋体" w:cs="宋体"/>
                <w:bCs/>
                <w:sz w:val="24"/>
                <w:szCs w:val="24"/>
                <w:highlight w:val="none"/>
                <w:lang w:val="en-US" w:eastAsia="zh-CN"/>
              </w:rPr>
              <w:t>加</w:t>
            </w:r>
            <w:r>
              <w:rPr>
                <w:rFonts w:hint="eastAsia" w:ascii="宋体" w:hAnsi="宋体" w:eastAsia="宋体" w:cs="宋体"/>
                <w:bCs/>
                <w:sz w:val="24"/>
                <w:szCs w:val="24"/>
                <w:highlight w:val="none"/>
              </w:rPr>
              <w:t xml:space="preserve"> 1.4 分</w:t>
            </w:r>
            <w:r>
              <w:rPr>
                <w:rFonts w:hint="eastAsia" w:ascii="宋体" w:hAnsi="宋体" w:eastAsia="宋体" w:cs="宋体"/>
                <w:bCs/>
                <w:sz w:val="24"/>
                <w:szCs w:val="24"/>
                <w:highlight w:val="none"/>
                <w:lang w:eastAsia="zh-CN"/>
              </w:rPr>
              <w:t>，</w:t>
            </w:r>
            <w:r>
              <w:rPr>
                <w:rFonts w:hint="eastAsia" w:ascii="宋体" w:hAnsi="宋体" w:eastAsia="宋体" w:cs="宋体"/>
                <w:bCs/>
                <w:sz w:val="24"/>
                <w:szCs w:val="24"/>
                <w:highlight w:val="none"/>
              </w:rPr>
              <w:t>本项满分 21分；</w:t>
            </w:r>
          </w:p>
          <w:p w14:paraId="115AC937">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bCs/>
                <w:sz w:val="24"/>
                <w:szCs w:val="24"/>
                <w:highlight w:val="none"/>
              </w:rPr>
              <w:t>注：《第三章 采购需求》技术要求中标“★”的为</w:t>
            </w:r>
            <w:r>
              <w:rPr>
                <w:rFonts w:hint="eastAsia" w:ascii="宋体" w:hAnsi="宋体" w:eastAsia="宋体" w:cs="宋体"/>
                <w:bCs/>
                <w:sz w:val="24"/>
                <w:szCs w:val="24"/>
                <w:highlight w:val="none"/>
                <w:lang w:val="en-US" w:eastAsia="zh-CN"/>
              </w:rPr>
              <w:t>重要</w:t>
            </w:r>
            <w:r>
              <w:rPr>
                <w:rFonts w:hint="eastAsia" w:ascii="宋体" w:hAnsi="宋体" w:eastAsia="宋体" w:cs="宋体"/>
                <w:bCs/>
                <w:sz w:val="24"/>
                <w:szCs w:val="24"/>
                <w:highlight w:val="none"/>
              </w:rPr>
              <w:t>指标项，招标文件要求提供证明材料的按照要求提供，未明确要求提供证明材料，须在投</w:t>
            </w:r>
            <w:r>
              <w:rPr>
                <w:rFonts w:hint="eastAsia" w:ascii="宋体" w:hAnsi="宋体" w:eastAsia="宋体" w:cs="宋体"/>
                <w:sz w:val="24"/>
                <w:szCs w:val="24"/>
                <w:highlight w:val="none"/>
              </w:rPr>
              <w:t>标文件中自行提供相关证明材料（包括不限于产品彩页或操作界面截图或产品技术白皮书或产品检测报告等），且提供的证明材料须在投标文件中标明对应的参数页码；未提供或提供的不符要求的视为负偏离（不满足），不予以加分。</w:t>
            </w:r>
          </w:p>
        </w:tc>
        <w:tc>
          <w:tcPr>
            <w:tcW w:w="582" w:type="pct"/>
            <w:tcBorders>
              <w:top w:val="single" w:color="auto" w:sz="4" w:space="0"/>
              <w:left w:val="single" w:color="auto" w:sz="4" w:space="0"/>
              <w:bottom w:val="single" w:color="auto" w:sz="4" w:space="0"/>
              <w:right w:val="single" w:color="auto" w:sz="4" w:space="0"/>
            </w:tcBorders>
            <w:vAlign w:val="center"/>
          </w:tcPr>
          <w:p w14:paraId="234B9436">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0-21分</w:t>
            </w:r>
          </w:p>
        </w:tc>
      </w:tr>
      <w:tr w14:paraId="264196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418050C9">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62DA9186">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建设方案</w:t>
            </w:r>
          </w:p>
        </w:tc>
        <w:tc>
          <w:tcPr>
            <w:tcW w:w="2818" w:type="pct"/>
            <w:tcBorders>
              <w:top w:val="single" w:color="auto" w:sz="4" w:space="0"/>
              <w:left w:val="single" w:color="auto" w:sz="4" w:space="0"/>
              <w:bottom w:val="single" w:color="auto" w:sz="4" w:space="0"/>
              <w:right w:val="single" w:color="auto" w:sz="4" w:space="0"/>
            </w:tcBorders>
            <w:vAlign w:val="center"/>
          </w:tcPr>
          <w:p w14:paraId="332ABEA5">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根据采购人需求，投标文件提供智慧中药房建设方案，评标委员会根据方案内容进行综合评审。</w:t>
            </w:r>
          </w:p>
          <w:p w14:paraId="46A5EB89">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（1）</w:t>
            </w:r>
            <w:r>
              <w:rPr>
                <w:rFonts w:hint="eastAsia" w:ascii="宋体" w:hAnsi="宋体" w:eastAsia="宋体" w:cs="宋体"/>
                <w:sz w:val="24"/>
                <w:szCs w:val="24"/>
                <w:highlight w:val="none"/>
              </w:rPr>
              <w:t>建设方案内容详细完整，充分体现项目实际情况，对项目实施做出了重点分析和针对性的控制措施，项目可实施性、可行性强的，得5分；</w:t>
            </w:r>
          </w:p>
          <w:p w14:paraId="2DA12AEB">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（2）</w:t>
            </w:r>
            <w:r>
              <w:rPr>
                <w:rFonts w:hint="eastAsia" w:ascii="宋体" w:hAnsi="宋体" w:eastAsia="宋体" w:cs="宋体"/>
                <w:sz w:val="24"/>
                <w:szCs w:val="24"/>
                <w:highlight w:val="none"/>
              </w:rPr>
              <w:t>建设方案内容较为详实，能够较好的贴合项目实际情况，对项目重难点有较清晰的分析，项目可实施性、可行性较强的，得4分；</w:t>
            </w:r>
          </w:p>
          <w:p w14:paraId="0025DDFC">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（3）</w:t>
            </w:r>
            <w:r>
              <w:rPr>
                <w:rFonts w:hint="eastAsia" w:ascii="宋体" w:hAnsi="宋体" w:eastAsia="宋体" w:cs="宋体"/>
                <w:sz w:val="24"/>
                <w:szCs w:val="24"/>
                <w:highlight w:val="none"/>
              </w:rPr>
              <w:t>建设方案内容较为完整，有一定可实施性、可操作性的，得3分；</w:t>
            </w:r>
          </w:p>
          <w:p w14:paraId="40350DD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（4）</w:t>
            </w:r>
            <w:r>
              <w:rPr>
                <w:rFonts w:hint="eastAsia" w:ascii="宋体" w:hAnsi="宋体" w:eastAsia="宋体" w:cs="宋体"/>
                <w:sz w:val="24"/>
                <w:szCs w:val="24"/>
                <w:highlight w:val="none"/>
              </w:rPr>
              <w:t>建设方案内容完整度一般，对项目实施的重难点分析有欠缺，针对性不强，项目可实施性欠佳的，得2分；</w:t>
            </w:r>
          </w:p>
          <w:p w14:paraId="533B91D2">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（5）</w:t>
            </w:r>
            <w:r>
              <w:rPr>
                <w:rFonts w:hint="eastAsia" w:ascii="宋体" w:hAnsi="宋体" w:eastAsia="宋体" w:cs="宋体"/>
                <w:sz w:val="24"/>
                <w:szCs w:val="24"/>
                <w:highlight w:val="none"/>
              </w:rPr>
              <w:t>建设方案内容粗略简单，缺少必要的实质细节，项目可实施性较差的，得1分；</w:t>
            </w:r>
          </w:p>
          <w:p w14:paraId="71C51A95">
            <w:pPr>
              <w:keepNext w:val="0"/>
              <w:keepLines w:val="0"/>
              <w:pageBreakBefore w:val="0"/>
              <w:widowControl w:val="0"/>
              <w:numPr>
                <w:ilvl w:val="0"/>
                <w:numId w:val="0"/>
              </w:numPr>
              <w:shd w:val="clea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sz w:val="24"/>
                <w:szCs w:val="24"/>
                <w:highlight w:val="none"/>
              </w:rPr>
            </w:pPr>
            <w:r>
              <w:rPr>
                <w:rFonts w:hint="eastAsia" w:ascii="宋体" w:hAnsi="宋体" w:eastAsia="宋体" w:cs="宋体"/>
                <w:kern w:val="2"/>
                <w:sz w:val="24"/>
                <w:szCs w:val="24"/>
                <w:highlight w:val="none"/>
                <w:lang w:val="en-US" w:eastAsia="zh-CN" w:bidi="ar-SA"/>
              </w:rPr>
              <w:t>（6）</w:t>
            </w:r>
            <w:r>
              <w:rPr>
                <w:rFonts w:hint="eastAsia" w:ascii="宋体" w:hAnsi="宋体" w:eastAsia="宋体" w:cs="宋体"/>
                <w:sz w:val="24"/>
                <w:szCs w:val="24"/>
                <w:highlight w:val="none"/>
              </w:rPr>
              <w:t>未提供的，不得分。</w:t>
            </w:r>
          </w:p>
        </w:tc>
        <w:tc>
          <w:tcPr>
            <w:tcW w:w="582" w:type="pct"/>
            <w:tcBorders>
              <w:top w:val="single" w:color="auto" w:sz="4" w:space="0"/>
              <w:left w:val="single" w:color="auto" w:sz="4" w:space="0"/>
              <w:bottom w:val="single" w:color="auto" w:sz="4" w:space="0"/>
              <w:right w:val="single" w:color="auto" w:sz="4" w:space="0"/>
            </w:tcBorders>
            <w:vAlign w:val="center"/>
          </w:tcPr>
          <w:p w14:paraId="7ADB3E7E">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0-5</w:t>
            </w:r>
          </w:p>
        </w:tc>
      </w:tr>
      <w:tr w14:paraId="6EFF2D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33EA56FA">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0F6EAB8D">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供货安装（调试）方案</w:t>
            </w:r>
          </w:p>
        </w:tc>
        <w:tc>
          <w:tcPr>
            <w:tcW w:w="2818" w:type="pct"/>
            <w:tcBorders>
              <w:top w:val="single" w:color="auto" w:sz="4" w:space="0"/>
              <w:left w:val="single" w:color="auto" w:sz="4" w:space="0"/>
              <w:bottom w:val="single" w:color="auto" w:sz="4" w:space="0"/>
              <w:right w:val="single" w:color="auto" w:sz="4" w:space="0"/>
            </w:tcBorders>
            <w:vAlign w:val="center"/>
          </w:tcPr>
          <w:p w14:paraId="2C927F32">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投标文件提供供货安装（调试）方案，包括不限于供货、安装、调试的实施计划、工期保证措施、质量管控措施等，由评标委员会进行综合评审。</w:t>
            </w:r>
          </w:p>
          <w:p w14:paraId="3CB22F6B">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方案内容全面、完善、针对性强、有利于项目顺利实施的，得5分；</w:t>
            </w:r>
          </w:p>
          <w:p w14:paraId="5DF1144A">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方案内容较为全面，针对性较强，能够较好的保障项目推进的，得4分；</w:t>
            </w:r>
          </w:p>
          <w:p w14:paraId="7409D9DE">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方案内容比较完整、具有一定针对性、基本满足项目实施要求的，得3分；</w:t>
            </w:r>
          </w:p>
          <w:p w14:paraId="4BF4460B">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方案内容完整度一般，针对性有待提升的，得2分；</w:t>
            </w:r>
          </w:p>
          <w:p w14:paraId="429489AD">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方案内容较为简单，关键环节缺失，不利于项目实施的，得1分；</w:t>
            </w:r>
          </w:p>
          <w:p w14:paraId="4EDD8085">
            <w:pPr>
              <w:keepNext w:val="0"/>
              <w:keepLines w:val="0"/>
              <w:pageBreakBefore w:val="0"/>
              <w:widowControl w:val="0"/>
              <w:numPr>
                <w:ilvl w:val="0"/>
                <w:numId w:val="15"/>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未提供的，不得分。</w:t>
            </w:r>
          </w:p>
        </w:tc>
        <w:tc>
          <w:tcPr>
            <w:tcW w:w="582" w:type="pct"/>
            <w:tcBorders>
              <w:top w:val="single" w:color="auto" w:sz="4" w:space="0"/>
              <w:left w:val="single" w:color="auto" w:sz="4" w:space="0"/>
              <w:bottom w:val="single" w:color="auto" w:sz="4" w:space="0"/>
              <w:right w:val="single" w:color="auto" w:sz="4" w:space="0"/>
            </w:tcBorders>
            <w:vAlign w:val="center"/>
          </w:tcPr>
          <w:p w14:paraId="445EE185">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0-5</w:t>
            </w:r>
          </w:p>
        </w:tc>
      </w:tr>
      <w:tr w14:paraId="11AC30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083E9CEA">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1193F6E3">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售后服务方案</w:t>
            </w:r>
          </w:p>
        </w:tc>
        <w:tc>
          <w:tcPr>
            <w:tcW w:w="2818" w:type="pct"/>
            <w:tcBorders>
              <w:top w:val="single" w:color="auto" w:sz="4" w:space="0"/>
              <w:left w:val="single" w:color="auto" w:sz="4" w:space="0"/>
              <w:bottom w:val="single" w:color="auto" w:sz="4" w:space="0"/>
              <w:right w:val="single" w:color="auto" w:sz="4" w:space="0"/>
            </w:tcBorders>
            <w:vAlign w:val="center"/>
          </w:tcPr>
          <w:p w14:paraId="1B31133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投标文件提供售后服务方案，包括不限于维修时间、解决质量与操作问题的响应时间等方案情况，由评标委员会进行综合评审。</w:t>
            </w:r>
          </w:p>
          <w:p w14:paraId="2A8FF797">
            <w:pPr>
              <w:keepNext w:val="0"/>
              <w:keepLines w:val="0"/>
              <w:pageBreakBefore w:val="0"/>
              <w:widowControl w:val="0"/>
              <w:numPr>
                <w:ilvl w:val="0"/>
                <w:numId w:val="16"/>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方案完善、维修时间响应及时、解决问题效率高的，得5分；</w:t>
            </w:r>
          </w:p>
          <w:p w14:paraId="1A641F03">
            <w:pPr>
              <w:keepNext w:val="0"/>
              <w:keepLines w:val="0"/>
              <w:pageBreakBefore w:val="0"/>
              <w:widowControl w:val="0"/>
              <w:numPr>
                <w:ilvl w:val="0"/>
                <w:numId w:val="16"/>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方案较为完善、维修时间响应较为及时、解决问题效率较高的，得4分；</w:t>
            </w:r>
          </w:p>
          <w:p w14:paraId="6C75A355">
            <w:pPr>
              <w:keepNext w:val="0"/>
              <w:keepLines w:val="0"/>
              <w:pageBreakBefore w:val="0"/>
              <w:widowControl w:val="0"/>
              <w:numPr>
                <w:ilvl w:val="0"/>
                <w:numId w:val="16"/>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方案较完整、维修时间响应较及时、解决问题速度基本满足项目需要的，得3分；</w:t>
            </w:r>
          </w:p>
          <w:p w14:paraId="764B8B25">
            <w:pPr>
              <w:keepNext w:val="0"/>
              <w:keepLines w:val="0"/>
              <w:pageBreakBefore w:val="0"/>
              <w:widowControl w:val="0"/>
              <w:numPr>
                <w:ilvl w:val="0"/>
                <w:numId w:val="16"/>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方案完整度一般、维修响应不够及时、解决问题效率较低的，得2分；</w:t>
            </w:r>
          </w:p>
          <w:p w14:paraId="27C32348">
            <w:pPr>
              <w:keepNext w:val="0"/>
              <w:keepLines w:val="0"/>
              <w:pageBreakBefore w:val="0"/>
              <w:widowControl w:val="0"/>
              <w:numPr>
                <w:ilvl w:val="0"/>
                <w:numId w:val="16"/>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方案内容简单，整体细节较差，无法保障项目后续的运行维护，得1分。</w:t>
            </w:r>
          </w:p>
          <w:p w14:paraId="40273267">
            <w:pPr>
              <w:keepNext w:val="0"/>
              <w:keepLines w:val="0"/>
              <w:pageBreakBefore w:val="0"/>
              <w:widowControl w:val="0"/>
              <w:numPr>
                <w:ilvl w:val="0"/>
                <w:numId w:val="16"/>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未提供的，不得分。</w:t>
            </w:r>
          </w:p>
        </w:tc>
        <w:tc>
          <w:tcPr>
            <w:tcW w:w="582" w:type="pct"/>
            <w:tcBorders>
              <w:top w:val="single" w:color="auto" w:sz="4" w:space="0"/>
              <w:left w:val="single" w:color="auto" w:sz="4" w:space="0"/>
              <w:bottom w:val="single" w:color="auto" w:sz="4" w:space="0"/>
              <w:right w:val="single" w:color="auto" w:sz="4" w:space="0"/>
            </w:tcBorders>
            <w:vAlign w:val="center"/>
          </w:tcPr>
          <w:p w14:paraId="6D1752F4">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0-5分</w:t>
            </w:r>
          </w:p>
        </w:tc>
      </w:tr>
      <w:tr w14:paraId="782CE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437D6AF5">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3452D9A5">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应急预案</w:t>
            </w:r>
          </w:p>
        </w:tc>
        <w:tc>
          <w:tcPr>
            <w:tcW w:w="2818" w:type="pct"/>
            <w:tcBorders>
              <w:top w:val="single" w:color="auto" w:sz="4" w:space="0"/>
              <w:left w:val="single" w:color="auto" w:sz="4" w:space="0"/>
              <w:bottom w:val="single" w:color="auto" w:sz="4" w:space="0"/>
              <w:right w:val="single" w:color="auto" w:sz="4" w:space="0"/>
            </w:tcBorders>
            <w:vAlign w:val="center"/>
          </w:tcPr>
          <w:p w14:paraId="6F155B76">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投标文件提供应急预案，评标委员会根据针对可能发生的突发事件和紧急事件的应急预案的完善性、可行性等进行综合评审。</w:t>
            </w:r>
          </w:p>
          <w:p w14:paraId="25032FEA">
            <w:pPr>
              <w:keepNext w:val="0"/>
              <w:keepLines w:val="0"/>
              <w:pageBreakBefore w:val="0"/>
              <w:widowControl w:val="0"/>
              <w:numPr>
                <w:ilvl w:val="0"/>
                <w:numId w:val="17"/>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方案内容详细具体、涉及内容全面清晰、针对性强的，得4分；</w:t>
            </w:r>
          </w:p>
          <w:p w14:paraId="45823A90">
            <w:pPr>
              <w:keepNext w:val="0"/>
              <w:keepLines w:val="0"/>
              <w:pageBreakBefore w:val="0"/>
              <w:widowControl w:val="0"/>
              <w:numPr>
                <w:ilvl w:val="0"/>
                <w:numId w:val="17"/>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方案内容较为详细具体、有较好的预判和应对措施，得3分；</w:t>
            </w:r>
          </w:p>
          <w:p w14:paraId="2AF02D7A">
            <w:pPr>
              <w:keepNext w:val="0"/>
              <w:keepLines w:val="0"/>
              <w:pageBreakBefore w:val="0"/>
              <w:widowControl w:val="0"/>
              <w:numPr>
                <w:ilvl w:val="0"/>
                <w:numId w:val="17"/>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方案内容基本满足项目要求，部分潜在风险预判不足，有一定细化空间，得2分；</w:t>
            </w:r>
          </w:p>
          <w:p w14:paraId="4DDAF0C2">
            <w:pPr>
              <w:keepNext w:val="0"/>
              <w:keepLines w:val="0"/>
              <w:pageBreakBefore w:val="0"/>
              <w:widowControl w:val="0"/>
              <w:numPr>
                <w:ilvl w:val="0"/>
                <w:numId w:val="17"/>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方案内容较为简单，针对性不足，措施空泛，难以有效应对项目可能遇到的突发情况，得1分；</w:t>
            </w:r>
          </w:p>
          <w:p w14:paraId="78A9BC46">
            <w:pPr>
              <w:keepNext w:val="0"/>
              <w:keepLines w:val="0"/>
              <w:pageBreakBefore w:val="0"/>
              <w:widowControl w:val="0"/>
              <w:numPr>
                <w:ilvl w:val="0"/>
                <w:numId w:val="17"/>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未提供的，不得分。</w:t>
            </w:r>
          </w:p>
        </w:tc>
        <w:tc>
          <w:tcPr>
            <w:tcW w:w="582" w:type="pct"/>
            <w:tcBorders>
              <w:top w:val="single" w:color="auto" w:sz="4" w:space="0"/>
              <w:left w:val="single" w:color="auto" w:sz="4" w:space="0"/>
              <w:bottom w:val="single" w:color="auto" w:sz="4" w:space="0"/>
              <w:right w:val="single" w:color="auto" w:sz="4" w:space="0"/>
            </w:tcBorders>
            <w:vAlign w:val="center"/>
          </w:tcPr>
          <w:p w14:paraId="0087DD2C">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0-4</w:t>
            </w:r>
          </w:p>
        </w:tc>
      </w:tr>
      <w:tr w14:paraId="60FD509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5CFEC260">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64443327">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培训方案</w:t>
            </w:r>
          </w:p>
        </w:tc>
        <w:tc>
          <w:tcPr>
            <w:tcW w:w="2818" w:type="pct"/>
            <w:tcBorders>
              <w:top w:val="single" w:color="auto" w:sz="4" w:space="0"/>
              <w:left w:val="single" w:color="auto" w:sz="4" w:space="0"/>
              <w:bottom w:val="single" w:color="auto" w:sz="4" w:space="0"/>
              <w:right w:val="single" w:color="auto" w:sz="4" w:space="0"/>
            </w:tcBorders>
            <w:vAlign w:val="center"/>
          </w:tcPr>
          <w:p w14:paraId="15FC788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投标人提供培训方案，包括但不限于培训方式、培训时间、培训内容等，由评标委员会进行综合评审。</w:t>
            </w:r>
          </w:p>
          <w:p w14:paraId="72D19F86">
            <w:pPr>
              <w:keepNext w:val="0"/>
              <w:keepLines w:val="0"/>
              <w:pageBreakBefore w:val="0"/>
              <w:widowControl w:val="0"/>
              <w:numPr>
                <w:ilvl w:val="0"/>
                <w:numId w:val="18"/>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培训方案内容完善、培训计划及实施方案内容清晰、培训时间安排满足项目需求、可行性高的，得3分；</w:t>
            </w:r>
          </w:p>
          <w:p w14:paraId="7B72DF0D">
            <w:pPr>
              <w:keepNext w:val="0"/>
              <w:keepLines w:val="0"/>
              <w:pageBreakBefore w:val="0"/>
              <w:widowControl w:val="0"/>
              <w:numPr>
                <w:ilvl w:val="0"/>
                <w:numId w:val="18"/>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培训方案内容较完善、培训计划及实施方案内容较清晰、具有可行性的，得2分；</w:t>
            </w:r>
          </w:p>
          <w:p w14:paraId="200BE8BA">
            <w:pPr>
              <w:keepNext w:val="0"/>
              <w:keepLines w:val="0"/>
              <w:pageBreakBefore w:val="0"/>
              <w:widowControl w:val="0"/>
              <w:numPr>
                <w:ilvl w:val="0"/>
                <w:numId w:val="18"/>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培训方案基本可行、内容有待完善的，得1分；</w:t>
            </w:r>
          </w:p>
          <w:p w14:paraId="33837AB2">
            <w:pPr>
              <w:keepNext w:val="0"/>
              <w:keepLines w:val="0"/>
              <w:pageBreakBefore w:val="0"/>
              <w:widowControl w:val="0"/>
              <w:numPr>
                <w:ilvl w:val="0"/>
                <w:numId w:val="18"/>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color w:val="000000"/>
                <w:sz w:val="24"/>
                <w:szCs w:val="24"/>
                <w:highlight w:val="none"/>
              </w:rPr>
            </w:pPr>
            <w:r>
              <w:rPr>
                <w:rFonts w:hint="eastAsia" w:ascii="宋体" w:hAnsi="宋体" w:eastAsia="宋体" w:cs="宋体"/>
                <w:sz w:val="24"/>
                <w:szCs w:val="24"/>
                <w:highlight w:val="none"/>
              </w:rPr>
              <w:t>培训方案不可行或未提供的不得分。</w:t>
            </w:r>
          </w:p>
        </w:tc>
        <w:tc>
          <w:tcPr>
            <w:tcW w:w="582" w:type="pct"/>
            <w:tcBorders>
              <w:top w:val="single" w:color="auto" w:sz="4" w:space="0"/>
              <w:left w:val="single" w:color="auto" w:sz="4" w:space="0"/>
              <w:bottom w:val="single" w:color="auto" w:sz="4" w:space="0"/>
              <w:right w:val="single" w:color="auto" w:sz="4" w:space="0"/>
            </w:tcBorders>
            <w:vAlign w:val="center"/>
          </w:tcPr>
          <w:p w14:paraId="2A212E4A">
            <w:pPr>
              <w:shd w:val="clear"/>
              <w:spacing w:line="360" w:lineRule="auto"/>
              <w:jc w:val="center"/>
              <w:rPr>
                <w:rFonts w:hint="eastAsia" w:ascii="宋体" w:hAnsi="宋体" w:eastAsia="宋体" w:cs="宋体"/>
                <w:b/>
                <w:bCs/>
                <w:sz w:val="24"/>
                <w:szCs w:val="24"/>
                <w:highlight w:val="none"/>
              </w:rPr>
            </w:pPr>
            <w:r>
              <w:rPr>
                <w:rFonts w:hint="eastAsia" w:ascii="宋体" w:hAnsi="宋体" w:eastAsia="宋体" w:cs="宋体"/>
                <w:kern w:val="0"/>
                <w:sz w:val="24"/>
                <w:szCs w:val="24"/>
                <w:highlight w:val="none"/>
              </w:rPr>
              <w:t>0-3分</w:t>
            </w:r>
          </w:p>
        </w:tc>
      </w:tr>
      <w:tr w14:paraId="0D45FB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vMerge w:val="continue"/>
            <w:tcBorders>
              <w:left w:val="single" w:color="auto" w:sz="4" w:space="0"/>
              <w:right w:val="single" w:color="auto" w:sz="4" w:space="0"/>
            </w:tcBorders>
            <w:vAlign w:val="center"/>
          </w:tcPr>
          <w:p w14:paraId="0F246071">
            <w:pPr>
              <w:shd w:val="clear"/>
              <w:spacing w:line="360" w:lineRule="auto"/>
              <w:ind w:firstLine="435"/>
              <w:jc w:val="center"/>
              <w:rPr>
                <w:rFonts w:ascii="宋体" w:hAnsi="宋体" w:eastAsia="宋体" w:cs="宋体"/>
                <w:b/>
                <w:bCs/>
                <w:sz w:val="24"/>
                <w:szCs w:val="24"/>
                <w:highlight w:val="none"/>
              </w:rPr>
            </w:pPr>
          </w:p>
        </w:tc>
        <w:tc>
          <w:tcPr>
            <w:tcW w:w="709" w:type="pct"/>
            <w:tcBorders>
              <w:top w:val="single" w:color="auto" w:sz="4" w:space="0"/>
              <w:left w:val="single" w:color="auto" w:sz="4" w:space="0"/>
              <w:bottom w:val="single" w:color="auto" w:sz="4" w:space="0"/>
              <w:right w:val="single" w:color="auto" w:sz="4" w:space="0"/>
            </w:tcBorders>
            <w:vAlign w:val="center"/>
          </w:tcPr>
          <w:p w14:paraId="7F0CD108">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参数演示</w:t>
            </w:r>
          </w:p>
        </w:tc>
        <w:tc>
          <w:tcPr>
            <w:tcW w:w="2818" w:type="pct"/>
            <w:tcBorders>
              <w:top w:val="single" w:color="auto" w:sz="4" w:space="0"/>
              <w:left w:val="single" w:color="auto" w:sz="4" w:space="0"/>
              <w:bottom w:val="single" w:color="auto" w:sz="4" w:space="0"/>
              <w:right w:val="single" w:color="auto" w:sz="4" w:space="0"/>
            </w:tcBorders>
            <w:vAlign w:val="center"/>
          </w:tcPr>
          <w:p w14:paraId="218372A3">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1.针对1.1、1.3、1.44、1.49、1.57五项技术参数，投标人提供视频演示资料。视频演示资料每完全满足一项技术参数要求，得1分，满分5分。</w:t>
            </w:r>
          </w:p>
          <w:p w14:paraId="4CB550B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2.评标委员会根据视频演示的业务逻辑准确性、系统结构清晰性、业务流程顺畅性进行综合评分。</w:t>
            </w:r>
          </w:p>
          <w:p w14:paraId="7E6DDA28">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（1）界面布局极为</w:t>
            </w:r>
            <w:r>
              <w:rPr>
                <w:rFonts w:hint="eastAsia" w:ascii="宋体" w:hAnsi="宋体" w:eastAsia="宋体" w:cs="宋体"/>
                <w:sz w:val="24"/>
                <w:szCs w:val="24"/>
                <w:highlight w:val="none"/>
                <w:lang w:val="en-US" w:eastAsia="zh-CN"/>
              </w:rPr>
              <w:t>规范</w:t>
            </w:r>
            <w:r>
              <w:rPr>
                <w:rFonts w:hint="eastAsia" w:ascii="宋体" w:hAnsi="宋体" w:eastAsia="宋体" w:cs="宋体"/>
                <w:sz w:val="24"/>
                <w:szCs w:val="24"/>
                <w:highlight w:val="none"/>
              </w:rPr>
              <w:t>、视觉精美；功能规则描述清晰严谨；交互响应迅速、反馈直观、流程顺畅的，得5分；</w:t>
            </w:r>
          </w:p>
          <w:p w14:paraId="0A53C70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（2）界面设计</w:t>
            </w:r>
            <w:r>
              <w:rPr>
                <w:rFonts w:hint="eastAsia" w:ascii="宋体" w:hAnsi="宋体" w:eastAsia="宋体" w:cs="宋体"/>
                <w:sz w:val="24"/>
                <w:szCs w:val="24"/>
                <w:highlight w:val="none"/>
                <w:lang w:val="en-US" w:eastAsia="zh-CN"/>
              </w:rPr>
              <w:t>规范</w:t>
            </w:r>
            <w:r>
              <w:rPr>
                <w:rFonts w:hint="eastAsia" w:ascii="宋体" w:hAnsi="宋体" w:eastAsia="宋体" w:cs="宋体"/>
                <w:sz w:val="24"/>
                <w:szCs w:val="24"/>
                <w:highlight w:val="none"/>
              </w:rPr>
              <w:t>、美观度较好；规则描述较为清晰；交互反馈及时，整体交互性较好的，得4分；</w:t>
            </w:r>
          </w:p>
          <w:p w14:paraId="1FF67E9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(3)界面设计基本</w:t>
            </w:r>
            <w:r>
              <w:rPr>
                <w:rFonts w:hint="eastAsia" w:ascii="宋体" w:hAnsi="宋体" w:eastAsia="宋体" w:cs="宋体"/>
                <w:sz w:val="24"/>
                <w:szCs w:val="24"/>
                <w:highlight w:val="none"/>
                <w:lang w:val="en-US" w:eastAsia="zh-CN"/>
              </w:rPr>
              <w:t>规范</w:t>
            </w:r>
            <w:r>
              <w:rPr>
                <w:rFonts w:hint="eastAsia" w:ascii="宋体" w:hAnsi="宋体" w:eastAsia="宋体" w:cs="宋体"/>
                <w:sz w:val="24"/>
                <w:szCs w:val="24"/>
                <w:highlight w:val="none"/>
              </w:rPr>
              <w:t>，美观度一般；规则描述基本清晰；交互性一般的，得3分；</w:t>
            </w:r>
          </w:p>
          <w:p w14:paraId="179E5EEA">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(4)界面设计及美观度有待提升；规则描述较为模糊；交互响应有延迟的，得2分；</w:t>
            </w:r>
          </w:p>
          <w:p w14:paraId="35C139B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（5）界面设计不</w:t>
            </w:r>
            <w:r>
              <w:rPr>
                <w:rFonts w:hint="eastAsia" w:ascii="宋体" w:hAnsi="宋体" w:eastAsia="宋体" w:cs="宋体"/>
                <w:sz w:val="24"/>
                <w:szCs w:val="24"/>
                <w:highlight w:val="none"/>
                <w:lang w:val="en-US" w:eastAsia="zh-CN"/>
              </w:rPr>
              <w:t>规范</w:t>
            </w:r>
            <w:r>
              <w:rPr>
                <w:rFonts w:hint="eastAsia" w:ascii="宋体" w:hAnsi="宋体" w:eastAsia="宋体" w:cs="宋体"/>
                <w:sz w:val="24"/>
                <w:szCs w:val="24"/>
                <w:highlight w:val="none"/>
              </w:rPr>
              <w:t>；规则描述模糊；交互性较差的，得1分；</w:t>
            </w:r>
          </w:p>
          <w:p w14:paraId="2A7A8B40">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(6)未提供的，不得分。</w:t>
            </w:r>
          </w:p>
          <w:p w14:paraId="799015CD">
            <w:pPr>
              <w:keepNext w:val="0"/>
              <w:keepLines w:val="0"/>
              <w:pageBreakBefore w:val="0"/>
              <w:widowControl w:val="0"/>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rPr>
            </w:pPr>
            <w:r>
              <w:rPr>
                <w:rFonts w:hint="eastAsia" w:ascii="宋体" w:hAnsi="宋体" w:eastAsia="宋体" w:cs="宋体"/>
                <w:sz w:val="24"/>
                <w:szCs w:val="24"/>
                <w:highlight w:val="none"/>
              </w:rPr>
              <w:t>注：</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1</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rPr>
              <w:t>投标人按照上述参数顺序进行演示，可配合解说，演示时间不得超过10分钟（视频演示尽量采用真实环境，尽量包含画面和声音）。</w:t>
            </w:r>
          </w:p>
          <w:p w14:paraId="5B8E0199">
            <w:pPr>
              <w:keepNext w:val="0"/>
              <w:keepLines w:val="0"/>
              <w:pageBreakBefore w:val="0"/>
              <w:widowControl w:val="0"/>
              <w:numPr>
                <w:ilvl w:val="0"/>
                <w:numId w:val="19"/>
              </w:numPr>
              <w:shd w:val="clear"/>
              <w:kinsoku/>
              <w:wordWrap/>
              <w:overflowPunct/>
              <w:topLinePunct w:val="0"/>
              <w:autoSpaceDE/>
              <w:autoSpaceDN/>
              <w:bidi w:val="0"/>
              <w:adjustRightInd/>
              <w:snapToGrid/>
              <w:spacing w:line="360" w:lineRule="auto"/>
              <w:ind w:firstLine="480" w:firstLineChars="200"/>
              <w:jc w:val="left"/>
              <w:textAlignment w:val="auto"/>
              <w:rPr>
                <w:rFonts w:hint="eastAsia"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投标人须在“投标文件附件”以压缩包形式上传演示视频，演示视频为</w:t>
            </w:r>
            <w:r>
              <w:rPr>
                <w:rFonts w:hint="eastAsia" w:ascii="宋体" w:hAnsi="宋体" w:eastAsia="宋体" w:cs="宋体"/>
                <w:sz w:val="24"/>
                <w:szCs w:val="24"/>
                <w:highlight w:val="none"/>
              </w:rPr>
              <w:t>MP4视频格式</w:t>
            </w:r>
            <w:r>
              <w:rPr>
                <w:rFonts w:hint="eastAsia" w:ascii="宋体" w:hAnsi="宋体" w:eastAsia="宋体" w:cs="宋体"/>
                <w:sz w:val="24"/>
                <w:szCs w:val="24"/>
                <w:highlight w:val="none"/>
                <w:lang w:eastAsia="zh-CN"/>
              </w:rPr>
              <w:t>，</w:t>
            </w:r>
            <w:r>
              <w:rPr>
                <w:rFonts w:hint="eastAsia" w:ascii="宋体" w:hAnsi="宋体" w:eastAsia="宋体" w:cs="宋体"/>
                <w:sz w:val="24"/>
                <w:szCs w:val="24"/>
                <w:highlight w:val="none"/>
                <w:lang w:val="en-US" w:eastAsia="zh-CN"/>
              </w:rPr>
              <w:t>须</w:t>
            </w:r>
            <w:r>
              <w:rPr>
                <w:rFonts w:hint="eastAsia" w:ascii="宋体" w:hAnsi="宋体" w:eastAsia="宋体" w:cs="宋体"/>
                <w:sz w:val="24"/>
                <w:szCs w:val="24"/>
                <w:highlight w:val="none"/>
              </w:rPr>
              <w:t>确保评标现场可以正常播放</w:t>
            </w:r>
            <w:r>
              <w:rPr>
                <w:rFonts w:hint="eastAsia" w:ascii="宋体" w:hAnsi="宋体" w:eastAsia="宋体" w:cs="宋体"/>
                <w:sz w:val="24"/>
                <w:szCs w:val="24"/>
                <w:highlight w:val="none"/>
                <w:lang w:val="en-US" w:eastAsia="zh-CN"/>
              </w:rPr>
              <w:t>。演示视频不能正常播放或未上传均不得分。</w:t>
            </w:r>
          </w:p>
          <w:p w14:paraId="63DE8BEE">
            <w:pPr>
              <w:keepNext w:val="0"/>
              <w:keepLines w:val="0"/>
              <w:pageBreakBefore w:val="0"/>
              <w:widowControl w:val="0"/>
              <w:numPr>
                <w:ilvl w:val="0"/>
                <w:numId w:val="19"/>
              </w:numPr>
              <w:shd w:val="clear"/>
              <w:kinsoku/>
              <w:wordWrap/>
              <w:overflowPunct/>
              <w:topLinePunct w:val="0"/>
              <w:autoSpaceDE/>
              <w:autoSpaceDN/>
              <w:bidi w:val="0"/>
              <w:adjustRightInd/>
              <w:snapToGrid/>
              <w:spacing w:line="360" w:lineRule="auto"/>
              <w:ind w:firstLine="480" w:firstLineChars="200"/>
              <w:jc w:val="left"/>
              <w:textAlignment w:val="auto"/>
              <w:rPr>
                <w:rFonts w:hint="default" w:ascii="宋体" w:hAnsi="宋体" w:eastAsia="宋体" w:cs="宋体"/>
                <w:sz w:val="24"/>
                <w:szCs w:val="24"/>
                <w:highlight w:val="none"/>
                <w:lang w:val="en-US" w:eastAsia="zh-CN"/>
              </w:rPr>
            </w:pPr>
            <w:r>
              <w:rPr>
                <w:rFonts w:hint="eastAsia" w:ascii="宋体" w:hAnsi="宋体" w:eastAsia="宋体" w:cs="宋体"/>
                <w:sz w:val="24"/>
                <w:szCs w:val="24"/>
                <w:highlight w:val="none"/>
                <w:lang w:val="en-US" w:eastAsia="zh-CN"/>
              </w:rPr>
              <w:t>评标现场根据投标人网上递交加密电子投标文件的先后顺序依次播放视频。</w:t>
            </w:r>
          </w:p>
        </w:tc>
        <w:tc>
          <w:tcPr>
            <w:tcW w:w="582" w:type="pct"/>
            <w:tcBorders>
              <w:top w:val="single" w:color="auto" w:sz="4" w:space="0"/>
              <w:left w:val="single" w:color="auto" w:sz="4" w:space="0"/>
              <w:bottom w:val="single" w:color="auto" w:sz="4" w:space="0"/>
              <w:right w:val="single" w:color="auto" w:sz="4" w:space="0"/>
            </w:tcBorders>
            <w:vAlign w:val="center"/>
          </w:tcPr>
          <w:p w14:paraId="70F55BDF">
            <w:pPr>
              <w:shd w:val="clear"/>
              <w:spacing w:line="360" w:lineRule="auto"/>
              <w:jc w:val="center"/>
              <w:rPr>
                <w:rFonts w:hint="eastAsia" w:ascii="宋体" w:hAnsi="宋体" w:eastAsia="宋体" w:cs="宋体"/>
                <w:kern w:val="0"/>
                <w:sz w:val="24"/>
                <w:szCs w:val="24"/>
                <w:highlight w:val="none"/>
              </w:rPr>
            </w:pPr>
            <w:r>
              <w:rPr>
                <w:rFonts w:hint="eastAsia" w:ascii="宋体" w:hAnsi="宋体" w:eastAsia="宋体" w:cs="宋体"/>
                <w:kern w:val="0"/>
                <w:sz w:val="24"/>
                <w:szCs w:val="24"/>
                <w:highlight w:val="none"/>
              </w:rPr>
              <w:t>0-10分</w:t>
            </w:r>
          </w:p>
        </w:tc>
      </w:tr>
      <w:tr w14:paraId="5FA14C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90" w:type="pct"/>
            <w:tcBorders>
              <w:left w:val="single" w:color="auto" w:sz="4" w:space="0"/>
              <w:right w:val="single" w:color="auto" w:sz="4" w:space="0"/>
            </w:tcBorders>
            <w:vAlign w:val="center"/>
          </w:tcPr>
          <w:p w14:paraId="4DFF79FC">
            <w:pPr>
              <w:shd w:val="clear"/>
              <w:spacing w:line="360" w:lineRule="auto"/>
              <w:jc w:val="center"/>
              <w:rPr>
                <w:rFonts w:ascii="宋体" w:hAnsi="宋体" w:eastAsia="宋体" w:cs="宋体"/>
                <w:sz w:val="24"/>
                <w:szCs w:val="24"/>
                <w:highlight w:val="none"/>
              </w:rPr>
            </w:pPr>
            <w:r>
              <w:rPr>
                <w:rFonts w:hint="eastAsia" w:ascii="宋体" w:hAnsi="宋体" w:eastAsia="宋体" w:cs="宋体"/>
                <w:sz w:val="24"/>
                <w:szCs w:val="24"/>
                <w:highlight w:val="none"/>
              </w:rPr>
              <w:t>价格分</w:t>
            </w:r>
          </w:p>
          <w:p w14:paraId="462C62B4">
            <w:pPr>
              <w:shd w:val="clear"/>
              <w:spacing w:line="360" w:lineRule="auto"/>
              <w:jc w:val="center"/>
              <w:rPr>
                <w:rFonts w:ascii="宋体" w:hAnsi="宋体" w:eastAsia="宋体" w:cs="宋体"/>
                <w:b/>
                <w:bCs/>
                <w:sz w:val="24"/>
                <w:szCs w:val="24"/>
                <w:highlight w:val="none"/>
              </w:rPr>
            </w:pPr>
            <w:r>
              <w:rPr>
                <w:rFonts w:hint="eastAsia" w:ascii="宋体" w:hAnsi="宋体" w:eastAsia="宋体" w:cs="宋体"/>
                <w:sz w:val="24"/>
                <w:szCs w:val="24"/>
                <w:highlight w:val="none"/>
              </w:rPr>
              <w:t>（</w:t>
            </w:r>
            <w:r>
              <w:rPr>
                <w:rFonts w:hint="eastAsia" w:ascii="宋体" w:hAnsi="宋体" w:eastAsia="宋体" w:cs="宋体"/>
                <w:sz w:val="24"/>
                <w:szCs w:val="24"/>
                <w:highlight w:val="none"/>
                <w:u w:val="single"/>
              </w:rPr>
              <w:t xml:space="preserve"> 30 </w:t>
            </w:r>
            <w:r>
              <w:rPr>
                <w:rFonts w:hint="eastAsia" w:ascii="宋体" w:hAnsi="宋体" w:eastAsia="宋体" w:cs="宋体"/>
                <w:sz w:val="24"/>
                <w:szCs w:val="24"/>
                <w:highlight w:val="none"/>
              </w:rPr>
              <w:t>分）</w:t>
            </w:r>
          </w:p>
        </w:tc>
        <w:tc>
          <w:tcPr>
            <w:tcW w:w="4109" w:type="pct"/>
            <w:gridSpan w:val="3"/>
            <w:tcBorders>
              <w:top w:val="single" w:color="auto" w:sz="4" w:space="0"/>
              <w:left w:val="single" w:color="auto" w:sz="4" w:space="0"/>
              <w:bottom w:val="single" w:color="auto" w:sz="4" w:space="0"/>
              <w:right w:val="single" w:color="auto" w:sz="4" w:space="0"/>
            </w:tcBorders>
            <w:vAlign w:val="center"/>
          </w:tcPr>
          <w:p w14:paraId="12E83CD3">
            <w:pPr>
              <w:shd w:val="clea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价格分统一采用低价优先法，即满足招标文件要求且投标价格最低的投标报价为评标基准价，其价格分为满分</w:t>
            </w:r>
            <w:r>
              <w:rPr>
                <w:rFonts w:hint="eastAsia" w:ascii="宋体" w:hAnsi="宋体" w:eastAsia="宋体" w:cs="宋体"/>
                <w:sz w:val="24"/>
                <w:szCs w:val="24"/>
                <w:highlight w:val="none"/>
                <w:u w:val="single"/>
              </w:rPr>
              <w:t xml:space="preserve"> 30 </w:t>
            </w:r>
            <w:r>
              <w:rPr>
                <w:rFonts w:hint="eastAsia" w:ascii="宋体" w:hAnsi="宋体" w:eastAsia="宋体" w:cs="宋体"/>
                <w:sz w:val="24"/>
                <w:szCs w:val="24"/>
                <w:highlight w:val="none"/>
              </w:rPr>
              <w:t>分。其他投标人的价格分统一按照下列公式计算：</w:t>
            </w:r>
          </w:p>
          <w:p w14:paraId="6399CD59">
            <w:pPr>
              <w:shd w:val="clear"/>
              <w:spacing w:line="360" w:lineRule="auto"/>
              <w:rPr>
                <w:rFonts w:ascii="宋体" w:hAnsi="宋体" w:eastAsia="宋体" w:cs="宋体"/>
                <w:b/>
                <w:bCs/>
                <w:sz w:val="24"/>
                <w:szCs w:val="24"/>
                <w:highlight w:val="none"/>
              </w:rPr>
            </w:pPr>
            <w:r>
              <w:rPr>
                <w:rFonts w:hint="eastAsia" w:ascii="宋体" w:hAnsi="宋体" w:eastAsia="宋体" w:cs="宋体"/>
                <w:sz w:val="24"/>
                <w:szCs w:val="24"/>
                <w:highlight w:val="none"/>
              </w:rPr>
              <w:t>投标报价得分＝（评标基准价/投标报价）×</w:t>
            </w:r>
            <w:r>
              <w:rPr>
                <w:rFonts w:hint="eastAsia" w:ascii="宋体" w:hAnsi="宋体" w:eastAsia="宋体" w:cs="宋体"/>
                <w:sz w:val="24"/>
                <w:szCs w:val="24"/>
                <w:highlight w:val="none"/>
                <w:u w:val="single"/>
              </w:rPr>
              <w:t xml:space="preserve"> 30 </w:t>
            </w:r>
            <w:r>
              <w:rPr>
                <w:rFonts w:hint="eastAsia" w:ascii="宋体" w:hAnsi="宋体" w:eastAsia="宋体" w:cs="宋体"/>
                <w:sz w:val="24"/>
                <w:szCs w:val="24"/>
                <w:highlight w:val="none"/>
              </w:rPr>
              <w:t>％×100</w:t>
            </w:r>
          </w:p>
        </w:tc>
      </w:tr>
    </w:tbl>
    <w:p w14:paraId="128AA9E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4</w:t>
      </w:r>
      <w:r>
        <w:rPr>
          <w:rFonts w:asciiTheme="minorEastAsia" w:hAnsiTheme="minorEastAsia" w:eastAsiaTheme="minorEastAsia"/>
          <w:sz w:val="24"/>
          <w:highlight w:val="none"/>
        </w:rPr>
        <w:t>.3</w:t>
      </w:r>
      <w:r>
        <w:rPr>
          <w:rFonts w:hint="eastAsia" w:asciiTheme="minorEastAsia" w:hAnsiTheme="minorEastAsia" w:eastAsiaTheme="minorEastAsia"/>
          <w:sz w:val="24"/>
          <w:highlight w:val="none"/>
        </w:rPr>
        <w:t>分值汇总</w:t>
      </w:r>
    </w:p>
    <w:p w14:paraId="22AEEC20">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评标委员会各成员应当独立对每个</w:t>
      </w:r>
      <w:r>
        <w:rPr>
          <w:rFonts w:hint="eastAsia" w:asciiTheme="minorEastAsia" w:hAnsiTheme="minorEastAsia" w:eastAsiaTheme="minorEastAsia"/>
          <w:sz w:val="24"/>
          <w:highlight w:val="none"/>
        </w:rPr>
        <w:t>有效</w:t>
      </w:r>
      <w:r>
        <w:rPr>
          <w:rFonts w:asciiTheme="minorEastAsia" w:hAnsiTheme="minorEastAsia" w:eastAsiaTheme="minorEastAsia"/>
          <w:sz w:val="24"/>
          <w:highlight w:val="none"/>
        </w:rPr>
        <w:t>投标人的投标文件进行评</w:t>
      </w:r>
      <w:r>
        <w:rPr>
          <w:rFonts w:hint="eastAsia" w:asciiTheme="minorEastAsia" w:hAnsiTheme="minorEastAsia" w:eastAsiaTheme="minorEastAsia"/>
          <w:sz w:val="24"/>
          <w:highlight w:val="none"/>
        </w:rPr>
        <w:t>分</w:t>
      </w:r>
      <w:r>
        <w:rPr>
          <w:rFonts w:asciiTheme="minorEastAsia" w:hAnsiTheme="minorEastAsia" w:eastAsiaTheme="minorEastAsia"/>
          <w:sz w:val="24"/>
          <w:highlight w:val="none"/>
        </w:rPr>
        <w:t>，并汇总每个投</w:t>
      </w:r>
      <w:r>
        <w:rPr>
          <w:rFonts w:hint="eastAsia" w:asciiTheme="minorEastAsia" w:hAnsiTheme="minorEastAsia" w:eastAsiaTheme="minorEastAsia"/>
          <w:sz w:val="24"/>
          <w:highlight w:val="none"/>
        </w:rPr>
        <w:t>标人的得分。取各位评委评分之平均值，四舍五入保留至小数点后两位数，</w:t>
      </w:r>
      <w:r>
        <w:rPr>
          <w:rFonts w:asciiTheme="minorEastAsia" w:hAnsiTheme="minorEastAsia" w:eastAsiaTheme="minorEastAsia"/>
          <w:sz w:val="24"/>
          <w:highlight w:val="none"/>
        </w:rPr>
        <w:t>得到该投标</w:t>
      </w:r>
      <w:r>
        <w:rPr>
          <w:rFonts w:hint="eastAsia" w:asciiTheme="minorEastAsia" w:hAnsiTheme="minorEastAsia" w:eastAsiaTheme="minorEastAsia"/>
          <w:sz w:val="24"/>
          <w:highlight w:val="none"/>
        </w:rPr>
        <w:t>人</w:t>
      </w:r>
      <w:r>
        <w:rPr>
          <w:rFonts w:asciiTheme="minorEastAsia" w:hAnsiTheme="minorEastAsia" w:eastAsiaTheme="minorEastAsia"/>
          <w:sz w:val="24"/>
          <w:highlight w:val="none"/>
        </w:rPr>
        <w:t>的技术资信分</w:t>
      </w:r>
      <w:r>
        <w:rPr>
          <w:rFonts w:hint="eastAsia" w:asciiTheme="minorEastAsia" w:hAnsiTheme="minorEastAsia" w:eastAsiaTheme="minorEastAsia"/>
          <w:sz w:val="24"/>
          <w:highlight w:val="none"/>
        </w:rPr>
        <w:t>。</w:t>
      </w:r>
    </w:p>
    <w:p w14:paraId="641BF9D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将投标</w:t>
      </w:r>
      <w:r>
        <w:rPr>
          <w:rFonts w:hint="eastAsia" w:asciiTheme="minorEastAsia" w:hAnsiTheme="minorEastAsia" w:eastAsiaTheme="minorEastAsia"/>
          <w:sz w:val="24"/>
          <w:highlight w:val="none"/>
        </w:rPr>
        <w:t>人</w:t>
      </w:r>
      <w:r>
        <w:rPr>
          <w:rFonts w:asciiTheme="minorEastAsia" w:hAnsiTheme="minorEastAsia" w:eastAsiaTheme="minorEastAsia"/>
          <w:sz w:val="24"/>
          <w:highlight w:val="none"/>
        </w:rPr>
        <w:t>的技术资信分加上根据上述标准计算出的价格分，即为该投标</w:t>
      </w:r>
      <w:r>
        <w:rPr>
          <w:rFonts w:hint="eastAsia" w:asciiTheme="minorEastAsia" w:hAnsiTheme="minorEastAsia" w:eastAsiaTheme="minorEastAsia"/>
          <w:sz w:val="24"/>
          <w:highlight w:val="none"/>
        </w:rPr>
        <w:t>人</w:t>
      </w:r>
      <w:r>
        <w:rPr>
          <w:rFonts w:asciiTheme="minorEastAsia" w:hAnsiTheme="minorEastAsia" w:eastAsiaTheme="minorEastAsia"/>
          <w:sz w:val="24"/>
          <w:highlight w:val="none"/>
        </w:rPr>
        <w:t>的综合总得分</w:t>
      </w:r>
      <w:r>
        <w:rPr>
          <w:rFonts w:hint="eastAsia" w:asciiTheme="minorEastAsia" w:hAnsiTheme="minorEastAsia" w:eastAsiaTheme="minorEastAsia"/>
          <w:sz w:val="24"/>
          <w:highlight w:val="none"/>
        </w:rPr>
        <w:t>，评分分值计算四舍五入保留至小数点后两位数</w:t>
      </w:r>
      <w:r>
        <w:rPr>
          <w:rFonts w:asciiTheme="minorEastAsia" w:hAnsiTheme="minorEastAsia" w:eastAsiaTheme="minorEastAsia"/>
          <w:sz w:val="24"/>
          <w:highlight w:val="none"/>
        </w:rPr>
        <w:t>。</w:t>
      </w:r>
      <w:r>
        <w:rPr>
          <w:rFonts w:asciiTheme="minorEastAsia" w:hAnsiTheme="minorEastAsia" w:eastAsiaTheme="minorEastAsia"/>
          <w:sz w:val="24"/>
          <w:highlight w:val="none"/>
        </w:rPr>
        <w:br w:type="page"/>
      </w:r>
    </w:p>
    <w:p w14:paraId="4DD94BDF">
      <w:pPr>
        <w:shd w:val="clear"/>
        <w:spacing w:line="360" w:lineRule="auto"/>
        <w:jc w:val="center"/>
        <w:outlineLvl w:val="0"/>
        <w:rPr>
          <w:rFonts w:asciiTheme="minorEastAsia" w:hAnsiTheme="minorEastAsia" w:eastAsiaTheme="minorEastAsia"/>
          <w:b/>
          <w:sz w:val="28"/>
          <w:highlight w:val="none"/>
        </w:rPr>
      </w:pPr>
      <w:bookmarkStart w:id="93" w:name="_Toc4682"/>
      <w:r>
        <w:rPr>
          <w:rFonts w:hint="eastAsia" w:asciiTheme="minorEastAsia" w:hAnsiTheme="minorEastAsia" w:eastAsiaTheme="minorEastAsia"/>
          <w:b/>
          <w:sz w:val="28"/>
          <w:highlight w:val="none"/>
        </w:rPr>
        <w:t xml:space="preserve">第五章  </w:t>
      </w:r>
      <w:r>
        <w:rPr>
          <w:rFonts w:asciiTheme="minorEastAsia" w:hAnsiTheme="minorEastAsia" w:eastAsiaTheme="minorEastAsia"/>
          <w:b/>
          <w:sz w:val="28"/>
          <w:highlight w:val="none"/>
        </w:rPr>
        <w:t>政府采购合同</w:t>
      </w:r>
      <w:bookmarkEnd w:id="93"/>
    </w:p>
    <w:p w14:paraId="2794424D">
      <w:pPr>
        <w:shd w:val="clear"/>
        <w:spacing w:line="480" w:lineRule="auto"/>
        <w:jc w:val="center"/>
        <w:rPr>
          <w:rFonts w:cs="Times New Roman" w:asciiTheme="minorEastAsia" w:hAnsiTheme="minorEastAsia" w:eastAsiaTheme="minorEastAsia"/>
          <w:b/>
          <w:sz w:val="24"/>
          <w:szCs w:val="24"/>
          <w:highlight w:val="none"/>
        </w:rPr>
      </w:pPr>
      <w:bookmarkStart w:id="94" w:name="_Toc22492"/>
    </w:p>
    <w:p w14:paraId="5B20A275">
      <w:pPr>
        <w:shd w:val="clear"/>
        <w:spacing w:line="480" w:lineRule="auto"/>
        <w:jc w:val="center"/>
        <w:rPr>
          <w:rFonts w:cs="Times New Roman" w:asciiTheme="minorEastAsia" w:hAnsiTheme="minorEastAsia" w:eastAsiaTheme="minorEastAsia"/>
          <w:b/>
          <w:sz w:val="24"/>
          <w:szCs w:val="24"/>
          <w:highlight w:val="none"/>
        </w:rPr>
      </w:pPr>
    </w:p>
    <w:p w14:paraId="6105F0C1">
      <w:pPr>
        <w:shd w:val="clear"/>
        <w:spacing w:line="480" w:lineRule="auto"/>
        <w:jc w:val="center"/>
        <w:outlineLvl w:val="1"/>
        <w:rPr>
          <w:rFonts w:cs="Times New Roman" w:asciiTheme="minorEastAsia" w:hAnsiTheme="minorEastAsia" w:eastAsiaTheme="minorEastAsia"/>
          <w:b/>
          <w:sz w:val="32"/>
          <w:szCs w:val="32"/>
          <w:highlight w:val="none"/>
        </w:rPr>
      </w:pPr>
      <w:r>
        <w:rPr>
          <w:rFonts w:cs="Times New Roman" w:asciiTheme="minorEastAsia" w:hAnsiTheme="minorEastAsia" w:eastAsiaTheme="minorEastAsia"/>
          <w:b/>
          <w:sz w:val="32"/>
          <w:szCs w:val="32"/>
          <w:highlight w:val="none"/>
        </w:rPr>
        <w:t>政府采购合同</w:t>
      </w:r>
      <w:r>
        <w:rPr>
          <w:rFonts w:hint="eastAsia" w:cs="Times New Roman" w:asciiTheme="minorEastAsia" w:hAnsiTheme="minorEastAsia" w:eastAsiaTheme="minorEastAsia"/>
          <w:b/>
          <w:sz w:val="32"/>
          <w:szCs w:val="32"/>
          <w:highlight w:val="none"/>
        </w:rPr>
        <w:t>参考范本</w:t>
      </w:r>
    </w:p>
    <w:p w14:paraId="0F6EA7E6">
      <w:pPr>
        <w:shd w:val="clear"/>
        <w:spacing w:line="480" w:lineRule="auto"/>
        <w:jc w:val="center"/>
        <w:outlineLvl w:val="1"/>
        <w:rPr>
          <w:rFonts w:cs="Times New Roman" w:asciiTheme="minorEastAsia" w:hAnsiTheme="minorEastAsia" w:eastAsiaTheme="minorEastAsia"/>
          <w:b/>
          <w:sz w:val="32"/>
          <w:szCs w:val="32"/>
          <w:highlight w:val="none"/>
        </w:rPr>
      </w:pPr>
      <w:r>
        <w:rPr>
          <w:rFonts w:hint="eastAsia" w:cs="Times New Roman" w:asciiTheme="minorEastAsia" w:hAnsiTheme="minorEastAsia" w:eastAsiaTheme="minorEastAsia"/>
          <w:b/>
          <w:sz w:val="32"/>
          <w:szCs w:val="32"/>
          <w:highlight w:val="none"/>
        </w:rPr>
        <w:t>（货物类）</w:t>
      </w:r>
    </w:p>
    <w:p w14:paraId="5424FF74">
      <w:pPr>
        <w:shd w:val="clear"/>
        <w:spacing w:line="480" w:lineRule="auto"/>
        <w:jc w:val="center"/>
        <w:rPr>
          <w:rFonts w:cs="Times New Roman" w:asciiTheme="minorEastAsia" w:hAnsiTheme="minorEastAsia" w:eastAsiaTheme="minorEastAsia"/>
          <w:b/>
          <w:sz w:val="24"/>
          <w:szCs w:val="24"/>
          <w:highlight w:val="none"/>
        </w:rPr>
      </w:pPr>
    </w:p>
    <w:p w14:paraId="60909B0C">
      <w:pPr>
        <w:shd w:val="clear"/>
        <w:spacing w:line="480" w:lineRule="auto"/>
        <w:jc w:val="center"/>
        <w:rPr>
          <w:rFonts w:cs="Times New Roman" w:asciiTheme="minorEastAsia" w:hAnsiTheme="minorEastAsia" w:eastAsiaTheme="minorEastAsia"/>
          <w:b/>
          <w:sz w:val="24"/>
          <w:szCs w:val="24"/>
          <w:highlight w:val="none"/>
        </w:rPr>
      </w:pPr>
    </w:p>
    <w:p w14:paraId="5F2A9D0F">
      <w:pPr>
        <w:shd w:val="clear"/>
        <w:spacing w:line="480" w:lineRule="auto"/>
        <w:jc w:val="center"/>
        <w:rPr>
          <w:rFonts w:cs="Times New Roman" w:asciiTheme="minorEastAsia" w:hAnsiTheme="minorEastAsia" w:eastAsiaTheme="minorEastAsia"/>
          <w:b/>
          <w:sz w:val="24"/>
          <w:szCs w:val="24"/>
          <w:highlight w:val="none"/>
        </w:rPr>
      </w:pPr>
    </w:p>
    <w:p w14:paraId="7EE33126">
      <w:pPr>
        <w:shd w:val="clear"/>
        <w:spacing w:line="360" w:lineRule="auto"/>
        <w:jc w:val="center"/>
        <w:outlineLvl w:val="1"/>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第一部分 合同书</w:t>
      </w:r>
    </w:p>
    <w:p w14:paraId="1E953853">
      <w:pPr>
        <w:shd w:val="clear"/>
        <w:spacing w:line="480" w:lineRule="auto"/>
        <w:jc w:val="center"/>
        <w:rPr>
          <w:rFonts w:cs="Times New Roman" w:asciiTheme="minorEastAsia" w:hAnsiTheme="minorEastAsia" w:eastAsiaTheme="minorEastAsia"/>
          <w:b/>
          <w:sz w:val="24"/>
          <w:szCs w:val="24"/>
          <w:highlight w:val="none"/>
        </w:rPr>
      </w:pPr>
    </w:p>
    <w:p w14:paraId="24DD5342">
      <w:pPr>
        <w:shd w:val="clear"/>
        <w:spacing w:line="480" w:lineRule="auto"/>
        <w:jc w:val="center"/>
        <w:rPr>
          <w:rFonts w:cs="Times New Roman" w:asciiTheme="minorEastAsia" w:hAnsiTheme="minorEastAsia" w:eastAsiaTheme="minorEastAsia"/>
          <w:b/>
          <w:sz w:val="24"/>
          <w:szCs w:val="24"/>
          <w:highlight w:val="none"/>
        </w:rPr>
      </w:pPr>
    </w:p>
    <w:p w14:paraId="3DFDCBC2">
      <w:pPr>
        <w:shd w:val="clear"/>
        <w:tabs>
          <w:tab w:val="left" w:pos="6129"/>
        </w:tabs>
        <w:spacing w:line="480" w:lineRule="auto"/>
        <w:jc w:val="left"/>
        <w:rPr>
          <w:rFonts w:cs="Times New Roman" w:asciiTheme="minorEastAsia" w:hAnsiTheme="minorEastAsia" w:eastAsiaTheme="minorEastAsia"/>
          <w:b/>
          <w:sz w:val="24"/>
          <w:szCs w:val="24"/>
          <w:highlight w:val="none"/>
        </w:rPr>
      </w:pPr>
      <w:r>
        <w:rPr>
          <w:rFonts w:hint="eastAsia" w:cs="Times New Roman" w:asciiTheme="minorEastAsia" w:hAnsiTheme="minorEastAsia" w:eastAsiaTheme="minorEastAsia"/>
          <w:b/>
          <w:sz w:val="24"/>
          <w:szCs w:val="24"/>
          <w:highlight w:val="none"/>
        </w:rPr>
        <w:tab/>
      </w:r>
    </w:p>
    <w:p w14:paraId="5C0B8CE4">
      <w:pPr>
        <w:shd w:val="clear"/>
        <w:spacing w:before="120" w:line="480" w:lineRule="auto"/>
        <w:ind w:left="960"/>
        <w:rPr>
          <w:rFonts w:cs="Times New Roman" w:asciiTheme="minorEastAsia" w:hAnsiTheme="minorEastAsia" w:eastAsiaTheme="minorEastAsia"/>
          <w:color w:val="FF0000"/>
          <w:sz w:val="24"/>
          <w:szCs w:val="24"/>
          <w:highlight w:val="none"/>
          <w:u w:val="single"/>
        </w:rPr>
      </w:pPr>
      <w:r>
        <w:rPr>
          <w:rFonts w:hint="eastAsia" w:cs="Times New Roman" w:asciiTheme="minorEastAsia" w:hAnsiTheme="minorEastAsia" w:eastAsiaTheme="minorEastAsia"/>
          <w:sz w:val="24"/>
          <w:szCs w:val="24"/>
          <w:highlight w:val="none"/>
        </w:rPr>
        <w:t>项目名称：</w:t>
      </w:r>
      <w:r>
        <w:rPr>
          <w:rFonts w:hint="eastAsia" w:cs="Times New Roman" w:asciiTheme="minorEastAsia" w:hAnsiTheme="minorEastAsia" w:eastAsiaTheme="minorEastAsia"/>
          <w:sz w:val="24"/>
          <w:szCs w:val="24"/>
          <w:highlight w:val="none"/>
          <w:u w:val="single"/>
        </w:rPr>
        <w:t>安徽中医药大学第二附属医院智慧中药房建设系统采购项目</w:t>
      </w:r>
    </w:p>
    <w:p w14:paraId="0EE0740B">
      <w:pPr>
        <w:shd w:val="clear"/>
        <w:spacing w:before="120" w:line="480" w:lineRule="auto"/>
        <w:ind w:left="960"/>
        <w:rPr>
          <w:rFonts w:hint="eastAsia" w:cs="Times New Roman" w:asciiTheme="minorEastAsia" w:hAnsiTheme="minorEastAsia" w:eastAsiaTheme="minorEastAsia"/>
          <w:sz w:val="24"/>
          <w:szCs w:val="24"/>
          <w:highlight w:val="none"/>
          <w:lang w:eastAsia="zh-CN"/>
        </w:rPr>
      </w:pPr>
      <w:r>
        <w:rPr>
          <w:rFonts w:hint="eastAsia" w:cs="Times New Roman" w:asciiTheme="minorEastAsia" w:hAnsiTheme="minorEastAsia" w:eastAsiaTheme="minorEastAsia"/>
          <w:sz w:val="24"/>
          <w:szCs w:val="24"/>
          <w:highlight w:val="none"/>
        </w:rPr>
        <w:t>项目编号：</w:t>
      </w:r>
      <w:r>
        <w:rPr>
          <w:rFonts w:hint="eastAsia" w:cs="Times New Roman" w:asciiTheme="minorEastAsia" w:hAnsiTheme="minorEastAsia" w:eastAsiaTheme="minorEastAsia"/>
          <w:sz w:val="24"/>
          <w:szCs w:val="24"/>
          <w:highlight w:val="none"/>
          <w:u w:val="single"/>
          <w:lang w:eastAsia="zh-CN"/>
        </w:rPr>
        <w:t>ZF2026-32-1064</w:t>
      </w:r>
    </w:p>
    <w:p w14:paraId="3CF3CD4F">
      <w:pPr>
        <w:shd w:val="clear"/>
        <w:spacing w:before="120" w:line="480" w:lineRule="auto"/>
        <w:ind w:left="960"/>
        <w:rPr>
          <w:rFonts w:cs="Times New Roman" w:asciiTheme="minorEastAsia" w:hAnsiTheme="minorEastAsia" w:eastAsiaTheme="minorEastAsia"/>
          <w:sz w:val="24"/>
          <w:szCs w:val="24"/>
          <w:highlight w:val="none"/>
          <w:u w:val="single"/>
        </w:rPr>
      </w:pPr>
      <w:r>
        <w:rPr>
          <w:rFonts w:hint="eastAsia" w:cs="Times New Roman" w:asciiTheme="minorEastAsia" w:hAnsiTheme="minorEastAsia" w:eastAsiaTheme="minorEastAsia"/>
          <w:sz w:val="24"/>
          <w:szCs w:val="24"/>
          <w:highlight w:val="none"/>
        </w:rPr>
        <w:t>甲方（采购人）：</w:t>
      </w:r>
      <w:r>
        <w:rPr>
          <w:rFonts w:hint="eastAsia" w:cs="Times New Roman" w:asciiTheme="minorEastAsia" w:hAnsiTheme="minorEastAsia" w:eastAsiaTheme="minorEastAsia"/>
          <w:sz w:val="24"/>
          <w:szCs w:val="24"/>
          <w:highlight w:val="none"/>
          <w:u w:val="single"/>
        </w:rPr>
        <w:t>安徽中医药大学第二附属医院</w:t>
      </w:r>
    </w:p>
    <w:p w14:paraId="6E0BF865">
      <w:pPr>
        <w:shd w:val="clear"/>
        <w:spacing w:before="120" w:line="480" w:lineRule="auto"/>
        <w:ind w:left="960"/>
        <w:rPr>
          <w:rFonts w:hint="default" w:cs="Times New Roman" w:asciiTheme="minorEastAsia" w:hAnsiTheme="minorEastAsia" w:eastAsiaTheme="minorEastAsia"/>
          <w:sz w:val="24"/>
          <w:szCs w:val="24"/>
          <w:highlight w:val="none"/>
          <w:u w:val="single"/>
          <w:lang w:val="en-US" w:eastAsia="zh-CN"/>
        </w:rPr>
      </w:pPr>
      <w:r>
        <w:rPr>
          <w:rFonts w:hint="eastAsia" w:cs="Times New Roman" w:asciiTheme="minorEastAsia" w:hAnsiTheme="minorEastAsia" w:eastAsiaTheme="minorEastAsia"/>
          <w:sz w:val="24"/>
          <w:szCs w:val="24"/>
          <w:highlight w:val="none"/>
        </w:rPr>
        <w:t>乙方（中标人）：</w:t>
      </w:r>
      <w:r>
        <w:rPr>
          <w:rFonts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u w:val="single"/>
          <w:lang w:val="en-US" w:eastAsia="zh-CN"/>
        </w:rPr>
        <w:t xml:space="preserve">    </w:t>
      </w:r>
    </w:p>
    <w:p w14:paraId="02FE365C">
      <w:pPr>
        <w:shd w:val="clear"/>
        <w:spacing w:before="120" w:line="480" w:lineRule="auto"/>
        <w:ind w:firstLine="960" w:firstLineChars="400"/>
        <w:rPr>
          <w:rFonts w:cs="Times New Roman" w:asciiTheme="minorEastAsia" w:hAnsiTheme="minorEastAsia" w:eastAsiaTheme="minorEastAsia"/>
          <w:sz w:val="24"/>
          <w:szCs w:val="24"/>
          <w:highlight w:val="none"/>
          <w:u w:val="single"/>
        </w:rPr>
      </w:pPr>
      <w:r>
        <w:rPr>
          <w:rFonts w:hint="eastAsia" w:cs="Times New Roman" w:asciiTheme="minorEastAsia" w:hAnsiTheme="minorEastAsia" w:eastAsiaTheme="minorEastAsia"/>
          <w:sz w:val="24"/>
          <w:szCs w:val="24"/>
          <w:highlight w:val="none"/>
        </w:rPr>
        <w:t>签订地：</w:t>
      </w:r>
      <w:r>
        <w:rPr>
          <w:rFonts w:hint="eastAsia" w:cs="Times New Roman" w:asciiTheme="minorEastAsia" w:hAnsiTheme="minorEastAsia" w:eastAsiaTheme="minorEastAsia"/>
          <w:sz w:val="24"/>
          <w:szCs w:val="24"/>
          <w:highlight w:val="none"/>
          <w:u w:val="single"/>
        </w:rPr>
        <w:t xml:space="preserve">                                     </w:t>
      </w:r>
    </w:p>
    <w:p w14:paraId="2B7ED0CB">
      <w:pPr>
        <w:shd w:val="clear"/>
        <w:spacing w:before="120" w:line="480" w:lineRule="auto"/>
        <w:ind w:firstLine="960" w:firstLineChars="400"/>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签订日期：</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年</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月</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日</w:t>
      </w:r>
    </w:p>
    <w:p w14:paraId="03241B79">
      <w:pPr>
        <w:widowControl/>
        <w:shd w:val="clear"/>
        <w:jc w:val="left"/>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br w:type="page"/>
      </w:r>
    </w:p>
    <w:p w14:paraId="68E26C0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u w:val="single"/>
        </w:rPr>
        <w:t>安徽中医药大学第二附属医院</w:t>
      </w:r>
      <w:r>
        <w:rPr>
          <w:rFonts w:hint="eastAsia" w:asciiTheme="minorEastAsia" w:hAnsiTheme="minorEastAsia" w:eastAsiaTheme="minorEastAsia"/>
          <w:sz w:val="24"/>
          <w:highlight w:val="none"/>
        </w:rPr>
        <w:t>（</w:t>
      </w:r>
      <w:r>
        <w:rPr>
          <w:rFonts w:hint="eastAsia" w:cs="Times New Roman" w:asciiTheme="minorEastAsia" w:hAnsiTheme="minorEastAsia" w:eastAsiaTheme="minorEastAsia"/>
          <w:sz w:val="24"/>
          <w:szCs w:val="24"/>
          <w:highlight w:val="none"/>
          <w:lang w:val="zh-CN"/>
        </w:rPr>
        <w:t>以下简称：甲方</w:t>
      </w:r>
      <w:r>
        <w:rPr>
          <w:rFonts w:hint="eastAsia" w:asciiTheme="minorEastAsia" w:hAnsiTheme="minorEastAsia" w:eastAsiaTheme="minorEastAsia"/>
          <w:sz w:val="24"/>
          <w:highlight w:val="none"/>
        </w:rPr>
        <w:t>）通过</w:t>
      </w:r>
      <w:r>
        <w:rPr>
          <w:rFonts w:hint="eastAsia" w:asciiTheme="minorEastAsia" w:hAnsiTheme="minorEastAsia" w:eastAsiaTheme="minorEastAsia"/>
          <w:sz w:val="24"/>
          <w:highlight w:val="none"/>
          <w:u w:val="single"/>
        </w:rPr>
        <w:t>安徽省招标集团股份有限公司</w:t>
      </w:r>
      <w:r>
        <w:rPr>
          <w:rFonts w:hint="eastAsia" w:asciiTheme="minorEastAsia" w:hAnsiTheme="minorEastAsia" w:eastAsiaTheme="minorEastAsia"/>
          <w:sz w:val="24"/>
          <w:highlight w:val="none"/>
        </w:rPr>
        <w:t>组织的</w:t>
      </w:r>
      <w:r>
        <w:rPr>
          <w:rFonts w:hint="eastAsia" w:asciiTheme="minorEastAsia" w:hAnsiTheme="minorEastAsia" w:eastAsiaTheme="minorEastAsia"/>
          <w:sz w:val="24"/>
          <w:highlight w:val="none"/>
          <w:u w:val="single"/>
        </w:rPr>
        <w:t>公开招标</w:t>
      </w:r>
      <w:r>
        <w:rPr>
          <w:rFonts w:hint="eastAsia" w:asciiTheme="minorEastAsia" w:hAnsiTheme="minorEastAsia" w:eastAsiaTheme="minorEastAsia"/>
          <w:sz w:val="24"/>
          <w:highlight w:val="none"/>
        </w:rPr>
        <w:t>方式采购活动，经</w:t>
      </w:r>
      <w:r>
        <w:rPr>
          <w:rFonts w:hint="eastAsia" w:asciiTheme="minorEastAsia" w:hAnsiTheme="minorEastAsia" w:eastAsiaTheme="minorEastAsia"/>
          <w:sz w:val="24"/>
          <w:highlight w:val="none"/>
          <w:u w:val="single"/>
        </w:rPr>
        <w:t>评标委员会</w:t>
      </w:r>
      <w:r>
        <w:rPr>
          <w:rFonts w:hint="eastAsia" w:asciiTheme="minorEastAsia" w:hAnsiTheme="minorEastAsia" w:eastAsiaTheme="minorEastAsia"/>
          <w:sz w:val="24"/>
          <w:highlight w:val="none"/>
        </w:rPr>
        <w:t>评定，</w:t>
      </w:r>
      <w:r>
        <w:rPr>
          <w:rFonts w:hint="eastAsia" w:cs="Times New Roman" w:asciiTheme="minorEastAsia" w:hAnsiTheme="minorEastAsia" w:eastAsiaTheme="minorEastAsia"/>
          <w:i/>
          <w:iCs/>
          <w:sz w:val="24"/>
          <w:szCs w:val="24"/>
          <w:highlight w:val="none"/>
          <w:u w:val="single"/>
        </w:rPr>
        <w:t>（中标人名称）</w:t>
      </w:r>
      <w:r>
        <w:rPr>
          <w:rFonts w:hint="eastAsia" w:asciiTheme="minorEastAsia" w:hAnsiTheme="minorEastAsia" w:eastAsiaTheme="minorEastAsia"/>
          <w:sz w:val="24"/>
          <w:highlight w:val="none"/>
        </w:rPr>
        <w:t>（</w:t>
      </w:r>
      <w:r>
        <w:rPr>
          <w:rFonts w:hint="eastAsia" w:cs="Times New Roman" w:asciiTheme="minorEastAsia" w:hAnsiTheme="minorEastAsia" w:eastAsiaTheme="minorEastAsia"/>
          <w:sz w:val="24"/>
          <w:szCs w:val="24"/>
          <w:highlight w:val="none"/>
          <w:lang w:val="zh-CN"/>
        </w:rPr>
        <w:t>以下简称：乙方</w:t>
      </w:r>
      <w:r>
        <w:rPr>
          <w:rFonts w:hint="eastAsia" w:asciiTheme="minorEastAsia" w:hAnsiTheme="minorEastAsia" w:eastAsiaTheme="minorEastAsia"/>
          <w:sz w:val="24"/>
          <w:highlight w:val="none"/>
        </w:rPr>
        <w:t>）为本项目中标人，现</w:t>
      </w:r>
      <w:r>
        <w:rPr>
          <w:rFonts w:hint="eastAsia" w:cs="Times New Roman" w:asciiTheme="minorEastAsia" w:hAnsiTheme="minorEastAsia" w:eastAsiaTheme="minorEastAsia"/>
          <w:sz w:val="24"/>
          <w:szCs w:val="24"/>
          <w:highlight w:val="none"/>
        </w:rPr>
        <w:t>按照采购文件确定的事项签订本合同。</w:t>
      </w:r>
    </w:p>
    <w:p w14:paraId="519AB3D1">
      <w:pPr>
        <w:shd w:val="clear"/>
        <w:spacing w:line="360" w:lineRule="auto"/>
        <w:ind w:firstLine="435"/>
        <w:rPr>
          <w:rFonts w:cs="Times New Roman" w:asciiTheme="minorEastAsia" w:hAnsiTheme="minorEastAsia" w:eastAsiaTheme="minorEastAsia"/>
          <w:sz w:val="24"/>
          <w:szCs w:val="24"/>
          <w:highlight w:val="none"/>
          <w:lang w:val="zh-CN"/>
        </w:rPr>
      </w:pPr>
      <w:r>
        <w:rPr>
          <w:rFonts w:hint="eastAsia" w:asciiTheme="minorEastAsia" w:hAnsiTheme="minorEastAsia" w:eastAsiaTheme="minorEastAsia"/>
          <w:sz w:val="24"/>
          <w:highlight w:val="none"/>
        </w:rPr>
        <w:t>根据《中华人民共和国民法典》《中华人民共和国政府采购法》等相关法律法规之规定，按照平等、自愿、公平和诚实信用的原则，经甲方和乙方协商一致，约定以下合同条款，以兹共同遵守、全面履行。</w:t>
      </w:r>
    </w:p>
    <w:p w14:paraId="48F29829">
      <w:pPr>
        <w:shd w:val="clear"/>
        <w:spacing w:line="360" w:lineRule="auto"/>
        <w:ind w:firstLine="437"/>
        <w:rPr>
          <w:rFonts w:cs="Times New Roman" w:asciiTheme="minorEastAsia" w:hAnsiTheme="minorEastAsia" w:eastAsiaTheme="minorEastAsia"/>
          <w:b/>
          <w:bCs/>
          <w:sz w:val="24"/>
          <w:szCs w:val="24"/>
          <w:highlight w:val="none"/>
          <w:lang w:val="zh-CN"/>
        </w:rPr>
      </w:pPr>
      <w:bookmarkStart w:id="95" w:name="_Toc24059"/>
      <w:bookmarkStart w:id="96" w:name="_Toc3029"/>
      <w:bookmarkStart w:id="97" w:name="_Toc2232"/>
      <w:r>
        <w:rPr>
          <w:rFonts w:hint="eastAsia" w:cs="Times New Roman" w:asciiTheme="minorEastAsia" w:hAnsiTheme="minorEastAsia" w:eastAsiaTheme="minorEastAsia"/>
          <w:b/>
          <w:bCs/>
          <w:sz w:val="24"/>
          <w:szCs w:val="24"/>
          <w:highlight w:val="none"/>
          <w:lang w:val="zh-CN"/>
        </w:rPr>
        <w:t>1.1</w:t>
      </w:r>
      <w:r>
        <w:rPr>
          <w:rFonts w:cs="Times New Roman" w:asciiTheme="minorEastAsia" w:hAnsiTheme="minorEastAsia" w:eastAsiaTheme="minorEastAsia"/>
          <w:b/>
          <w:bCs/>
          <w:sz w:val="24"/>
          <w:szCs w:val="24"/>
          <w:highlight w:val="none"/>
          <w:lang w:val="zh-CN"/>
        </w:rPr>
        <w:t xml:space="preserve"> </w:t>
      </w:r>
      <w:r>
        <w:rPr>
          <w:rFonts w:hint="eastAsia" w:cs="Times New Roman" w:asciiTheme="minorEastAsia" w:hAnsiTheme="minorEastAsia" w:eastAsiaTheme="minorEastAsia"/>
          <w:b/>
          <w:bCs/>
          <w:sz w:val="24"/>
          <w:szCs w:val="24"/>
          <w:highlight w:val="none"/>
          <w:lang w:val="zh-CN"/>
        </w:rPr>
        <w:t>合同组成部分</w:t>
      </w:r>
      <w:bookmarkEnd w:id="95"/>
      <w:bookmarkEnd w:id="96"/>
      <w:bookmarkEnd w:id="97"/>
    </w:p>
    <w:p w14:paraId="040506AA">
      <w:pPr>
        <w:shd w:val="clear"/>
        <w:spacing w:line="360" w:lineRule="auto"/>
        <w:ind w:firstLine="435"/>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下列文件为本合同的组成部分，并构成一个整体，需综合解释、相互补充。如果下列文件内容出现不一致的情形，那么在保证按照采购文件确定的事项前提下，组成本合同的多个文件的优先适用顺序如下：</w:t>
      </w:r>
    </w:p>
    <w:p w14:paraId="1A6588C3">
      <w:pPr>
        <w:shd w:val="clear"/>
        <w:spacing w:line="360" w:lineRule="auto"/>
        <w:ind w:firstLine="435"/>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1.1.1本合同及其补充合同、变更协议；</w:t>
      </w:r>
    </w:p>
    <w:p w14:paraId="6FE48C37">
      <w:pPr>
        <w:shd w:val="clear"/>
        <w:spacing w:line="360" w:lineRule="auto"/>
        <w:ind w:firstLine="435"/>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1.1.2中标通知书；</w:t>
      </w:r>
    </w:p>
    <w:p w14:paraId="0AA5F99B">
      <w:pPr>
        <w:shd w:val="clear"/>
        <w:spacing w:line="360" w:lineRule="auto"/>
        <w:ind w:firstLine="435"/>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1.1.3投标文件（含澄清或者说明文件）；</w:t>
      </w:r>
    </w:p>
    <w:p w14:paraId="47CD2BCA">
      <w:pPr>
        <w:shd w:val="clear"/>
        <w:spacing w:line="360" w:lineRule="auto"/>
        <w:ind w:firstLine="435"/>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1.1.4招标文件（含澄清或者修改文件）；</w:t>
      </w:r>
    </w:p>
    <w:p w14:paraId="1F1DC97A">
      <w:pPr>
        <w:shd w:val="clear"/>
        <w:spacing w:line="360" w:lineRule="auto"/>
        <w:ind w:firstLine="435"/>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1.1.5其他相关采购文件。</w:t>
      </w:r>
    </w:p>
    <w:p w14:paraId="7F95A561">
      <w:pPr>
        <w:shd w:val="clear"/>
        <w:spacing w:line="360" w:lineRule="auto"/>
        <w:ind w:firstLine="437"/>
        <w:rPr>
          <w:rFonts w:cs="Times New Roman" w:asciiTheme="minorEastAsia" w:hAnsiTheme="minorEastAsia" w:eastAsiaTheme="minorEastAsia"/>
          <w:b/>
          <w:bCs/>
          <w:sz w:val="24"/>
          <w:szCs w:val="24"/>
          <w:highlight w:val="none"/>
          <w:lang w:val="zh-CN"/>
        </w:rPr>
      </w:pPr>
      <w:bookmarkStart w:id="98" w:name="_Toc21295"/>
      <w:bookmarkStart w:id="99" w:name="_Toc27126"/>
      <w:bookmarkStart w:id="100" w:name="_Toc24300"/>
      <w:bookmarkStart w:id="101" w:name="_Toc22618"/>
      <w:bookmarkStart w:id="102" w:name="_Toc1814"/>
      <w:bookmarkStart w:id="103" w:name="_Toc10340"/>
      <w:r>
        <w:rPr>
          <w:rFonts w:hint="eastAsia" w:cs="Times New Roman" w:asciiTheme="minorEastAsia" w:hAnsiTheme="minorEastAsia" w:eastAsiaTheme="minorEastAsia"/>
          <w:b/>
          <w:bCs/>
          <w:sz w:val="24"/>
          <w:szCs w:val="24"/>
          <w:highlight w:val="none"/>
          <w:lang w:val="zh-CN"/>
        </w:rPr>
        <w:t>1.2</w:t>
      </w:r>
      <w:r>
        <w:rPr>
          <w:rFonts w:cs="Times New Roman" w:asciiTheme="minorEastAsia" w:hAnsiTheme="minorEastAsia" w:eastAsiaTheme="minorEastAsia"/>
          <w:b/>
          <w:bCs/>
          <w:sz w:val="24"/>
          <w:szCs w:val="24"/>
          <w:highlight w:val="none"/>
          <w:lang w:val="zh-CN"/>
        </w:rPr>
        <w:t xml:space="preserve"> </w:t>
      </w:r>
      <w:r>
        <w:rPr>
          <w:rFonts w:hint="eastAsia" w:cs="Times New Roman" w:asciiTheme="minorEastAsia" w:hAnsiTheme="minorEastAsia" w:eastAsiaTheme="minorEastAsia"/>
          <w:b/>
          <w:bCs/>
          <w:sz w:val="24"/>
          <w:szCs w:val="24"/>
          <w:highlight w:val="none"/>
          <w:lang w:val="zh-CN"/>
        </w:rPr>
        <w:t>货物</w:t>
      </w:r>
      <w:bookmarkEnd w:id="98"/>
      <w:bookmarkEnd w:id="99"/>
      <w:bookmarkEnd w:id="100"/>
    </w:p>
    <w:tbl>
      <w:tblPr>
        <w:tblStyle w:val="59"/>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03"/>
        <w:gridCol w:w="1116"/>
        <w:gridCol w:w="1118"/>
        <w:gridCol w:w="1115"/>
        <w:gridCol w:w="1128"/>
        <w:gridCol w:w="1113"/>
        <w:gridCol w:w="1113"/>
        <w:gridCol w:w="1113"/>
      </w:tblGrid>
      <w:tr w14:paraId="784F06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413" w:type="pct"/>
            <w:vAlign w:val="center"/>
          </w:tcPr>
          <w:p w14:paraId="451A7139">
            <w:pPr>
              <w:shd w:val="clear"/>
              <w:jc w:val="center"/>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序号</w:t>
            </w:r>
          </w:p>
        </w:tc>
        <w:tc>
          <w:tcPr>
            <w:tcW w:w="1116" w:type="dxa"/>
            <w:vAlign w:val="center"/>
          </w:tcPr>
          <w:p w14:paraId="1F9B69BF">
            <w:pPr>
              <w:shd w:val="clear"/>
              <w:jc w:val="center"/>
              <w:rPr>
                <w:rFonts w:cs="Times New Roman" w:asciiTheme="minorEastAsia" w:hAnsiTheme="minorEastAsia" w:eastAsiaTheme="minorEastAsia"/>
                <w:sz w:val="24"/>
                <w:szCs w:val="24"/>
                <w:highlight w:val="none"/>
                <w:lang w:val="zh-CN"/>
              </w:rPr>
            </w:pPr>
            <w:r>
              <w:rPr>
                <w:rFonts w:hint="eastAsia" w:ascii="宋体" w:hAnsi="宋体" w:eastAsia="宋体"/>
                <w:sz w:val="24"/>
                <w:highlight w:val="none"/>
              </w:rPr>
              <w:t>货物名称</w:t>
            </w:r>
          </w:p>
        </w:tc>
        <w:tc>
          <w:tcPr>
            <w:tcW w:w="1118" w:type="dxa"/>
            <w:vAlign w:val="center"/>
          </w:tcPr>
          <w:p w14:paraId="1815D611">
            <w:pPr>
              <w:shd w:val="clear"/>
              <w:jc w:val="center"/>
              <w:rPr>
                <w:rFonts w:ascii="宋体" w:hAnsi="宋体" w:eastAsia="宋体"/>
                <w:sz w:val="24"/>
                <w:highlight w:val="none"/>
              </w:rPr>
            </w:pPr>
            <w:r>
              <w:rPr>
                <w:rFonts w:hint="eastAsia" w:ascii="宋体" w:hAnsi="宋体" w:eastAsia="宋体"/>
                <w:sz w:val="24"/>
                <w:highlight w:val="none"/>
              </w:rPr>
              <w:t>品牌、型</w:t>
            </w:r>
          </w:p>
          <w:p w14:paraId="62DE1D41">
            <w:pPr>
              <w:shd w:val="clear"/>
              <w:jc w:val="center"/>
              <w:rPr>
                <w:rFonts w:cs="Times New Roman" w:asciiTheme="minorEastAsia" w:hAnsiTheme="minorEastAsia" w:eastAsiaTheme="minorEastAsia"/>
                <w:sz w:val="24"/>
                <w:szCs w:val="24"/>
                <w:highlight w:val="none"/>
                <w:lang w:val="zh-CN"/>
              </w:rPr>
            </w:pPr>
            <w:r>
              <w:rPr>
                <w:rFonts w:hint="eastAsia" w:ascii="宋体" w:hAnsi="宋体" w:eastAsia="宋体"/>
                <w:sz w:val="24"/>
                <w:highlight w:val="none"/>
              </w:rPr>
              <w:t>号规格</w:t>
            </w:r>
          </w:p>
        </w:tc>
        <w:tc>
          <w:tcPr>
            <w:tcW w:w="1115" w:type="dxa"/>
            <w:vAlign w:val="center"/>
          </w:tcPr>
          <w:p w14:paraId="645FECC8">
            <w:pPr>
              <w:shd w:val="clear"/>
              <w:jc w:val="center"/>
              <w:rPr>
                <w:rFonts w:cs="Times New Roman" w:asciiTheme="minorEastAsia" w:hAnsiTheme="minorEastAsia" w:eastAsiaTheme="minorEastAsia"/>
                <w:sz w:val="24"/>
                <w:szCs w:val="24"/>
                <w:highlight w:val="none"/>
                <w:lang w:val="zh-CN"/>
              </w:rPr>
            </w:pPr>
            <w:r>
              <w:rPr>
                <w:rFonts w:hint="eastAsia" w:ascii="宋体" w:hAnsi="宋体" w:eastAsia="宋体"/>
                <w:sz w:val="24"/>
                <w:highlight w:val="none"/>
              </w:rPr>
              <w:t>原产地及生产厂商</w:t>
            </w:r>
          </w:p>
        </w:tc>
        <w:tc>
          <w:tcPr>
            <w:tcW w:w="1128" w:type="dxa"/>
            <w:vAlign w:val="center"/>
          </w:tcPr>
          <w:p w14:paraId="0755977E">
            <w:pPr>
              <w:shd w:val="clear"/>
              <w:jc w:val="center"/>
              <w:rPr>
                <w:rFonts w:cs="Times New Roman" w:asciiTheme="minorEastAsia" w:hAnsiTheme="minorEastAsia" w:eastAsiaTheme="minorEastAsia"/>
                <w:sz w:val="24"/>
                <w:szCs w:val="24"/>
                <w:highlight w:val="none"/>
                <w:lang w:val="zh-CN"/>
              </w:rPr>
            </w:pPr>
            <w:r>
              <w:rPr>
                <w:rFonts w:hint="eastAsia" w:ascii="宋体" w:hAnsi="宋体" w:eastAsia="宋体"/>
                <w:sz w:val="24"/>
                <w:highlight w:val="none"/>
              </w:rPr>
              <w:t>单位</w:t>
            </w:r>
          </w:p>
        </w:tc>
        <w:tc>
          <w:tcPr>
            <w:tcW w:w="1113" w:type="dxa"/>
            <w:vAlign w:val="center"/>
          </w:tcPr>
          <w:p w14:paraId="64B6C6B2">
            <w:pPr>
              <w:shd w:val="clear"/>
              <w:jc w:val="center"/>
              <w:rPr>
                <w:rFonts w:cs="Times New Roman" w:asciiTheme="minorEastAsia" w:hAnsiTheme="minorEastAsia" w:eastAsiaTheme="minorEastAsia"/>
                <w:sz w:val="24"/>
                <w:szCs w:val="24"/>
                <w:highlight w:val="none"/>
                <w:lang w:val="zh-CN"/>
              </w:rPr>
            </w:pPr>
            <w:r>
              <w:rPr>
                <w:rFonts w:hint="eastAsia" w:ascii="宋体" w:hAnsi="宋体" w:eastAsia="宋体"/>
                <w:sz w:val="24"/>
                <w:highlight w:val="none"/>
              </w:rPr>
              <w:t>数量</w:t>
            </w:r>
          </w:p>
        </w:tc>
        <w:tc>
          <w:tcPr>
            <w:tcW w:w="1113" w:type="dxa"/>
            <w:vAlign w:val="center"/>
          </w:tcPr>
          <w:p w14:paraId="075116E9">
            <w:pPr>
              <w:shd w:val="clear"/>
              <w:jc w:val="center"/>
              <w:rPr>
                <w:rFonts w:ascii="宋体" w:hAnsi="宋体" w:eastAsia="宋体"/>
                <w:sz w:val="24"/>
                <w:highlight w:val="none"/>
              </w:rPr>
            </w:pPr>
            <w:r>
              <w:rPr>
                <w:rFonts w:hint="eastAsia" w:ascii="宋体" w:hAnsi="宋体" w:eastAsia="宋体"/>
                <w:sz w:val="24"/>
                <w:highlight w:val="none"/>
              </w:rPr>
              <w:t>单价</w:t>
            </w:r>
          </w:p>
          <w:p w14:paraId="3E165809">
            <w:pPr>
              <w:shd w:val="clear"/>
              <w:jc w:val="center"/>
              <w:rPr>
                <w:rFonts w:cs="Times New Roman" w:asciiTheme="minorEastAsia" w:hAnsiTheme="minorEastAsia" w:eastAsiaTheme="minorEastAsia"/>
                <w:sz w:val="24"/>
                <w:szCs w:val="24"/>
                <w:highlight w:val="none"/>
              </w:rPr>
            </w:pPr>
            <w:r>
              <w:rPr>
                <w:rFonts w:hint="eastAsia" w:ascii="宋体" w:hAnsi="宋体" w:eastAsia="宋体"/>
                <w:sz w:val="24"/>
                <w:highlight w:val="none"/>
              </w:rPr>
              <w:t>（元）</w:t>
            </w:r>
          </w:p>
        </w:tc>
        <w:tc>
          <w:tcPr>
            <w:tcW w:w="1113" w:type="dxa"/>
            <w:vAlign w:val="center"/>
          </w:tcPr>
          <w:p w14:paraId="6B1F176C">
            <w:pPr>
              <w:shd w:val="clear"/>
              <w:jc w:val="center"/>
              <w:rPr>
                <w:rFonts w:ascii="宋体" w:hAnsi="宋体" w:eastAsia="宋体"/>
                <w:sz w:val="24"/>
                <w:highlight w:val="none"/>
              </w:rPr>
            </w:pPr>
            <w:r>
              <w:rPr>
                <w:rFonts w:hint="eastAsia" w:ascii="宋体" w:hAnsi="宋体" w:eastAsia="宋体"/>
                <w:sz w:val="24"/>
                <w:highlight w:val="none"/>
              </w:rPr>
              <w:t>小计</w:t>
            </w:r>
          </w:p>
          <w:p w14:paraId="0050DE75">
            <w:pPr>
              <w:shd w:val="clear"/>
              <w:jc w:val="center"/>
              <w:rPr>
                <w:rFonts w:cs="Times New Roman" w:asciiTheme="minorEastAsia" w:hAnsiTheme="minorEastAsia" w:eastAsiaTheme="minorEastAsia"/>
                <w:sz w:val="24"/>
                <w:szCs w:val="24"/>
                <w:highlight w:val="none"/>
              </w:rPr>
            </w:pPr>
            <w:r>
              <w:rPr>
                <w:rFonts w:hint="eastAsia" w:ascii="宋体" w:hAnsi="宋体" w:eastAsia="宋体"/>
                <w:sz w:val="24"/>
                <w:highlight w:val="none"/>
              </w:rPr>
              <w:t>（元）</w:t>
            </w:r>
          </w:p>
        </w:tc>
      </w:tr>
      <w:tr w14:paraId="4D169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tcPr>
          <w:p w14:paraId="6D46F60B">
            <w:pPr>
              <w:shd w:val="clear"/>
              <w:jc w:val="center"/>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1</w:t>
            </w:r>
          </w:p>
        </w:tc>
        <w:tc>
          <w:tcPr>
            <w:tcW w:w="655" w:type="pct"/>
            <w:vAlign w:val="center"/>
          </w:tcPr>
          <w:p w14:paraId="2C69CF69">
            <w:pPr>
              <w:shd w:val="clear"/>
              <w:jc w:val="center"/>
              <w:rPr>
                <w:rFonts w:cs="Times New Roman" w:asciiTheme="minorEastAsia" w:hAnsiTheme="minorEastAsia" w:eastAsiaTheme="minorEastAsia"/>
                <w:sz w:val="24"/>
                <w:szCs w:val="24"/>
                <w:highlight w:val="none"/>
                <w:lang w:val="zh-CN"/>
              </w:rPr>
            </w:pPr>
          </w:p>
        </w:tc>
        <w:tc>
          <w:tcPr>
            <w:tcW w:w="656" w:type="pct"/>
            <w:vAlign w:val="center"/>
          </w:tcPr>
          <w:p w14:paraId="4103F2BA">
            <w:pPr>
              <w:shd w:val="clear"/>
              <w:jc w:val="center"/>
              <w:rPr>
                <w:rFonts w:cs="Times New Roman" w:asciiTheme="minorEastAsia" w:hAnsiTheme="minorEastAsia" w:eastAsiaTheme="minorEastAsia"/>
                <w:sz w:val="24"/>
                <w:szCs w:val="24"/>
                <w:highlight w:val="none"/>
                <w:lang w:val="zh-CN"/>
              </w:rPr>
            </w:pPr>
          </w:p>
        </w:tc>
        <w:tc>
          <w:tcPr>
            <w:tcW w:w="654" w:type="pct"/>
            <w:vAlign w:val="center"/>
          </w:tcPr>
          <w:p w14:paraId="073A147E">
            <w:pPr>
              <w:shd w:val="clear"/>
              <w:jc w:val="center"/>
              <w:rPr>
                <w:rFonts w:cs="Times New Roman" w:asciiTheme="minorEastAsia" w:hAnsiTheme="minorEastAsia" w:eastAsiaTheme="minorEastAsia"/>
                <w:sz w:val="24"/>
                <w:szCs w:val="24"/>
                <w:highlight w:val="none"/>
                <w:lang w:val="zh-CN"/>
              </w:rPr>
            </w:pPr>
          </w:p>
        </w:tc>
        <w:tc>
          <w:tcPr>
            <w:tcW w:w="660" w:type="pct"/>
            <w:vAlign w:val="center"/>
          </w:tcPr>
          <w:p w14:paraId="5733E277">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67E91B68">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2CF3A862">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7DAD5B68">
            <w:pPr>
              <w:shd w:val="clear"/>
              <w:jc w:val="center"/>
              <w:rPr>
                <w:rFonts w:cs="Times New Roman" w:asciiTheme="minorEastAsia" w:hAnsiTheme="minorEastAsia" w:eastAsiaTheme="minorEastAsia"/>
                <w:sz w:val="24"/>
                <w:szCs w:val="24"/>
                <w:highlight w:val="none"/>
                <w:lang w:val="zh-CN"/>
              </w:rPr>
            </w:pPr>
          </w:p>
        </w:tc>
      </w:tr>
      <w:tr w14:paraId="02F3D8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tcPr>
          <w:p w14:paraId="32A7AE0E">
            <w:pPr>
              <w:shd w:val="clear"/>
              <w:jc w:val="center"/>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2</w:t>
            </w:r>
          </w:p>
        </w:tc>
        <w:tc>
          <w:tcPr>
            <w:tcW w:w="655" w:type="pct"/>
            <w:vAlign w:val="center"/>
          </w:tcPr>
          <w:p w14:paraId="3E068EF1">
            <w:pPr>
              <w:shd w:val="clear"/>
              <w:jc w:val="center"/>
              <w:rPr>
                <w:rFonts w:cs="Times New Roman" w:asciiTheme="minorEastAsia" w:hAnsiTheme="minorEastAsia" w:eastAsiaTheme="minorEastAsia"/>
                <w:sz w:val="24"/>
                <w:szCs w:val="24"/>
                <w:highlight w:val="none"/>
                <w:lang w:val="zh-CN"/>
              </w:rPr>
            </w:pPr>
          </w:p>
        </w:tc>
        <w:tc>
          <w:tcPr>
            <w:tcW w:w="656" w:type="pct"/>
            <w:vAlign w:val="center"/>
          </w:tcPr>
          <w:p w14:paraId="2344C69B">
            <w:pPr>
              <w:shd w:val="clear"/>
              <w:jc w:val="center"/>
              <w:rPr>
                <w:rFonts w:cs="Times New Roman" w:asciiTheme="minorEastAsia" w:hAnsiTheme="minorEastAsia" w:eastAsiaTheme="minorEastAsia"/>
                <w:sz w:val="24"/>
                <w:szCs w:val="24"/>
                <w:highlight w:val="none"/>
                <w:lang w:val="zh-CN"/>
              </w:rPr>
            </w:pPr>
          </w:p>
        </w:tc>
        <w:tc>
          <w:tcPr>
            <w:tcW w:w="654" w:type="pct"/>
            <w:vAlign w:val="center"/>
          </w:tcPr>
          <w:p w14:paraId="421DDBB9">
            <w:pPr>
              <w:shd w:val="clear"/>
              <w:jc w:val="center"/>
              <w:rPr>
                <w:rFonts w:cs="Times New Roman" w:asciiTheme="minorEastAsia" w:hAnsiTheme="minorEastAsia" w:eastAsiaTheme="minorEastAsia"/>
                <w:sz w:val="24"/>
                <w:szCs w:val="24"/>
                <w:highlight w:val="none"/>
                <w:lang w:val="zh-CN"/>
              </w:rPr>
            </w:pPr>
          </w:p>
        </w:tc>
        <w:tc>
          <w:tcPr>
            <w:tcW w:w="660" w:type="pct"/>
            <w:vAlign w:val="center"/>
          </w:tcPr>
          <w:p w14:paraId="3787EBA8">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2E47FAC8">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57E35792">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24437653">
            <w:pPr>
              <w:shd w:val="clear"/>
              <w:jc w:val="center"/>
              <w:rPr>
                <w:rFonts w:cs="Times New Roman" w:asciiTheme="minorEastAsia" w:hAnsiTheme="minorEastAsia" w:eastAsiaTheme="minorEastAsia"/>
                <w:sz w:val="24"/>
                <w:szCs w:val="24"/>
                <w:highlight w:val="none"/>
                <w:lang w:val="zh-CN"/>
              </w:rPr>
            </w:pPr>
          </w:p>
        </w:tc>
      </w:tr>
      <w:tr w14:paraId="7E5F5C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tcPr>
          <w:p w14:paraId="345D6FD4">
            <w:pPr>
              <w:shd w:val="clear"/>
              <w:jc w:val="center"/>
              <w:rPr>
                <w:rFonts w:cs="Times New Roman" w:asciiTheme="minorEastAsia" w:hAnsiTheme="minorEastAsia" w:eastAsiaTheme="minorEastAsia"/>
                <w:sz w:val="24"/>
                <w:szCs w:val="24"/>
                <w:highlight w:val="none"/>
                <w:lang w:val="zh-CN"/>
              </w:rPr>
            </w:pPr>
            <w:r>
              <w:rPr>
                <w:rFonts w:cs="Times New Roman" w:asciiTheme="minorEastAsia" w:hAnsiTheme="minorEastAsia" w:eastAsiaTheme="minorEastAsia"/>
                <w:sz w:val="24"/>
                <w:szCs w:val="24"/>
                <w:highlight w:val="none"/>
                <w:lang w:val="zh-CN"/>
              </w:rPr>
              <w:t>3</w:t>
            </w:r>
          </w:p>
        </w:tc>
        <w:tc>
          <w:tcPr>
            <w:tcW w:w="655" w:type="pct"/>
            <w:vAlign w:val="center"/>
          </w:tcPr>
          <w:p w14:paraId="73321ECF">
            <w:pPr>
              <w:shd w:val="clear"/>
              <w:jc w:val="center"/>
              <w:rPr>
                <w:rFonts w:cs="Times New Roman" w:asciiTheme="minorEastAsia" w:hAnsiTheme="minorEastAsia" w:eastAsiaTheme="minorEastAsia"/>
                <w:sz w:val="24"/>
                <w:szCs w:val="24"/>
                <w:highlight w:val="none"/>
                <w:lang w:val="zh-CN"/>
              </w:rPr>
            </w:pPr>
          </w:p>
        </w:tc>
        <w:tc>
          <w:tcPr>
            <w:tcW w:w="656" w:type="pct"/>
            <w:vAlign w:val="center"/>
          </w:tcPr>
          <w:p w14:paraId="1B8FE3E8">
            <w:pPr>
              <w:shd w:val="clear"/>
              <w:jc w:val="center"/>
              <w:rPr>
                <w:rFonts w:cs="Times New Roman" w:asciiTheme="minorEastAsia" w:hAnsiTheme="minorEastAsia" w:eastAsiaTheme="minorEastAsia"/>
                <w:sz w:val="24"/>
                <w:szCs w:val="24"/>
                <w:highlight w:val="none"/>
                <w:lang w:val="zh-CN"/>
              </w:rPr>
            </w:pPr>
          </w:p>
        </w:tc>
        <w:tc>
          <w:tcPr>
            <w:tcW w:w="654" w:type="pct"/>
            <w:vAlign w:val="center"/>
          </w:tcPr>
          <w:p w14:paraId="21C8BDB8">
            <w:pPr>
              <w:shd w:val="clear"/>
              <w:jc w:val="center"/>
              <w:rPr>
                <w:rFonts w:cs="Times New Roman" w:asciiTheme="minorEastAsia" w:hAnsiTheme="minorEastAsia" w:eastAsiaTheme="minorEastAsia"/>
                <w:sz w:val="24"/>
                <w:szCs w:val="24"/>
                <w:highlight w:val="none"/>
                <w:lang w:val="zh-CN"/>
              </w:rPr>
            </w:pPr>
          </w:p>
        </w:tc>
        <w:tc>
          <w:tcPr>
            <w:tcW w:w="660" w:type="pct"/>
            <w:vAlign w:val="center"/>
          </w:tcPr>
          <w:p w14:paraId="082A7A6D">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3767C708">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2D252A01">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13EBCFE5">
            <w:pPr>
              <w:shd w:val="clear"/>
              <w:jc w:val="center"/>
              <w:rPr>
                <w:rFonts w:cs="Times New Roman" w:asciiTheme="minorEastAsia" w:hAnsiTheme="minorEastAsia" w:eastAsiaTheme="minorEastAsia"/>
                <w:sz w:val="24"/>
                <w:szCs w:val="24"/>
                <w:highlight w:val="none"/>
                <w:lang w:val="zh-CN"/>
              </w:rPr>
            </w:pPr>
          </w:p>
        </w:tc>
      </w:tr>
      <w:tr w14:paraId="430EC1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13" w:type="pct"/>
          </w:tcPr>
          <w:p w14:paraId="79C1A913">
            <w:pPr>
              <w:shd w:val="clear"/>
              <w:jc w:val="center"/>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w:t>
            </w:r>
          </w:p>
        </w:tc>
        <w:tc>
          <w:tcPr>
            <w:tcW w:w="655" w:type="pct"/>
            <w:vAlign w:val="center"/>
          </w:tcPr>
          <w:p w14:paraId="5D2B20DF">
            <w:pPr>
              <w:shd w:val="clear"/>
              <w:jc w:val="center"/>
              <w:rPr>
                <w:rFonts w:cs="Times New Roman" w:asciiTheme="minorEastAsia" w:hAnsiTheme="minorEastAsia" w:eastAsiaTheme="minorEastAsia"/>
                <w:sz w:val="24"/>
                <w:szCs w:val="24"/>
                <w:highlight w:val="none"/>
                <w:lang w:val="zh-CN"/>
              </w:rPr>
            </w:pPr>
          </w:p>
        </w:tc>
        <w:tc>
          <w:tcPr>
            <w:tcW w:w="656" w:type="pct"/>
            <w:vAlign w:val="center"/>
          </w:tcPr>
          <w:p w14:paraId="643E3F3E">
            <w:pPr>
              <w:shd w:val="clear"/>
              <w:jc w:val="center"/>
              <w:rPr>
                <w:rFonts w:cs="Times New Roman" w:asciiTheme="minorEastAsia" w:hAnsiTheme="minorEastAsia" w:eastAsiaTheme="minorEastAsia"/>
                <w:sz w:val="24"/>
                <w:szCs w:val="24"/>
                <w:highlight w:val="none"/>
                <w:lang w:val="zh-CN"/>
              </w:rPr>
            </w:pPr>
          </w:p>
        </w:tc>
        <w:tc>
          <w:tcPr>
            <w:tcW w:w="654" w:type="pct"/>
            <w:vAlign w:val="center"/>
          </w:tcPr>
          <w:p w14:paraId="68B8EE84">
            <w:pPr>
              <w:shd w:val="clear"/>
              <w:jc w:val="center"/>
              <w:rPr>
                <w:rFonts w:cs="Times New Roman" w:asciiTheme="minorEastAsia" w:hAnsiTheme="minorEastAsia" w:eastAsiaTheme="minorEastAsia"/>
                <w:sz w:val="24"/>
                <w:szCs w:val="24"/>
                <w:highlight w:val="none"/>
                <w:lang w:val="zh-CN"/>
              </w:rPr>
            </w:pPr>
          </w:p>
        </w:tc>
        <w:tc>
          <w:tcPr>
            <w:tcW w:w="660" w:type="pct"/>
            <w:vAlign w:val="center"/>
          </w:tcPr>
          <w:p w14:paraId="415B2423">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5B853BED">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73AB2D29">
            <w:pPr>
              <w:shd w:val="clear"/>
              <w:jc w:val="center"/>
              <w:rPr>
                <w:rFonts w:cs="Times New Roman" w:asciiTheme="minorEastAsia" w:hAnsiTheme="minorEastAsia" w:eastAsiaTheme="minorEastAsia"/>
                <w:sz w:val="24"/>
                <w:szCs w:val="24"/>
                <w:highlight w:val="none"/>
                <w:lang w:val="zh-CN"/>
              </w:rPr>
            </w:pPr>
          </w:p>
        </w:tc>
        <w:tc>
          <w:tcPr>
            <w:tcW w:w="653" w:type="pct"/>
            <w:vAlign w:val="center"/>
          </w:tcPr>
          <w:p w14:paraId="533982A5">
            <w:pPr>
              <w:shd w:val="clear"/>
              <w:jc w:val="center"/>
              <w:rPr>
                <w:rFonts w:cs="Times New Roman" w:asciiTheme="minorEastAsia" w:hAnsiTheme="minorEastAsia" w:eastAsiaTheme="minorEastAsia"/>
                <w:sz w:val="24"/>
                <w:szCs w:val="24"/>
                <w:highlight w:val="none"/>
                <w:lang w:val="zh-CN"/>
              </w:rPr>
            </w:pPr>
          </w:p>
        </w:tc>
      </w:tr>
      <w:tr w14:paraId="7278E6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0" w:type="pct"/>
            <w:gridSpan w:val="5"/>
          </w:tcPr>
          <w:p w14:paraId="1B7C0FD3">
            <w:pPr>
              <w:shd w:val="clear"/>
              <w:jc w:val="center"/>
              <w:rPr>
                <w:rFonts w:cs="Times New Roman" w:asciiTheme="minorEastAsia" w:hAnsiTheme="minorEastAsia" w:eastAsiaTheme="minorEastAsia"/>
                <w:sz w:val="24"/>
                <w:szCs w:val="24"/>
                <w:highlight w:val="none"/>
              </w:rPr>
            </w:pPr>
            <w:bookmarkStart w:id="104" w:name="_Toc21631"/>
            <w:bookmarkStart w:id="105" w:name="_Toc23292"/>
            <w:bookmarkStart w:id="106" w:name="_Toc21551"/>
            <w:r>
              <w:rPr>
                <w:rFonts w:hint="eastAsia" w:cs="Times New Roman" w:asciiTheme="minorEastAsia" w:hAnsiTheme="minorEastAsia" w:eastAsiaTheme="minorEastAsia"/>
                <w:sz w:val="24"/>
                <w:szCs w:val="24"/>
                <w:highlight w:val="none"/>
              </w:rPr>
              <w:t>合计</w:t>
            </w:r>
          </w:p>
        </w:tc>
        <w:tc>
          <w:tcPr>
            <w:tcW w:w="1959" w:type="pct"/>
            <w:gridSpan w:val="3"/>
            <w:vAlign w:val="center"/>
          </w:tcPr>
          <w:p w14:paraId="22990825">
            <w:pPr>
              <w:shd w:val="clear"/>
              <w:jc w:val="center"/>
              <w:rPr>
                <w:rFonts w:cs="Times New Roman" w:asciiTheme="minorEastAsia" w:hAnsiTheme="minorEastAsia" w:eastAsiaTheme="minorEastAsia"/>
                <w:sz w:val="24"/>
                <w:szCs w:val="24"/>
                <w:highlight w:val="none"/>
                <w:lang w:val="zh-CN"/>
              </w:rPr>
            </w:pPr>
          </w:p>
        </w:tc>
      </w:tr>
    </w:tbl>
    <w:p w14:paraId="0AF99DF8">
      <w:pPr>
        <w:shd w:val="clear"/>
        <w:spacing w:line="360" w:lineRule="auto"/>
        <w:ind w:firstLine="437"/>
        <w:rPr>
          <w:rFonts w:cs="Times New Roman" w:asciiTheme="minorEastAsia" w:hAnsiTheme="minorEastAsia" w:eastAsiaTheme="minorEastAsia"/>
          <w:b/>
          <w:bCs/>
          <w:sz w:val="24"/>
          <w:szCs w:val="24"/>
          <w:highlight w:val="none"/>
          <w:lang w:val="zh-CN"/>
        </w:rPr>
      </w:pPr>
      <w:r>
        <w:rPr>
          <w:rFonts w:hint="eastAsia" w:cs="Times New Roman" w:asciiTheme="minorEastAsia" w:hAnsiTheme="minorEastAsia" w:eastAsiaTheme="minorEastAsia"/>
          <w:b/>
          <w:bCs/>
          <w:sz w:val="24"/>
          <w:szCs w:val="24"/>
          <w:highlight w:val="none"/>
          <w:lang w:val="zh-CN"/>
        </w:rPr>
        <w:t>1.</w:t>
      </w:r>
      <w:r>
        <w:rPr>
          <w:rFonts w:cs="Times New Roman" w:asciiTheme="minorEastAsia" w:hAnsiTheme="minorEastAsia" w:eastAsiaTheme="minorEastAsia"/>
          <w:b/>
          <w:bCs/>
          <w:sz w:val="24"/>
          <w:szCs w:val="24"/>
          <w:highlight w:val="none"/>
          <w:lang w:val="zh-CN"/>
        </w:rPr>
        <w:t xml:space="preserve">3 </w:t>
      </w:r>
      <w:r>
        <w:rPr>
          <w:rFonts w:hint="eastAsia" w:cs="Times New Roman" w:asciiTheme="minorEastAsia" w:hAnsiTheme="minorEastAsia" w:eastAsiaTheme="minorEastAsia"/>
          <w:b/>
          <w:bCs/>
          <w:sz w:val="24"/>
          <w:szCs w:val="24"/>
          <w:highlight w:val="none"/>
          <w:lang w:val="zh-CN"/>
        </w:rPr>
        <w:t>价款</w:t>
      </w:r>
      <w:bookmarkEnd w:id="104"/>
      <w:bookmarkEnd w:id="105"/>
      <w:bookmarkEnd w:id="106"/>
    </w:p>
    <w:p w14:paraId="3A3AAC98">
      <w:pPr>
        <w:shd w:val="clear"/>
        <w:spacing w:line="360" w:lineRule="auto"/>
        <w:ind w:firstLine="437"/>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本合同总价为</w:t>
      </w:r>
      <w:r>
        <w:rPr>
          <w:rFonts w:hint="eastAsia"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u w:val="single"/>
        </w:rPr>
        <w:t xml:space="preserve">           </w:t>
      </w:r>
      <w:r>
        <w:rPr>
          <w:rFonts w:cs="Times New Roman" w:asciiTheme="minorEastAsia" w:hAnsiTheme="minorEastAsia" w:eastAsiaTheme="minorEastAsia"/>
          <w:sz w:val="24"/>
          <w:szCs w:val="24"/>
          <w:highlight w:val="none"/>
        </w:rPr>
        <w:t>元</w:t>
      </w:r>
      <w:r>
        <w:rPr>
          <w:rFonts w:hint="eastAsia" w:cs="Times New Roman" w:asciiTheme="minorEastAsia" w:hAnsiTheme="minorEastAsia" w:eastAsiaTheme="minorEastAsia"/>
          <w:sz w:val="24"/>
          <w:szCs w:val="24"/>
          <w:highlight w:val="none"/>
        </w:rPr>
        <w:t>（大写：人民币</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元）</w:t>
      </w:r>
      <w:r>
        <w:rPr>
          <w:rFonts w:cs="Times New Roman" w:asciiTheme="minorEastAsia" w:hAnsiTheme="minorEastAsia" w:eastAsiaTheme="minorEastAsia"/>
          <w:sz w:val="24"/>
          <w:szCs w:val="24"/>
          <w:highlight w:val="none"/>
        </w:rPr>
        <w:t>。</w:t>
      </w:r>
    </w:p>
    <w:p w14:paraId="363A3F7B">
      <w:pPr>
        <w:shd w:val="clear"/>
        <w:spacing w:line="360" w:lineRule="auto"/>
        <w:ind w:firstLine="437"/>
        <w:rPr>
          <w:rFonts w:cs="Times New Roman" w:asciiTheme="minorEastAsia" w:hAnsiTheme="minorEastAsia" w:eastAsiaTheme="minorEastAsia"/>
          <w:b/>
          <w:bCs/>
          <w:sz w:val="24"/>
          <w:szCs w:val="24"/>
          <w:highlight w:val="none"/>
          <w:lang w:val="zh-CN"/>
        </w:rPr>
      </w:pPr>
      <w:r>
        <w:rPr>
          <w:rFonts w:hint="eastAsia" w:cs="Times New Roman" w:asciiTheme="minorEastAsia" w:hAnsiTheme="minorEastAsia" w:eastAsiaTheme="minorEastAsia"/>
          <w:b/>
          <w:bCs/>
          <w:sz w:val="24"/>
          <w:szCs w:val="24"/>
          <w:highlight w:val="none"/>
        </w:rPr>
        <w:t>1</w:t>
      </w:r>
      <w:r>
        <w:rPr>
          <w:rFonts w:hint="eastAsia" w:cs="Times New Roman" w:asciiTheme="minorEastAsia" w:hAnsiTheme="minorEastAsia" w:eastAsiaTheme="minorEastAsia"/>
          <w:b/>
          <w:bCs/>
          <w:sz w:val="24"/>
          <w:szCs w:val="24"/>
          <w:highlight w:val="none"/>
          <w:lang w:val="zh-CN"/>
        </w:rPr>
        <w:t>.</w:t>
      </w:r>
      <w:r>
        <w:rPr>
          <w:rFonts w:cs="Times New Roman" w:asciiTheme="minorEastAsia" w:hAnsiTheme="minorEastAsia" w:eastAsiaTheme="minorEastAsia"/>
          <w:b/>
          <w:bCs/>
          <w:sz w:val="24"/>
          <w:szCs w:val="24"/>
          <w:highlight w:val="none"/>
          <w:lang w:val="zh-CN"/>
        </w:rPr>
        <w:t>4 付款方式和发票开具方式</w:t>
      </w:r>
      <w:bookmarkEnd w:id="101"/>
      <w:bookmarkEnd w:id="102"/>
      <w:bookmarkEnd w:id="103"/>
    </w:p>
    <w:p w14:paraId="54F35887">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1.4.1</w:t>
      </w:r>
      <w:r>
        <w:rPr>
          <w:rFonts w:cs="Times New Roman" w:asciiTheme="minorEastAsia" w:hAnsiTheme="minorEastAsia" w:eastAsiaTheme="minorEastAsia"/>
          <w:sz w:val="24"/>
          <w:szCs w:val="24"/>
          <w:highlight w:val="none"/>
        </w:rPr>
        <w:t>付款方式：</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w:t>
      </w:r>
    </w:p>
    <w:p w14:paraId="2131B1B4">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1.4.2发票开具方式：</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w:t>
      </w:r>
    </w:p>
    <w:p w14:paraId="5CFDA152">
      <w:pPr>
        <w:shd w:val="clear"/>
        <w:spacing w:line="360" w:lineRule="auto"/>
        <w:ind w:firstLine="437"/>
        <w:rPr>
          <w:rFonts w:cs="Times New Roman" w:asciiTheme="minorEastAsia" w:hAnsiTheme="minorEastAsia" w:eastAsiaTheme="minorEastAsia"/>
          <w:b/>
          <w:bCs/>
          <w:sz w:val="24"/>
          <w:szCs w:val="24"/>
          <w:highlight w:val="none"/>
          <w:lang w:val="zh-CN"/>
        </w:rPr>
      </w:pPr>
      <w:bookmarkStart w:id="107" w:name="_Toc19304"/>
      <w:bookmarkStart w:id="108" w:name="_Toc32071"/>
      <w:bookmarkStart w:id="109" w:name="_Toc2846"/>
      <w:r>
        <w:rPr>
          <w:rFonts w:hint="eastAsia" w:cs="Times New Roman" w:asciiTheme="minorEastAsia" w:hAnsiTheme="minorEastAsia" w:eastAsiaTheme="minorEastAsia"/>
          <w:b/>
          <w:bCs/>
          <w:sz w:val="24"/>
          <w:szCs w:val="24"/>
          <w:highlight w:val="none"/>
          <w:lang w:val="zh-CN"/>
        </w:rPr>
        <w:t>1.</w:t>
      </w:r>
      <w:r>
        <w:rPr>
          <w:rFonts w:cs="Times New Roman" w:asciiTheme="minorEastAsia" w:hAnsiTheme="minorEastAsia" w:eastAsiaTheme="minorEastAsia"/>
          <w:b/>
          <w:bCs/>
          <w:sz w:val="24"/>
          <w:szCs w:val="24"/>
          <w:highlight w:val="none"/>
          <w:lang w:val="zh-CN"/>
        </w:rPr>
        <w:t>5 货物交付期限</w:t>
      </w:r>
      <w:r>
        <w:rPr>
          <w:rFonts w:hint="eastAsia" w:cs="Times New Roman" w:asciiTheme="minorEastAsia" w:hAnsiTheme="minorEastAsia" w:eastAsiaTheme="minorEastAsia"/>
          <w:b/>
          <w:bCs/>
          <w:sz w:val="24"/>
          <w:szCs w:val="24"/>
          <w:highlight w:val="none"/>
          <w:lang w:val="zh-CN"/>
        </w:rPr>
        <w:t>、地点和方式</w:t>
      </w:r>
      <w:bookmarkEnd w:id="107"/>
      <w:bookmarkEnd w:id="108"/>
      <w:bookmarkEnd w:id="109"/>
    </w:p>
    <w:p w14:paraId="6089AEE4">
      <w:pPr>
        <w:shd w:val="clear"/>
        <w:spacing w:line="360" w:lineRule="auto"/>
        <w:ind w:firstLine="435"/>
        <w:rPr>
          <w:rFonts w:cs="Times New Roman" w:asciiTheme="minorEastAsia" w:hAnsiTheme="minorEastAsia" w:eastAsiaTheme="minorEastAsia"/>
          <w:sz w:val="24"/>
          <w:szCs w:val="24"/>
          <w:highlight w:val="none"/>
          <w:u w:val="single"/>
        </w:rPr>
      </w:pPr>
      <w:r>
        <w:rPr>
          <w:rFonts w:hint="eastAsia" w:cs="Times New Roman" w:asciiTheme="minorEastAsia" w:hAnsiTheme="minorEastAsia" w:eastAsiaTheme="minorEastAsia"/>
          <w:sz w:val="24"/>
          <w:szCs w:val="24"/>
          <w:highlight w:val="none"/>
        </w:rPr>
        <w:t>1.5.1交付期限</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w:t>
      </w:r>
    </w:p>
    <w:p w14:paraId="42F30EBC">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1.5.2交付地点</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w:t>
      </w:r>
    </w:p>
    <w:p w14:paraId="4ECD1A4C">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1.5.3交付方式：</w:t>
      </w:r>
      <w:r>
        <w:rPr>
          <w:rFonts w:hint="eastAsia" w:cs="Times New Roman" w:asciiTheme="minorEastAsia" w:hAnsiTheme="minorEastAsia" w:eastAsiaTheme="minorEastAsia"/>
          <w:sz w:val="24"/>
          <w:szCs w:val="24"/>
          <w:highlight w:val="none"/>
          <w:u w:val="single"/>
        </w:rPr>
        <w:t xml:space="preserve">                                                </w:t>
      </w:r>
      <w:r>
        <w:rPr>
          <w:rFonts w:hint="eastAsia" w:cs="Times New Roman" w:asciiTheme="minorEastAsia" w:hAnsiTheme="minorEastAsia" w:eastAsiaTheme="minorEastAsia"/>
          <w:sz w:val="24"/>
          <w:szCs w:val="24"/>
          <w:highlight w:val="none"/>
        </w:rPr>
        <w:t>。</w:t>
      </w:r>
    </w:p>
    <w:p w14:paraId="0F3D57F0">
      <w:pPr>
        <w:shd w:val="clear"/>
        <w:spacing w:line="360" w:lineRule="auto"/>
        <w:ind w:firstLine="437"/>
        <w:rPr>
          <w:rFonts w:cs="Times New Roman" w:asciiTheme="minorEastAsia" w:hAnsiTheme="minorEastAsia" w:eastAsiaTheme="minorEastAsia"/>
          <w:b/>
          <w:bCs/>
          <w:sz w:val="24"/>
          <w:szCs w:val="24"/>
          <w:highlight w:val="none"/>
          <w:lang w:val="zh-CN"/>
        </w:rPr>
      </w:pPr>
      <w:bookmarkStart w:id="110" w:name="_Toc27250"/>
      <w:bookmarkStart w:id="111" w:name="_Toc21423"/>
      <w:bookmarkStart w:id="112" w:name="_Toc19554"/>
      <w:r>
        <w:rPr>
          <w:rFonts w:hint="eastAsia" w:cs="Times New Roman" w:asciiTheme="minorEastAsia" w:hAnsiTheme="minorEastAsia" w:eastAsiaTheme="minorEastAsia"/>
          <w:b/>
          <w:bCs/>
          <w:sz w:val="24"/>
          <w:szCs w:val="24"/>
          <w:highlight w:val="none"/>
          <w:lang w:val="zh-CN"/>
        </w:rPr>
        <w:t>1.6 违约责任</w:t>
      </w:r>
      <w:bookmarkEnd w:id="110"/>
      <w:bookmarkEnd w:id="111"/>
      <w:bookmarkEnd w:id="112"/>
    </w:p>
    <w:p w14:paraId="3B230153">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1.6.1</w:t>
      </w:r>
      <w:r>
        <w:rPr>
          <w:rFonts w:cs="Times New Roman" w:asciiTheme="minorEastAsia" w:hAnsiTheme="minorEastAsia" w:eastAsiaTheme="minorEastAsia"/>
          <w:sz w:val="24"/>
          <w:szCs w:val="24"/>
          <w:highlight w:val="none"/>
        </w:rPr>
        <w:t>除不可抗力外，如果乙方没有按照本合同约定的期限</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地点和方式交付货物，那么甲方可要求乙方支付违约金</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违约金按每迟延交付货物一日的应交付而未交付货物价格的</w:t>
      </w:r>
      <w:r>
        <w:rPr>
          <w:rFonts w:hint="eastAsia" w:cs="Times New Roman" w:asciiTheme="minorEastAsia" w:hAnsiTheme="minorEastAsia" w:eastAsiaTheme="minorEastAsia"/>
          <w:sz w:val="24"/>
          <w:szCs w:val="24"/>
          <w:highlight w:val="none"/>
          <w:u w:val="single"/>
        </w:rPr>
        <w:t xml:space="preserve"> 0.05 </w:t>
      </w:r>
      <w:r>
        <w:rPr>
          <w:rFonts w:cs="Times New Roman" w:asciiTheme="minorEastAsia" w:hAnsiTheme="minorEastAsia" w:eastAsiaTheme="minorEastAsia"/>
          <w:sz w:val="24"/>
          <w:szCs w:val="24"/>
          <w:highlight w:val="none"/>
        </w:rPr>
        <w:t>%计算</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最高限额为</w:t>
      </w:r>
      <w:r>
        <w:rPr>
          <w:rFonts w:hint="eastAsia" w:cs="Times New Roman" w:asciiTheme="minorEastAsia" w:hAnsiTheme="minorEastAsia" w:eastAsiaTheme="minorEastAsia"/>
          <w:sz w:val="24"/>
          <w:szCs w:val="24"/>
          <w:highlight w:val="none"/>
        </w:rPr>
        <w:t>本</w:t>
      </w:r>
      <w:r>
        <w:rPr>
          <w:rFonts w:cs="Times New Roman" w:asciiTheme="minorEastAsia" w:hAnsiTheme="minorEastAsia" w:eastAsiaTheme="minorEastAsia"/>
          <w:sz w:val="24"/>
          <w:szCs w:val="24"/>
          <w:highlight w:val="none"/>
        </w:rPr>
        <w:t>合同总价的</w:t>
      </w:r>
      <w:r>
        <w:rPr>
          <w:rFonts w:hint="eastAsia" w:cs="Times New Roman" w:asciiTheme="minorEastAsia" w:hAnsiTheme="minorEastAsia" w:eastAsiaTheme="minorEastAsia"/>
          <w:sz w:val="24"/>
          <w:szCs w:val="24"/>
          <w:highlight w:val="none"/>
          <w:u w:val="single"/>
        </w:rPr>
        <w:t xml:space="preserve"> 5 </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迟延交付货物的违约金计算数额达到前述最高限额之日起</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甲方有权在要求乙方支付违约金的同时</w:t>
      </w:r>
      <w:r>
        <w:rPr>
          <w:rFonts w:hint="eastAsia" w:cs="Times New Roman" w:asciiTheme="minorEastAsia" w:hAnsiTheme="minorEastAsia" w:eastAsiaTheme="minorEastAsia"/>
          <w:sz w:val="24"/>
          <w:szCs w:val="24"/>
          <w:highlight w:val="none"/>
        </w:rPr>
        <w:t>，书面通知乙方</w:t>
      </w:r>
      <w:r>
        <w:rPr>
          <w:rFonts w:cs="Times New Roman" w:asciiTheme="minorEastAsia" w:hAnsiTheme="minorEastAsia" w:eastAsiaTheme="minorEastAsia"/>
          <w:sz w:val="24"/>
          <w:szCs w:val="24"/>
          <w:highlight w:val="none"/>
        </w:rPr>
        <w:t>解除本合同</w:t>
      </w:r>
      <w:r>
        <w:rPr>
          <w:rFonts w:hint="eastAsia" w:cs="Times New Roman" w:asciiTheme="minorEastAsia" w:hAnsiTheme="minorEastAsia" w:eastAsiaTheme="minorEastAsia"/>
          <w:sz w:val="24"/>
          <w:szCs w:val="24"/>
          <w:highlight w:val="none"/>
        </w:rPr>
        <w:t>；</w:t>
      </w:r>
    </w:p>
    <w:p w14:paraId="2D0D2BC1">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1.6.2</w:t>
      </w:r>
      <w:r>
        <w:rPr>
          <w:rFonts w:cs="Times New Roman" w:asciiTheme="minorEastAsia" w:hAnsiTheme="minorEastAsia" w:eastAsiaTheme="minorEastAsia"/>
          <w:sz w:val="24"/>
          <w:szCs w:val="24"/>
          <w:highlight w:val="none"/>
        </w:rPr>
        <w:t>除不可抗力外，如果甲方没有按照本合同约定的付款方式付款，那么乙方可要求甲方支付违约金</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违约金按每迟延</w:t>
      </w:r>
      <w:r>
        <w:rPr>
          <w:rFonts w:hint="eastAsia" w:cs="Times New Roman" w:asciiTheme="minorEastAsia" w:hAnsiTheme="minorEastAsia" w:eastAsiaTheme="minorEastAsia"/>
          <w:sz w:val="24"/>
          <w:szCs w:val="24"/>
          <w:highlight w:val="none"/>
        </w:rPr>
        <w:t>付款</w:t>
      </w:r>
      <w:r>
        <w:rPr>
          <w:rFonts w:cs="Times New Roman" w:asciiTheme="minorEastAsia" w:hAnsiTheme="minorEastAsia" w:eastAsiaTheme="minorEastAsia"/>
          <w:sz w:val="24"/>
          <w:szCs w:val="24"/>
          <w:highlight w:val="none"/>
        </w:rPr>
        <w:t>一日的应付而未付款的</w:t>
      </w:r>
      <w:r>
        <w:rPr>
          <w:rFonts w:hint="eastAsia" w:cs="Times New Roman" w:asciiTheme="minorEastAsia" w:hAnsiTheme="minorEastAsia" w:eastAsiaTheme="minorEastAsia"/>
          <w:sz w:val="24"/>
          <w:szCs w:val="24"/>
          <w:highlight w:val="none"/>
          <w:u w:val="single"/>
        </w:rPr>
        <w:t xml:space="preserve"> 0.05 </w:t>
      </w:r>
      <w:r>
        <w:rPr>
          <w:rFonts w:cs="Times New Roman" w:asciiTheme="minorEastAsia" w:hAnsiTheme="minorEastAsia" w:eastAsiaTheme="minorEastAsia"/>
          <w:sz w:val="24"/>
          <w:szCs w:val="24"/>
          <w:highlight w:val="none"/>
        </w:rPr>
        <w:t>%计算</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最高限额为</w:t>
      </w:r>
      <w:r>
        <w:rPr>
          <w:rFonts w:hint="eastAsia" w:cs="Times New Roman" w:asciiTheme="minorEastAsia" w:hAnsiTheme="minorEastAsia" w:eastAsiaTheme="minorEastAsia"/>
          <w:sz w:val="24"/>
          <w:szCs w:val="24"/>
          <w:highlight w:val="none"/>
        </w:rPr>
        <w:t>本</w:t>
      </w:r>
      <w:r>
        <w:rPr>
          <w:rFonts w:cs="Times New Roman" w:asciiTheme="minorEastAsia" w:hAnsiTheme="minorEastAsia" w:eastAsiaTheme="minorEastAsia"/>
          <w:sz w:val="24"/>
          <w:szCs w:val="24"/>
          <w:highlight w:val="none"/>
        </w:rPr>
        <w:t>合同总价的</w:t>
      </w:r>
      <w:r>
        <w:rPr>
          <w:rFonts w:hint="eastAsia" w:cs="Times New Roman" w:asciiTheme="minorEastAsia" w:hAnsiTheme="minorEastAsia" w:eastAsiaTheme="minorEastAsia"/>
          <w:sz w:val="24"/>
          <w:szCs w:val="24"/>
          <w:highlight w:val="none"/>
          <w:u w:val="single"/>
        </w:rPr>
        <w:t xml:space="preserve"> 5</w:t>
      </w:r>
      <w:r>
        <w:rPr>
          <w:rFonts w:hint="eastAsia" w:cs="Times New Roman" w:asciiTheme="minorEastAsia" w:hAnsiTheme="minorEastAsia" w:eastAsiaTheme="minorEastAsia"/>
          <w:sz w:val="24"/>
          <w:szCs w:val="24"/>
          <w:highlight w:val="none"/>
          <w:u w:val="single"/>
          <w:lang w:val="en-US" w:eastAsia="zh-CN"/>
        </w:rPr>
        <w:t xml:space="preserve"> </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迟延</w:t>
      </w:r>
      <w:r>
        <w:rPr>
          <w:rFonts w:hint="eastAsia" w:cs="Times New Roman" w:asciiTheme="minorEastAsia" w:hAnsiTheme="minorEastAsia" w:eastAsiaTheme="minorEastAsia"/>
          <w:sz w:val="24"/>
          <w:szCs w:val="24"/>
          <w:highlight w:val="none"/>
        </w:rPr>
        <w:t>付款</w:t>
      </w:r>
      <w:r>
        <w:rPr>
          <w:rFonts w:cs="Times New Roman" w:asciiTheme="minorEastAsia" w:hAnsiTheme="minorEastAsia" w:eastAsiaTheme="minorEastAsia"/>
          <w:sz w:val="24"/>
          <w:szCs w:val="24"/>
          <w:highlight w:val="none"/>
        </w:rPr>
        <w:t>的违约金计算数额达到前述最高限额之日起</w:t>
      </w:r>
      <w:r>
        <w:rPr>
          <w:rFonts w:hint="eastAsia" w:cs="Times New Roman" w:asciiTheme="minorEastAsia" w:hAnsiTheme="minorEastAsia" w:eastAsiaTheme="minorEastAsia"/>
          <w:sz w:val="24"/>
          <w:szCs w:val="24"/>
          <w:highlight w:val="none"/>
        </w:rPr>
        <w:t>，乙</w:t>
      </w:r>
      <w:r>
        <w:rPr>
          <w:rFonts w:cs="Times New Roman" w:asciiTheme="minorEastAsia" w:hAnsiTheme="minorEastAsia" w:eastAsiaTheme="minorEastAsia"/>
          <w:sz w:val="24"/>
          <w:szCs w:val="24"/>
          <w:highlight w:val="none"/>
        </w:rPr>
        <w:t>方有权在要求甲方支付违约金的同时</w:t>
      </w:r>
      <w:r>
        <w:rPr>
          <w:rFonts w:hint="eastAsia" w:cs="Times New Roman" w:asciiTheme="minorEastAsia" w:hAnsiTheme="minorEastAsia" w:eastAsiaTheme="minorEastAsia"/>
          <w:sz w:val="24"/>
          <w:szCs w:val="24"/>
          <w:highlight w:val="none"/>
        </w:rPr>
        <w:t>，书面通知甲方</w:t>
      </w:r>
      <w:r>
        <w:rPr>
          <w:rFonts w:cs="Times New Roman" w:asciiTheme="minorEastAsia" w:hAnsiTheme="minorEastAsia" w:eastAsiaTheme="minorEastAsia"/>
          <w:sz w:val="24"/>
          <w:szCs w:val="24"/>
          <w:highlight w:val="none"/>
        </w:rPr>
        <w:t>解除本合同</w:t>
      </w:r>
      <w:r>
        <w:rPr>
          <w:rFonts w:hint="eastAsia" w:cs="Times New Roman" w:asciiTheme="minorEastAsia" w:hAnsiTheme="minorEastAsia" w:eastAsiaTheme="minorEastAsia"/>
          <w:sz w:val="24"/>
          <w:szCs w:val="24"/>
          <w:highlight w:val="none"/>
        </w:rPr>
        <w:t>；</w:t>
      </w:r>
    </w:p>
    <w:p w14:paraId="3A23C8FA">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1.6.3除不可抗力外，任何一方未能履行本合同约定的其他主要义务，经催告后在合理期限内仍未履行的，或者任何一方有其他违约行为致使不能实现合同目的的，或者任何一方有腐败行为（即：提供或给予或接受或索取任何财物或其他好处或者采取其他不正当手段影响对方当事人在合同签订、履行过程中的行为）或者欺诈行为（即：以谎报事实或者隐瞒真相的方法来影响对方当事人在合同签订、履行过程中的行为）的，对方当事人可以书面通知违约方解除本合同；</w:t>
      </w:r>
    </w:p>
    <w:p w14:paraId="086542A2">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1.6.4任何一方按照前述约定要求违约方支付违约金的同时，仍有权要求违约方继续履行合同、采取补救措施，并有权按照己方实际损失情况要求违约方赔偿损失；任何一方按照前述约定要求解除本合同的同时，仍有权要求违约方支付违约金和按照己方实际损失情况要求违约方赔偿损失；且守约方行使的任何权利救济方式均不视为其放弃了其他法定或者约定的权利救济方式；</w:t>
      </w:r>
    </w:p>
    <w:p w14:paraId="2E672D9E">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1.6.5除前述约定外，除不可抗力外，任何一方未能履行本合同约定的义务，对方当事人均有权要求继续履行、采取补救措施或者赔偿损失等，且对方当事人行使的任何权利救济方式均不视为其放弃了其他法定或者约定的权利救济方式；</w:t>
      </w:r>
    </w:p>
    <w:p w14:paraId="11522E57">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1.6.6如果出现政府采购监督管理部门在处理投诉事项期间，书面通知甲方暂停采购活动的情形，或者询问或质疑事项可能影响中标结果的，导致甲方中止履行合同的情形，均不视为甲方违约。</w:t>
      </w:r>
    </w:p>
    <w:p w14:paraId="0893866B">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1.6.7因甲方未按合同约定支付价款、未按合同约定受领标的物、擅自解除合同导致乙方遭受的直接损失，乙方可向甲方申请赔偿，赔偿金额由双方协商一致；针对因政策变化等原因不能签订合同或解除合同时，造成乙方合法利益受损的情形，甲方无需承担任何赔偿责任。</w:t>
      </w:r>
    </w:p>
    <w:p w14:paraId="0E1BB854">
      <w:pPr>
        <w:shd w:val="clear"/>
        <w:spacing w:line="360" w:lineRule="auto"/>
        <w:ind w:firstLine="437"/>
        <w:rPr>
          <w:rFonts w:cs="Times New Roman" w:asciiTheme="minorEastAsia" w:hAnsiTheme="minorEastAsia" w:eastAsiaTheme="minorEastAsia"/>
          <w:b/>
          <w:bCs/>
          <w:sz w:val="24"/>
          <w:szCs w:val="24"/>
          <w:highlight w:val="none"/>
          <w:lang w:val="zh-CN"/>
        </w:rPr>
      </w:pPr>
      <w:r>
        <w:rPr>
          <w:rFonts w:hint="eastAsia" w:cs="Times New Roman" w:asciiTheme="minorEastAsia" w:hAnsiTheme="minorEastAsia" w:eastAsiaTheme="minorEastAsia"/>
          <w:b/>
          <w:bCs/>
          <w:sz w:val="24"/>
          <w:szCs w:val="24"/>
          <w:highlight w:val="none"/>
          <w:lang w:val="zh-CN"/>
        </w:rPr>
        <w:t>1.</w:t>
      </w:r>
      <w:r>
        <w:rPr>
          <w:rFonts w:hint="eastAsia" w:cs="Times New Roman" w:asciiTheme="minorEastAsia" w:hAnsiTheme="minorEastAsia" w:eastAsiaTheme="minorEastAsia"/>
          <w:b/>
          <w:bCs/>
          <w:sz w:val="24"/>
          <w:szCs w:val="24"/>
          <w:highlight w:val="none"/>
        </w:rPr>
        <w:t>7</w:t>
      </w:r>
      <w:r>
        <w:rPr>
          <w:rFonts w:cs="Times New Roman" w:asciiTheme="minorEastAsia" w:hAnsiTheme="minorEastAsia" w:eastAsiaTheme="minorEastAsia"/>
          <w:b/>
          <w:bCs/>
          <w:sz w:val="24"/>
          <w:szCs w:val="24"/>
          <w:highlight w:val="none"/>
          <w:lang w:val="zh-CN"/>
        </w:rPr>
        <w:t xml:space="preserve"> </w:t>
      </w:r>
      <w:r>
        <w:rPr>
          <w:rFonts w:hint="eastAsia" w:cs="Times New Roman" w:asciiTheme="minorEastAsia" w:hAnsiTheme="minorEastAsia" w:eastAsiaTheme="minorEastAsia"/>
          <w:b/>
          <w:bCs/>
          <w:sz w:val="24"/>
          <w:szCs w:val="24"/>
          <w:highlight w:val="none"/>
          <w:lang w:val="zh-CN"/>
        </w:rPr>
        <w:t>合同</w:t>
      </w:r>
      <w:r>
        <w:rPr>
          <w:rFonts w:cs="Times New Roman" w:asciiTheme="minorEastAsia" w:hAnsiTheme="minorEastAsia" w:eastAsiaTheme="minorEastAsia"/>
          <w:b/>
          <w:bCs/>
          <w:sz w:val="24"/>
          <w:szCs w:val="24"/>
          <w:highlight w:val="none"/>
          <w:lang w:val="zh-CN"/>
        </w:rPr>
        <w:t>争议的解决</w:t>
      </w:r>
    </w:p>
    <w:p w14:paraId="2C1D5E82">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本合</w:t>
      </w:r>
      <w:r>
        <w:rPr>
          <w:rFonts w:cs="Times New Roman" w:asciiTheme="minorEastAsia" w:hAnsiTheme="minorEastAsia" w:eastAsiaTheme="minorEastAsia"/>
          <w:sz w:val="24"/>
          <w:szCs w:val="24"/>
          <w:highlight w:val="none"/>
        </w:rPr>
        <w:t>同履行过程中发生的任何争议，双方当事人均可</w:t>
      </w:r>
      <w:r>
        <w:rPr>
          <w:rFonts w:hint="eastAsia" w:cs="Times New Roman" w:asciiTheme="minorEastAsia" w:hAnsiTheme="minorEastAsia" w:eastAsiaTheme="minorEastAsia"/>
          <w:sz w:val="24"/>
          <w:szCs w:val="24"/>
          <w:highlight w:val="none"/>
        </w:rPr>
        <w:t>通过和解或者调解解决；不愿和解、调解或者和解、调解不成的，可以选择下列第</w:t>
      </w:r>
      <w:r>
        <w:rPr>
          <w:rFonts w:hint="eastAsia" w:cs="Times New Roman" w:asciiTheme="minorEastAsia" w:hAnsiTheme="minorEastAsia" w:eastAsiaTheme="minorEastAsia"/>
          <w:sz w:val="24"/>
          <w:szCs w:val="24"/>
          <w:highlight w:val="none"/>
          <w:u w:val="single"/>
        </w:rPr>
        <w:t xml:space="preserve"> 1.7.2</w:t>
      </w:r>
      <w:r>
        <w:rPr>
          <w:rFonts w:hint="eastAsia" w:cs="Times New Roman" w:asciiTheme="minorEastAsia" w:hAnsiTheme="minorEastAsia" w:eastAsiaTheme="minorEastAsia"/>
          <w:sz w:val="24"/>
          <w:szCs w:val="24"/>
          <w:highlight w:val="none"/>
        </w:rPr>
        <w:t>种方式解决：</w:t>
      </w:r>
    </w:p>
    <w:p w14:paraId="7D72E192">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1.7.1将争议提交</w:t>
      </w:r>
      <w:r>
        <w:rPr>
          <w:rFonts w:hint="eastAsia" w:cs="Times New Roman" w:asciiTheme="minorEastAsia" w:hAnsiTheme="minorEastAsia" w:eastAsiaTheme="minorEastAsia"/>
          <w:sz w:val="24"/>
          <w:szCs w:val="24"/>
          <w:highlight w:val="none"/>
          <w:u w:val="single"/>
        </w:rPr>
        <w:t xml:space="preserve">    /   </w:t>
      </w:r>
      <w:r>
        <w:rPr>
          <w:rFonts w:hint="eastAsia" w:cs="Times New Roman" w:asciiTheme="minorEastAsia" w:hAnsiTheme="minorEastAsia" w:eastAsiaTheme="minorEastAsia"/>
          <w:sz w:val="24"/>
          <w:szCs w:val="24"/>
          <w:highlight w:val="none"/>
        </w:rPr>
        <w:t>仲裁委员会依申请仲裁时其现行有效的仲裁规则裁决；</w:t>
      </w:r>
    </w:p>
    <w:p w14:paraId="2631638B">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1.7.2向</w:t>
      </w:r>
      <w:r>
        <w:rPr>
          <w:rFonts w:hint="eastAsia" w:cs="Times New Roman" w:asciiTheme="minorEastAsia" w:hAnsiTheme="minorEastAsia" w:eastAsiaTheme="minorEastAsia"/>
          <w:sz w:val="24"/>
          <w:szCs w:val="24"/>
          <w:highlight w:val="none"/>
          <w:u w:val="single"/>
        </w:rPr>
        <w:t xml:space="preserve"> 甲方住所所在地 </w:t>
      </w:r>
      <w:r>
        <w:rPr>
          <w:rFonts w:hint="eastAsia" w:cs="Times New Roman" w:asciiTheme="minorEastAsia" w:hAnsiTheme="minorEastAsia" w:eastAsiaTheme="minorEastAsia"/>
          <w:sz w:val="24"/>
          <w:szCs w:val="24"/>
          <w:highlight w:val="none"/>
        </w:rPr>
        <w:t>人民法院起诉。</w:t>
      </w:r>
    </w:p>
    <w:p w14:paraId="0750518E">
      <w:pPr>
        <w:shd w:val="clear"/>
        <w:spacing w:line="360" w:lineRule="auto"/>
        <w:ind w:firstLine="437"/>
        <w:rPr>
          <w:rFonts w:cs="Times New Roman" w:asciiTheme="minorEastAsia" w:hAnsiTheme="minorEastAsia" w:eastAsiaTheme="minorEastAsia"/>
          <w:b/>
          <w:bCs/>
          <w:sz w:val="24"/>
          <w:szCs w:val="24"/>
          <w:highlight w:val="none"/>
          <w:lang w:val="zh-CN"/>
        </w:rPr>
      </w:pPr>
      <w:bookmarkStart w:id="113" w:name="_Toc11173"/>
      <w:bookmarkStart w:id="114" w:name="_Toc15322"/>
      <w:bookmarkStart w:id="115" w:name="_Toc7245"/>
      <w:r>
        <w:rPr>
          <w:rFonts w:hint="eastAsia" w:cs="Times New Roman" w:asciiTheme="minorEastAsia" w:hAnsiTheme="minorEastAsia" w:eastAsiaTheme="minorEastAsia"/>
          <w:b/>
          <w:bCs/>
          <w:sz w:val="24"/>
          <w:szCs w:val="24"/>
          <w:highlight w:val="none"/>
          <w:lang w:val="zh-CN"/>
        </w:rPr>
        <w:t>1.</w:t>
      </w:r>
      <w:r>
        <w:rPr>
          <w:rFonts w:hint="eastAsia" w:cs="Times New Roman" w:asciiTheme="minorEastAsia" w:hAnsiTheme="minorEastAsia" w:eastAsiaTheme="minorEastAsia"/>
          <w:b/>
          <w:bCs/>
          <w:sz w:val="24"/>
          <w:szCs w:val="24"/>
          <w:highlight w:val="none"/>
        </w:rPr>
        <w:t>8</w:t>
      </w:r>
      <w:r>
        <w:rPr>
          <w:rFonts w:cs="Times New Roman" w:asciiTheme="minorEastAsia" w:hAnsiTheme="minorEastAsia" w:eastAsiaTheme="minorEastAsia"/>
          <w:b/>
          <w:bCs/>
          <w:sz w:val="24"/>
          <w:szCs w:val="24"/>
          <w:highlight w:val="none"/>
          <w:lang w:val="zh-CN"/>
        </w:rPr>
        <w:t xml:space="preserve"> 合同生效</w:t>
      </w:r>
      <w:bookmarkEnd w:id="113"/>
      <w:bookmarkEnd w:id="114"/>
      <w:bookmarkEnd w:id="115"/>
    </w:p>
    <w:p w14:paraId="795A6B49">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本合同自</w:t>
      </w:r>
      <w:r>
        <w:rPr>
          <w:rFonts w:hint="eastAsia" w:cs="Times New Roman" w:asciiTheme="minorEastAsia" w:hAnsiTheme="minorEastAsia" w:eastAsiaTheme="minorEastAsia"/>
          <w:sz w:val="24"/>
          <w:szCs w:val="24"/>
          <w:highlight w:val="none"/>
        </w:rPr>
        <w:t>甲乙双方当事人盖章时</w:t>
      </w:r>
      <w:r>
        <w:rPr>
          <w:rFonts w:cs="Times New Roman" w:asciiTheme="minorEastAsia" w:hAnsiTheme="minorEastAsia" w:eastAsiaTheme="minorEastAsia"/>
          <w:sz w:val="24"/>
          <w:szCs w:val="24"/>
          <w:highlight w:val="none"/>
        </w:rPr>
        <w:t>生效。</w:t>
      </w:r>
    </w:p>
    <w:p w14:paraId="08DD1110">
      <w:pPr>
        <w:shd w:val="clear"/>
        <w:autoSpaceDE w:val="0"/>
        <w:autoSpaceDN w:val="0"/>
        <w:adjustRightInd w:val="0"/>
        <w:spacing w:line="560" w:lineRule="exact"/>
        <w:rPr>
          <w:rFonts w:cs="Times New Roman" w:asciiTheme="minorEastAsia" w:hAnsiTheme="minorEastAsia" w:eastAsiaTheme="minorEastAsia"/>
          <w:sz w:val="24"/>
          <w:szCs w:val="24"/>
          <w:highlight w:val="none"/>
          <w:lang w:val="zh-CN"/>
        </w:rPr>
      </w:pPr>
    </w:p>
    <w:p w14:paraId="1E1E336E">
      <w:pPr>
        <w:shd w:val="clear"/>
        <w:autoSpaceDE w:val="0"/>
        <w:autoSpaceDN w:val="0"/>
        <w:adjustRightInd w:val="0"/>
        <w:spacing w:line="560" w:lineRule="exact"/>
        <w:rPr>
          <w:rFonts w:cs="Times New Roman" w:asciiTheme="minorEastAsia" w:hAnsiTheme="minorEastAsia" w:eastAsiaTheme="minorEastAsia"/>
          <w:bCs/>
          <w:sz w:val="24"/>
          <w:szCs w:val="24"/>
          <w:highlight w:val="none"/>
          <w:lang w:val="zh-CN"/>
        </w:rPr>
      </w:pPr>
      <w:r>
        <w:rPr>
          <w:rFonts w:hint="eastAsia" w:cs="Times New Roman" w:asciiTheme="minorEastAsia" w:hAnsiTheme="minorEastAsia" w:eastAsiaTheme="minorEastAsia"/>
          <w:bCs/>
          <w:sz w:val="24"/>
          <w:szCs w:val="24"/>
          <w:highlight w:val="none"/>
          <w:lang w:val="zh-CN"/>
        </w:rPr>
        <w:t xml:space="preserve">甲 </w:t>
      </w:r>
      <w:r>
        <w:rPr>
          <w:rFonts w:cs="Times New Roman" w:asciiTheme="minorEastAsia" w:hAnsiTheme="minorEastAsia" w:eastAsiaTheme="minorEastAsia"/>
          <w:bCs/>
          <w:sz w:val="24"/>
          <w:szCs w:val="24"/>
          <w:highlight w:val="none"/>
          <w:lang w:val="zh-CN"/>
        </w:rPr>
        <w:t xml:space="preserve">   </w:t>
      </w:r>
      <w:r>
        <w:rPr>
          <w:rFonts w:hint="eastAsia" w:cs="Times New Roman" w:asciiTheme="minorEastAsia" w:hAnsiTheme="minorEastAsia" w:eastAsiaTheme="minorEastAsia"/>
          <w:bCs/>
          <w:sz w:val="24"/>
          <w:szCs w:val="24"/>
          <w:highlight w:val="none"/>
          <w:lang w:val="zh-CN"/>
        </w:rPr>
        <w:t>方：</w:t>
      </w:r>
      <w:r>
        <w:rPr>
          <w:rFonts w:hint="eastAsia" w:cs="Times New Roman" w:asciiTheme="minorEastAsia" w:hAnsiTheme="minorEastAsia" w:eastAsiaTheme="minorEastAsia"/>
          <w:bCs/>
          <w:sz w:val="24"/>
          <w:szCs w:val="24"/>
          <w:highlight w:val="none"/>
          <w:u w:val="single"/>
          <w:lang w:val="zh-CN"/>
        </w:rPr>
        <w:t xml:space="preserve">    （单位盖章）     </w:t>
      </w:r>
      <w:r>
        <w:rPr>
          <w:rFonts w:hint="eastAsia" w:cs="Times New Roman" w:asciiTheme="minorEastAsia" w:hAnsiTheme="minorEastAsia" w:eastAsiaTheme="minorEastAsia"/>
          <w:bCs/>
          <w:sz w:val="24"/>
          <w:szCs w:val="24"/>
          <w:highlight w:val="none"/>
          <w:lang w:val="zh-CN"/>
        </w:rPr>
        <w:t xml:space="preserve">          乙方：</w:t>
      </w:r>
      <w:r>
        <w:rPr>
          <w:rFonts w:hint="eastAsia" w:cs="Times New Roman" w:asciiTheme="minorEastAsia" w:hAnsiTheme="minorEastAsia" w:eastAsiaTheme="minorEastAsia"/>
          <w:bCs/>
          <w:sz w:val="24"/>
          <w:szCs w:val="24"/>
          <w:highlight w:val="none"/>
          <w:u w:val="single"/>
          <w:lang w:val="zh-CN"/>
        </w:rPr>
        <w:t xml:space="preserve">    （单位盖章）     </w:t>
      </w:r>
    </w:p>
    <w:p w14:paraId="04ED0F3F">
      <w:pPr>
        <w:shd w:val="clea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 xml:space="preserve">法定代表人                             </w:t>
      </w:r>
      <w:r>
        <w:rPr>
          <w:rFonts w:cs="Times New Roman" w:asciiTheme="minorEastAsia" w:hAnsiTheme="minorEastAsia" w:eastAsiaTheme="minorEastAsia"/>
          <w:sz w:val="24"/>
          <w:szCs w:val="24"/>
          <w:highlight w:val="none"/>
          <w:lang w:val="zh-CN"/>
        </w:rPr>
        <w:t xml:space="preserve">  </w:t>
      </w:r>
      <w:r>
        <w:rPr>
          <w:rFonts w:hint="eastAsia" w:cs="Times New Roman" w:asciiTheme="minorEastAsia" w:hAnsiTheme="minorEastAsia" w:eastAsiaTheme="minorEastAsia"/>
          <w:sz w:val="24"/>
          <w:szCs w:val="24"/>
          <w:highlight w:val="none"/>
          <w:lang w:val="zh-CN"/>
        </w:rPr>
        <w:t>法定代表人</w:t>
      </w:r>
    </w:p>
    <w:p w14:paraId="371008A8">
      <w:pPr>
        <w:shd w:val="clear"/>
        <w:autoSpaceDE w:val="0"/>
        <w:autoSpaceDN w:val="0"/>
        <w:adjustRightInd w:val="0"/>
        <w:spacing w:line="560" w:lineRule="exact"/>
        <w:rPr>
          <w:rFonts w:cs="Times New Roman" w:asciiTheme="minorEastAsia" w:hAnsiTheme="minorEastAsia" w:eastAsiaTheme="minorEastAsia"/>
          <w:sz w:val="24"/>
          <w:szCs w:val="24"/>
          <w:highlight w:val="none"/>
          <w:lang w:val="zh-CN"/>
        </w:rPr>
      </w:pPr>
      <w:r>
        <w:rPr>
          <w:rFonts w:hint="eastAsia" w:cs="Times New Roman" w:asciiTheme="minorEastAsia" w:hAnsiTheme="minorEastAsia" w:eastAsiaTheme="minorEastAsia"/>
          <w:sz w:val="24"/>
          <w:szCs w:val="24"/>
          <w:highlight w:val="none"/>
          <w:lang w:val="zh-CN"/>
        </w:rPr>
        <w:t xml:space="preserve">或授权代表（签字）：                    </w:t>
      </w:r>
      <w:r>
        <w:rPr>
          <w:rFonts w:hint="eastAsia" w:cs="Times New Roman" w:asciiTheme="minorEastAsia" w:hAnsiTheme="minorEastAsia" w:eastAsiaTheme="minorEastAsia"/>
          <w:sz w:val="24"/>
          <w:szCs w:val="24"/>
          <w:highlight w:val="none"/>
        </w:rPr>
        <w:t xml:space="preserve"> </w:t>
      </w:r>
      <w:r>
        <w:rPr>
          <w:rFonts w:hint="eastAsia" w:cs="Times New Roman" w:asciiTheme="minorEastAsia" w:hAnsiTheme="minorEastAsia" w:eastAsiaTheme="minorEastAsia"/>
          <w:sz w:val="24"/>
          <w:szCs w:val="24"/>
          <w:highlight w:val="none"/>
          <w:lang w:val="zh-CN"/>
        </w:rPr>
        <w:t>或授权代表（签字）：</w:t>
      </w:r>
    </w:p>
    <w:p w14:paraId="7D350338">
      <w:pPr>
        <w:widowControl/>
        <w:shd w:val="clear"/>
        <w:spacing w:line="560" w:lineRule="exact"/>
        <w:jc w:val="left"/>
        <w:rPr>
          <w:rFonts w:cs="Times New Roman" w:asciiTheme="minorEastAsia" w:hAnsiTheme="minorEastAsia" w:eastAsiaTheme="minorEastAsia"/>
          <w:bCs/>
          <w:sz w:val="24"/>
          <w:szCs w:val="24"/>
          <w:highlight w:val="none"/>
          <w:u w:val="single"/>
        </w:rPr>
      </w:pPr>
      <w:bookmarkStart w:id="116" w:name="_Toc331685783"/>
      <w:r>
        <w:rPr>
          <w:rFonts w:hint="eastAsia" w:cs="Times New Roman" w:asciiTheme="minorEastAsia" w:hAnsiTheme="minorEastAsia" w:eastAsiaTheme="minorEastAsia"/>
          <w:bCs/>
          <w:sz w:val="24"/>
          <w:szCs w:val="24"/>
          <w:highlight w:val="none"/>
        </w:rPr>
        <w:t>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               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w:t>
      </w:r>
    </w:p>
    <w:p w14:paraId="59893F50">
      <w:pPr>
        <w:widowControl/>
        <w:shd w:val="clear"/>
        <w:spacing w:line="560" w:lineRule="exact"/>
        <w:jc w:val="left"/>
        <w:rPr>
          <w:rFonts w:cs="Times New Roman" w:asciiTheme="minorEastAsia" w:hAnsiTheme="minorEastAsia" w:eastAsiaTheme="minorEastAsia"/>
          <w:bCs/>
          <w:sz w:val="24"/>
          <w:szCs w:val="24"/>
          <w:highlight w:val="none"/>
          <w:u w:val="single"/>
        </w:rPr>
      </w:pPr>
    </w:p>
    <w:p w14:paraId="7679F56E">
      <w:pPr>
        <w:widowControl/>
        <w:shd w:val="clear"/>
        <w:spacing w:line="560" w:lineRule="exact"/>
        <w:jc w:val="left"/>
        <w:rPr>
          <w:rFonts w:cs="Times New Roman" w:asciiTheme="minorEastAsia" w:hAnsiTheme="minorEastAsia" w:eastAsiaTheme="minorEastAsia"/>
          <w:bCs/>
          <w:sz w:val="24"/>
          <w:szCs w:val="24"/>
          <w:highlight w:val="none"/>
          <w:u w:val="single"/>
          <w:lang w:val="zh-CN"/>
        </w:rPr>
      </w:pPr>
      <w:r>
        <w:rPr>
          <w:rFonts w:hint="eastAsia" w:cs="Times New Roman" w:asciiTheme="minorEastAsia" w:hAnsiTheme="minorEastAsia" w:eastAsiaTheme="minorEastAsia"/>
          <w:bCs/>
          <w:sz w:val="24"/>
          <w:szCs w:val="24"/>
          <w:highlight w:val="none"/>
        </w:rPr>
        <w:t>见证方：</w:t>
      </w:r>
      <w:r>
        <w:rPr>
          <w:rFonts w:hint="eastAsia" w:asciiTheme="minorEastAsia" w:hAnsiTheme="minorEastAsia" w:eastAsiaTheme="minorEastAsia"/>
          <w:sz w:val="24"/>
          <w:highlight w:val="none"/>
          <w:u w:val="single"/>
        </w:rPr>
        <w:t>安徽省招标集团股份有限公司</w:t>
      </w:r>
      <w:r>
        <w:rPr>
          <w:rFonts w:hint="eastAsia" w:cs="Times New Roman" w:asciiTheme="minorEastAsia" w:hAnsiTheme="minorEastAsia" w:eastAsiaTheme="minorEastAsia"/>
          <w:bCs/>
          <w:sz w:val="24"/>
          <w:szCs w:val="24"/>
          <w:highlight w:val="none"/>
          <w:u w:val="single"/>
          <w:lang w:val="zh-CN"/>
        </w:rPr>
        <w:t>（单位盖章）</w:t>
      </w:r>
    </w:p>
    <w:p w14:paraId="2AD1DE5C">
      <w:pPr>
        <w:widowControl/>
        <w:shd w:val="clear"/>
        <w:spacing w:line="560" w:lineRule="exact"/>
        <w:jc w:val="left"/>
        <w:rPr>
          <w:rFonts w:cs="Times New Roman" w:asciiTheme="minorEastAsia" w:hAnsiTheme="minorEastAsia" w:eastAsiaTheme="minorEastAsia"/>
          <w:bCs/>
          <w:sz w:val="24"/>
          <w:szCs w:val="24"/>
          <w:highlight w:val="none"/>
          <w:u w:val="single"/>
        </w:rPr>
      </w:pPr>
      <w:r>
        <w:rPr>
          <w:rFonts w:hint="eastAsia" w:cs="Times New Roman" w:asciiTheme="minorEastAsia" w:hAnsiTheme="minorEastAsia" w:eastAsiaTheme="minorEastAsia"/>
          <w:bCs/>
          <w:sz w:val="24"/>
          <w:szCs w:val="24"/>
          <w:highlight w:val="none"/>
        </w:rPr>
        <w:t>时间：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年</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月</w:t>
      </w:r>
      <w:r>
        <w:rPr>
          <w:rFonts w:hint="eastAsia" w:cs="Times New Roman" w:asciiTheme="minorEastAsia" w:hAnsiTheme="minorEastAsia" w:eastAsiaTheme="minorEastAsia"/>
          <w:bCs/>
          <w:sz w:val="24"/>
          <w:szCs w:val="24"/>
          <w:highlight w:val="none"/>
          <w:u w:val="single"/>
        </w:rPr>
        <w:t xml:space="preserve">  </w:t>
      </w:r>
      <w:r>
        <w:rPr>
          <w:rFonts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u w:val="single"/>
        </w:rPr>
        <w:t xml:space="preserve"> </w:t>
      </w:r>
      <w:r>
        <w:rPr>
          <w:rFonts w:hint="eastAsia" w:cs="Times New Roman" w:asciiTheme="minorEastAsia" w:hAnsiTheme="minorEastAsia" w:eastAsiaTheme="minorEastAsia"/>
          <w:bCs/>
          <w:sz w:val="24"/>
          <w:szCs w:val="24"/>
          <w:highlight w:val="none"/>
        </w:rPr>
        <w:t>日</w:t>
      </w:r>
    </w:p>
    <w:p w14:paraId="48B3AE8B">
      <w:pPr>
        <w:widowControl/>
        <w:shd w:val="clear"/>
        <w:spacing w:line="560" w:lineRule="exact"/>
        <w:jc w:val="left"/>
        <w:rPr>
          <w:rFonts w:asciiTheme="minorEastAsia" w:hAnsiTheme="minorEastAsia" w:eastAsiaTheme="minorEastAsia"/>
          <w:sz w:val="24"/>
          <w:highlight w:val="none"/>
          <w:u w:val="single"/>
        </w:rPr>
      </w:pPr>
    </w:p>
    <w:p w14:paraId="7A1B4C06">
      <w:pPr>
        <w:widowControl/>
        <w:shd w:val="clear"/>
        <w:jc w:val="left"/>
        <w:rPr>
          <w:rFonts w:cs="Times New Roman" w:asciiTheme="minorEastAsia" w:hAnsiTheme="minorEastAsia" w:eastAsiaTheme="minorEastAsia"/>
          <w:b/>
          <w:sz w:val="24"/>
          <w:szCs w:val="24"/>
          <w:highlight w:val="none"/>
        </w:rPr>
      </w:pPr>
      <w:r>
        <w:rPr>
          <w:rFonts w:cs="Times New Roman" w:asciiTheme="minorEastAsia" w:hAnsiTheme="minorEastAsia" w:eastAsiaTheme="minorEastAsia"/>
          <w:b/>
          <w:sz w:val="24"/>
          <w:szCs w:val="24"/>
          <w:highlight w:val="none"/>
        </w:rPr>
        <w:br w:type="page"/>
      </w:r>
    </w:p>
    <w:p w14:paraId="5E73DAC2">
      <w:pPr>
        <w:shd w:val="clear"/>
        <w:spacing w:line="360" w:lineRule="auto"/>
        <w:jc w:val="center"/>
        <w:outlineLvl w:val="1"/>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第二部分</w:t>
      </w:r>
      <w:r>
        <w:rPr>
          <w:rFonts w:asciiTheme="minorEastAsia" w:hAnsiTheme="minorEastAsia" w:eastAsiaTheme="minorEastAsia"/>
          <w:b/>
          <w:sz w:val="24"/>
          <w:highlight w:val="none"/>
        </w:rPr>
        <w:t xml:space="preserve"> </w:t>
      </w:r>
      <w:r>
        <w:rPr>
          <w:rFonts w:hint="eastAsia" w:asciiTheme="minorEastAsia" w:hAnsiTheme="minorEastAsia" w:eastAsiaTheme="minorEastAsia"/>
          <w:b/>
          <w:sz w:val="24"/>
          <w:highlight w:val="none"/>
        </w:rPr>
        <w:t>合同一般条款</w:t>
      </w:r>
      <w:bookmarkEnd w:id="116"/>
    </w:p>
    <w:p w14:paraId="081CC05D">
      <w:pPr>
        <w:shd w:val="clear"/>
        <w:spacing w:line="360" w:lineRule="auto"/>
        <w:ind w:firstLine="437"/>
        <w:rPr>
          <w:rFonts w:cs="Times New Roman" w:asciiTheme="minorEastAsia" w:hAnsiTheme="minorEastAsia" w:eastAsiaTheme="minorEastAsia"/>
          <w:b/>
          <w:bCs/>
          <w:sz w:val="24"/>
          <w:szCs w:val="24"/>
          <w:highlight w:val="none"/>
          <w:lang w:val="zh-CN"/>
        </w:rPr>
      </w:pPr>
      <w:bookmarkStart w:id="117" w:name="_Ref467378499"/>
      <w:bookmarkStart w:id="118" w:name="_Ref467379225"/>
      <w:bookmarkStart w:id="119" w:name="_Toc259093669"/>
      <w:bookmarkStart w:id="120" w:name="_Ref467379094"/>
      <w:bookmarkStart w:id="121" w:name="_Ref467379195"/>
      <w:bookmarkStart w:id="122" w:name="_Ref467378463"/>
      <w:bookmarkStart w:id="123" w:name="_Toc19614"/>
      <w:bookmarkStart w:id="124" w:name="_Toc16917"/>
      <w:bookmarkStart w:id="125" w:name="_Toc487900349"/>
      <w:bookmarkStart w:id="126" w:name="_Ref467379214"/>
      <w:bookmarkStart w:id="127" w:name="_Ref467379109"/>
      <w:bookmarkStart w:id="128" w:name="_Ref467379101"/>
      <w:bookmarkStart w:id="129" w:name="_Ref467378404"/>
      <w:bookmarkStart w:id="130" w:name="_Ref467379205"/>
      <w:bookmarkStart w:id="131" w:name="_Toc28763"/>
      <w:bookmarkStart w:id="132" w:name="_Toc279701240"/>
      <w:r>
        <w:rPr>
          <w:rFonts w:hint="eastAsia" w:cs="Times New Roman" w:asciiTheme="minorEastAsia" w:hAnsiTheme="minorEastAsia" w:eastAsiaTheme="minorEastAsia"/>
          <w:b/>
          <w:bCs/>
          <w:sz w:val="24"/>
          <w:szCs w:val="24"/>
          <w:highlight w:val="none"/>
          <w:lang w:val="zh-CN"/>
        </w:rPr>
        <w:t>2.1</w:t>
      </w:r>
      <w:r>
        <w:rPr>
          <w:rFonts w:cs="Times New Roman" w:asciiTheme="minorEastAsia" w:hAnsiTheme="minorEastAsia" w:eastAsiaTheme="minorEastAsia"/>
          <w:b/>
          <w:bCs/>
          <w:sz w:val="24"/>
          <w:szCs w:val="24"/>
          <w:highlight w:val="none"/>
          <w:lang w:val="zh-CN"/>
        </w:rPr>
        <w:t xml:space="preserve"> 定义</w:t>
      </w:r>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p>
    <w:p w14:paraId="21849949">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本合同中的下列</w:t>
      </w:r>
      <w:r>
        <w:rPr>
          <w:rFonts w:hint="eastAsia" w:cs="Times New Roman" w:asciiTheme="minorEastAsia" w:hAnsiTheme="minorEastAsia" w:eastAsiaTheme="minorEastAsia"/>
          <w:sz w:val="24"/>
          <w:szCs w:val="24"/>
          <w:highlight w:val="none"/>
        </w:rPr>
        <w:t>词</w:t>
      </w:r>
      <w:r>
        <w:rPr>
          <w:rFonts w:cs="Times New Roman" w:asciiTheme="minorEastAsia" w:hAnsiTheme="minorEastAsia" w:eastAsiaTheme="minorEastAsia"/>
          <w:sz w:val="24"/>
          <w:szCs w:val="24"/>
          <w:highlight w:val="none"/>
        </w:rPr>
        <w:t>语应</w:t>
      </w:r>
      <w:r>
        <w:rPr>
          <w:rFonts w:hint="eastAsia" w:cs="Times New Roman" w:asciiTheme="minorEastAsia" w:hAnsiTheme="minorEastAsia" w:eastAsiaTheme="minorEastAsia"/>
          <w:sz w:val="24"/>
          <w:szCs w:val="24"/>
          <w:highlight w:val="none"/>
        </w:rPr>
        <w:t>按以下内容进行</w:t>
      </w:r>
      <w:r>
        <w:rPr>
          <w:rFonts w:cs="Times New Roman" w:asciiTheme="minorEastAsia" w:hAnsiTheme="minorEastAsia" w:eastAsiaTheme="minorEastAsia"/>
          <w:sz w:val="24"/>
          <w:szCs w:val="24"/>
          <w:highlight w:val="none"/>
        </w:rPr>
        <w:t>解释：</w:t>
      </w:r>
    </w:p>
    <w:p w14:paraId="69212F2A">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w:t>
      </w:r>
      <w:r>
        <w:rPr>
          <w:rFonts w:hint="eastAsia" w:cs="Times New Roman" w:asciiTheme="minorEastAsia" w:hAnsiTheme="minorEastAsia" w:eastAsiaTheme="minorEastAsia"/>
          <w:sz w:val="24"/>
          <w:szCs w:val="24"/>
          <w:highlight w:val="none"/>
        </w:rPr>
        <w:t>.1</w:t>
      </w:r>
      <w:r>
        <w:rPr>
          <w:rFonts w:cs="Times New Roman" w:asciiTheme="minorEastAsia" w:hAnsiTheme="minorEastAsia" w:eastAsiaTheme="minorEastAsia"/>
          <w:sz w:val="24"/>
          <w:szCs w:val="24"/>
          <w:highlight w:val="none"/>
        </w:rPr>
        <w:t>“合同”系指采购人和中标人签订的载明双方当事人所达成的协议，并包括所有的附件、附录和构成合同的其他文件。</w:t>
      </w:r>
    </w:p>
    <w:p w14:paraId="796BFC74">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1.2“合同价”系指根据合同约定，中标人在完全履行合同义务后</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采购人应支付给中标人的价格。</w:t>
      </w:r>
    </w:p>
    <w:p w14:paraId="322767BC">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1.3“货物”系指</w:t>
      </w:r>
      <w:r>
        <w:rPr>
          <w:rFonts w:hint="eastAsia" w:cs="Times New Roman" w:asciiTheme="minorEastAsia" w:hAnsiTheme="minorEastAsia" w:eastAsiaTheme="minorEastAsia"/>
          <w:sz w:val="24"/>
          <w:szCs w:val="24"/>
          <w:highlight w:val="none"/>
        </w:rPr>
        <w:t>中标人</w:t>
      </w:r>
      <w:r>
        <w:rPr>
          <w:rFonts w:cs="Times New Roman" w:asciiTheme="minorEastAsia" w:hAnsiTheme="minorEastAsia" w:eastAsiaTheme="minorEastAsia"/>
          <w:sz w:val="24"/>
          <w:szCs w:val="24"/>
          <w:highlight w:val="none"/>
        </w:rPr>
        <w:t>根据合同约定应向采购人交付的一切</w:t>
      </w:r>
      <w:r>
        <w:rPr>
          <w:rFonts w:hint="eastAsia" w:cs="Times New Roman" w:asciiTheme="minorEastAsia" w:hAnsiTheme="minorEastAsia" w:eastAsiaTheme="minorEastAsia"/>
          <w:sz w:val="24"/>
          <w:szCs w:val="24"/>
          <w:highlight w:val="none"/>
        </w:rPr>
        <w:t>各种形态和种类的物品，包括原材料、燃料、设备、</w:t>
      </w:r>
      <w:r>
        <w:rPr>
          <w:rFonts w:cs="Times New Roman" w:asciiTheme="minorEastAsia" w:hAnsiTheme="minorEastAsia" w:eastAsiaTheme="minorEastAsia"/>
          <w:sz w:val="24"/>
          <w:szCs w:val="24"/>
          <w:highlight w:val="none"/>
        </w:rPr>
        <w:t>机械、仪表、备件</w:t>
      </w:r>
      <w:r>
        <w:rPr>
          <w:rFonts w:hint="eastAsia" w:cs="Times New Roman" w:asciiTheme="minorEastAsia" w:hAnsiTheme="minorEastAsia" w:eastAsiaTheme="minorEastAsia"/>
          <w:sz w:val="24"/>
          <w:szCs w:val="24"/>
          <w:highlight w:val="none"/>
        </w:rPr>
        <w:t>、计算机软件、产品等</w:t>
      </w:r>
      <w:r>
        <w:rPr>
          <w:rFonts w:cs="Times New Roman" w:asciiTheme="minorEastAsia" w:hAnsiTheme="minorEastAsia" w:eastAsiaTheme="minorEastAsia"/>
          <w:sz w:val="24"/>
          <w:szCs w:val="24"/>
          <w:highlight w:val="none"/>
        </w:rPr>
        <w:t>，并包括工具、手册等其他相关资料。</w:t>
      </w:r>
    </w:p>
    <w:p w14:paraId="334EC1B5">
      <w:pPr>
        <w:shd w:val="clear"/>
        <w:spacing w:line="360" w:lineRule="auto"/>
        <w:ind w:firstLine="435"/>
        <w:rPr>
          <w:rFonts w:cs="Times New Roman" w:asciiTheme="minorEastAsia" w:hAnsiTheme="minorEastAsia" w:eastAsiaTheme="minorEastAsia"/>
          <w:sz w:val="24"/>
          <w:szCs w:val="24"/>
          <w:highlight w:val="none"/>
        </w:rPr>
      </w:pPr>
      <w:bookmarkStart w:id="133" w:name="_Ref467378840"/>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w:t>
      </w:r>
      <w:r>
        <w:rPr>
          <w:rFonts w:hint="eastAsia" w:cs="Times New Roman" w:asciiTheme="minorEastAsia" w:hAnsiTheme="minorEastAsia" w:eastAsiaTheme="minorEastAsia"/>
          <w:sz w:val="24"/>
          <w:szCs w:val="24"/>
          <w:highlight w:val="none"/>
        </w:rPr>
        <w:t>4</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rPr>
        <w:t>甲方</w:t>
      </w:r>
      <w:r>
        <w:rPr>
          <w:rFonts w:cs="Times New Roman" w:asciiTheme="minorEastAsia" w:hAnsiTheme="minorEastAsia" w:eastAsiaTheme="minorEastAsia"/>
          <w:sz w:val="24"/>
          <w:szCs w:val="24"/>
          <w:highlight w:val="none"/>
        </w:rPr>
        <w:t>”系指与</w:t>
      </w:r>
      <w:r>
        <w:rPr>
          <w:rFonts w:hint="eastAsia" w:cs="Times New Roman" w:asciiTheme="minorEastAsia" w:hAnsiTheme="minorEastAsia" w:eastAsiaTheme="minorEastAsia"/>
          <w:sz w:val="24"/>
          <w:szCs w:val="24"/>
          <w:highlight w:val="none"/>
        </w:rPr>
        <w:t>中标人</w:t>
      </w:r>
      <w:r>
        <w:rPr>
          <w:rFonts w:cs="Times New Roman" w:asciiTheme="minorEastAsia" w:hAnsiTheme="minorEastAsia" w:eastAsiaTheme="minorEastAsia"/>
          <w:sz w:val="24"/>
          <w:szCs w:val="24"/>
          <w:highlight w:val="none"/>
        </w:rPr>
        <w:t>签署合同的采购人</w:t>
      </w:r>
      <w:bookmarkEnd w:id="133"/>
      <w:r>
        <w:rPr>
          <w:rFonts w:hint="eastAsia" w:cs="Times New Roman" w:asciiTheme="minorEastAsia" w:hAnsiTheme="minorEastAsia" w:eastAsiaTheme="minorEastAsia"/>
          <w:sz w:val="24"/>
          <w:szCs w:val="24"/>
          <w:highlight w:val="none"/>
        </w:rPr>
        <w:t>；采购人委托采购代理机构代表其与乙方签订合同的，采购人的授权委托书作为合同附件。</w:t>
      </w:r>
    </w:p>
    <w:p w14:paraId="485E903A">
      <w:pPr>
        <w:shd w:val="clear"/>
        <w:spacing w:line="360" w:lineRule="auto"/>
        <w:ind w:firstLine="435"/>
        <w:rPr>
          <w:rFonts w:cs="Times New Roman" w:asciiTheme="minorEastAsia" w:hAnsiTheme="minorEastAsia" w:eastAsiaTheme="minorEastAsia"/>
          <w:sz w:val="24"/>
          <w:szCs w:val="24"/>
          <w:highlight w:val="none"/>
        </w:rPr>
      </w:pPr>
      <w:bookmarkStart w:id="134" w:name="_Ref467379400"/>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w:t>
      </w:r>
      <w:r>
        <w:rPr>
          <w:rFonts w:hint="eastAsia" w:cs="Times New Roman" w:asciiTheme="minorEastAsia" w:hAnsiTheme="minorEastAsia" w:eastAsiaTheme="minorEastAsia"/>
          <w:sz w:val="24"/>
          <w:szCs w:val="24"/>
          <w:highlight w:val="none"/>
        </w:rPr>
        <w:t>5</w:t>
      </w:r>
      <w:r>
        <w:rPr>
          <w:rFonts w:cs="Times New Roman" w:asciiTheme="minorEastAsia" w:hAnsiTheme="minorEastAsia" w:eastAsiaTheme="minorEastAsia"/>
          <w:sz w:val="24"/>
          <w:szCs w:val="24"/>
          <w:highlight w:val="none"/>
        </w:rPr>
        <w:t>“乙方”系指根据合同约定交付货物的中标人</w:t>
      </w:r>
      <w:bookmarkEnd w:id="134"/>
      <w:r>
        <w:rPr>
          <w:rFonts w:hint="eastAsia" w:cs="Times New Roman" w:asciiTheme="minorEastAsia" w:hAnsiTheme="minorEastAsia" w:eastAsiaTheme="minorEastAsia"/>
          <w:sz w:val="24"/>
          <w:szCs w:val="24"/>
          <w:highlight w:val="none"/>
        </w:rPr>
        <w:t>；两个以上的自然人、法人或者其他组织组成一个联合体，以一个供应商的身份共同参加政府采购的，联合体各方均应为乙方或者与乙方相同地位的合同当事人，并就合同约定的事项对甲方承担连带责任。</w:t>
      </w:r>
    </w:p>
    <w:p w14:paraId="1386E14D">
      <w:pPr>
        <w:shd w:val="clear"/>
        <w:spacing w:line="360" w:lineRule="auto"/>
        <w:ind w:firstLine="435"/>
        <w:rPr>
          <w:rFonts w:cs="Times New Roman" w:asciiTheme="minorEastAsia" w:hAnsiTheme="minorEastAsia" w:eastAsiaTheme="minorEastAsia"/>
          <w:sz w:val="24"/>
          <w:szCs w:val="24"/>
          <w:highlight w:val="none"/>
        </w:rPr>
      </w:pPr>
      <w:bookmarkStart w:id="135" w:name="_Ref467379436"/>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w:t>
      </w:r>
      <w:r>
        <w:rPr>
          <w:rFonts w:hint="eastAsia" w:cs="Times New Roman" w:asciiTheme="minorEastAsia" w:hAnsiTheme="minorEastAsia" w:eastAsiaTheme="minorEastAsia"/>
          <w:sz w:val="24"/>
          <w:szCs w:val="24"/>
          <w:highlight w:val="none"/>
        </w:rPr>
        <w:t>6</w:t>
      </w:r>
      <w:r>
        <w:rPr>
          <w:rFonts w:cs="Times New Roman" w:asciiTheme="minorEastAsia" w:hAnsiTheme="minorEastAsia" w:eastAsiaTheme="minorEastAsia"/>
          <w:sz w:val="24"/>
          <w:szCs w:val="24"/>
          <w:highlight w:val="none"/>
        </w:rPr>
        <w:t>“现场”系指合同约定货物将要运至</w:t>
      </w:r>
      <w:r>
        <w:rPr>
          <w:rFonts w:hint="eastAsia" w:cs="Times New Roman" w:asciiTheme="minorEastAsia" w:hAnsiTheme="minorEastAsia" w:eastAsiaTheme="minorEastAsia"/>
          <w:sz w:val="24"/>
          <w:szCs w:val="24"/>
          <w:highlight w:val="none"/>
        </w:rPr>
        <w:t>或者</w:t>
      </w:r>
      <w:r>
        <w:rPr>
          <w:rFonts w:cs="Times New Roman" w:asciiTheme="minorEastAsia" w:hAnsiTheme="minorEastAsia" w:eastAsiaTheme="minorEastAsia"/>
          <w:sz w:val="24"/>
          <w:szCs w:val="24"/>
          <w:highlight w:val="none"/>
        </w:rPr>
        <w:t>安装的地点。</w:t>
      </w:r>
      <w:bookmarkEnd w:id="135"/>
    </w:p>
    <w:p w14:paraId="756D2C0D">
      <w:pPr>
        <w:shd w:val="clear"/>
        <w:spacing w:line="360" w:lineRule="auto"/>
        <w:ind w:firstLine="437"/>
        <w:rPr>
          <w:rFonts w:cs="Times New Roman" w:asciiTheme="minorEastAsia" w:hAnsiTheme="minorEastAsia" w:eastAsiaTheme="minorEastAsia"/>
          <w:b/>
          <w:bCs/>
          <w:sz w:val="24"/>
          <w:szCs w:val="24"/>
          <w:highlight w:val="none"/>
          <w:lang w:val="zh-CN"/>
        </w:rPr>
      </w:pPr>
      <w:bookmarkStart w:id="136" w:name="_Toc27635"/>
      <w:bookmarkStart w:id="137" w:name="_Toc259093670"/>
      <w:bookmarkStart w:id="138" w:name="_Toc32504"/>
      <w:bookmarkStart w:id="139" w:name="_Toc13336"/>
      <w:bookmarkStart w:id="140" w:name="_Toc487900350"/>
      <w:bookmarkStart w:id="141" w:name="_Toc279701241"/>
      <w:r>
        <w:rPr>
          <w:rFonts w:hint="eastAsia" w:cs="Times New Roman" w:asciiTheme="minorEastAsia" w:hAnsiTheme="minorEastAsia" w:eastAsiaTheme="minorEastAsia"/>
          <w:b/>
          <w:bCs/>
          <w:sz w:val="24"/>
          <w:szCs w:val="24"/>
          <w:highlight w:val="none"/>
          <w:lang w:val="zh-CN"/>
        </w:rPr>
        <w:t>2.</w:t>
      </w:r>
      <w:r>
        <w:rPr>
          <w:rFonts w:cs="Times New Roman" w:asciiTheme="minorEastAsia" w:hAnsiTheme="minorEastAsia" w:eastAsiaTheme="minorEastAsia"/>
          <w:b/>
          <w:bCs/>
          <w:sz w:val="24"/>
          <w:szCs w:val="24"/>
          <w:highlight w:val="none"/>
          <w:lang w:val="zh-CN"/>
        </w:rPr>
        <w:t>2 技术规范</w:t>
      </w:r>
      <w:bookmarkEnd w:id="136"/>
      <w:bookmarkEnd w:id="137"/>
      <w:bookmarkEnd w:id="138"/>
      <w:bookmarkEnd w:id="139"/>
      <w:bookmarkEnd w:id="140"/>
      <w:bookmarkEnd w:id="141"/>
    </w:p>
    <w:p w14:paraId="637BF77A">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货物所应遵守的技术规范应与采购文件规定的技术规范和技术规范附件</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如果有的话</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及其技术规范偏差表</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如果被甲方接受的话</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相一致</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如果采购文件中没有技术规范的相应说明，那么应以国家有关部门最新颁布的相应标准</w:t>
      </w:r>
      <w:r>
        <w:rPr>
          <w:rFonts w:hint="eastAsia" w:cs="Times New Roman" w:asciiTheme="minorEastAsia" w:hAnsiTheme="minorEastAsia" w:eastAsiaTheme="minorEastAsia"/>
          <w:sz w:val="24"/>
          <w:szCs w:val="24"/>
          <w:highlight w:val="none"/>
        </w:rPr>
        <w:t>和</w:t>
      </w:r>
      <w:r>
        <w:rPr>
          <w:rFonts w:cs="Times New Roman" w:asciiTheme="minorEastAsia" w:hAnsiTheme="minorEastAsia" w:eastAsiaTheme="minorEastAsia"/>
          <w:sz w:val="24"/>
          <w:szCs w:val="24"/>
          <w:highlight w:val="none"/>
        </w:rPr>
        <w:t>规范为准。</w:t>
      </w:r>
    </w:p>
    <w:p w14:paraId="24071183">
      <w:pPr>
        <w:shd w:val="clear"/>
        <w:spacing w:line="360" w:lineRule="auto"/>
        <w:ind w:firstLine="437"/>
        <w:rPr>
          <w:rFonts w:cs="Times New Roman" w:asciiTheme="minorEastAsia" w:hAnsiTheme="minorEastAsia" w:eastAsiaTheme="minorEastAsia"/>
          <w:b/>
          <w:bCs/>
          <w:sz w:val="24"/>
          <w:szCs w:val="24"/>
          <w:highlight w:val="none"/>
          <w:lang w:val="zh-CN"/>
        </w:rPr>
      </w:pPr>
      <w:bookmarkStart w:id="142" w:name="_Toc279701242"/>
      <w:bookmarkStart w:id="143" w:name="_Toc9829"/>
      <w:bookmarkStart w:id="144" w:name="_Toc31634"/>
      <w:bookmarkStart w:id="145" w:name="_Toc27853"/>
      <w:bookmarkStart w:id="146" w:name="_Toc487900351"/>
      <w:bookmarkStart w:id="147" w:name="_Toc259093671"/>
      <w:r>
        <w:rPr>
          <w:rFonts w:hint="eastAsia" w:cs="Times New Roman" w:asciiTheme="minorEastAsia" w:hAnsiTheme="minorEastAsia" w:eastAsiaTheme="minorEastAsia"/>
          <w:b/>
          <w:bCs/>
          <w:sz w:val="24"/>
          <w:szCs w:val="24"/>
          <w:highlight w:val="none"/>
          <w:lang w:val="zh-CN"/>
        </w:rPr>
        <w:t>2.</w:t>
      </w:r>
      <w:r>
        <w:rPr>
          <w:rFonts w:cs="Times New Roman" w:asciiTheme="minorEastAsia" w:hAnsiTheme="minorEastAsia" w:eastAsiaTheme="minorEastAsia"/>
          <w:b/>
          <w:bCs/>
          <w:sz w:val="24"/>
          <w:szCs w:val="24"/>
          <w:highlight w:val="none"/>
          <w:lang w:val="zh-CN"/>
        </w:rPr>
        <w:t>3 知识产权</w:t>
      </w:r>
      <w:bookmarkEnd w:id="142"/>
      <w:bookmarkEnd w:id="143"/>
      <w:bookmarkEnd w:id="144"/>
      <w:bookmarkEnd w:id="145"/>
      <w:bookmarkEnd w:id="146"/>
      <w:bookmarkEnd w:id="147"/>
    </w:p>
    <w:p w14:paraId="01ACE9DE">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2.3.1乙</w:t>
      </w:r>
      <w:r>
        <w:rPr>
          <w:rFonts w:cs="Times New Roman" w:asciiTheme="minorEastAsia" w:hAnsiTheme="minorEastAsia" w:eastAsiaTheme="minorEastAsia"/>
          <w:sz w:val="24"/>
          <w:szCs w:val="24"/>
          <w:highlight w:val="none"/>
        </w:rPr>
        <w:t>方应保证甲方在使用该货物或其任何一部分时不受任何第三方提出的侵犯其著作权、商标权、专利权等知识产权方面的起诉</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如果任何第三方提出侵权</w:t>
      </w:r>
      <w:r>
        <w:rPr>
          <w:rFonts w:hint="eastAsia" w:cs="Times New Roman" w:asciiTheme="minorEastAsia" w:hAnsiTheme="minorEastAsia" w:eastAsiaTheme="minorEastAsia"/>
          <w:sz w:val="24"/>
          <w:szCs w:val="24"/>
          <w:highlight w:val="none"/>
        </w:rPr>
        <w:t>指控</w:t>
      </w:r>
      <w:r>
        <w:rPr>
          <w:rFonts w:cs="Times New Roman" w:asciiTheme="minorEastAsia" w:hAnsiTheme="minorEastAsia" w:eastAsiaTheme="minorEastAsia"/>
          <w:sz w:val="24"/>
          <w:szCs w:val="24"/>
          <w:highlight w:val="none"/>
        </w:rPr>
        <w:t>，那么乙方须与该第三方交涉并承担由此发生的一切责任、费用和赔偿</w:t>
      </w:r>
      <w:r>
        <w:rPr>
          <w:rFonts w:hint="eastAsia" w:cs="Times New Roman" w:asciiTheme="minorEastAsia" w:hAnsiTheme="minorEastAsia" w:eastAsiaTheme="minorEastAsia"/>
          <w:sz w:val="24"/>
          <w:szCs w:val="24"/>
          <w:highlight w:val="none"/>
        </w:rPr>
        <w:t>；</w:t>
      </w:r>
    </w:p>
    <w:p w14:paraId="3706243F">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2.3.2具有知识产权的计算机软件等货物的知识产权归属，</w:t>
      </w:r>
      <w:r>
        <w:rPr>
          <w:rFonts w:cs="Times New Roman" w:asciiTheme="minorEastAsia" w:hAnsiTheme="minorEastAsia" w:eastAsiaTheme="minorEastAsia"/>
          <w:sz w:val="24"/>
          <w:szCs w:val="24"/>
          <w:highlight w:val="none"/>
        </w:rPr>
        <w:t>详见</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w:t>
      </w:r>
    </w:p>
    <w:p w14:paraId="5926D831">
      <w:pPr>
        <w:shd w:val="clear"/>
        <w:spacing w:line="360" w:lineRule="auto"/>
        <w:ind w:firstLine="437"/>
        <w:rPr>
          <w:rFonts w:cs="Times New Roman" w:asciiTheme="minorEastAsia" w:hAnsiTheme="minorEastAsia" w:eastAsiaTheme="minorEastAsia"/>
          <w:b/>
          <w:sz w:val="24"/>
          <w:szCs w:val="24"/>
          <w:highlight w:val="none"/>
        </w:rPr>
      </w:pPr>
      <w:bookmarkStart w:id="148" w:name="_Toc29149"/>
      <w:bookmarkStart w:id="149" w:name="_Toc4194"/>
      <w:bookmarkStart w:id="150" w:name="_Toc11932"/>
      <w:r>
        <w:rPr>
          <w:rFonts w:hint="eastAsia" w:cs="Times New Roman" w:asciiTheme="minorEastAsia" w:hAnsiTheme="minorEastAsia" w:eastAsiaTheme="minorEastAsia"/>
          <w:b/>
          <w:bCs/>
          <w:sz w:val="24"/>
          <w:szCs w:val="24"/>
          <w:highlight w:val="none"/>
          <w:lang w:val="zh-CN"/>
        </w:rPr>
        <w:t>2.4</w:t>
      </w:r>
      <w:r>
        <w:rPr>
          <w:rFonts w:cs="Times New Roman" w:asciiTheme="minorEastAsia" w:hAnsiTheme="minorEastAsia" w:eastAsiaTheme="minorEastAsia"/>
          <w:b/>
          <w:bCs/>
          <w:sz w:val="24"/>
          <w:szCs w:val="24"/>
          <w:highlight w:val="none"/>
          <w:lang w:val="zh-CN"/>
        </w:rPr>
        <w:t xml:space="preserve"> </w:t>
      </w:r>
      <w:r>
        <w:rPr>
          <w:rFonts w:hint="eastAsia" w:cs="Times New Roman" w:asciiTheme="minorEastAsia" w:hAnsiTheme="minorEastAsia" w:eastAsiaTheme="minorEastAsia"/>
          <w:b/>
          <w:bCs/>
          <w:sz w:val="24"/>
          <w:szCs w:val="24"/>
          <w:highlight w:val="none"/>
          <w:lang w:val="zh-CN"/>
        </w:rPr>
        <w:t>包装和装运</w:t>
      </w:r>
      <w:bookmarkEnd w:id="148"/>
      <w:bookmarkEnd w:id="149"/>
      <w:bookmarkEnd w:id="150"/>
    </w:p>
    <w:p w14:paraId="2446AD1E">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2.4.1除</w:t>
      </w:r>
      <w:r>
        <w:rPr>
          <w:rFonts w:cs="Times New Roman" w:asciiTheme="minorEastAsia" w:hAnsiTheme="minorEastAsia" w:eastAsiaTheme="minorEastAsia"/>
          <w:b/>
          <w:i/>
          <w:sz w:val="24"/>
          <w:szCs w:val="24"/>
          <w:highlight w:val="none"/>
          <w:u w:val="single"/>
        </w:rPr>
        <w:t>合同专用条款</w:t>
      </w:r>
      <w:r>
        <w:rPr>
          <w:rFonts w:hint="eastAsia" w:cs="Times New Roman" w:asciiTheme="minorEastAsia" w:hAnsiTheme="minorEastAsia" w:eastAsiaTheme="minorEastAsia"/>
          <w:sz w:val="24"/>
          <w:szCs w:val="24"/>
          <w:highlight w:val="none"/>
        </w:rPr>
        <w:t>另有约定外，乙方交付的全部货物，均应采用本行业通用的方式进行包装，没有通用方式的，应当采取足以保护货物的包装方式，且该包装应符合国家有关包装的法律、法规的规定。如有必要，包装应适用于远距离运输、防潮、防震、防锈和防粗暴装卸，确保货物安全无损地运抵现场。由于包装不善所引起的货物锈蚀、损坏和损失等一切风险均由乙方承担。</w:t>
      </w:r>
    </w:p>
    <w:p w14:paraId="4ECBB1B4">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2.4.2装运货物的要求和通知，详见</w:t>
      </w:r>
      <w:r>
        <w:rPr>
          <w:rFonts w:cs="Times New Roman" w:asciiTheme="minorEastAsia" w:hAnsiTheme="minorEastAsia" w:eastAsiaTheme="minorEastAsia"/>
          <w:b/>
          <w:i/>
          <w:sz w:val="24"/>
          <w:szCs w:val="24"/>
          <w:highlight w:val="none"/>
          <w:u w:val="single"/>
        </w:rPr>
        <w:t>合同专用条款</w:t>
      </w:r>
      <w:r>
        <w:rPr>
          <w:rFonts w:hint="eastAsia" w:cs="Times New Roman" w:asciiTheme="minorEastAsia" w:hAnsiTheme="minorEastAsia" w:eastAsiaTheme="minorEastAsia"/>
          <w:sz w:val="24"/>
          <w:szCs w:val="24"/>
          <w:highlight w:val="none"/>
        </w:rPr>
        <w:t>。</w:t>
      </w:r>
    </w:p>
    <w:p w14:paraId="47312099">
      <w:pPr>
        <w:shd w:val="clear"/>
        <w:spacing w:line="360" w:lineRule="auto"/>
        <w:ind w:firstLine="437"/>
        <w:rPr>
          <w:rFonts w:cs="Times New Roman" w:asciiTheme="minorEastAsia" w:hAnsiTheme="minorEastAsia" w:eastAsiaTheme="minorEastAsia"/>
          <w:b/>
          <w:bCs/>
          <w:sz w:val="24"/>
          <w:szCs w:val="24"/>
          <w:highlight w:val="none"/>
          <w:lang w:val="zh-CN"/>
        </w:rPr>
      </w:pPr>
      <w:bookmarkStart w:id="151" w:name="_Toc487900354"/>
      <w:bookmarkStart w:id="152" w:name="_Toc279701245"/>
      <w:bookmarkStart w:id="153" w:name="_Ref467378591"/>
      <w:bookmarkStart w:id="154" w:name="_Ref467379536"/>
      <w:bookmarkStart w:id="155" w:name="_Ref467379542"/>
      <w:bookmarkStart w:id="156" w:name="_Toc259093674"/>
      <w:bookmarkStart w:id="157" w:name="_Ref467379527"/>
      <w:bookmarkStart w:id="158" w:name="_Ref467378541"/>
      <w:bookmarkStart w:id="159" w:name="_Toc30272"/>
      <w:bookmarkStart w:id="160" w:name="_Toc26182"/>
      <w:bookmarkStart w:id="161" w:name="_Toc19074"/>
      <w:r>
        <w:rPr>
          <w:rFonts w:hint="eastAsia" w:cs="Times New Roman" w:asciiTheme="minorEastAsia" w:hAnsiTheme="minorEastAsia" w:eastAsiaTheme="minorEastAsia"/>
          <w:b/>
          <w:bCs/>
          <w:sz w:val="24"/>
          <w:szCs w:val="24"/>
          <w:highlight w:val="none"/>
          <w:lang w:val="zh-CN"/>
        </w:rPr>
        <w:t>2.</w:t>
      </w:r>
      <w:bookmarkEnd w:id="151"/>
      <w:bookmarkEnd w:id="152"/>
      <w:bookmarkEnd w:id="153"/>
      <w:bookmarkEnd w:id="154"/>
      <w:bookmarkEnd w:id="155"/>
      <w:bookmarkEnd w:id="156"/>
      <w:bookmarkEnd w:id="157"/>
      <w:bookmarkEnd w:id="158"/>
      <w:r>
        <w:rPr>
          <w:rFonts w:hint="eastAsia" w:cs="Times New Roman" w:asciiTheme="minorEastAsia" w:hAnsiTheme="minorEastAsia" w:eastAsiaTheme="minorEastAsia"/>
          <w:b/>
          <w:bCs/>
          <w:sz w:val="24"/>
          <w:szCs w:val="24"/>
          <w:highlight w:val="none"/>
          <w:lang w:val="zh-CN"/>
        </w:rPr>
        <w:t>5</w:t>
      </w:r>
      <w:r>
        <w:rPr>
          <w:rFonts w:cs="Times New Roman" w:asciiTheme="minorEastAsia" w:hAnsiTheme="minorEastAsia" w:eastAsiaTheme="minorEastAsia"/>
          <w:b/>
          <w:bCs/>
          <w:sz w:val="24"/>
          <w:szCs w:val="24"/>
          <w:highlight w:val="none"/>
          <w:lang w:val="zh-CN"/>
        </w:rPr>
        <w:t xml:space="preserve"> </w:t>
      </w:r>
      <w:r>
        <w:rPr>
          <w:rFonts w:hint="eastAsia" w:cs="Times New Roman" w:asciiTheme="minorEastAsia" w:hAnsiTheme="minorEastAsia" w:eastAsiaTheme="minorEastAsia"/>
          <w:b/>
          <w:bCs/>
          <w:sz w:val="24"/>
          <w:szCs w:val="24"/>
          <w:highlight w:val="none"/>
          <w:lang w:val="zh-CN"/>
        </w:rPr>
        <w:t>履约检查和问题反馈</w:t>
      </w:r>
      <w:bookmarkEnd w:id="159"/>
      <w:bookmarkEnd w:id="160"/>
      <w:bookmarkEnd w:id="161"/>
    </w:p>
    <w:p w14:paraId="53C1104C">
      <w:pPr>
        <w:shd w:val="clear"/>
        <w:spacing w:line="360" w:lineRule="auto"/>
        <w:ind w:firstLine="435"/>
        <w:rPr>
          <w:rFonts w:cs="Times New Roman" w:asciiTheme="minorEastAsia" w:hAnsiTheme="minorEastAsia" w:eastAsiaTheme="minorEastAsia"/>
          <w:sz w:val="24"/>
          <w:szCs w:val="24"/>
          <w:highlight w:val="none"/>
        </w:rPr>
      </w:pPr>
      <w:bookmarkStart w:id="162" w:name="_Ref467379657"/>
      <w:r>
        <w:rPr>
          <w:rFonts w:hint="eastAsia" w:cs="Times New Roman" w:asciiTheme="minorEastAsia" w:hAnsiTheme="minorEastAsia" w:eastAsiaTheme="minorEastAsia"/>
          <w:sz w:val="24"/>
          <w:szCs w:val="24"/>
          <w:highlight w:val="none"/>
        </w:rPr>
        <w:t>2.5</w:t>
      </w:r>
      <w:r>
        <w:rPr>
          <w:rFonts w:cs="Times New Roman" w:asciiTheme="minorEastAsia" w:hAnsiTheme="minorEastAsia" w:eastAsiaTheme="minorEastAsia"/>
          <w:sz w:val="24"/>
          <w:szCs w:val="24"/>
          <w:highlight w:val="none"/>
        </w:rPr>
        <w:t>.1</w:t>
      </w:r>
      <w:bookmarkEnd w:id="162"/>
      <w:bookmarkStart w:id="163" w:name="_Toc186431854"/>
      <w:bookmarkStart w:id="164" w:name="_Toc279701247"/>
      <w:bookmarkStart w:id="165" w:name="_Toc487900357"/>
      <w:bookmarkStart w:id="166" w:name="_Ref467379793"/>
      <w:bookmarkStart w:id="167" w:name="_Toc259093676"/>
      <w:bookmarkStart w:id="168" w:name="_Ref467379807"/>
      <w:r>
        <w:rPr>
          <w:rFonts w:cs="Times New Roman" w:asciiTheme="minorEastAsia" w:hAnsiTheme="minorEastAsia" w:eastAsiaTheme="minorEastAsia"/>
          <w:sz w:val="24"/>
          <w:szCs w:val="24"/>
          <w:highlight w:val="none"/>
        </w:rPr>
        <w:t>甲方</w:t>
      </w:r>
      <w:r>
        <w:rPr>
          <w:rFonts w:hint="eastAsia" w:cs="Times New Roman" w:asciiTheme="minorEastAsia" w:hAnsiTheme="minorEastAsia" w:eastAsiaTheme="minorEastAsia"/>
          <w:sz w:val="24"/>
          <w:szCs w:val="24"/>
          <w:highlight w:val="none"/>
        </w:rPr>
        <w:t>有权</w:t>
      </w:r>
      <w:r>
        <w:rPr>
          <w:rFonts w:cs="Times New Roman" w:asciiTheme="minorEastAsia" w:hAnsiTheme="minorEastAsia" w:eastAsiaTheme="minorEastAsia"/>
          <w:sz w:val="24"/>
          <w:szCs w:val="24"/>
          <w:highlight w:val="none"/>
        </w:rPr>
        <w:t>在其认为必要时</w:t>
      </w:r>
      <w:r>
        <w:rPr>
          <w:rFonts w:hint="eastAsia" w:cs="Times New Roman" w:asciiTheme="minorEastAsia" w:hAnsiTheme="minorEastAsia" w:eastAsiaTheme="minorEastAsia"/>
          <w:sz w:val="24"/>
          <w:szCs w:val="24"/>
          <w:highlight w:val="none"/>
        </w:rPr>
        <w:t>，对乙方是否能够按照合同约定交付货物进行履约检查，以确保乙方所交付的货物能够依约满足甲方项目需求，但不得因履约检查妨碍乙方的正常工作，乙方应予积极配合；</w:t>
      </w:r>
    </w:p>
    <w:p w14:paraId="02A2A28A">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2.5.2合同履行期间，甲方有权将履行过程中出现的问题反馈给乙方，双方当事人应以书面形式约定需要完善和改进的内容</w:t>
      </w:r>
      <w:bookmarkEnd w:id="163"/>
      <w:bookmarkStart w:id="169" w:name="_Toc186431855"/>
      <w:r>
        <w:rPr>
          <w:rFonts w:hint="eastAsia" w:cs="Times New Roman" w:asciiTheme="minorEastAsia" w:hAnsiTheme="minorEastAsia" w:eastAsiaTheme="minorEastAsia"/>
          <w:sz w:val="24"/>
          <w:szCs w:val="24"/>
          <w:highlight w:val="none"/>
        </w:rPr>
        <w:t>。</w:t>
      </w:r>
    </w:p>
    <w:bookmarkEnd w:id="169"/>
    <w:p w14:paraId="3E8FB832">
      <w:pPr>
        <w:shd w:val="clear"/>
        <w:spacing w:line="360" w:lineRule="auto"/>
        <w:ind w:firstLine="437"/>
        <w:rPr>
          <w:rFonts w:cs="Times New Roman" w:asciiTheme="minorEastAsia" w:hAnsiTheme="minorEastAsia" w:eastAsiaTheme="minorEastAsia"/>
          <w:b/>
          <w:bCs/>
          <w:sz w:val="24"/>
          <w:szCs w:val="24"/>
          <w:highlight w:val="none"/>
          <w:lang w:val="zh-CN"/>
        </w:rPr>
      </w:pPr>
      <w:bookmarkStart w:id="170" w:name="_Toc19219"/>
      <w:bookmarkStart w:id="171" w:name="_Toc28451"/>
      <w:bookmarkStart w:id="172" w:name="_Toc7836"/>
      <w:r>
        <w:rPr>
          <w:rFonts w:hint="eastAsia" w:cs="Times New Roman" w:asciiTheme="minorEastAsia" w:hAnsiTheme="minorEastAsia" w:eastAsiaTheme="minorEastAsia"/>
          <w:b/>
          <w:bCs/>
          <w:sz w:val="24"/>
          <w:szCs w:val="24"/>
          <w:highlight w:val="none"/>
          <w:lang w:val="zh-CN"/>
        </w:rPr>
        <w:t xml:space="preserve">2.6 </w:t>
      </w:r>
      <w:r>
        <w:rPr>
          <w:rFonts w:cs="Times New Roman" w:asciiTheme="minorEastAsia" w:hAnsiTheme="minorEastAsia" w:eastAsiaTheme="minorEastAsia"/>
          <w:b/>
          <w:bCs/>
          <w:sz w:val="24"/>
          <w:szCs w:val="24"/>
          <w:highlight w:val="none"/>
          <w:lang w:val="zh-CN"/>
        </w:rPr>
        <w:t>结算方式和付款条件</w:t>
      </w:r>
      <w:bookmarkEnd w:id="164"/>
      <w:bookmarkEnd w:id="165"/>
      <w:bookmarkEnd w:id="166"/>
      <w:bookmarkEnd w:id="167"/>
      <w:bookmarkEnd w:id="168"/>
      <w:bookmarkEnd w:id="170"/>
      <w:bookmarkEnd w:id="171"/>
      <w:bookmarkEnd w:id="172"/>
    </w:p>
    <w:p w14:paraId="155C3CBC">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详见</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w:t>
      </w:r>
    </w:p>
    <w:p w14:paraId="60F8245B">
      <w:pPr>
        <w:shd w:val="clear"/>
        <w:spacing w:line="360" w:lineRule="auto"/>
        <w:ind w:firstLine="437"/>
        <w:rPr>
          <w:rFonts w:cs="Times New Roman" w:asciiTheme="minorEastAsia" w:hAnsiTheme="minorEastAsia" w:eastAsiaTheme="minorEastAsia"/>
          <w:b/>
          <w:bCs/>
          <w:sz w:val="24"/>
          <w:szCs w:val="24"/>
          <w:highlight w:val="none"/>
          <w:lang w:val="zh-CN"/>
        </w:rPr>
      </w:pPr>
      <w:bookmarkStart w:id="173" w:name="_Ref467379852"/>
      <w:bookmarkStart w:id="174" w:name="_Ref467379923"/>
      <w:bookmarkStart w:id="175" w:name="_Toc487900358"/>
      <w:bookmarkStart w:id="176" w:name="_Toc259093677"/>
      <w:bookmarkStart w:id="177" w:name="_Toc279701248"/>
      <w:bookmarkStart w:id="178" w:name="_Ref467379863"/>
      <w:bookmarkStart w:id="179" w:name="_Toc3225"/>
      <w:bookmarkStart w:id="180" w:name="_Toc16110"/>
      <w:bookmarkStart w:id="181" w:name="_Toc774"/>
      <w:r>
        <w:rPr>
          <w:rFonts w:hint="eastAsia" w:cs="Times New Roman" w:asciiTheme="minorEastAsia" w:hAnsiTheme="minorEastAsia" w:eastAsiaTheme="minorEastAsia"/>
          <w:b/>
          <w:bCs/>
          <w:sz w:val="24"/>
          <w:szCs w:val="24"/>
          <w:highlight w:val="none"/>
          <w:lang w:val="zh-CN"/>
        </w:rPr>
        <w:t xml:space="preserve">2.7 </w:t>
      </w:r>
      <w:r>
        <w:rPr>
          <w:rFonts w:cs="Times New Roman" w:asciiTheme="minorEastAsia" w:hAnsiTheme="minorEastAsia" w:eastAsiaTheme="minorEastAsia"/>
          <w:b/>
          <w:bCs/>
          <w:sz w:val="24"/>
          <w:szCs w:val="24"/>
          <w:highlight w:val="none"/>
          <w:lang w:val="zh-CN"/>
        </w:rPr>
        <w:t>技术资料</w:t>
      </w:r>
      <w:bookmarkEnd w:id="173"/>
      <w:bookmarkEnd w:id="174"/>
      <w:bookmarkEnd w:id="175"/>
      <w:bookmarkEnd w:id="176"/>
      <w:bookmarkEnd w:id="177"/>
      <w:bookmarkEnd w:id="178"/>
      <w:r>
        <w:rPr>
          <w:rFonts w:cs="Times New Roman" w:asciiTheme="minorEastAsia" w:hAnsiTheme="minorEastAsia" w:eastAsiaTheme="minorEastAsia"/>
          <w:b/>
          <w:bCs/>
          <w:sz w:val="24"/>
          <w:szCs w:val="24"/>
          <w:highlight w:val="none"/>
          <w:lang w:val="zh-CN"/>
        </w:rPr>
        <w:t>和保密义务</w:t>
      </w:r>
      <w:bookmarkEnd w:id="179"/>
      <w:bookmarkEnd w:id="180"/>
      <w:bookmarkEnd w:id="181"/>
    </w:p>
    <w:p w14:paraId="0DAC5D0F">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2.7</w:t>
      </w:r>
      <w:r>
        <w:rPr>
          <w:rFonts w:cs="Times New Roman" w:asciiTheme="minorEastAsia" w:hAnsiTheme="minorEastAsia" w:eastAsiaTheme="minorEastAsia"/>
          <w:sz w:val="24"/>
          <w:szCs w:val="24"/>
          <w:highlight w:val="none"/>
        </w:rPr>
        <w:t>.1</w:t>
      </w:r>
      <w:r>
        <w:rPr>
          <w:rFonts w:hint="eastAsia" w:cs="Times New Roman" w:asciiTheme="minorEastAsia" w:hAnsiTheme="minorEastAsia" w:eastAsiaTheme="minorEastAsia"/>
          <w:sz w:val="24"/>
          <w:szCs w:val="24"/>
          <w:highlight w:val="none"/>
        </w:rPr>
        <w:t>乙方有权依据合同约定和项目需要，向甲方了解有关情况，调阅有关资料等，甲方应予积极配合；</w:t>
      </w:r>
    </w:p>
    <w:p w14:paraId="608BD482">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2.7.2乙方有义务妥善保管和保护由甲方提供的前款信息和资料等；</w:t>
      </w:r>
    </w:p>
    <w:p w14:paraId="73C8A66C">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2.7</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rPr>
        <w:t>3除非依照法律规定或者对方当事人的书面同意，任何一方均应保证不向任何第三方提供或披露有关合同的或者履行合同过程中知悉的对方当事人任何未公开的信息和资料，包括但不限于</w:t>
      </w:r>
      <w:r>
        <w:rPr>
          <w:rFonts w:cs="Times New Roman" w:asciiTheme="minorEastAsia" w:hAnsiTheme="minorEastAsia" w:eastAsiaTheme="minorEastAsia"/>
          <w:sz w:val="24"/>
          <w:szCs w:val="24"/>
          <w:highlight w:val="none"/>
        </w:rPr>
        <w:t>技术情报</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技术资料</w:t>
      </w:r>
      <w:r>
        <w:rPr>
          <w:rFonts w:hint="eastAsia" w:cs="Times New Roman" w:asciiTheme="minorEastAsia" w:hAnsiTheme="minorEastAsia" w:eastAsiaTheme="minorEastAsia"/>
          <w:sz w:val="24"/>
          <w:szCs w:val="24"/>
          <w:highlight w:val="none"/>
        </w:rPr>
        <w:t>、商业秘密和商业信息等，并采取一切合理和必要措施和方式防止任何第三方接触到对方当事人的上述保密信息和资料。</w:t>
      </w:r>
    </w:p>
    <w:p w14:paraId="763B620C">
      <w:pPr>
        <w:shd w:val="clear"/>
        <w:spacing w:line="360" w:lineRule="auto"/>
        <w:ind w:firstLine="437"/>
        <w:rPr>
          <w:rFonts w:cs="Times New Roman" w:asciiTheme="minorEastAsia" w:hAnsiTheme="minorEastAsia" w:eastAsiaTheme="minorEastAsia"/>
          <w:b/>
          <w:bCs/>
          <w:sz w:val="24"/>
          <w:szCs w:val="24"/>
          <w:highlight w:val="none"/>
          <w:lang w:val="zh-CN"/>
        </w:rPr>
      </w:pPr>
      <w:bookmarkStart w:id="182" w:name="_Toc7860"/>
      <w:r>
        <w:rPr>
          <w:rFonts w:cs="Times New Roman" w:asciiTheme="minorEastAsia" w:hAnsiTheme="minorEastAsia" w:eastAsiaTheme="minorEastAsia"/>
          <w:b/>
          <w:bCs/>
          <w:sz w:val="24"/>
          <w:szCs w:val="24"/>
          <w:highlight w:val="none"/>
          <w:lang w:val="zh-CN"/>
        </w:rPr>
        <w:t>2.8 质量保证</w:t>
      </w:r>
      <w:bookmarkEnd w:id="182"/>
    </w:p>
    <w:p w14:paraId="53651244">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2.8.1乙方应建立和完善履行合同的内部质量保证体系，并提供相关内部规章制度给甲方，以便甲方进行监督检查；</w:t>
      </w:r>
    </w:p>
    <w:p w14:paraId="4AA6FCCB">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2.8.2乙方应保证履行合同的人员数量和素质、软件和硬件设备的配置、场地、环境和设施等满足全面履行合同的要求，并应接受甲方的监督检查。</w:t>
      </w:r>
    </w:p>
    <w:p w14:paraId="526513CB">
      <w:pPr>
        <w:shd w:val="clear"/>
        <w:spacing w:line="360" w:lineRule="auto"/>
        <w:ind w:firstLine="437"/>
        <w:rPr>
          <w:rFonts w:cs="Times New Roman" w:asciiTheme="minorEastAsia" w:hAnsiTheme="minorEastAsia" w:eastAsiaTheme="minorEastAsia"/>
          <w:b/>
          <w:bCs/>
          <w:sz w:val="24"/>
          <w:szCs w:val="24"/>
          <w:highlight w:val="none"/>
          <w:lang w:val="zh-CN"/>
        </w:rPr>
      </w:pPr>
      <w:bookmarkStart w:id="183" w:name="_Toc17244"/>
      <w:bookmarkStart w:id="184" w:name="_Toc259093681"/>
      <w:bookmarkStart w:id="185" w:name="_Toc487900362"/>
      <w:bookmarkStart w:id="186" w:name="_Toc279701252"/>
      <w:r>
        <w:rPr>
          <w:rFonts w:cs="Times New Roman" w:asciiTheme="minorEastAsia" w:hAnsiTheme="minorEastAsia" w:eastAsiaTheme="minorEastAsia"/>
          <w:b/>
          <w:bCs/>
          <w:sz w:val="24"/>
          <w:szCs w:val="24"/>
          <w:highlight w:val="none"/>
          <w:lang w:val="zh-CN"/>
        </w:rPr>
        <w:t>2.9 货物的风险负担</w:t>
      </w:r>
      <w:bookmarkEnd w:id="183"/>
    </w:p>
    <w:p w14:paraId="4BB977BC">
      <w:pPr>
        <w:shd w:val="clear"/>
        <w:spacing w:line="360" w:lineRule="auto"/>
        <w:ind w:firstLine="435"/>
        <w:rPr>
          <w:rFonts w:cs="Times New Roman" w:asciiTheme="minorEastAsia" w:hAnsiTheme="minorEastAsia" w:eastAsiaTheme="minorEastAsia"/>
          <w:b/>
          <w:sz w:val="24"/>
          <w:szCs w:val="24"/>
          <w:highlight w:val="none"/>
        </w:rPr>
      </w:pPr>
      <w:r>
        <w:rPr>
          <w:rFonts w:hint="eastAsia" w:cs="Times New Roman" w:asciiTheme="minorEastAsia" w:hAnsiTheme="minorEastAsia" w:eastAsiaTheme="minorEastAsia"/>
          <w:sz w:val="24"/>
          <w:szCs w:val="24"/>
          <w:highlight w:val="none"/>
        </w:rPr>
        <w:t>货物或者在途货物或者交付给第一承运人后的货物毁损、灭失的风险负担</w:t>
      </w:r>
      <w:r>
        <w:rPr>
          <w:rFonts w:cs="Times New Roman" w:asciiTheme="minorEastAsia" w:hAnsiTheme="minorEastAsia" w:eastAsiaTheme="minorEastAsia"/>
          <w:sz w:val="24"/>
          <w:szCs w:val="24"/>
          <w:highlight w:val="none"/>
        </w:rPr>
        <w:t>详见</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w:t>
      </w:r>
    </w:p>
    <w:p w14:paraId="701D21A9">
      <w:pPr>
        <w:shd w:val="clear"/>
        <w:spacing w:line="360" w:lineRule="auto"/>
        <w:ind w:firstLine="437"/>
        <w:rPr>
          <w:rFonts w:cs="Times New Roman" w:asciiTheme="minorEastAsia" w:hAnsiTheme="minorEastAsia" w:eastAsiaTheme="minorEastAsia"/>
          <w:b/>
          <w:bCs/>
          <w:sz w:val="24"/>
          <w:szCs w:val="24"/>
          <w:highlight w:val="none"/>
          <w:lang w:val="zh-CN"/>
        </w:rPr>
      </w:pPr>
      <w:bookmarkStart w:id="187" w:name="_Toc14055"/>
      <w:r>
        <w:rPr>
          <w:rFonts w:cs="Times New Roman" w:asciiTheme="minorEastAsia" w:hAnsiTheme="minorEastAsia" w:eastAsiaTheme="minorEastAsia"/>
          <w:b/>
          <w:bCs/>
          <w:sz w:val="24"/>
          <w:szCs w:val="24"/>
          <w:highlight w:val="none"/>
          <w:lang w:val="zh-CN"/>
        </w:rPr>
        <w:t>2.10 延迟交货</w:t>
      </w:r>
      <w:bookmarkEnd w:id="184"/>
      <w:bookmarkEnd w:id="185"/>
      <w:bookmarkEnd w:id="186"/>
      <w:bookmarkEnd w:id="187"/>
    </w:p>
    <w:p w14:paraId="05E1DF31">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在合同履行过程中，如果乙方遇到不能按时交付货物的情况，应及时以书面形式将不能按时</w:t>
      </w:r>
      <w:r>
        <w:rPr>
          <w:rFonts w:hint="eastAsia" w:cs="Times New Roman" w:asciiTheme="minorEastAsia" w:hAnsiTheme="minorEastAsia" w:eastAsiaTheme="minorEastAsia"/>
          <w:sz w:val="24"/>
          <w:szCs w:val="24"/>
          <w:highlight w:val="none"/>
        </w:rPr>
        <w:t>交付货物</w:t>
      </w:r>
      <w:r>
        <w:rPr>
          <w:rFonts w:cs="Times New Roman" w:asciiTheme="minorEastAsia" w:hAnsiTheme="minorEastAsia" w:eastAsiaTheme="minorEastAsia"/>
          <w:sz w:val="24"/>
          <w:szCs w:val="24"/>
          <w:highlight w:val="none"/>
        </w:rPr>
        <w:t>的理由、预期延误时间通知甲方</w:t>
      </w:r>
      <w:r>
        <w:rPr>
          <w:rFonts w:hint="eastAsia" w:cs="Times New Roman" w:asciiTheme="minorEastAsia" w:hAnsiTheme="minorEastAsia" w:eastAsiaTheme="minorEastAsia"/>
          <w:sz w:val="24"/>
          <w:szCs w:val="24"/>
          <w:highlight w:val="none"/>
        </w:rPr>
        <w:t>；甲</w:t>
      </w:r>
      <w:r>
        <w:rPr>
          <w:rFonts w:cs="Times New Roman" w:asciiTheme="minorEastAsia" w:hAnsiTheme="minorEastAsia" w:eastAsiaTheme="minorEastAsia"/>
          <w:sz w:val="24"/>
          <w:szCs w:val="24"/>
          <w:highlight w:val="none"/>
        </w:rPr>
        <w:t>方收到乙方通知后，认为其理由正当的，可以书面形式酌情同意乙方可以延长交货的具体时间。</w:t>
      </w:r>
    </w:p>
    <w:p w14:paraId="1BFC85BF">
      <w:pPr>
        <w:shd w:val="clear"/>
        <w:spacing w:line="360" w:lineRule="auto"/>
        <w:ind w:firstLine="437"/>
        <w:rPr>
          <w:rFonts w:cs="Times New Roman" w:asciiTheme="minorEastAsia" w:hAnsiTheme="minorEastAsia" w:eastAsiaTheme="minorEastAsia"/>
          <w:b/>
          <w:bCs/>
          <w:sz w:val="24"/>
          <w:szCs w:val="24"/>
          <w:highlight w:val="none"/>
          <w:lang w:val="zh-CN"/>
        </w:rPr>
      </w:pPr>
      <w:bookmarkStart w:id="188" w:name="_Toc7502"/>
      <w:bookmarkStart w:id="189" w:name="_Ref467378121"/>
      <w:bookmarkStart w:id="190" w:name="_Toc259093683"/>
      <w:bookmarkStart w:id="191" w:name="_Toc279701254"/>
      <w:bookmarkStart w:id="192" w:name="_Toc487900364"/>
      <w:r>
        <w:rPr>
          <w:rFonts w:cs="Times New Roman" w:asciiTheme="minorEastAsia" w:hAnsiTheme="minorEastAsia" w:eastAsiaTheme="minorEastAsia"/>
          <w:b/>
          <w:bCs/>
          <w:sz w:val="24"/>
          <w:szCs w:val="24"/>
          <w:highlight w:val="none"/>
          <w:lang w:val="zh-CN"/>
        </w:rPr>
        <w:t>2.11 合同变更</w:t>
      </w:r>
      <w:bookmarkEnd w:id="188"/>
    </w:p>
    <w:p w14:paraId="11613325">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2.11.1双方当事人协商一致，可以签订书面补充合同的形式变更合同，但不得违背采购文件确定的事项；</w:t>
      </w:r>
    </w:p>
    <w:p w14:paraId="79A3517D">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2.11.2合同继续履行将损害国家利益和社会公共利益的，双方当事人应当以书面形式变更合同。有过错的一方应当承担赔偿责任，双方当事人都有过错的，各自承担相应的责任。</w:t>
      </w:r>
      <w:bookmarkStart w:id="193" w:name="_Toc259093688"/>
      <w:bookmarkStart w:id="194" w:name="_Toc279701259"/>
      <w:bookmarkStart w:id="195" w:name="_Toc487900369"/>
    </w:p>
    <w:p w14:paraId="3A2019A7">
      <w:pPr>
        <w:shd w:val="clear"/>
        <w:spacing w:line="360" w:lineRule="auto"/>
        <w:ind w:firstLine="437"/>
        <w:rPr>
          <w:rFonts w:cs="Times New Roman" w:asciiTheme="minorEastAsia" w:hAnsiTheme="minorEastAsia" w:eastAsiaTheme="minorEastAsia"/>
          <w:b/>
          <w:bCs/>
          <w:sz w:val="24"/>
          <w:szCs w:val="24"/>
          <w:highlight w:val="none"/>
          <w:lang w:val="zh-CN"/>
        </w:rPr>
      </w:pPr>
      <w:bookmarkStart w:id="196" w:name="_Toc22955"/>
      <w:bookmarkStart w:id="197" w:name="_Toc10366"/>
      <w:bookmarkStart w:id="198" w:name="_Toc15237"/>
      <w:r>
        <w:rPr>
          <w:rFonts w:hint="eastAsia" w:cs="Times New Roman" w:asciiTheme="minorEastAsia" w:hAnsiTheme="minorEastAsia" w:eastAsiaTheme="minorEastAsia"/>
          <w:b/>
          <w:bCs/>
          <w:sz w:val="24"/>
          <w:szCs w:val="24"/>
          <w:highlight w:val="none"/>
          <w:lang w:val="zh-CN"/>
        </w:rPr>
        <w:t xml:space="preserve">2.12 </w:t>
      </w:r>
      <w:r>
        <w:rPr>
          <w:rFonts w:cs="Times New Roman" w:asciiTheme="minorEastAsia" w:hAnsiTheme="minorEastAsia" w:eastAsiaTheme="minorEastAsia"/>
          <w:b/>
          <w:bCs/>
          <w:sz w:val="24"/>
          <w:szCs w:val="24"/>
          <w:highlight w:val="none"/>
          <w:lang w:val="zh-CN"/>
        </w:rPr>
        <w:t>合同转让</w:t>
      </w:r>
      <w:bookmarkEnd w:id="193"/>
      <w:bookmarkEnd w:id="194"/>
      <w:bookmarkEnd w:id="195"/>
      <w:r>
        <w:rPr>
          <w:rFonts w:cs="Times New Roman" w:asciiTheme="minorEastAsia" w:hAnsiTheme="minorEastAsia" w:eastAsiaTheme="minorEastAsia"/>
          <w:b/>
          <w:bCs/>
          <w:sz w:val="24"/>
          <w:szCs w:val="24"/>
          <w:highlight w:val="none"/>
          <w:lang w:val="zh-CN"/>
        </w:rPr>
        <w:t>和分包</w:t>
      </w:r>
      <w:bookmarkEnd w:id="196"/>
      <w:bookmarkEnd w:id="197"/>
      <w:bookmarkEnd w:id="198"/>
    </w:p>
    <w:p w14:paraId="654C4D44">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合同的权利义务依法不</w:t>
      </w:r>
      <w:r>
        <w:rPr>
          <w:rFonts w:hint="eastAsia" w:cs="Times New Roman" w:asciiTheme="minorEastAsia" w:hAnsiTheme="minorEastAsia" w:eastAsiaTheme="minorEastAsia"/>
          <w:sz w:val="24"/>
          <w:szCs w:val="24"/>
          <w:highlight w:val="none"/>
        </w:rPr>
        <w:t>得</w:t>
      </w:r>
      <w:r>
        <w:rPr>
          <w:rFonts w:cs="Times New Roman" w:asciiTheme="minorEastAsia" w:hAnsiTheme="minorEastAsia" w:eastAsiaTheme="minorEastAsia"/>
          <w:sz w:val="24"/>
          <w:szCs w:val="24"/>
          <w:highlight w:val="none"/>
        </w:rPr>
        <w:t>转让</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但经甲方</w:t>
      </w:r>
      <w:r>
        <w:rPr>
          <w:rFonts w:hint="eastAsia" w:cs="Times New Roman" w:asciiTheme="minorEastAsia" w:hAnsiTheme="minorEastAsia" w:eastAsiaTheme="minorEastAsia"/>
          <w:sz w:val="24"/>
          <w:szCs w:val="24"/>
          <w:highlight w:val="none"/>
        </w:rPr>
        <w:t>同意，乙方可以依法采取分包方式履行合同，即：依法可以</w:t>
      </w:r>
      <w:r>
        <w:rPr>
          <w:rFonts w:cs="Times New Roman" w:asciiTheme="minorEastAsia" w:hAnsiTheme="minorEastAsia" w:eastAsiaTheme="minorEastAsia"/>
          <w:sz w:val="24"/>
          <w:szCs w:val="24"/>
          <w:highlight w:val="none"/>
        </w:rPr>
        <w:t>将合同项下的部分非主体、非关键性工作分包给他人完成</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接受分包的人应当具备相应的资格条件，并不得再次分包</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且乙方应就分包项目向甲方负责</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并</w:t>
      </w:r>
      <w:r>
        <w:rPr>
          <w:rFonts w:hint="eastAsia" w:cs="Times New Roman" w:asciiTheme="minorEastAsia" w:hAnsiTheme="minorEastAsia" w:eastAsiaTheme="minorEastAsia"/>
          <w:sz w:val="24"/>
          <w:szCs w:val="24"/>
          <w:highlight w:val="none"/>
        </w:rPr>
        <w:t>与分包供应商就分包项目向甲方承担连带责任。</w:t>
      </w:r>
    </w:p>
    <w:p w14:paraId="34A4FF88">
      <w:pPr>
        <w:shd w:val="clear"/>
        <w:spacing w:line="360" w:lineRule="auto"/>
        <w:ind w:firstLine="437"/>
        <w:rPr>
          <w:rFonts w:cs="Times New Roman" w:asciiTheme="minorEastAsia" w:hAnsiTheme="minorEastAsia" w:eastAsiaTheme="minorEastAsia"/>
          <w:b/>
          <w:bCs/>
          <w:sz w:val="24"/>
          <w:szCs w:val="24"/>
          <w:highlight w:val="none"/>
          <w:lang w:val="zh-CN"/>
        </w:rPr>
      </w:pPr>
      <w:bookmarkStart w:id="199" w:name="_Toc14066"/>
      <w:bookmarkStart w:id="200" w:name="_Toc16508"/>
      <w:bookmarkStart w:id="201" w:name="_Toc13566"/>
      <w:r>
        <w:rPr>
          <w:rFonts w:hint="eastAsia" w:cs="Times New Roman" w:asciiTheme="minorEastAsia" w:hAnsiTheme="minorEastAsia" w:eastAsiaTheme="minorEastAsia"/>
          <w:b/>
          <w:bCs/>
          <w:sz w:val="24"/>
          <w:szCs w:val="24"/>
          <w:highlight w:val="none"/>
          <w:lang w:val="zh-CN"/>
        </w:rPr>
        <w:t>2.13</w:t>
      </w:r>
      <w:r>
        <w:rPr>
          <w:rFonts w:cs="Times New Roman" w:asciiTheme="minorEastAsia" w:hAnsiTheme="minorEastAsia" w:eastAsiaTheme="minorEastAsia"/>
          <w:b/>
          <w:bCs/>
          <w:sz w:val="24"/>
          <w:szCs w:val="24"/>
          <w:highlight w:val="none"/>
          <w:lang w:val="zh-CN"/>
        </w:rPr>
        <w:t xml:space="preserve"> 不可抗力</w:t>
      </w:r>
      <w:bookmarkEnd w:id="199"/>
      <w:bookmarkEnd w:id="200"/>
      <w:bookmarkEnd w:id="201"/>
    </w:p>
    <w:p w14:paraId="195B0BC1">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2.13</w:t>
      </w:r>
      <w:r>
        <w:rPr>
          <w:rFonts w:cs="Times New Roman" w:asciiTheme="minorEastAsia" w:hAnsiTheme="minorEastAsia" w:eastAsiaTheme="minorEastAsia"/>
          <w:sz w:val="24"/>
          <w:szCs w:val="24"/>
          <w:highlight w:val="none"/>
        </w:rPr>
        <w:t>.1如果任何一方遭遇法律规定的不可抗力，致使合同履行受阻时，履行合同的期限应予延长，延长的期限应相当于不可抗力所影响的时间</w:t>
      </w:r>
      <w:r>
        <w:rPr>
          <w:rFonts w:hint="eastAsia" w:cs="Times New Roman" w:asciiTheme="minorEastAsia" w:hAnsiTheme="minorEastAsia" w:eastAsiaTheme="minorEastAsia"/>
          <w:sz w:val="24"/>
          <w:szCs w:val="24"/>
          <w:highlight w:val="none"/>
        </w:rPr>
        <w:t>；</w:t>
      </w:r>
    </w:p>
    <w:p w14:paraId="3FE8EA76">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2.13.2因不可抗力致使不能实现合同目的的，当事人可以解除合同；</w:t>
      </w:r>
    </w:p>
    <w:p w14:paraId="30E84B9D">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2.13.3因</w:t>
      </w:r>
      <w:r>
        <w:rPr>
          <w:rFonts w:cs="Times New Roman" w:asciiTheme="minorEastAsia" w:hAnsiTheme="minorEastAsia" w:eastAsiaTheme="minorEastAsia"/>
          <w:sz w:val="24"/>
          <w:szCs w:val="24"/>
          <w:highlight w:val="none"/>
        </w:rPr>
        <w:t>不可抗力致使合同有变更必要的，双方当事人应在</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约定时间内以书面形式变更合同</w:t>
      </w:r>
      <w:r>
        <w:rPr>
          <w:rFonts w:hint="eastAsia" w:cs="Times New Roman" w:asciiTheme="minorEastAsia" w:hAnsiTheme="minorEastAsia" w:eastAsiaTheme="minorEastAsia"/>
          <w:sz w:val="24"/>
          <w:szCs w:val="24"/>
          <w:highlight w:val="none"/>
        </w:rPr>
        <w:t>；</w:t>
      </w:r>
    </w:p>
    <w:p w14:paraId="40F7B7FA">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2.13</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rPr>
        <w:t>4</w:t>
      </w:r>
      <w:r>
        <w:rPr>
          <w:rFonts w:cs="Times New Roman" w:asciiTheme="minorEastAsia" w:hAnsiTheme="minorEastAsia" w:eastAsiaTheme="minorEastAsia"/>
          <w:sz w:val="24"/>
          <w:szCs w:val="24"/>
          <w:highlight w:val="none"/>
        </w:rPr>
        <w:t>受</w:t>
      </w:r>
      <w:r>
        <w:rPr>
          <w:rFonts w:hint="eastAsia" w:cs="Times New Roman" w:asciiTheme="minorEastAsia" w:hAnsiTheme="minorEastAsia" w:eastAsiaTheme="minorEastAsia"/>
          <w:sz w:val="24"/>
          <w:szCs w:val="24"/>
          <w:highlight w:val="none"/>
        </w:rPr>
        <w:t>不可抗力</w:t>
      </w:r>
      <w:r>
        <w:rPr>
          <w:rFonts w:cs="Times New Roman" w:asciiTheme="minorEastAsia" w:hAnsiTheme="minorEastAsia" w:eastAsiaTheme="minorEastAsia"/>
          <w:sz w:val="24"/>
          <w:szCs w:val="24"/>
          <w:highlight w:val="none"/>
        </w:rPr>
        <w:t>影响的一方在不可抗力发生后</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应在</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约定时间内以书面形式通知</w:t>
      </w:r>
      <w:r>
        <w:rPr>
          <w:rFonts w:hint="eastAsia" w:cs="Times New Roman" w:asciiTheme="minorEastAsia" w:hAnsiTheme="minorEastAsia" w:eastAsiaTheme="minorEastAsia"/>
          <w:sz w:val="24"/>
          <w:szCs w:val="24"/>
          <w:highlight w:val="none"/>
        </w:rPr>
        <w:t>对</w:t>
      </w:r>
      <w:r>
        <w:rPr>
          <w:rFonts w:cs="Times New Roman" w:asciiTheme="minorEastAsia" w:hAnsiTheme="minorEastAsia" w:eastAsiaTheme="minorEastAsia"/>
          <w:sz w:val="24"/>
          <w:szCs w:val="24"/>
          <w:highlight w:val="none"/>
        </w:rPr>
        <w:t>方当事人，并在</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约定时间内，将有关部门出具的证明文件送达</w:t>
      </w:r>
      <w:r>
        <w:rPr>
          <w:rFonts w:hint="eastAsia" w:cs="Times New Roman" w:asciiTheme="minorEastAsia" w:hAnsiTheme="minorEastAsia" w:eastAsiaTheme="minorEastAsia"/>
          <w:sz w:val="24"/>
          <w:szCs w:val="24"/>
          <w:highlight w:val="none"/>
        </w:rPr>
        <w:t>对方当事人</w:t>
      </w:r>
      <w:r>
        <w:rPr>
          <w:rFonts w:cs="Times New Roman" w:asciiTheme="minorEastAsia" w:hAnsiTheme="minorEastAsia" w:eastAsiaTheme="minorEastAsia"/>
          <w:sz w:val="24"/>
          <w:szCs w:val="24"/>
          <w:highlight w:val="none"/>
        </w:rPr>
        <w:t>。</w:t>
      </w:r>
    </w:p>
    <w:p w14:paraId="60C96C73">
      <w:pPr>
        <w:shd w:val="clear"/>
        <w:spacing w:line="360" w:lineRule="auto"/>
        <w:ind w:firstLine="437"/>
        <w:rPr>
          <w:rFonts w:cs="Times New Roman" w:asciiTheme="minorEastAsia" w:hAnsiTheme="minorEastAsia" w:eastAsiaTheme="minorEastAsia"/>
          <w:b/>
          <w:bCs/>
          <w:sz w:val="24"/>
          <w:szCs w:val="24"/>
          <w:highlight w:val="none"/>
          <w:lang w:val="zh-CN"/>
        </w:rPr>
      </w:pPr>
      <w:bookmarkStart w:id="202" w:name="_Toc689"/>
      <w:bookmarkStart w:id="203" w:name="_Toc30676"/>
      <w:bookmarkStart w:id="204" w:name="_Toc259093684"/>
      <w:bookmarkStart w:id="205" w:name="_Toc487900365"/>
      <w:bookmarkStart w:id="206" w:name="_Toc279701255"/>
      <w:bookmarkStart w:id="207" w:name="_Toc6969"/>
      <w:r>
        <w:rPr>
          <w:rFonts w:hint="eastAsia" w:cs="Times New Roman" w:asciiTheme="minorEastAsia" w:hAnsiTheme="minorEastAsia" w:eastAsiaTheme="minorEastAsia"/>
          <w:b/>
          <w:bCs/>
          <w:sz w:val="24"/>
          <w:szCs w:val="24"/>
          <w:highlight w:val="none"/>
          <w:lang w:val="zh-CN"/>
        </w:rPr>
        <w:t>2.</w:t>
      </w:r>
      <w:r>
        <w:rPr>
          <w:rFonts w:cs="Times New Roman" w:asciiTheme="minorEastAsia" w:hAnsiTheme="minorEastAsia" w:eastAsiaTheme="minorEastAsia"/>
          <w:b/>
          <w:bCs/>
          <w:sz w:val="24"/>
          <w:szCs w:val="24"/>
          <w:highlight w:val="none"/>
          <w:lang w:val="zh-CN"/>
        </w:rPr>
        <w:t>1</w:t>
      </w:r>
      <w:r>
        <w:rPr>
          <w:rFonts w:hint="eastAsia" w:cs="Times New Roman" w:asciiTheme="minorEastAsia" w:hAnsiTheme="minorEastAsia" w:eastAsiaTheme="minorEastAsia"/>
          <w:b/>
          <w:bCs/>
          <w:sz w:val="24"/>
          <w:szCs w:val="24"/>
          <w:highlight w:val="none"/>
          <w:lang w:val="zh-CN"/>
        </w:rPr>
        <w:t xml:space="preserve">4 </w:t>
      </w:r>
      <w:r>
        <w:rPr>
          <w:rFonts w:cs="Times New Roman" w:asciiTheme="minorEastAsia" w:hAnsiTheme="minorEastAsia" w:eastAsiaTheme="minorEastAsia"/>
          <w:b/>
          <w:bCs/>
          <w:sz w:val="24"/>
          <w:szCs w:val="24"/>
          <w:highlight w:val="none"/>
          <w:lang w:val="zh-CN"/>
        </w:rPr>
        <w:t>税费</w:t>
      </w:r>
      <w:bookmarkEnd w:id="202"/>
      <w:bookmarkEnd w:id="203"/>
      <w:bookmarkEnd w:id="204"/>
      <w:bookmarkEnd w:id="205"/>
      <w:bookmarkEnd w:id="206"/>
      <w:bookmarkEnd w:id="207"/>
    </w:p>
    <w:p w14:paraId="591A3143">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与合同有关的一切税费</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均按照中华人民共和国法律的相关规定</w:t>
      </w:r>
      <w:r>
        <w:rPr>
          <w:rFonts w:hint="eastAsia" w:cs="Times New Roman" w:asciiTheme="minorEastAsia" w:hAnsiTheme="minorEastAsia" w:eastAsiaTheme="minorEastAsia"/>
          <w:sz w:val="24"/>
          <w:szCs w:val="24"/>
          <w:highlight w:val="none"/>
        </w:rPr>
        <w:t>缴纳</w:t>
      </w:r>
      <w:r>
        <w:rPr>
          <w:rFonts w:cs="Times New Roman" w:asciiTheme="minorEastAsia" w:hAnsiTheme="minorEastAsia" w:eastAsiaTheme="minorEastAsia"/>
          <w:sz w:val="24"/>
          <w:szCs w:val="24"/>
          <w:highlight w:val="none"/>
        </w:rPr>
        <w:t>。</w:t>
      </w:r>
    </w:p>
    <w:p w14:paraId="6021EB1E">
      <w:pPr>
        <w:shd w:val="clear"/>
        <w:spacing w:line="360" w:lineRule="auto"/>
        <w:ind w:firstLine="437"/>
        <w:rPr>
          <w:rFonts w:cs="Times New Roman" w:asciiTheme="minorEastAsia" w:hAnsiTheme="minorEastAsia" w:eastAsiaTheme="minorEastAsia"/>
          <w:b/>
          <w:bCs/>
          <w:sz w:val="24"/>
          <w:szCs w:val="24"/>
          <w:highlight w:val="none"/>
          <w:lang w:val="zh-CN"/>
        </w:rPr>
      </w:pPr>
      <w:bookmarkStart w:id="208" w:name="_Toc8298"/>
      <w:bookmarkStart w:id="209" w:name="_Toc7102"/>
      <w:bookmarkStart w:id="210" w:name="_Toc16959"/>
      <w:bookmarkStart w:id="211" w:name="_Toc487900368"/>
      <w:bookmarkStart w:id="212" w:name="_Toc279701258"/>
      <w:bookmarkStart w:id="213" w:name="_Toc259093687"/>
      <w:r>
        <w:rPr>
          <w:rFonts w:hint="eastAsia" w:cs="Times New Roman" w:asciiTheme="minorEastAsia" w:hAnsiTheme="minorEastAsia" w:eastAsiaTheme="minorEastAsia"/>
          <w:b/>
          <w:bCs/>
          <w:sz w:val="24"/>
          <w:szCs w:val="24"/>
          <w:highlight w:val="none"/>
          <w:lang w:val="zh-CN"/>
        </w:rPr>
        <w:t>2.</w:t>
      </w:r>
      <w:r>
        <w:rPr>
          <w:rFonts w:cs="Times New Roman" w:asciiTheme="minorEastAsia" w:hAnsiTheme="minorEastAsia" w:eastAsiaTheme="minorEastAsia"/>
          <w:b/>
          <w:bCs/>
          <w:sz w:val="24"/>
          <w:szCs w:val="24"/>
          <w:highlight w:val="none"/>
          <w:lang w:val="zh-CN"/>
        </w:rPr>
        <w:t>1</w:t>
      </w:r>
      <w:r>
        <w:rPr>
          <w:rFonts w:hint="eastAsia" w:cs="Times New Roman" w:asciiTheme="minorEastAsia" w:hAnsiTheme="minorEastAsia" w:eastAsiaTheme="minorEastAsia"/>
          <w:b/>
          <w:bCs/>
          <w:sz w:val="24"/>
          <w:szCs w:val="24"/>
          <w:highlight w:val="none"/>
          <w:lang w:val="zh-CN"/>
        </w:rPr>
        <w:t xml:space="preserve">5 </w:t>
      </w:r>
      <w:r>
        <w:rPr>
          <w:rFonts w:cs="Times New Roman" w:asciiTheme="minorEastAsia" w:hAnsiTheme="minorEastAsia" w:eastAsiaTheme="minorEastAsia"/>
          <w:b/>
          <w:bCs/>
          <w:sz w:val="24"/>
          <w:szCs w:val="24"/>
          <w:highlight w:val="none"/>
          <w:lang w:val="zh-CN"/>
        </w:rPr>
        <w:t>乙方破产</w:t>
      </w:r>
      <w:bookmarkEnd w:id="208"/>
      <w:bookmarkEnd w:id="209"/>
      <w:bookmarkEnd w:id="210"/>
      <w:bookmarkEnd w:id="211"/>
      <w:bookmarkEnd w:id="212"/>
      <w:bookmarkEnd w:id="213"/>
    </w:p>
    <w:p w14:paraId="103F99A3">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如果乙方破产导致合同无法履行时，甲方可以书面形式通知乙方终止合同且不给予乙方任何补偿和赔偿</w:t>
      </w:r>
      <w:r>
        <w:rPr>
          <w:rFonts w:hint="eastAsia" w:cs="Times New Roman" w:asciiTheme="minorEastAsia" w:hAnsiTheme="minorEastAsia" w:eastAsiaTheme="minorEastAsia"/>
          <w:sz w:val="24"/>
          <w:szCs w:val="24"/>
          <w:highlight w:val="none"/>
        </w:rPr>
        <w:t>，但合同的</w:t>
      </w:r>
      <w:r>
        <w:rPr>
          <w:rFonts w:cs="Times New Roman" w:asciiTheme="minorEastAsia" w:hAnsiTheme="minorEastAsia" w:eastAsiaTheme="minorEastAsia"/>
          <w:sz w:val="24"/>
          <w:szCs w:val="24"/>
          <w:highlight w:val="none"/>
        </w:rPr>
        <w:t>终止不损害或不影响甲方已经采取或将要采取的任何要求乙方支付违约金</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赔偿损失等的行动或补救措施的权利</w:t>
      </w:r>
      <w:r>
        <w:rPr>
          <w:rFonts w:hint="eastAsia" w:cs="Times New Roman" w:asciiTheme="minorEastAsia" w:hAnsiTheme="minorEastAsia" w:eastAsiaTheme="minorEastAsia"/>
          <w:sz w:val="24"/>
          <w:szCs w:val="24"/>
          <w:highlight w:val="none"/>
        </w:rPr>
        <w:t>。</w:t>
      </w:r>
    </w:p>
    <w:p w14:paraId="783ED979">
      <w:pPr>
        <w:shd w:val="clear"/>
        <w:spacing w:line="360" w:lineRule="auto"/>
        <w:ind w:firstLine="437"/>
        <w:rPr>
          <w:rFonts w:cs="Times New Roman" w:asciiTheme="minorEastAsia" w:hAnsiTheme="minorEastAsia" w:eastAsiaTheme="minorEastAsia"/>
          <w:b/>
          <w:sz w:val="24"/>
          <w:szCs w:val="24"/>
          <w:highlight w:val="none"/>
        </w:rPr>
      </w:pPr>
      <w:bookmarkStart w:id="214" w:name="_Toc6134"/>
      <w:bookmarkStart w:id="215" w:name="_Toc15387"/>
      <w:bookmarkStart w:id="216" w:name="_Toc29333"/>
      <w:r>
        <w:rPr>
          <w:rFonts w:hint="eastAsia" w:cs="Times New Roman" w:asciiTheme="minorEastAsia" w:hAnsiTheme="minorEastAsia" w:eastAsiaTheme="minorEastAsia"/>
          <w:b/>
          <w:bCs/>
          <w:sz w:val="24"/>
          <w:szCs w:val="24"/>
          <w:highlight w:val="none"/>
          <w:lang w:val="zh-CN"/>
        </w:rPr>
        <w:t>2.16 合同中止、终止</w:t>
      </w:r>
      <w:bookmarkEnd w:id="214"/>
      <w:bookmarkEnd w:id="215"/>
      <w:bookmarkEnd w:id="216"/>
    </w:p>
    <w:p w14:paraId="341C2284">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2.16.1双方当事人不得擅自中止或者终止合同；</w:t>
      </w:r>
    </w:p>
    <w:p w14:paraId="7CA06CC7">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2.16.2合同继续履行将损害国家利益和社会公共利益的，双方当事人应当中止或者终止合同。有过错的一方应当承担赔偿责任，双方当事人都有过错的，各自承担相应的责任。</w:t>
      </w:r>
    </w:p>
    <w:p w14:paraId="3A14F79D">
      <w:pPr>
        <w:shd w:val="clear"/>
        <w:spacing w:line="360" w:lineRule="auto"/>
        <w:ind w:firstLine="437"/>
        <w:rPr>
          <w:rFonts w:cs="Times New Roman" w:asciiTheme="minorEastAsia" w:hAnsiTheme="minorEastAsia" w:eastAsiaTheme="minorEastAsia"/>
          <w:b/>
          <w:bCs/>
          <w:sz w:val="24"/>
          <w:szCs w:val="24"/>
          <w:highlight w:val="none"/>
          <w:lang w:val="zh-CN"/>
        </w:rPr>
      </w:pPr>
      <w:bookmarkStart w:id="217" w:name="_Toc1125"/>
      <w:bookmarkStart w:id="218" w:name="_Toc6596"/>
      <w:bookmarkStart w:id="219" w:name="_Toc14563"/>
      <w:r>
        <w:rPr>
          <w:rFonts w:hint="eastAsia" w:cs="Times New Roman" w:asciiTheme="minorEastAsia" w:hAnsiTheme="minorEastAsia" w:eastAsiaTheme="minorEastAsia"/>
          <w:b/>
          <w:bCs/>
          <w:sz w:val="24"/>
          <w:szCs w:val="24"/>
          <w:highlight w:val="none"/>
          <w:lang w:val="zh-CN"/>
        </w:rPr>
        <w:t>2.17 检验和验收</w:t>
      </w:r>
      <w:bookmarkEnd w:id="217"/>
      <w:bookmarkEnd w:id="218"/>
      <w:bookmarkEnd w:id="219"/>
    </w:p>
    <w:p w14:paraId="425A35EF">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w:t>
      </w:r>
      <w:r>
        <w:rPr>
          <w:rFonts w:hint="eastAsia" w:cs="Times New Roman" w:asciiTheme="minorEastAsia" w:hAnsiTheme="minorEastAsia" w:eastAsiaTheme="minorEastAsia"/>
          <w:sz w:val="24"/>
          <w:szCs w:val="24"/>
          <w:highlight w:val="none"/>
        </w:rPr>
        <w:t>7</w:t>
      </w:r>
      <w:r>
        <w:rPr>
          <w:rFonts w:cs="Times New Roman" w:asciiTheme="minorEastAsia" w:hAnsiTheme="minorEastAsia" w:eastAsiaTheme="minorEastAsia"/>
          <w:sz w:val="24"/>
          <w:szCs w:val="24"/>
          <w:highlight w:val="none"/>
        </w:rPr>
        <w:t>.</w:t>
      </w:r>
      <w:r>
        <w:rPr>
          <w:rFonts w:hint="eastAsia" w:cs="Times New Roman" w:asciiTheme="minorEastAsia" w:hAnsiTheme="minorEastAsia" w:eastAsiaTheme="minorEastAsia"/>
          <w:sz w:val="24"/>
          <w:szCs w:val="24"/>
          <w:highlight w:val="none"/>
        </w:rPr>
        <w:t>1货物交付前，乙方应对货物的质量、数量等方面进行详细、全面地检验，并向甲方出具证明货物符合合同约定的文件。</w:t>
      </w:r>
    </w:p>
    <w:p w14:paraId="2446B337">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2.17.2合同期满或者履行完毕后，甲方有权组织（包括依法邀请国家认可的质量检测机构参加）对乙方履约的验收，即：按照合同约定的技术、服务、安全标准，组织对每一项技术、服务、安全标准的履约情况的验收，并出具验收书。</w:t>
      </w:r>
    </w:p>
    <w:p w14:paraId="35583ED8">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2.17.3检验和验收标准、程序等具体内容以及前述验收书的效力详见</w:t>
      </w:r>
      <w:r>
        <w:rPr>
          <w:rFonts w:cs="Times New Roman" w:asciiTheme="minorEastAsia" w:hAnsiTheme="minorEastAsia" w:eastAsiaTheme="minorEastAsia"/>
          <w:b/>
          <w:i/>
          <w:sz w:val="24"/>
          <w:szCs w:val="24"/>
          <w:highlight w:val="none"/>
          <w:u w:val="single"/>
        </w:rPr>
        <w:t>合同专用条款</w:t>
      </w:r>
      <w:r>
        <w:rPr>
          <w:rFonts w:hint="eastAsia" w:cs="Times New Roman" w:asciiTheme="minorEastAsia" w:hAnsiTheme="minorEastAsia" w:eastAsiaTheme="minorEastAsia"/>
          <w:i/>
          <w:sz w:val="24"/>
          <w:szCs w:val="24"/>
          <w:highlight w:val="none"/>
        </w:rPr>
        <w:t>。</w:t>
      </w:r>
    </w:p>
    <w:bookmarkEnd w:id="189"/>
    <w:bookmarkEnd w:id="190"/>
    <w:bookmarkEnd w:id="191"/>
    <w:bookmarkEnd w:id="192"/>
    <w:p w14:paraId="047C1C08">
      <w:pPr>
        <w:shd w:val="clear"/>
        <w:spacing w:line="360" w:lineRule="auto"/>
        <w:ind w:firstLine="437"/>
        <w:rPr>
          <w:rFonts w:cs="Times New Roman" w:asciiTheme="minorEastAsia" w:hAnsiTheme="minorEastAsia" w:eastAsiaTheme="minorEastAsia"/>
          <w:b/>
          <w:sz w:val="24"/>
          <w:szCs w:val="24"/>
          <w:highlight w:val="none"/>
        </w:rPr>
      </w:pPr>
      <w:bookmarkStart w:id="220" w:name="_Toc279701262"/>
      <w:bookmarkStart w:id="221" w:name="_Toc30599"/>
      <w:bookmarkStart w:id="222" w:name="_Toc487900372"/>
      <w:bookmarkStart w:id="223" w:name="_Toc4355"/>
      <w:bookmarkStart w:id="224" w:name="_Toc259093691"/>
      <w:bookmarkStart w:id="225" w:name="_Toc18540"/>
      <w:r>
        <w:rPr>
          <w:rFonts w:hint="eastAsia" w:cs="Times New Roman" w:asciiTheme="minorEastAsia" w:hAnsiTheme="minorEastAsia" w:eastAsiaTheme="minorEastAsia"/>
          <w:b/>
          <w:bCs/>
          <w:sz w:val="24"/>
          <w:szCs w:val="24"/>
          <w:highlight w:val="none"/>
          <w:lang w:val="zh-CN"/>
        </w:rPr>
        <w:t>2.1</w:t>
      </w:r>
      <w:r>
        <w:rPr>
          <w:rFonts w:cs="Times New Roman" w:asciiTheme="minorEastAsia" w:hAnsiTheme="minorEastAsia" w:eastAsiaTheme="minorEastAsia"/>
          <w:b/>
          <w:bCs/>
          <w:sz w:val="24"/>
          <w:szCs w:val="24"/>
          <w:highlight w:val="none"/>
          <w:lang w:val="zh-CN"/>
        </w:rPr>
        <w:t>8</w:t>
      </w:r>
      <w:r>
        <w:rPr>
          <w:rFonts w:hint="eastAsia" w:cs="Times New Roman" w:asciiTheme="minorEastAsia" w:hAnsiTheme="minorEastAsia" w:eastAsiaTheme="minorEastAsia"/>
          <w:b/>
          <w:bCs/>
          <w:sz w:val="24"/>
          <w:szCs w:val="24"/>
          <w:highlight w:val="none"/>
          <w:lang w:val="zh-CN"/>
        </w:rPr>
        <w:t xml:space="preserve"> </w:t>
      </w:r>
      <w:r>
        <w:rPr>
          <w:rFonts w:cs="Times New Roman" w:asciiTheme="minorEastAsia" w:hAnsiTheme="minorEastAsia" w:eastAsiaTheme="minorEastAsia"/>
          <w:b/>
          <w:bCs/>
          <w:sz w:val="24"/>
          <w:szCs w:val="24"/>
          <w:highlight w:val="none"/>
          <w:lang w:val="zh-CN"/>
        </w:rPr>
        <w:t>计量单位</w:t>
      </w:r>
      <w:bookmarkEnd w:id="220"/>
      <w:bookmarkEnd w:id="221"/>
      <w:bookmarkEnd w:id="222"/>
      <w:bookmarkEnd w:id="223"/>
      <w:bookmarkEnd w:id="224"/>
      <w:bookmarkEnd w:id="225"/>
    </w:p>
    <w:p w14:paraId="32891777">
      <w:pPr>
        <w:shd w:val="clear"/>
        <w:spacing w:line="360" w:lineRule="auto"/>
        <w:ind w:firstLine="435"/>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除技术规范中另有规定外</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合同的计量单位均使用国家法定计量单位。</w:t>
      </w:r>
    </w:p>
    <w:p w14:paraId="352BA5F5">
      <w:pPr>
        <w:shd w:val="clear"/>
        <w:spacing w:line="360" w:lineRule="auto"/>
        <w:ind w:firstLine="437"/>
        <w:rPr>
          <w:rFonts w:cs="Times New Roman" w:asciiTheme="minorEastAsia" w:hAnsiTheme="minorEastAsia" w:eastAsiaTheme="minorEastAsia"/>
          <w:b/>
          <w:bCs/>
          <w:sz w:val="24"/>
          <w:szCs w:val="24"/>
          <w:highlight w:val="none"/>
        </w:rPr>
      </w:pPr>
      <w:bookmarkStart w:id="226" w:name="_Toc259093692"/>
      <w:bookmarkStart w:id="227" w:name="_Toc10330"/>
      <w:bookmarkStart w:id="228" w:name="_Toc279701263"/>
      <w:bookmarkStart w:id="229" w:name="_Toc487900373"/>
      <w:bookmarkStart w:id="230" w:name="_Toc12773"/>
      <w:bookmarkStart w:id="231" w:name="_Toc18567"/>
      <w:r>
        <w:rPr>
          <w:rFonts w:hint="eastAsia" w:cs="Times New Roman" w:asciiTheme="minorEastAsia" w:hAnsiTheme="minorEastAsia" w:eastAsiaTheme="minorEastAsia"/>
          <w:b/>
          <w:bCs/>
          <w:sz w:val="24"/>
          <w:szCs w:val="24"/>
          <w:highlight w:val="none"/>
        </w:rPr>
        <w:t>2.</w:t>
      </w:r>
      <w:r>
        <w:rPr>
          <w:rFonts w:cs="Times New Roman" w:asciiTheme="minorEastAsia" w:hAnsiTheme="minorEastAsia" w:eastAsiaTheme="minorEastAsia"/>
          <w:b/>
          <w:bCs/>
          <w:sz w:val="24"/>
          <w:szCs w:val="24"/>
          <w:highlight w:val="none"/>
        </w:rPr>
        <w:t>19</w:t>
      </w:r>
      <w:r>
        <w:rPr>
          <w:rFonts w:hint="eastAsia" w:cs="Times New Roman" w:asciiTheme="minorEastAsia" w:hAnsiTheme="minorEastAsia" w:eastAsiaTheme="minorEastAsia"/>
          <w:b/>
          <w:bCs/>
          <w:sz w:val="24"/>
          <w:szCs w:val="24"/>
          <w:highlight w:val="none"/>
        </w:rPr>
        <w:t xml:space="preserve"> </w:t>
      </w:r>
      <w:r>
        <w:rPr>
          <w:rFonts w:hint="eastAsia" w:cs="Times New Roman" w:asciiTheme="minorEastAsia" w:hAnsiTheme="minorEastAsia" w:eastAsiaTheme="minorEastAsia"/>
          <w:b/>
          <w:bCs/>
          <w:sz w:val="24"/>
          <w:szCs w:val="24"/>
          <w:highlight w:val="none"/>
          <w:lang w:val="zh-CN"/>
        </w:rPr>
        <w:t>合同使用的文字和</w:t>
      </w:r>
      <w:r>
        <w:rPr>
          <w:rFonts w:cs="Times New Roman" w:asciiTheme="minorEastAsia" w:hAnsiTheme="minorEastAsia" w:eastAsiaTheme="minorEastAsia"/>
          <w:b/>
          <w:bCs/>
          <w:sz w:val="24"/>
          <w:szCs w:val="24"/>
          <w:highlight w:val="none"/>
          <w:lang w:val="zh-CN"/>
        </w:rPr>
        <w:t>适用的法律</w:t>
      </w:r>
      <w:bookmarkEnd w:id="226"/>
      <w:bookmarkEnd w:id="227"/>
      <w:bookmarkEnd w:id="228"/>
      <w:bookmarkEnd w:id="229"/>
      <w:bookmarkEnd w:id="230"/>
      <w:bookmarkEnd w:id="231"/>
    </w:p>
    <w:p w14:paraId="757D0C9E">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19.1合同使用汉语书就</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变更和解释</w:t>
      </w:r>
      <w:r>
        <w:rPr>
          <w:rFonts w:hint="eastAsia" w:cs="Times New Roman" w:asciiTheme="minorEastAsia" w:hAnsiTheme="minorEastAsia" w:eastAsiaTheme="minorEastAsia"/>
          <w:sz w:val="24"/>
          <w:szCs w:val="24"/>
          <w:highlight w:val="none"/>
        </w:rPr>
        <w:t>；</w:t>
      </w:r>
    </w:p>
    <w:p w14:paraId="0BB72FFC">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w:t>
      </w:r>
      <w:r>
        <w:rPr>
          <w:rFonts w:cs="Times New Roman" w:asciiTheme="minorEastAsia" w:hAnsiTheme="minorEastAsia" w:eastAsiaTheme="minorEastAsia"/>
          <w:sz w:val="24"/>
          <w:szCs w:val="24"/>
          <w:highlight w:val="none"/>
        </w:rPr>
        <w:t>19</w:t>
      </w:r>
      <w:r>
        <w:rPr>
          <w:rFonts w:hint="eastAsia" w:cs="Times New Roman" w:asciiTheme="minorEastAsia" w:hAnsiTheme="minorEastAsia" w:eastAsiaTheme="minorEastAsia"/>
          <w:sz w:val="24"/>
          <w:szCs w:val="24"/>
          <w:highlight w:val="none"/>
        </w:rPr>
        <w:t>.2合同适用</w:t>
      </w:r>
      <w:r>
        <w:rPr>
          <w:rFonts w:cs="Times New Roman" w:asciiTheme="minorEastAsia" w:hAnsiTheme="minorEastAsia" w:eastAsiaTheme="minorEastAsia"/>
          <w:sz w:val="24"/>
          <w:szCs w:val="24"/>
          <w:highlight w:val="none"/>
        </w:rPr>
        <w:t>中华人民共和国法律。</w:t>
      </w:r>
    </w:p>
    <w:p w14:paraId="49B360DD">
      <w:pPr>
        <w:shd w:val="clear"/>
        <w:spacing w:line="360" w:lineRule="auto"/>
        <w:ind w:firstLine="437"/>
        <w:rPr>
          <w:rFonts w:cs="Times New Roman" w:asciiTheme="minorEastAsia" w:hAnsiTheme="minorEastAsia" w:eastAsiaTheme="minorEastAsia"/>
          <w:b/>
          <w:sz w:val="24"/>
          <w:szCs w:val="24"/>
          <w:highlight w:val="none"/>
        </w:rPr>
      </w:pPr>
      <w:bookmarkStart w:id="232" w:name="_Toc279701264"/>
      <w:bookmarkStart w:id="233" w:name="_Toc12004"/>
      <w:bookmarkStart w:id="234" w:name="_Toc259093693"/>
      <w:bookmarkStart w:id="235" w:name="_Toc16673"/>
      <w:bookmarkStart w:id="236" w:name="_Toc3148"/>
      <w:bookmarkStart w:id="237" w:name="_Toc487900374"/>
      <w:r>
        <w:rPr>
          <w:rFonts w:hint="eastAsia" w:cs="Times New Roman" w:asciiTheme="minorEastAsia" w:hAnsiTheme="minorEastAsia" w:eastAsiaTheme="minorEastAsia"/>
          <w:b/>
          <w:bCs/>
          <w:sz w:val="24"/>
          <w:szCs w:val="24"/>
          <w:highlight w:val="none"/>
          <w:lang w:val="zh-CN"/>
        </w:rPr>
        <w:t>2.2</w:t>
      </w:r>
      <w:r>
        <w:rPr>
          <w:rFonts w:cs="Times New Roman" w:asciiTheme="minorEastAsia" w:hAnsiTheme="minorEastAsia" w:eastAsiaTheme="minorEastAsia"/>
          <w:b/>
          <w:bCs/>
          <w:sz w:val="24"/>
          <w:szCs w:val="24"/>
          <w:highlight w:val="none"/>
          <w:lang w:val="zh-CN"/>
        </w:rPr>
        <w:t>0</w:t>
      </w:r>
      <w:r>
        <w:rPr>
          <w:rFonts w:hint="eastAsia" w:cs="Times New Roman" w:asciiTheme="minorEastAsia" w:hAnsiTheme="minorEastAsia" w:eastAsiaTheme="minorEastAsia"/>
          <w:b/>
          <w:bCs/>
          <w:sz w:val="24"/>
          <w:szCs w:val="24"/>
          <w:highlight w:val="none"/>
          <w:lang w:val="zh-CN"/>
        </w:rPr>
        <w:t xml:space="preserve"> </w:t>
      </w:r>
      <w:r>
        <w:rPr>
          <w:rFonts w:cs="Times New Roman" w:asciiTheme="minorEastAsia" w:hAnsiTheme="minorEastAsia" w:eastAsiaTheme="minorEastAsia"/>
          <w:b/>
          <w:bCs/>
          <w:sz w:val="24"/>
          <w:szCs w:val="24"/>
          <w:highlight w:val="none"/>
          <w:lang w:val="zh-CN"/>
        </w:rPr>
        <w:t>履约保证金</w:t>
      </w:r>
      <w:bookmarkEnd w:id="232"/>
      <w:bookmarkEnd w:id="233"/>
      <w:bookmarkEnd w:id="234"/>
      <w:bookmarkEnd w:id="235"/>
      <w:bookmarkEnd w:id="236"/>
    </w:p>
    <w:p w14:paraId="2C33C90B">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2.2</w:t>
      </w:r>
      <w:r>
        <w:rPr>
          <w:rFonts w:cs="Times New Roman" w:asciiTheme="minorEastAsia" w:hAnsiTheme="minorEastAsia" w:eastAsiaTheme="minorEastAsia"/>
          <w:sz w:val="24"/>
          <w:szCs w:val="24"/>
          <w:highlight w:val="none"/>
        </w:rPr>
        <w:t>0</w:t>
      </w:r>
      <w:r>
        <w:rPr>
          <w:rFonts w:hint="eastAsia" w:cs="Times New Roman" w:asciiTheme="minorEastAsia" w:hAnsiTheme="minorEastAsia" w:eastAsiaTheme="minorEastAsia"/>
          <w:sz w:val="24"/>
          <w:szCs w:val="24"/>
          <w:highlight w:val="none"/>
        </w:rPr>
        <w:t>.1采购文件要求乙方提交履约保证金的，乙方</w:t>
      </w:r>
      <w:r>
        <w:rPr>
          <w:rFonts w:cs="Times New Roman" w:asciiTheme="minorEastAsia" w:hAnsiTheme="minorEastAsia" w:eastAsiaTheme="minorEastAsia"/>
          <w:sz w:val="24"/>
          <w:szCs w:val="24"/>
          <w:highlight w:val="none"/>
        </w:rPr>
        <w:t>应按</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约定的方式</w:t>
      </w:r>
      <w:r>
        <w:rPr>
          <w:rFonts w:hint="eastAsia" w:cs="Times New Roman" w:asciiTheme="minorEastAsia" w:hAnsiTheme="minorEastAsia" w:eastAsiaTheme="minorEastAsia"/>
          <w:sz w:val="24"/>
          <w:szCs w:val="24"/>
          <w:highlight w:val="none"/>
        </w:rPr>
        <w:t>提交；</w:t>
      </w:r>
    </w:p>
    <w:p w14:paraId="4C826E33">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2.2</w:t>
      </w:r>
      <w:r>
        <w:rPr>
          <w:rFonts w:cs="Times New Roman" w:asciiTheme="minorEastAsia" w:hAnsiTheme="minorEastAsia" w:eastAsiaTheme="minorEastAsia"/>
          <w:sz w:val="24"/>
          <w:szCs w:val="24"/>
          <w:highlight w:val="none"/>
        </w:rPr>
        <w:t>0.2履约保证金在</w:t>
      </w:r>
      <w:r>
        <w:rPr>
          <w:rFonts w:hint="eastAsia" w:cs="Times New Roman" w:asciiTheme="minorEastAsia" w:hAnsiTheme="minorEastAsia" w:eastAsiaTheme="minorEastAsia"/>
          <w:sz w:val="24"/>
          <w:szCs w:val="24"/>
          <w:highlight w:val="none"/>
        </w:rPr>
        <w:t>合同</w:t>
      </w:r>
      <w:r>
        <w:rPr>
          <w:rFonts w:cs="Times New Roman" w:asciiTheme="minorEastAsia" w:hAnsiTheme="minorEastAsia" w:eastAsiaTheme="minorEastAsia"/>
          <w:sz w:val="24"/>
          <w:szCs w:val="24"/>
          <w:highlight w:val="none"/>
        </w:rPr>
        <w:t>期间内不予退还或者应完全有效</w:t>
      </w:r>
      <w:r>
        <w:rPr>
          <w:rFonts w:hint="eastAsia" w:cs="Times New Roman" w:asciiTheme="minorEastAsia" w:hAnsiTheme="minorEastAsia" w:eastAsiaTheme="minorEastAsia"/>
          <w:sz w:val="24"/>
          <w:szCs w:val="24"/>
          <w:highlight w:val="none"/>
        </w:rPr>
        <w:t>，合同履约完成验收合格后</w:t>
      </w:r>
      <w:r>
        <w:rPr>
          <w:rFonts w:cs="Times New Roman" w:asciiTheme="minorEastAsia" w:hAnsiTheme="minorEastAsia" w:eastAsiaTheme="minorEastAsia"/>
          <w:sz w:val="24"/>
          <w:szCs w:val="24"/>
          <w:highlight w:val="none"/>
        </w:rPr>
        <w:t>，甲方应将履约保证金退还乙方</w:t>
      </w:r>
      <w:r>
        <w:rPr>
          <w:rFonts w:hint="eastAsia" w:cs="Times New Roman" w:asciiTheme="minorEastAsia" w:hAnsiTheme="minorEastAsia" w:eastAsiaTheme="minorEastAsia"/>
          <w:sz w:val="24"/>
          <w:szCs w:val="24"/>
          <w:highlight w:val="none"/>
        </w:rPr>
        <w:t>；</w:t>
      </w:r>
    </w:p>
    <w:p w14:paraId="1223192A">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2.2</w:t>
      </w:r>
      <w:r>
        <w:rPr>
          <w:rFonts w:cs="Times New Roman" w:asciiTheme="minorEastAsia" w:hAnsiTheme="minorEastAsia" w:eastAsiaTheme="minorEastAsia"/>
          <w:sz w:val="24"/>
          <w:szCs w:val="24"/>
          <w:highlight w:val="none"/>
        </w:rPr>
        <w:t>0</w:t>
      </w:r>
      <w:r>
        <w:rPr>
          <w:rFonts w:hint="eastAsia" w:cs="Times New Roman" w:asciiTheme="minorEastAsia" w:hAnsiTheme="minorEastAsia" w:eastAsiaTheme="minorEastAsia"/>
          <w:sz w:val="24"/>
          <w:szCs w:val="24"/>
          <w:highlight w:val="none"/>
        </w:rPr>
        <w:t>.3</w:t>
      </w:r>
      <w:r>
        <w:rPr>
          <w:rFonts w:cs="Times New Roman" w:asciiTheme="minorEastAsia" w:hAnsiTheme="minorEastAsia" w:eastAsiaTheme="minorEastAsia"/>
          <w:sz w:val="24"/>
          <w:szCs w:val="24"/>
          <w:highlight w:val="none"/>
        </w:rPr>
        <w:t>如果乙方不履行合同</w:t>
      </w:r>
      <w:r>
        <w:rPr>
          <w:rFonts w:hint="eastAsia" w:cs="Times New Roman" w:asciiTheme="minorEastAsia" w:hAnsiTheme="minorEastAsia" w:eastAsiaTheme="minorEastAsia"/>
          <w:sz w:val="24"/>
          <w:szCs w:val="24"/>
          <w:highlight w:val="none"/>
        </w:rPr>
        <w:t>，履约保证金不予退还；如果乙方</w:t>
      </w:r>
      <w:r>
        <w:rPr>
          <w:rFonts w:cs="Times New Roman" w:asciiTheme="minorEastAsia" w:hAnsiTheme="minorEastAsia" w:eastAsiaTheme="minorEastAsia"/>
          <w:sz w:val="24"/>
          <w:szCs w:val="24"/>
          <w:highlight w:val="none"/>
        </w:rPr>
        <w:t>未能按合同</w:t>
      </w:r>
      <w:r>
        <w:rPr>
          <w:rFonts w:hint="eastAsia" w:cs="Times New Roman" w:asciiTheme="minorEastAsia" w:hAnsiTheme="minorEastAsia" w:eastAsiaTheme="minorEastAsia"/>
          <w:sz w:val="24"/>
          <w:szCs w:val="24"/>
          <w:highlight w:val="none"/>
        </w:rPr>
        <w:t>约</w:t>
      </w:r>
      <w:r>
        <w:rPr>
          <w:rFonts w:cs="Times New Roman" w:asciiTheme="minorEastAsia" w:hAnsiTheme="minorEastAsia" w:eastAsiaTheme="minorEastAsia"/>
          <w:sz w:val="24"/>
          <w:szCs w:val="24"/>
          <w:highlight w:val="none"/>
        </w:rPr>
        <w:t>定全面履行义务，那么甲方有权从履约保证金中取得补偿或赔偿</w:t>
      </w:r>
      <w:r>
        <w:rPr>
          <w:rFonts w:hint="eastAsia" w:cs="Times New Roman" w:asciiTheme="minorEastAsia" w:hAnsiTheme="minorEastAsia" w:eastAsiaTheme="minorEastAsia"/>
          <w:sz w:val="24"/>
          <w:szCs w:val="24"/>
          <w:highlight w:val="none"/>
        </w:rPr>
        <w:t>，同时不影响甲方要求乙方承担合同约定的超过履约保证金的违约责任的权利。</w:t>
      </w:r>
    </w:p>
    <w:bookmarkEnd w:id="237"/>
    <w:p w14:paraId="14B1EDD4">
      <w:pPr>
        <w:shd w:val="clear"/>
        <w:spacing w:line="360" w:lineRule="auto"/>
        <w:ind w:firstLine="437"/>
        <w:rPr>
          <w:rFonts w:cs="Times New Roman" w:asciiTheme="minorEastAsia" w:hAnsiTheme="minorEastAsia" w:eastAsiaTheme="minorEastAsia"/>
          <w:b/>
          <w:bCs/>
          <w:sz w:val="24"/>
          <w:szCs w:val="24"/>
          <w:highlight w:val="none"/>
          <w:lang w:val="zh-CN"/>
        </w:rPr>
      </w:pPr>
      <w:bookmarkStart w:id="238" w:name="_Toc6885"/>
      <w:bookmarkStart w:id="239" w:name="_Toc19890"/>
      <w:bookmarkStart w:id="240" w:name="_Toc14001"/>
      <w:r>
        <w:rPr>
          <w:rFonts w:hint="eastAsia" w:cs="Times New Roman" w:asciiTheme="minorEastAsia" w:hAnsiTheme="minorEastAsia" w:eastAsiaTheme="minorEastAsia"/>
          <w:b/>
          <w:bCs/>
          <w:sz w:val="24"/>
          <w:szCs w:val="24"/>
          <w:highlight w:val="none"/>
          <w:lang w:val="zh-CN"/>
        </w:rPr>
        <w:t>2.2</w:t>
      </w:r>
      <w:r>
        <w:rPr>
          <w:rFonts w:cs="Times New Roman" w:asciiTheme="minorEastAsia" w:hAnsiTheme="minorEastAsia" w:eastAsiaTheme="minorEastAsia"/>
          <w:b/>
          <w:bCs/>
          <w:sz w:val="24"/>
          <w:szCs w:val="24"/>
          <w:highlight w:val="none"/>
          <w:lang w:val="zh-CN"/>
        </w:rPr>
        <w:t>1</w:t>
      </w:r>
      <w:r>
        <w:rPr>
          <w:rFonts w:hint="eastAsia" w:cs="Times New Roman" w:asciiTheme="minorEastAsia" w:hAnsiTheme="minorEastAsia" w:eastAsiaTheme="minorEastAsia"/>
          <w:b/>
          <w:bCs/>
          <w:sz w:val="24"/>
          <w:szCs w:val="24"/>
          <w:highlight w:val="none"/>
          <w:lang w:val="zh-CN"/>
        </w:rPr>
        <w:t xml:space="preserve"> 合同份数</w:t>
      </w:r>
      <w:bookmarkEnd w:id="238"/>
      <w:bookmarkEnd w:id="239"/>
      <w:bookmarkEnd w:id="240"/>
    </w:p>
    <w:p w14:paraId="5D0E4DB7">
      <w:pPr>
        <w:shd w:val="clear"/>
        <w:spacing w:line="360" w:lineRule="auto"/>
        <w:jc w:val="center"/>
        <w:rPr>
          <w:rFonts w:cs="Times New Roman" w:asciiTheme="minorEastAsia" w:hAnsiTheme="minorEastAsia" w:eastAsiaTheme="minorEastAsia"/>
          <w:sz w:val="24"/>
          <w:szCs w:val="24"/>
          <w:highlight w:val="none"/>
        </w:rPr>
      </w:pPr>
      <w:r>
        <w:rPr>
          <w:rFonts w:cs="Times New Roman" w:asciiTheme="minorEastAsia" w:hAnsiTheme="minorEastAsia" w:eastAsiaTheme="minorEastAsia"/>
          <w:sz w:val="24"/>
          <w:szCs w:val="24"/>
          <w:highlight w:val="none"/>
        </w:rPr>
        <w:t>合同份数按</w:t>
      </w:r>
      <w:r>
        <w:rPr>
          <w:rFonts w:cs="Times New Roman" w:asciiTheme="minorEastAsia" w:hAnsiTheme="minorEastAsia" w:eastAsiaTheme="minorEastAsia"/>
          <w:b/>
          <w:i/>
          <w:sz w:val="24"/>
          <w:szCs w:val="24"/>
          <w:highlight w:val="none"/>
          <w:u w:val="single"/>
        </w:rPr>
        <w:t>合同专用条款</w:t>
      </w:r>
      <w:r>
        <w:rPr>
          <w:rFonts w:cs="Times New Roman" w:asciiTheme="minorEastAsia" w:hAnsiTheme="minorEastAsia" w:eastAsiaTheme="minorEastAsia"/>
          <w:sz w:val="24"/>
          <w:szCs w:val="24"/>
          <w:highlight w:val="none"/>
        </w:rPr>
        <w:t>规定</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每份均具有同等法律效力</w:t>
      </w:r>
      <w:r>
        <w:rPr>
          <w:rFonts w:hint="eastAsia" w:cs="Times New Roman" w:asciiTheme="minorEastAsia" w:hAnsiTheme="minorEastAsia" w:eastAsiaTheme="minorEastAsia"/>
          <w:sz w:val="24"/>
          <w:szCs w:val="24"/>
          <w:highlight w:val="none"/>
        </w:rPr>
        <w:t>。</w:t>
      </w:r>
      <w:bookmarkStart w:id="241" w:name="_Toc331685784"/>
    </w:p>
    <w:p w14:paraId="679DB7D0">
      <w:pPr>
        <w:shd w:val="clear"/>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br w:type="page"/>
      </w:r>
    </w:p>
    <w:p w14:paraId="34DCF285">
      <w:pPr>
        <w:shd w:val="clear"/>
        <w:spacing w:line="360" w:lineRule="auto"/>
        <w:jc w:val="center"/>
        <w:outlineLvl w:val="1"/>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第三部分</w:t>
      </w:r>
      <w:r>
        <w:rPr>
          <w:rFonts w:asciiTheme="minorEastAsia" w:hAnsiTheme="minorEastAsia" w:eastAsiaTheme="minorEastAsia"/>
          <w:b/>
          <w:sz w:val="24"/>
          <w:highlight w:val="none"/>
        </w:rPr>
        <w:t xml:space="preserve"> </w:t>
      </w:r>
      <w:r>
        <w:rPr>
          <w:rFonts w:hint="eastAsia" w:asciiTheme="minorEastAsia" w:hAnsiTheme="minorEastAsia" w:eastAsiaTheme="minorEastAsia"/>
          <w:b/>
          <w:sz w:val="24"/>
          <w:highlight w:val="none"/>
        </w:rPr>
        <w:t>合同专用条款</w:t>
      </w:r>
      <w:bookmarkEnd w:id="241"/>
    </w:p>
    <w:p w14:paraId="2F7A49E3">
      <w:pPr>
        <w:shd w:val="clear"/>
        <w:spacing w:line="360" w:lineRule="auto"/>
        <w:ind w:firstLine="435"/>
        <w:rPr>
          <w:rFonts w:cs="Times New Roman" w:asciiTheme="minorEastAsia" w:hAnsiTheme="minorEastAsia" w:eastAsiaTheme="minorEastAsia"/>
          <w:sz w:val="24"/>
          <w:szCs w:val="24"/>
          <w:highlight w:val="none"/>
        </w:rPr>
      </w:pPr>
      <w:r>
        <w:rPr>
          <w:rFonts w:hint="eastAsia" w:cs="Times New Roman" w:asciiTheme="minorEastAsia" w:hAnsiTheme="minorEastAsia" w:eastAsiaTheme="minorEastAsia"/>
          <w:sz w:val="24"/>
          <w:szCs w:val="24"/>
          <w:highlight w:val="none"/>
        </w:rPr>
        <w:t>本部分</w:t>
      </w:r>
      <w:r>
        <w:rPr>
          <w:rFonts w:cs="Times New Roman" w:asciiTheme="minorEastAsia" w:hAnsiTheme="minorEastAsia" w:eastAsiaTheme="minorEastAsia"/>
          <w:sz w:val="24"/>
          <w:szCs w:val="24"/>
          <w:highlight w:val="none"/>
        </w:rPr>
        <w:t>是对</w:t>
      </w:r>
      <w:r>
        <w:rPr>
          <w:rFonts w:hint="eastAsia" w:cs="Times New Roman" w:asciiTheme="minorEastAsia" w:hAnsiTheme="minorEastAsia" w:eastAsiaTheme="minorEastAsia"/>
          <w:sz w:val="24"/>
          <w:szCs w:val="24"/>
          <w:highlight w:val="none"/>
        </w:rPr>
        <w:t>前两</w:t>
      </w:r>
      <w:r>
        <w:rPr>
          <w:rFonts w:cs="Times New Roman" w:asciiTheme="minorEastAsia" w:hAnsiTheme="minorEastAsia" w:eastAsiaTheme="minorEastAsia"/>
          <w:sz w:val="24"/>
          <w:szCs w:val="24"/>
          <w:highlight w:val="none"/>
        </w:rPr>
        <w:t>部分的补充和修改</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如果</w:t>
      </w:r>
      <w:r>
        <w:rPr>
          <w:rFonts w:hint="eastAsia" w:cs="Times New Roman" w:asciiTheme="minorEastAsia" w:hAnsiTheme="minorEastAsia" w:eastAsiaTheme="minorEastAsia"/>
          <w:sz w:val="24"/>
          <w:szCs w:val="24"/>
          <w:highlight w:val="none"/>
        </w:rPr>
        <w:t>前两</w:t>
      </w:r>
      <w:r>
        <w:rPr>
          <w:rFonts w:cs="Times New Roman" w:asciiTheme="minorEastAsia" w:hAnsiTheme="minorEastAsia" w:eastAsiaTheme="minorEastAsia"/>
          <w:sz w:val="24"/>
          <w:szCs w:val="24"/>
          <w:highlight w:val="none"/>
        </w:rPr>
        <w:t>部分和本部分的约定不一致</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应以本部分的约定为准</w:t>
      </w:r>
      <w:r>
        <w:rPr>
          <w:rFonts w:hint="eastAsia" w:cs="Times New Roman" w:asciiTheme="minorEastAsia" w:hAnsiTheme="minorEastAsia" w:eastAsiaTheme="minorEastAsia"/>
          <w:sz w:val="24"/>
          <w:szCs w:val="24"/>
          <w:highlight w:val="none"/>
        </w:rPr>
        <w:t>。</w:t>
      </w:r>
      <w:r>
        <w:rPr>
          <w:rFonts w:cs="Times New Roman" w:asciiTheme="minorEastAsia" w:hAnsiTheme="minorEastAsia" w:eastAsiaTheme="minorEastAsia"/>
          <w:sz w:val="24"/>
          <w:szCs w:val="24"/>
          <w:highlight w:val="none"/>
        </w:rPr>
        <w:t>本部分的条款号应与</w:t>
      </w:r>
      <w:r>
        <w:rPr>
          <w:rFonts w:hint="eastAsia" w:cs="Times New Roman" w:asciiTheme="minorEastAsia" w:hAnsiTheme="minorEastAsia" w:eastAsiaTheme="minorEastAsia"/>
          <w:sz w:val="24"/>
          <w:szCs w:val="24"/>
          <w:highlight w:val="none"/>
        </w:rPr>
        <w:t>前两部分</w:t>
      </w:r>
      <w:r>
        <w:rPr>
          <w:rFonts w:cs="Times New Roman" w:asciiTheme="minorEastAsia" w:hAnsiTheme="minorEastAsia" w:eastAsiaTheme="minorEastAsia"/>
          <w:sz w:val="24"/>
          <w:szCs w:val="24"/>
          <w:highlight w:val="none"/>
        </w:rPr>
        <w:t>的条款号保持对应</w:t>
      </w:r>
      <w:r>
        <w:rPr>
          <w:rFonts w:hint="eastAsia" w:cs="Times New Roman" w:asciiTheme="minorEastAsia" w:hAnsiTheme="minorEastAsia" w:eastAsiaTheme="minorEastAsia"/>
          <w:sz w:val="24"/>
          <w:szCs w:val="24"/>
          <w:highlight w:val="none"/>
        </w:rPr>
        <w:t>；与前两部分</w:t>
      </w:r>
      <w:r>
        <w:rPr>
          <w:rFonts w:cs="Times New Roman" w:asciiTheme="minorEastAsia" w:hAnsiTheme="minorEastAsia" w:eastAsiaTheme="minorEastAsia"/>
          <w:sz w:val="24"/>
          <w:szCs w:val="24"/>
          <w:highlight w:val="none"/>
        </w:rPr>
        <w:t>无对应关系的内容可另行编制条款号</w:t>
      </w:r>
      <w:r>
        <w:rPr>
          <w:rFonts w:hint="eastAsia" w:cs="Times New Roman" w:asciiTheme="minorEastAsia" w:hAnsiTheme="minorEastAsia" w:eastAsiaTheme="minorEastAsia"/>
          <w:sz w:val="24"/>
          <w:szCs w:val="24"/>
          <w:highlight w:val="none"/>
        </w:rPr>
        <w:t>。</w:t>
      </w:r>
    </w:p>
    <w:tbl>
      <w:tblPr>
        <w:tblStyle w:val="25"/>
        <w:tblW w:w="50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28" w:type="dxa"/>
          <w:bottom w:w="0" w:type="dxa"/>
          <w:right w:w="28" w:type="dxa"/>
        </w:tblCellMar>
      </w:tblPr>
      <w:tblGrid>
        <w:gridCol w:w="793"/>
        <w:gridCol w:w="7569"/>
      </w:tblGrid>
      <w:tr w14:paraId="39BD7A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91" w:hRule="atLeast"/>
          <w:jc w:val="center"/>
        </w:trPr>
        <w:tc>
          <w:tcPr>
            <w:tcW w:w="474" w:type="pct"/>
            <w:tcBorders>
              <w:left w:val="single" w:color="auto" w:sz="4" w:space="0"/>
            </w:tcBorders>
            <w:vAlign w:val="center"/>
          </w:tcPr>
          <w:p w14:paraId="64517903">
            <w:pPr>
              <w:shd w:val="clear"/>
              <w:jc w:val="center"/>
              <w:rPr>
                <w:rFonts w:cs="Times New Roman" w:asciiTheme="minorEastAsia" w:hAnsiTheme="minorEastAsia" w:eastAsiaTheme="minorEastAsia"/>
                <w:b/>
                <w:sz w:val="24"/>
                <w:szCs w:val="24"/>
                <w:highlight w:val="none"/>
              </w:rPr>
            </w:pPr>
            <w:r>
              <w:rPr>
                <w:rFonts w:cs="Times New Roman" w:asciiTheme="minorEastAsia" w:hAnsiTheme="minorEastAsia" w:eastAsiaTheme="minorEastAsia"/>
                <w:b/>
                <w:sz w:val="24"/>
                <w:szCs w:val="24"/>
                <w:highlight w:val="none"/>
              </w:rPr>
              <w:t>条款号</w:t>
            </w:r>
          </w:p>
        </w:tc>
        <w:tc>
          <w:tcPr>
            <w:tcW w:w="4525" w:type="pct"/>
            <w:vAlign w:val="center"/>
          </w:tcPr>
          <w:p w14:paraId="22257136">
            <w:pPr>
              <w:shd w:val="clear"/>
              <w:jc w:val="center"/>
              <w:rPr>
                <w:rFonts w:cs="Times New Roman" w:asciiTheme="minorEastAsia" w:hAnsiTheme="minorEastAsia" w:eastAsiaTheme="minorEastAsia"/>
                <w:b/>
                <w:sz w:val="24"/>
                <w:szCs w:val="24"/>
                <w:highlight w:val="none"/>
              </w:rPr>
            </w:pPr>
            <w:r>
              <w:rPr>
                <w:rFonts w:cs="Times New Roman" w:asciiTheme="minorEastAsia" w:hAnsiTheme="minorEastAsia" w:eastAsiaTheme="minorEastAsia"/>
                <w:b/>
                <w:sz w:val="24"/>
                <w:szCs w:val="24"/>
                <w:highlight w:val="none"/>
              </w:rPr>
              <w:t>约定内容</w:t>
            </w:r>
          </w:p>
        </w:tc>
      </w:tr>
      <w:tr w14:paraId="2DF978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88" w:hRule="atLeast"/>
          <w:jc w:val="center"/>
        </w:trPr>
        <w:tc>
          <w:tcPr>
            <w:tcW w:w="474" w:type="pct"/>
            <w:tcBorders>
              <w:left w:val="single" w:color="auto" w:sz="4" w:space="0"/>
            </w:tcBorders>
            <w:shd w:val="clear" w:color="auto" w:fill="auto"/>
            <w:vAlign w:val="center"/>
          </w:tcPr>
          <w:p w14:paraId="76A3688A">
            <w:pPr>
              <w:shd w:val="clear"/>
              <w:spacing w:line="360" w:lineRule="auto"/>
              <w:jc w:val="center"/>
              <w:rPr>
                <w:rFonts w:ascii="宋体" w:hAnsi="宋体" w:eastAsia="宋体"/>
                <w:sz w:val="24"/>
                <w:szCs w:val="24"/>
                <w:highlight w:val="none"/>
              </w:rPr>
            </w:pPr>
            <w:r>
              <w:rPr>
                <w:rFonts w:hint="eastAsia" w:ascii="宋体" w:hAnsi="宋体" w:eastAsia="宋体"/>
                <w:sz w:val="24"/>
                <w:highlight w:val="none"/>
              </w:rPr>
              <w:t>2.3.2</w:t>
            </w:r>
          </w:p>
        </w:tc>
        <w:tc>
          <w:tcPr>
            <w:tcW w:w="4525" w:type="pct"/>
            <w:shd w:val="clear" w:color="auto" w:fill="auto"/>
            <w:vAlign w:val="center"/>
          </w:tcPr>
          <w:p w14:paraId="62CA998E">
            <w:pPr>
              <w:shd w:val="clear"/>
              <w:spacing w:line="360" w:lineRule="auto"/>
              <w:rPr>
                <w:rFonts w:ascii="宋体" w:hAnsi="宋体"/>
                <w:sz w:val="24"/>
                <w:szCs w:val="24"/>
                <w:highlight w:val="none"/>
              </w:rPr>
            </w:pPr>
            <w:r>
              <w:rPr>
                <w:rFonts w:ascii="宋体" w:hAnsi="宋体" w:eastAsia="宋体"/>
                <w:sz w:val="24"/>
                <w:highlight w:val="none"/>
              </w:rPr>
              <w:t>本合同项下计算机软件等货物的知识产权均归该软件的原始著作权人（厂商）所有</w:t>
            </w:r>
            <w:r>
              <w:rPr>
                <w:rFonts w:hint="eastAsia" w:ascii="宋体" w:hAnsi="宋体" w:eastAsia="宋体"/>
                <w:sz w:val="24"/>
                <w:highlight w:val="none"/>
              </w:rPr>
              <w:t>。乙方保证软件不侵犯第三方权利，否则由乙方承担全部责任与赔偿。甲方获得本合同项下具有知识产权的计算机软件等货物的使用权，甲方在使用中独立产生的业务数据、配置参数、报表等数据权益归甲方所有</w:t>
            </w:r>
            <w:r>
              <w:rPr>
                <w:rFonts w:hint="eastAsia" w:ascii="宋体" w:hAnsi="宋体" w:eastAsia="宋体" w:cs="宋体"/>
                <w:sz w:val="24"/>
                <w:szCs w:val="24"/>
                <w:highlight w:val="none"/>
              </w:rPr>
              <w:t>。乙方保证开放全部标准接口与对接文档，保障与甲方的软硬件兼容对接。以上责任及费用由乙方承担。</w:t>
            </w:r>
          </w:p>
        </w:tc>
      </w:tr>
      <w:tr w14:paraId="3F1EDF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shd w:val="clear" w:color="auto" w:fill="auto"/>
            <w:vAlign w:val="center"/>
          </w:tcPr>
          <w:p w14:paraId="5DB7E56C">
            <w:pPr>
              <w:shd w:val="clear"/>
              <w:spacing w:line="360" w:lineRule="auto"/>
              <w:jc w:val="center"/>
              <w:rPr>
                <w:rFonts w:ascii="宋体" w:hAnsi="宋体" w:eastAsia="宋体"/>
                <w:sz w:val="24"/>
                <w:highlight w:val="none"/>
              </w:rPr>
            </w:pPr>
            <w:r>
              <w:rPr>
                <w:rFonts w:hint="eastAsia" w:ascii="宋体" w:hAnsi="宋体" w:eastAsia="宋体"/>
                <w:sz w:val="24"/>
                <w:highlight w:val="none"/>
              </w:rPr>
              <w:t>2.4.2</w:t>
            </w:r>
          </w:p>
        </w:tc>
        <w:tc>
          <w:tcPr>
            <w:tcW w:w="4525" w:type="pct"/>
            <w:shd w:val="clear" w:color="auto" w:fill="auto"/>
            <w:vAlign w:val="center"/>
          </w:tcPr>
          <w:p w14:paraId="7F71DF77">
            <w:pPr>
              <w:shd w:val="clear"/>
              <w:spacing w:line="360" w:lineRule="auto"/>
              <w:rPr>
                <w:rFonts w:ascii="宋体" w:hAnsi="宋体" w:eastAsia="宋体"/>
                <w:sz w:val="24"/>
                <w:highlight w:val="none"/>
              </w:rPr>
            </w:pPr>
            <w:r>
              <w:rPr>
                <w:rFonts w:hint="eastAsia" w:ascii="宋体" w:hAnsi="宋体" w:eastAsia="宋体"/>
                <w:sz w:val="24"/>
                <w:highlight w:val="none"/>
              </w:rPr>
              <w:t>乙方</w:t>
            </w:r>
            <w:r>
              <w:rPr>
                <w:rFonts w:ascii="宋体" w:hAnsi="宋体" w:eastAsia="宋体"/>
                <w:sz w:val="24"/>
                <w:highlight w:val="none"/>
              </w:rPr>
              <w:t>须按国家规范及货物运输要求采取防潮、防震、加固包装，包装费用含在合同总价内，包装不当产生货损由</w:t>
            </w:r>
            <w:r>
              <w:rPr>
                <w:rFonts w:hint="eastAsia" w:ascii="宋体" w:hAnsi="宋体" w:eastAsia="宋体"/>
                <w:sz w:val="24"/>
                <w:highlight w:val="none"/>
              </w:rPr>
              <w:t>乙</w:t>
            </w:r>
            <w:r>
              <w:rPr>
                <w:rFonts w:ascii="宋体" w:hAnsi="宋体" w:eastAsia="宋体"/>
                <w:sz w:val="24"/>
                <w:highlight w:val="none"/>
              </w:rPr>
              <w:t>方全责补发并承担全部费用。</w:t>
            </w:r>
          </w:p>
          <w:p w14:paraId="7AEBA7CF">
            <w:pPr>
              <w:shd w:val="clear"/>
              <w:spacing w:line="360" w:lineRule="auto"/>
              <w:rPr>
                <w:rFonts w:ascii="宋体" w:hAnsi="宋体" w:eastAsia="宋体"/>
                <w:sz w:val="24"/>
                <w:highlight w:val="none"/>
              </w:rPr>
            </w:pPr>
            <w:r>
              <w:rPr>
                <w:rFonts w:hint="eastAsia" w:ascii="宋体" w:hAnsi="宋体" w:eastAsia="宋体"/>
                <w:sz w:val="24"/>
                <w:highlight w:val="none"/>
              </w:rPr>
              <w:t>货物</w:t>
            </w:r>
            <w:r>
              <w:rPr>
                <w:rFonts w:ascii="宋体" w:hAnsi="宋体" w:eastAsia="宋体"/>
                <w:sz w:val="24"/>
                <w:highlight w:val="none"/>
              </w:rPr>
              <w:t>装车、运输、保险、装卸责任及费用由</w:t>
            </w:r>
            <w:r>
              <w:rPr>
                <w:rFonts w:hint="eastAsia" w:ascii="宋体" w:hAnsi="宋体" w:eastAsia="宋体"/>
                <w:sz w:val="24"/>
                <w:highlight w:val="none"/>
              </w:rPr>
              <w:t>乙方</w:t>
            </w:r>
            <w:r>
              <w:rPr>
                <w:rFonts w:ascii="宋体" w:hAnsi="宋体" w:eastAsia="宋体"/>
                <w:sz w:val="24"/>
                <w:highlight w:val="none"/>
              </w:rPr>
              <w:t>承担</w:t>
            </w:r>
            <w:r>
              <w:rPr>
                <w:rFonts w:hint="eastAsia" w:ascii="宋体" w:hAnsi="宋体" w:eastAsia="宋体"/>
                <w:sz w:val="24"/>
                <w:highlight w:val="none"/>
              </w:rPr>
              <w:t>。</w:t>
            </w:r>
          </w:p>
        </w:tc>
      </w:tr>
      <w:tr w14:paraId="75A2833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shd w:val="clear" w:color="auto" w:fill="auto"/>
            <w:vAlign w:val="center"/>
          </w:tcPr>
          <w:p w14:paraId="3B239324">
            <w:pPr>
              <w:shd w:val="clear"/>
              <w:spacing w:line="360" w:lineRule="auto"/>
              <w:jc w:val="center"/>
              <w:rPr>
                <w:rFonts w:ascii="宋体" w:hAnsi="宋体" w:eastAsia="宋体"/>
                <w:sz w:val="24"/>
                <w:szCs w:val="24"/>
                <w:highlight w:val="none"/>
              </w:rPr>
            </w:pPr>
            <w:r>
              <w:rPr>
                <w:rFonts w:hint="eastAsia" w:ascii="宋体" w:hAnsi="宋体" w:eastAsia="宋体"/>
                <w:sz w:val="24"/>
                <w:highlight w:val="none"/>
              </w:rPr>
              <w:t>2.6</w:t>
            </w:r>
          </w:p>
        </w:tc>
        <w:tc>
          <w:tcPr>
            <w:tcW w:w="4525" w:type="pct"/>
            <w:shd w:val="clear" w:color="auto" w:fill="auto"/>
            <w:vAlign w:val="center"/>
          </w:tcPr>
          <w:p w14:paraId="359FE280">
            <w:pPr>
              <w:shd w:val="clear"/>
              <w:spacing w:line="360" w:lineRule="auto"/>
              <w:rPr>
                <w:rFonts w:ascii="宋体" w:hAnsi="宋体" w:eastAsia="宋体"/>
                <w:sz w:val="24"/>
                <w:highlight w:val="none"/>
              </w:rPr>
            </w:pPr>
            <w:r>
              <w:rPr>
                <w:rFonts w:hint="eastAsia" w:ascii="宋体" w:hAnsi="宋体" w:eastAsia="宋体"/>
                <w:sz w:val="24"/>
                <w:highlight w:val="none"/>
              </w:rPr>
              <w:t>结算方式：银行转账。</w:t>
            </w:r>
          </w:p>
          <w:p w14:paraId="5D097640">
            <w:pPr>
              <w:shd w:val="clear"/>
              <w:spacing w:line="360" w:lineRule="auto"/>
              <w:rPr>
                <w:rFonts w:ascii="宋体" w:hAnsi="宋体" w:eastAsia="宋体"/>
                <w:sz w:val="24"/>
                <w:szCs w:val="24"/>
                <w:highlight w:val="none"/>
              </w:rPr>
            </w:pPr>
            <w:r>
              <w:rPr>
                <w:rFonts w:hint="eastAsia" w:ascii="宋体" w:hAnsi="宋体" w:eastAsia="宋体"/>
                <w:sz w:val="24"/>
                <w:highlight w:val="none"/>
              </w:rPr>
              <w:t>付款条件：乙方需提供合法有效的发票，甲方审核无误后按约定付款。</w:t>
            </w:r>
          </w:p>
        </w:tc>
      </w:tr>
      <w:tr w14:paraId="7CECD9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shd w:val="clear" w:color="auto" w:fill="auto"/>
            <w:vAlign w:val="center"/>
          </w:tcPr>
          <w:p w14:paraId="67B119B9">
            <w:pPr>
              <w:shd w:val="clear"/>
              <w:snapToGrid w:val="0"/>
              <w:spacing w:line="360" w:lineRule="auto"/>
              <w:jc w:val="center"/>
              <w:rPr>
                <w:rFonts w:ascii="宋体" w:hAnsi="宋体" w:eastAsia="宋体" w:cs="Times New Roman"/>
                <w:sz w:val="24"/>
                <w:szCs w:val="24"/>
                <w:highlight w:val="none"/>
              </w:rPr>
            </w:pPr>
            <w:r>
              <w:rPr>
                <w:rFonts w:hint="eastAsia" w:ascii="宋体" w:hAnsi="宋体" w:eastAsia="宋体" w:cs="Times New Roman"/>
                <w:sz w:val="24"/>
                <w:szCs w:val="24"/>
                <w:highlight w:val="none"/>
              </w:rPr>
              <w:t>2.9</w:t>
            </w:r>
          </w:p>
        </w:tc>
        <w:tc>
          <w:tcPr>
            <w:tcW w:w="4525" w:type="pct"/>
            <w:shd w:val="clear" w:color="auto" w:fill="auto"/>
            <w:vAlign w:val="center"/>
          </w:tcPr>
          <w:p w14:paraId="7500874C">
            <w:pPr>
              <w:shd w:val="clear"/>
              <w:snapToGrid w:val="0"/>
              <w:spacing w:line="360" w:lineRule="auto"/>
              <w:rPr>
                <w:rFonts w:ascii="宋体" w:hAnsi="宋体" w:eastAsia="宋体" w:cs="Times New Roman"/>
                <w:sz w:val="24"/>
                <w:szCs w:val="24"/>
                <w:highlight w:val="none"/>
              </w:rPr>
            </w:pPr>
            <w:r>
              <w:rPr>
                <w:rFonts w:hint="eastAsia" w:ascii="宋体" w:hAnsi="宋体" w:eastAsia="宋体" w:cs="Times New Roman"/>
                <w:sz w:val="24"/>
                <w:szCs w:val="24"/>
                <w:highlight w:val="none"/>
              </w:rPr>
              <w:t>货物运输至甲方指定地点到货物验收合格交付使用前，乙方负责对货物的损毁灭失承担责任。</w:t>
            </w:r>
          </w:p>
        </w:tc>
      </w:tr>
      <w:tr w14:paraId="41E926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shd w:val="clear" w:color="auto" w:fill="auto"/>
            <w:vAlign w:val="center"/>
          </w:tcPr>
          <w:p w14:paraId="26297D33">
            <w:pPr>
              <w:shd w:val="clear"/>
              <w:spacing w:line="360" w:lineRule="auto"/>
              <w:jc w:val="center"/>
              <w:rPr>
                <w:rFonts w:ascii="宋体" w:hAnsi="宋体" w:eastAsia="宋体"/>
                <w:sz w:val="24"/>
                <w:szCs w:val="24"/>
                <w:highlight w:val="none"/>
              </w:rPr>
            </w:pPr>
            <w:r>
              <w:rPr>
                <w:rFonts w:hint="eastAsia" w:ascii="宋体" w:hAnsi="宋体" w:eastAsia="宋体"/>
                <w:sz w:val="24"/>
                <w:highlight w:val="none"/>
              </w:rPr>
              <w:t>2.13.3</w:t>
            </w:r>
          </w:p>
        </w:tc>
        <w:tc>
          <w:tcPr>
            <w:tcW w:w="4525" w:type="pct"/>
            <w:shd w:val="clear" w:color="auto" w:fill="auto"/>
            <w:vAlign w:val="center"/>
          </w:tcPr>
          <w:p w14:paraId="157E6E01">
            <w:pPr>
              <w:shd w:val="clear"/>
              <w:adjustRightInd w:val="0"/>
              <w:snapToGrid w:val="0"/>
              <w:spacing w:line="360" w:lineRule="auto"/>
              <w:rPr>
                <w:rFonts w:ascii="宋体" w:hAnsi="宋体" w:eastAsia="宋体"/>
                <w:sz w:val="24"/>
                <w:szCs w:val="24"/>
                <w:highlight w:val="none"/>
              </w:rPr>
            </w:pPr>
            <w:r>
              <w:rPr>
                <w:rFonts w:hint="eastAsia" w:ascii="宋体" w:hAnsi="宋体" w:eastAsia="宋体" w:cs="宋体"/>
                <w:sz w:val="24"/>
                <w:szCs w:val="24"/>
                <w:highlight w:val="none"/>
              </w:rPr>
              <w:t>因不可抗力致使合同有变更必要的，双方当事人应在</w:t>
            </w:r>
            <w:r>
              <w:rPr>
                <w:rFonts w:hint="eastAsia" w:ascii="宋体" w:hAnsi="宋体" w:eastAsia="宋体" w:cs="宋体"/>
                <w:iCs/>
                <w:sz w:val="24"/>
                <w:szCs w:val="24"/>
                <w:highlight w:val="none"/>
                <w:u w:val="single"/>
              </w:rPr>
              <w:t>7个工作日</w:t>
            </w:r>
            <w:r>
              <w:rPr>
                <w:rFonts w:hint="eastAsia" w:ascii="宋体" w:hAnsi="宋体" w:eastAsia="宋体" w:cs="宋体"/>
                <w:sz w:val="24"/>
                <w:szCs w:val="24"/>
                <w:highlight w:val="none"/>
              </w:rPr>
              <w:t>内以书面形式变更合同。</w:t>
            </w:r>
          </w:p>
        </w:tc>
      </w:tr>
      <w:tr w14:paraId="335354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shd w:val="clear" w:color="auto" w:fill="auto"/>
            <w:vAlign w:val="center"/>
          </w:tcPr>
          <w:p w14:paraId="200033C2">
            <w:pPr>
              <w:shd w:val="clear"/>
              <w:spacing w:line="360" w:lineRule="auto"/>
              <w:jc w:val="center"/>
              <w:rPr>
                <w:rFonts w:ascii="宋体" w:hAnsi="宋体" w:eastAsia="宋体"/>
                <w:sz w:val="24"/>
                <w:szCs w:val="24"/>
                <w:highlight w:val="none"/>
              </w:rPr>
            </w:pPr>
            <w:r>
              <w:rPr>
                <w:rFonts w:hint="eastAsia" w:ascii="宋体" w:hAnsi="宋体" w:eastAsia="宋体"/>
                <w:sz w:val="24"/>
                <w:highlight w:val="none"/>
              </w:rPr>
              <w:t>2.13.4</w:t>
            </w:r>
          </w:p>
        </w:tc>
        <w:tc>
          <w:tcPr>
            <w:tcW w:w="4525" w:type="pct"/>
            <w:shd w:val="clear" w:color="auto" w:fill="auto"/>
            <w:vAlign w:val="center"/>
          </w:tcPr>
          <w:p w14:paraId="258F634C">
            <w:pPr>
              <w:shd w:val="clear"/>
              <w:adjustRightInd w:val="0"/>
              <w:snapToGrid w:val="0"/>
              <w:spacing w:line="360" w:lineRule="auto"/>
              <w:rPr>
                <w:rFonts w:ascii="宋体" w:hAnsi="宋体" w:eastAsia="宋体"/>
                <w:sz w:val="24"/>
                <w:szCs w:val="24"/>
                <w:highlight w:val="none"/>
              </w:rPr>
            </w:pPr>
            <w:r>
              <w:rPr>
                <w:rFonts w:hint="eastAsia" w:ascii="宋体" w:hAnsi="宋体" w:eastAsia="宋体" w:cs="宋体"/>
                <w:sz w:val="24"/>
                <w:szCs w:val="24"/>
                <w:highlight w:val="none"/>
              </w:rPr>
              <w:t>受不可抗力影响的一方在不可抗力发生后，应在</w:t>
            </w:r>
            <w:r>
              <w:rPr>
                <w:rFonts w:hint="eastAsia" w:ascii="宋体" w:hAnsi="宋体" w:eastAsia="宋体" w:cs="宋体"/>
                <w:iCs/>
                <w:sz w:val="24"/>
                <w:szCs w:val="24"/>
                <w:highlight w:val="none"/>
                <w:u w:val="single"/>
              </w:rPr>
              <w:t>7个工作日</w:t>
            </w:r>
            <w:r>
              <w:rPr>
                <w:rFonts w:hint="eastAsia" w:ascii="宋体" w:hAnsi="宋体" w:eastAsia="宋体" w:cs="宋体"/>
                <w:sz w:val="24"/>
                <w:szCs w:val="24"/>
                <w:highlight w:val="none"/>
              </w:rPr>
              <w:t>内以书面形式通知对方当事人，并在</w:t>
            </w:r>
            <w:r>
              <w:rPr>
                <w:rFonts w:hint="eastAsia" w:ascii="宋体" w:hAnsi="宋体" w:eastAsia="宋体" w:cs="宋体"/>
                <w:iCs/>
                <w:sz w:val="24"/>
                <w:szCs w:val="24"/>
                <w:highlight w:val="none"/>
                <w:u w:val="single"/>
              </w:rPr>
              <w:t>7个工作日</w:t>
            </w:r>
            <w:r>
              <w:rPr>
                <w:rFonts w:hint="eastAsia" w:ascii="宋体" w:hAnsi="宋体" w:eastAsia="宋体" w:cs="宋体"/>
                <w:sz w:val="24"/>
                <w:szCs w:val="24"/>
                <w:highlight w:val="none"/>
              </w:rPr>
              <w:t>内，将有关部门出具的证明文件送达对方当事人。</w:t>
            </w:r>
          </w:p>
        </w:tc>
      </w:tr>
      <w:tr w14:paraId="42D907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352" w:hRule="atLeast"/>
          <w:jc w:val="center"/>
        </w:trPr>
        <w:tc>
          <w:tcPr>
            <w:tcW w:w="474" w:type="pct"/>
            <w:tcBorders>
              <w:left w:val="single" w:color="auto" w:sz="4" w:space="0"/>
            </w:tcBorders>
            <w:shd w:val="clear" w:color="auto" w:fill="auto"/>
            <w:vAlign w:val="center"/>
          </w:tcPr>
          <w:p w14:paraId="701F541A">
            <w:pPr>
              <w:shd w:val="clear"/>
              <w:spacing w:line="360" w:lineRule="auto"/>
              <w:jc w:val="center"/>
              <w:rPr>
                <w:rFonts w:ascii="宋体" w:hAnsi="宋体" w:eastAsia="宋体"/>
                <w:sz w:val="24"/>
                <w:szCs w:val="24"/>
                <w:highlight w:val="none"/>
              </w:rPr>
            </w:pPr>
            <w:r>
              <w:rPr>
                <w:rFonts w:hint="eastAsia" w:ascii="宋体" w:hAnsi="宋体" w:eastAsia="宋体"/>
                <w:sz w:val="24"/>
                <w:highlight w:val="none"/>
              </w:rPr>
              <w:t>2.17.3</w:t>
            </w:r>
          </w:p>
        </w:tc>
        <w:tc>
          <w:tcPr>
            <w:tcW w:w="4525" w:type="pct"/>
            <w:shd w:val="clear" w:color="auto" w:fill="auto"/>
            <w:vAlign w:val="center"/>
          </w:tcPr>
          <w:p w14:paraId="2202C06F">
            <w:pPr>
              <w:shd w:val="clear"/>
              <w:spacing w:line="360" w:lineRule="auto"/>
              <w:rPr>
                <w:rFonts w:ascii="宋体" w:hAnsi="宋体" w:eastAsia="宋体"/>
                <w:sz w:val="24"/>
                <w:highlight w:val="none"/>
              </w:rPr>
            </w:pPr>
            <w:r>
              <w:rPr>
                <w:rFonts w:hint="eastAsia" w:ascii="宋体" w:hAnsi="宋体" w:eastAsia="宋体"/>
                <w:sz w:val="24"/>
                <w:highlight w:val="none"/>
              </w:rPr>
              <w:t>甲方按招标（采购）文件中采购需求内容进行验收。</w:t>
            </w:r>
          </w:p>
          <w:p w14:paraId="27EB9C56">
            <w:pPr>
              <w:pStyle w:val="8"/>
              <w:shd w:val="clear"/>
              <w:spacing w:line="360" w:lineRule="auto"/>
              <w:rPr>
                <w:rFonts w:eastAsia="宋体"/>
                <w:highlight w:val="none"/>
                <w:lang w:val="en-US"/>
              </w:rPr>
            </w:pPr>
            <w:r>
              <w:rPr>
                <w:rFonts w:hint="eastAsia" w:ascii="宋体" w:hAnsi="宋体" w:eastAsia="宋体" w:cs="宋体"/>
                <w:sz w:val="24"/>
                <w:highlight w:val="none"/>
                <w:lang w:val="en-US"/>
              </w:rPr>
              <w:t>验收</w:t>
            </w:r>
            <w:r>
              <w:rPr>
                <w:rFonts w:hint="eastAsia" w:ascii="宋体" w:hAnsi="宋体" w:eastAsia="宋体" w:cs="宋体"/>
                <w:sz w:val="24"/>
                <w:highlight w:val="none"/>
              </w:rPr>
              <w:t>标准：符合国家相关行业标准、</w:t>
            </w:r>
            <w:r>
              <w:rPr>
                <w:rFonts w:hint="eastAsia" w:ascii="宋体" w:hAnsi="宋体" w:eastAsia="宋体" w:cs="宋体"/>
                <w:sz w:val="24"/>
                <w:highlight w:val="none"/>
                <w:lang w:val="en-US"/>
              </w:rPr>
              <w:t>招标（</w:t>
            </w:r>
            <w:r>
              <w:rPr>
                <w:rFonts w:hint="eastAsia" w:ascii="宋体" w:hAnsi="宋体" w:eastAsia="宋体" w:cs="宋体"/>
                <w:sz w:val="24"/>
                <w:highlight w:val="none"/>
              </w:rPr>
              <w:t>采购）文件要求及合同约定的质量标准。</w:t>
            </w:r>
          </w:p>
        </w:tc>
      </w:tr>
      <w:tr w14:paraId="1E6612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shd w:val="clear" w:color="auto" w:fill="auto"/>
            <w:vAlign w:val="center"/>
          </w:tcPr>
          <w:p w14:paraId="4ADF4974">
            <w:pPr>
              <w:shd w:val="clear"/>
              <w:spacing w:line="360" w:lineRule="auto"/>
              <w:jc w:val="center"/>
              <w:rPr>
                <w:rFonts w:ascii="宋体" w:hAnsi="宋体" w:eastAsia="宋体"/>
                <w:sz w:val="24"/>
                <w:szCs w:val="24"/>
                <w:highlight w:val="none"/>
              </w:rPr>
            </w:pPr>
            <w:r>
              <w:rPr>
                <w:rFonts w:hint="eastAsia" w:ascii="宋体" w:hAnsi="宋体" w:eastAsia="宋体"/>
                <w:sz w:val="24"/>
                <w:highlight w:val="none"/>
              </w:rPr>
              <w:t>2.20.1</w:t>
            </w:r>
          </w:p>
        </w:tc>
        <w:tc>
          <w:tcPr>
            <w:tcW w:w="4525" w:type="pct"/>
            <w:shd w:val="clear" w:color="auto" w:fill="auto"/>
            <w:vAlign w:val="center"/>
          </w:tcPr>
          <w:p w14:paraId="224DCD70">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t>（1）金额：合同金额的2.5%</w:t>
            </w:r>
          </w:p>
          <w:p w14:paraId="78299C47">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t>（2）支付方式：</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 xml:space="preserve">转账/电汇 </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 xml:space="preserve">支票 </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 xml:space="preserve">汇票 </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 xml:space="preserve">本票 </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 xml:space="preserve">保险 </w:t>
            </w:r>
            <w:r>
              <w:rPr>
                <w:rFonts w:hint="eastAsia" w:ascii="宋体" w:hAnsi="宋体" w:eastAsia="宋体"/>
                <w:bCs/>
                <w:kern w:val="0"/>
                <w:sz w:val="24"/>
                <w:szCs w:val="28"/>
                <w:highlight w:val="none"/>
              </w:rPr>
              <w:sym w:font="Wingdings" w:char="00FE"/>
            </w:r>
            <w:r>
              <w:rPr>
                <w:rFonts w:hint="eastAsia" w:ascii="宋体" w:hAnsi="宋体" w:eastAsia="宋体"/>
                <w:bCs/>
                <w:kern w:val="0"/>
                <w:sz w:val="24"/>
                <w:szCs w:val="28"/>
                <w:highlight w:val="none"/>
              </w:rPr>
              <w:t>保函</w:t>
            </w:r>
          </w:p>
          <w:p w14:paraId="4FABCDBA">
            <w:pPr>
              <w:shd w:val="clear"/>
              <w:spacing w:line="360" w:lineRule="auto"/>
              <w:rPr>
                <w:rFonts w:ascii="宋体" w:hAnsi="宋体" w:eastAsia="宋体"/>
                <w:bCs/>
                <w:kern w:val="0"/>
                <w:sz w:val="24"/>
                <w:szCs w:val="28"/>
                <w:highlight w:val="none"/>
              </w:rPr>
            </w:pPr>
            <w:r>
              <w:rPr>
                <w:rFonts w:hint="eastAsia" w:ascii="宋体" w:hAnsi="宋体" w:eastAsia="宋体"/>
                <w:bCs/>
                <w:kern w:val="0"/>
                <w:sz w:val="24"/>
                <w:szCs w:val="28"/>
                <w:highlight w:val="none"/>
              </w:rPr>
              <w:t>（3）收取单位：</w:t>
            </w:r>
            <w:r>
              <w:rPr>
                <w:rFonts w:hint="eastAsia" w:ascii="宋体" w:hAnsi="宋体" w:eastAsia="宋体"/>
                <w:bCs/>
                <w:kern w:val="0"/>
                <w:sz w:val="24"/>
                <w:szCs w:val="28"/>
                <w:highlight w:val="none"/>
                <w:u w:val="single"/>
              </w:rPr>
              <w:t xml:space="preserve"> 安徽中医药大学第二附属医院 </w:t>
            </w:r>
          </w:p>
          <w:p w14:paraId="7B13D5C2">
            <w:pPr>
              <w:shd w:val="clear"/>
              <w:wordWrap w:val="0"/>
              <w:spacing w:line="360" w:lineRule="auto"/>
              <w:ind w:hanging="1920" w:hangingChars="800"/>
              <w:jc w:val="left"/>
              <w:rPr>
                <w:rFonts w:ascii="宋体" w:hAnsi="宋体" w:eastAsia="宋体"/>
                <w:bCs/>
                <w:kern w:val="0"/>
                <w:sz w:val="24"/>
                <w:szCs w:val="28"/>
                <w:highlight w:val="none"/>
              </w:rPr>
            </w:pPr>
            <w:r>
              <w:rPr>
                <w:rFonts w:hint="eastAsia" w:ascii="宋体" w:hAnsi="宋体" w:eastAsia="宋体"/>
                <w:bCs/>
                <w:kern w:val="0"/>
                <w:sz w:val="24"/>
                <w:szCs w:val="28"/>
                <w:highlight w:val="none"/>
              </w:rPr>
              <w:t>（4）收取账号：</w:t>
            </w:r>
            <w:r>
              <w:rPr>
                <w:rFonts w:hint="eastAsia" w:ascii="宋体" w:hAnsi="宋体" w:eastAsia="宋体"/>
                <w:bCs/>
                <w:kern w:val="0"/>
                <w:sz w:val="24"/>
                <w:szCs w:val="28"/>
                <w:highlight w:val="none"/>
                <w:u w:val="single"/>
                <w:lang w:val="en-US" w:eastAsia="zh-CN"/>
              </w:rPr>
              <w:t>交通银行安徽省分行</w:t>
            </w:r>
            <w:r>
              <w:rPr>
                <w:rFonts w:hint="eastAsia" w:ascii="宋体" w:hAnsi="宋体" w:eastAsia="宋体"/>
                <w:bCs/>
                <w:kern w:val="0"/>
                <w:sz w:val="24"/>
                <w:szCs w:val="28"/>
                <w:highlight w:val="none"/>
                <w:u w:val="single"/>
              </w:rPr>
              <w:t>341301000010149113772</w:t>
            </w:r>
          </w:p>
          <w:p w14:paraId="54ADA2D9">
            <w:pPr>
              <w:shd w:val="clear"/>
              <w:spacing w:line="360" w:lineRule="auto"/>
              <w:rPr>
                <w:rFonts w:ascii="宋体" w:hAnsi="宋体" w:eastAsia="宋体"/>
                <w:sz w:val="24"/>
                <w:highlight w:val="none"/>
              </w:rPr>
            </w:pPr>
            <w:r>
              <w:rPr>
                <w:rFonts w:hint="eastAsia" w:ascii="宋体" w:hAnsi="宋体" w:eastAsia="宋体"/>
                <w:bCs/>
                <w:kern w:val="0"/>
                <w:sz w:val="24"/>
                <w:szCs w:val="28"/>
                <w:highlight w:val="none"/>
              </w:rPr>
              <w:t>（5）退还时间：验收合格后一次性退还</w:t>
            </w:r>
          </w:p>
          <w:p w14:paraId="34738EB1">
            <w:pPr>
              <w:shd w:val="clear"/>
              <w:spacing w:line="360" w:lineRule="auto"/>
              <w:rPr>
                <w:rFonts w:ascii="宋体" w:hAnsi="宋体" w:eastAsia="宋体"/>
                <w:kern w:val="0"/>
                <w:sz w:val="24"/>
                <w:szCs w:val="24"/>
                <w:highlight w:val="none"/>
              </w:rPr>
            </w:pPr>
            <w:r>
              <w:rPr>
                <w:rFonts w:hint="eastAsia" w:ascii="宋体" w:hAnsi="宋体" w:eastAsia="宋体"/>
                <w:kern w:val="0"/>
                <w:sz w:val="24"/>
                <w:szCs w:val="24"/>
                <w:highlight w:val="none"/>
              </w:rPr>
              <w:t>注意事项：</w:t>
            </w:r>
          </w:p>
          <w:p w14:paraId="3270194C">
            <w:pPr>
              <w:shd w:val="clear"/>
              <w:spacing w:line="360" w:lineRule="auto"/>
              <w:rPr>
                <w:rFonts w:ascii="宋体" w:hAnsi="宋体" w:eastAsia="宋体"/>
                <w:b/>
                <w:bCs/>
                <w:kern w:val="0"/>
                <w:sz w:val="24"/>
                <w:szCs w:val="24"/>
                <w:highlight w:val="none"/>
              </w:rPr>
            </w:pPr>
            <w:r>
              <w:rPr>
                <w:rFonts w:hint="eastAsia" w:ascii="宋体" w:hAnsi="宋体" w:eastAsia="宋体"/>
                <w:kern w:val="0"/>
                <w:sz w:val="24"/>
                <w:szCs w:val="24"/>
                <w:highlight w:val="none"/>
              </w:rPr>
              <w:t>（1）以上各类机构出具的以担保函、保证保险承担责任的方式均须满足无条件见索即付条件。</w:t>
            </w:r>
          </w:p>
          <w:p w14:paraId="5156854E">
            <w:pPr>
              <w:shd w:val="clear"/>
              <w:spacing w:line="360" w:lineRule="auto"/>
              <w:rPr>
                <w:rFonts w:ascii="宋体" w:hAnsi="宋体" w:eastAsia="宋体"/>
                <w:sz w:val="24"/>
                <w:szCs w:val="24"/>
                <w:highlight w:val="none"/>
                <w:u w:val="single"/>
              </w:rPr>
            </w:pPr>
            <w:r>
              <w:rPr>
                <w:rFonts w:hint="eastAsia" w:ascii="宋体" w:hAnsi="宋体" w:eastAsia="宋体"/>
                <w:sz w:val="24"/>
                <w:szCs w:val="24"/>
                <w:highlight w:val="none"/>
              </w:rPr>
              <w:t>（2）以担保函、保证保险形式缴纳履约保证金的，受益人和收取单位须为采购人。</w:t>
            </w:r>
          </w:p>
        </w:tc>
      </w:tr>
      <w:tr w14:paraId="2AA55A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trHeight w:val="65" w:hRule="atLeast"/>
          <w:jc w:val="center"/>
        </w:trPr>
        <w:tc>
          <w:tcPr>
            <w:tcW w:w="474" w:type="pct"/>
            <w:tcBorders>
              <w:left w:val="single" w:color="auto" w:sz="4" w:space="0"/>
            </w:tcBorders>
            <w:shd w:val="clear" w:color="auto" w:fill="auto"/>
            <w:vAlign w:val="center"/>
          </w:tcPr>
          <w:p w14:paraId="34F28C32">
            <w:pPr>
              <w:shd w:val="clear"/>
              <w:spacing w:line="360" w:lineRule="auto"/>
              <w:jc w:val="center"/>
              <w:rPr>
                <w:rFonts w:ascii="宋体" w:hAnsi="宋体" w:eastAsia="宋体"/>
                <w:sz w:val="24"/>
                <w:szCs w:val="24"/>
                <w:highlight w:val="none"/>
              </w:rPr>
            </w:pPr>
            <w:r>
              <w:rPr>
                <w:rFonts w:hint="eastAsia" w:ascii="宋体" w:hAnsi="宋体" w:eastAsia="宋体"/>
                <w:sz w:val="24"/>
                <w:highlight w:val="none"/>
                <w:lang w:val="zh-CN"/>
              </w:rPr>
              <w:t>2.</w:t>
            </w:r>
            <w:r>
              <w:rPr>
                <w:rFonts w:hint="eastAsia" w:ascii="宋体" w:hAnsi="宋体" w:eastAsia="宋体"/>
                <w:sz w:val="24"/>
                <w:highlight w:val="none"/>
              </w:rPr>
              <w:t>21</w:t>
            </w:r>
          </w:p>
        </w:tc>
        <w:tc>
          <w:tcPr>
            <w:tcW w:w="4525" w:type="pct"/>
            <w:shd w:val="clear" w:color="auto" w:fill="auto"/>
            <w:vAlign w:val="center"/>
          </w:tcPr>
          <w:p w14:paraId="34C4058E">
            <w:pPr>
              <w:shd w:val="clear"/>
              <w:spacing w:line="360" w:lineRule="auto"/>
              <w:rPr>
                <w:rFonts w:ascii="宋体" w:hAnsi="宋体" w:eastAsia="宋体"/>
                <w:sz w:val="24"/>
                <w:szCs w:val="24"/>
                <w:highlight w:val="none"/>
              </w:rPr>
            </w:pPr>
            <w:r>
              <w:rPr>
                <w:rFonts w:hint="eastAsia" w:ascii="宋体" w:hAnsi="宋体" w:eastAsia="宋体"/>
                <w:sz w:val="24"/>
                <w:highlight w:val="none"/>
              </w:rPr>
              <w:t>本合同一式</w:t>
            </w:r>
            <w:r>
              <w:rPr>
                <w:rFonts w:hint="eastAsia" w:ascii="宋体" w:hAnsi="宋体" w:eastAsia="宋体"/>
                <w:sz w:val="24"/>
                <w:highlight w:val="none"/>
                <w:u w:val="single"/>
              </w:rPr>
              <w:t xml:space="preserve"> 陆 </w:t>
            </w:r>
            <w:r>
              <w:rPr>
                <w:rFonts w:hint="eastAsia" w:ascii="宋体" w:hAnsi="宋体" w:eastAsia="宋体"/>
                <w:sz w:val="24"/>
                <w:highlight w:val="none"/>
              </w:rPr>
              <w:t>份，甲方执</w:t>
            </w:r>
            <w:r>
              <w:rPr>
                <w:rFonts w:hint="eastAsia" w:ascii="宋体" w:hAnsi="宋体" w:eastAsia="宋体"/>
                <w:sz w:val="24"/>
                <w:highlight w:val="none"/>
                <w:u w:val="single"/>
              </w:rPr>
              <w:t xml:space="preserve"> 肆 </w:t>
            </w:r>
            <w:r>
              <w:rPr>
                <w:rFonts w:hint="eastAsia" w:ascii="宋体" w:hAnsi="宋体" w:eastAsia="宋体"/>
                <w:sz w:val="24"/>
                <w:highlight w:val="none"/>
              </w:rPr>
              <w:t>份，乙方执</w:t>
            </w:r>
            <w:r>
              <w:rPr>
                <w:rFonts w:hint="eastAsia" w:ascii="宋体" w:hAnsi="宋体" w:eastAsia="宋体"/>
                <w:sz w:val="24"/>
                <w:highlight w:val="none"/>
                <w:u w:val="single"/>
              </w:rPr>
              <w:t xml:space="preserve"> 贰 </w:t>
            </w:r>
            <w:r>
              <w:rPr>
                <w:rFonts w:hint="eastAsia" w:ascii="宋体" w:hAnsi="宋体" w:eastAsia="宋体"/>
                <w:sz w:val="24"/>
                <w:highlight w:val="none"/>
              </w:rPr>
              <w:t>份。</w:t>
            </w:r>
          </w:p>
        </w:tc>
      </w:tr>
    </w:tbl>
    <w:p w14:paraId="0E77C8D9">
      <w:pPr>
        <w:shd w:val="clear"/>
        <w:spacing w:line="360" w:lineRule="auto"/>
        <w:ind w:firstLine="437"/>
        <w:rPr>
          <w:rFonts w:cs="Times New Roman" w:asciiTheme="minorEastAsia" w:hAnsiTheme="minorEastAsia" w:eastAsiaTheme="minorEastAsia"/>
          <w:sz w:val="24"/>
          <w:szCs w:val="24"/>
          <w:highlight w:val="none"/>
        </w:rPr>
      </w:pPr>
    </w:p>
    <w:p w14:paraId="293E4C94">
      <w:pPr>
        <w:shd w:val="clear"/>
        <w:spacing w:line="360" w:lineRule="auto"/>
        <w:ind w:firstLine="437"/>
        <w:rPr>
          <w:rFonts w:asciiTheme="minorEastAsia" w:hAnsiTheme="minorEastAsia" w:eastAsiaTheme="minorEastAsia"/>
          <w:b/>
          <w:sz w:val="28"/>
          <w:highlight w:val="none"/>
        </w:rPr>
      </w:pPr>
      <w:r>
        <w:rPr>
          <w:rFonts w:hint="eastAsia" w:asciiTheme="minorEastAsia" w:hAnsiTheme="minorEastAsia" w:eastAsiaTheme="minorEastAsia"/>
          <w:b/>
          <w:sz w:val="28"/>
          <w:highlight w:val="none"/>
        </w:rPr>
        <w:br w:type="page"/>
      </w:r>
    </w:p>
    <w:p w14:paraId="682D4B74">
      <w:pPr>
        <w:shd w:val="clear"/>
        <w:spacing w:line="360" w:lineRule="auto"/>
        <w:jc w:val="center"/>
        <w:outlineLvl w:val="0"/>
        <w:rPr>
          <w:rFonts w:asciiTheme="minorEastAsia" w:hAnsiTheme="minorEastAsia" w:eastAsiaTheme="minorEastAsia"/>
          <w:b/>
          <w:sz w:val="28"/>
          <w:highlight w:val="none"/>
        </w:rPr>
      </w:pPr>
      <w:r>
        <w:rPr>
          <w:rFonts w:hint="eastAsia" w:asciiTheme="minorEastAsia" w:hAnsiTheme="minorEastAsia" w:eastAsiaTheme="minorEastAsia"/>
          <w:b/>
          <w:sz w:val="28"/>
          <w:highlight w:val="none"/>
        </w:rPr>
        <w:t>第六章  投标文件格式</w:t>
      </w:r>
      <w:bookmarkEnd w:id="94"/>
    </w:p>
    <w:p w14:paraId="597E24F1">
      <w:pPr>
        <w:shd w:val="clear"/>
        <w:spacing w:line="900" w:lineRule="exact"/>
        <w:jc w:val="center"/>
        <w:rPr>
          <w:rFonts w:asciiTheme="minorEastAsia" w:hAnsiTheme="minorEastAsia" w:eastAsiaTheme="minorEastAsia"/>
          <w:b/>
          <w:sz w:val="72"/>
          <w:highlight w:val="none"/>
        </w:rPr>
      </w:pPr>
    </w:p>
    <w:p w14:paraId="5F1B657B">
      <w:pPr>
        <w:shd w:val="clear"/>
        <w:spacing w:line="900" w:lineRule="exact"/>
        <w:jc w:val="center"/>
        <w:rPr>
          <w:rFonts w:asciiTheme="minorEastAsia" w:hAnsiTheme="minorEastAsia" w:eastAsiaTheme="minorEastAsia"/>
          <w:b/>
          <w:sz w:val="72"/>
          <w:highlight w:val="none"/>
        </w:rPr>
      </w:pPr>
      <w:bookmarkStart w:id="242" w:name="_Toc651"/>
      <w:r>
        <w:rPr>
          <w:rFonts w:hint="eastAsia" w:asciiTheme="minorEastAsia" w:hAnsiTheme="minorEastAsia" w:eastAsiaTheme="minorEastAsia"/>
          <w:b/>
          <w:sz w:val="72"/>
          <w:highlight w:val="none"/>
        </w:rPr>
        <w:t>投</w:t>
      </w:r>
      <w:bookmarkEnd w:id="242"/>
    </w:p>
    <w:p w14:paraId="151E7C31">
      <w:pPr>
        <w:shd w:val="clear"/>
        <w:spacing w:line="900" w:lineRule="exact"/>
        <w:jc w:val="center"/>
        <w:rPr>
          <w:rFonts w:asciiTheme="minorEastAsia" w:hAnsiTheme="minorEastAsia" w:eastAsiaTheme="minorEastAsia"/>
          <w:b/>
          <w:sz w:val="72"/>
          <w:highlight w:val="none"/>
        </w:rPr>
      </w:pPr>
    </w:p>
    <w:p w14:paraId="2562A624">
      <w:pPr>
        <w:shd w:val="clear"/>
        <w:spacing w:line="900" w:lineRule="exact"/>
        <w:jc w:val="center"/>
        <w:rPr>
          <w:rFonts w:asciiTheme="minorEastAsia" w:hAnsiTheme="minorEastAsia" w:eastAsiaTheme="minorEastAsia"/>
          <w:b/>
          <w:sz w:val="72"/>
          <w:highlight w:val="none"/>
        </w:rPr>
      </w:pPr>
      <w:bookmarkStart w:id="243" w:name="_Toc6148"/>
      <w:r>
        <w:rPr>
          <w:rFonts w:hint="eastAsia" w:asciiTheme="minorEastAsia" w:hAnsiTheme="minorEastAsia" w:eastAsiaTheme="minorEastAsia"/>
          <w:b/>
          <w:sz w:val="72"/>
          <w:highlight w:val="none"/>
        </w:rPr>
        <w:t>标</w:t>
      </w:r>
      <w:bookmarkEnd w:id="243"/>
    </w:p>
    <w:p w14:paraId="194745C5">
      <w:pPr>
        <w:shd w:val="clear"/>
        <w:spacing w:line="900" w:lineRule="exact"/>
        <w:jc w:val="center"/>
        <w:rPr>
          <w:rFonts w:asciiTheme="minorEastAsia" w:hAnsiTheme="minorEastAsia" w:eastAsiaTheme="minorEastAsia"/>
          <w:b/>
          <w:sz w:val="72"/>
          <w:highlight w:val="none"/>
        </w:rPr>
      </w:pPr>
    </w:p>
    <w:p w14:paraId="41E80372">
      <w:pPr>
        <w:shd w:val="clear"/>
        <w:spacing w:line="900" w:lineRule="exact"/>
        <w:jc w:val="center"/>
        <w:rPr>
          <w:rFonts w:asciiTheme="minorEastAsia" w:hAnsiTheme="minorEastAsia" w:eastAsiaTheme="minorEastAsia"/>
          <w:b/>
          <w:sz w:val="72"/>
          <w:highlight w:val="none"/>
        </w:rPr>
      </w:pPr>
      <w:bookmarkStart w:id="244" w:name="_Toc1338"/>
      <w:r>
        <w:rPr>
          <w:rFonts w:hint="eastAsia" w:asciiTheme="minorEastAsia" w:hAnsiTheme="minorEastAsia" w:eastAsiaTheme="minorEastAsia"/>
          <w:b/>
          <w:sz w:val="72"/>
          <w:highlight w:val="none"/>
        </w:rPr>
        <w:t>文</w:t>
      </w:r>
      <w:bookmarkEnd w:id="244"/>
    </w:p>
    <w:p w14:paraId="25463D15">
      <w:pPr>
        <w:shd w:val="clear"/>
        <w:spacing w:line="900" w:lineRule="exact"/>
        <w:jc w:val="center"/>
        <w:rPr>
          <w:rFonts w:asciiTheme="minorEastAsia" w:hAnsiTheme="minorEastAsia" w:eastAsiaTheme="minorEastAsia"/>
          <w:b/>
          <w:sz w:val="72"/>
          <w:highlight w:val="none"/>
        </w:rPr>
      </w:pPr>
    </w:p>
    <w:p w14:paraId="10FE9B54">
      <w:pPr>
        <w:shd w:val="clear"/>
        <w:jc w:val="center"/>
        <w:rPr>
          <w:rFonts w:asciiTheme="minorEastAsia" w:hAnsiTheme="minorEastAsia" w:eastAsiaTheme="minorEastAsia"/>
          <w:b/>
          <w:sz w:val="72"/>
          <w:highlight w:val="none"/>
        </w:rPr>
      </w:pPr>
      <w:bookmarkStart w:id="245" w:name="_Toc10796"/>
      <w:r>
        <w:rPr>
          <w:rFonts w:hint="eastAsia" w:asciiTheme="minorEastAsia" w:hAnsiTheme="minorEastAsia" w:eastAsiaTheme="minorEastAsia"/>
          <w:b/>
          <w:sz w:val="72"/>
          <w:highlight w:val="none"/>
        </w:rPr>
        <w:t>件</w:t>
      </w:r>
      <w:bookmarkEnd w:id="245"/>
    </w:p>
    <w:p w14:paraId="100863D2">
      <w:pPr>
        <w:shd w:val="clear"/>
        <w:spacing w:after="156" w:afterLines="50"/>
        <w:jc w:val="center"/>
        <w:rPr>
          <w:rFonts w:asciiTheme="minorEastAsia" w:hAnsiTheme="minorEastAsia" w:eastAsiaTheme="minorEastAsia"/>
          <w:b/>
          <w:sz w:val="72"/>
          <w:highlight w:val="none"/>
        </w:rPr>
      </w:pPr>
    </w:p>
    <w:p w14:paraId="7543BA23">
      <w:pPr>
        <w:shd w:val="clear"/>
        <w:spacing w:before="156" w:beforeLines="50" w:after="156" w:afterLines="50"/>
        <w:jc w:val="center"/>
        <w:rPr>
          <w:rFonts w:asciiTheme="minorEastAsia" w:hAnsiTheme="minorEastAsia" w:eastAsiaTheme="minorEastAsia"/>
          <w:b/>
          <w:sz w:val="32"/>
          <w:szCs w:val="32"/>
          <w:highlight w:val="none"/>
        </w:rPr>
      </w:pPr>
    </w:p>
    <w:p w14:paraId="36F96B57">
      <w:pPr>
        <w:shd w:val="clear"/>
        <w:spacing w:after="156" w:afterLines="50" w:line="500" w:lineRule="exact"/>
        <w:jc w:val="center"/>
        <w:rPr>
          <w:rFonts w:asciiTheme="minorEastAsia" w:hAnsiTheme="minorEastAsia" w:eastAsiaTheme="minorEastAsia"/>
          <w:b/>
          <w:sz w:val="28"/>
          <w:szCs w:val="28"/>
          <w:highlight w:val="none"/>
        </w:rPr>
      </w:pPr>
    </w:p>
    <w:p w14:paraId="52203803">
      <w:pPr>
        <w:shd w:val="clear"/>
        <w:tabs>
          <w:tab w:val="left" w:pos="2410"/>
        </w:tabs>
        <w:autoSpaceDE w:val="0"/>
        <w:autoSpaceDN w:val="0"/>
        <w:adjustRightInd w:val="0"/>
        <w:snapToGrid w:val="0"/>
        <w:spacing w:line="360" w:lineRule="auto"/>
        <w:ind w:firstLine="643" w:firstLineChars="200"/>
        <w:rPr>
          <w:rFonts w:ascii="宋体" w:hAnsi="宋体" w:eastAsia="宋体"/>
          <w:b/>
          <w:spacing w:val="20"/>
          <w:kern w:val="0"/>
          <w:sz w:val="32"/>
          <w:szCs w:val="32"/>
          <w:highlight w:val="none"/>
        </w:rPr>
      </w:pPr>
      <w:r>
        <w:rPr>
          <w:rFonts w:hint="eastAsia" w:asciiTheme="minorEastAsia" w:hAnsiTheme="minorEastAsia" w:eastAsiaTheme="minorEastAsia"/>
          <w:b/>
          <w:sz w:val="32"/>
          <w:highlight w:val="none"/>
        </w:rPr>
        <w:t>项目名称：</w:t>
      </w:r>
      <w:r>
        <w:rPr>
          <w:rFonts w:hint="eastAsia" w:asciiTheme="minorEastAsia" w:hAnsiTheme="minorEastAsia" w:eastAsiaTheme="minorEastAsia"/>
          <w:b/>
          <w:sz w:val="32"/>
          <w:highlight w:val="none"/>
          <w:u w:val="single"/>
        </w:rPr>
        <w:t xml:space="preserve">                  </w:t>
      </w:r>
    </w:p>
    <w:p w14:paraId="3B035378">
      <w:pPr>
        <w:shd w:val="clea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sz w:val="32"/>
          <w:highlight w:val="none"/>
          <w:u w:val="single"/>
        </w:rPr>
      </w:pPr>
      <w:r>
        <w:rPr>
          <w:rFonts w:hint="eastAsia" w:asciiTheme="minorEastAsia" w:hAnsiTheme="minorEastAsia" w:eastAsiaTheme="minorEastAsia"/>
          <w:b/>
          <w:sz w:val="32"/>
          <w:highlight w:val="none"/>
        </w:rPr>
        <w:t>项目编号：</w:t>
      </w:r>
      <w:r>
        <w:rPr>
          <w:rFonts w:hint="eastAsia" w:asciiTheme="minorEastAsia" w:hAnsiTheme="minorEastAsia" w:eastAsiaTheme="minorEastAsia"/>
          <w:b/>
          <w:sz w:val="32"/>
          <w:highlight w:val="none"/>
          <w:u w:val="single"/>
        </w:rPr>
        <w:t xml:space="preserve">                  </w:t>
      </w:r>
    </w:p>
    <w:p w14:paraId="1E81238D">
      <w:pPr>
        <w:shd w:val="clear"/>
        <w:tabs>
          <w:tab w:val="left" w:pos="2410"/>
        </w:tabs>
        <w:autoSpaceDE w:val="0"/>
        <w:autoSpaceDN w:val="0"/>
        <w:adjustRightInd w:val="0"/>
        <w:snapToGrid w:val="0"/>
        <w:spacing w:line="360" w:lineRule="auto"/>
        <w:ind w:firstLine="643" w:firstLineChars="200"/>
        <w:rPr>
          <w:rFonts w:asciiTheme="minorEastAsia" w:hAnsiTheme="minorEastAsia" w:eastAsiaTheme="minorEastAsia"/>
          <w:b/>
          <w:sz w:val="32"/>
          <w:highlight w:val="none"/>
          <w:u w:val="single"/>
        </w:rPr>
      </w:pPr>
      <w:r>
        <w:rPr>
          <w:rFonts w:hint="eastAsia" w:asciiTheme="minorEastAsia" w:hAnsiTheme="minorEastAsia" w:eastAsiaTheme="minorEastAsia"/>
          <w:b/>
          <w:sz w:val="32"/>
          <w:highlight w:val="none"/>
        </w:rPr>
        <w:t>投 标 人：</w:t>
      </w:r>
      <w:r>
        <w:rPr>
          <w:rFonts w:hint="eastAsia" w:asciiTheme="minorEastAsia" w:hAnsiTheme="minorEastAsia" w:eastAsiaTheme="minorEastAsia"/>
          <w:b/>
          <w:sz w:val="32"/>
          <w:highlight w:val="none"/>
          <w:u w:val="single"/>
        </w:rPr>
        <w:t xml:space="preserve">                  </w:t>
      </w:r>
    </w:p>
    <w:p w14:paraId="79FBBE57">
      <w:pPr>
        <w:shd w:val="clear"/>
        <w:spacing w:after="156" w:afterLines="50" w:line="500" w:lineRule="exact"/>
        <w:jc w:val="center"/>
        <w:rPr>
          <w:rFonts w:asciiTheme="minorEastAsia" w:hAnsiTheme="minorEastAsia" w:eastAsiaTheme="minorEastAsia"/>
          <w:b/>
          <w:sz w:val="28"/>
          <w:highlight w:val="none"/>
        </w:rPr>
      </w:pPr>
      <w:r>
        <w:rPr>
          <w:rFonts w:hint="eastAsia" w:asciiTheme="minorEastAsia" w:hAnsiTheme="minorEastAsia" w:eastAsiaTheme="minorEastAsia"/>
          <w:b/>
          <w:sz w:val="32"/>
          <w:highlight w:val="none"/>
          <w:u w:val="single"/>
        </w:rPr>
        <w:t xml:space="preserve">  </w:t>
      </w:r>
      <w:bookmarkStart w:id="246" w:name="_Toc8037"/>
      <w:bookmarkStart w:id="247" w:name="_Toc9994"/>
      <w:r>
        <w:rPr>
          <w:rFonts w:hint="eastAsia" w:asciiTheme="minorEastAsia" w:hAnsiTheme="minorEastAsia" w:eastAsiaTheme="minorEastAsia"/>
          <w:b/>
          <w:sz w:val="32"/>
          <w:highlight w:val="none"/>
        </w:rPr>
        <w:t>年</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月</w:t>
      </w:r>
      <w:r>
        <w:rPr>
          <w:rFonts w:hint="eastAsia" w:asciiTheme="minorEastAsia" w:hAnsiTheme="minorEastAsia" w:eastAsiaTheme="minorEastAsia"/>
          <w:b/>
          <w:sz w:val="32"/>
          <w:highlight w:val="none"/>
          <w:u w:val="single"/>
        </w:rPr>
        <w:t xml:space="preserve">  </w:t>
      </w:r>
      <w:r>
        <w:rPr>
          <w:rFonts w:hint="eastAsia" w:asciiTheme="minorEastAsia" w:hAnsiTheme="minorEastAsia" w:eastAsiaTheme="minorEastAsia"/>
          <w:b/>
          <w:sz w:val="32"/>
          <w:highlight w:val="none"/>
        </w:rPr>
        <w:t>日</w:t>
      </w:r>
      <w:bookmarkEnd w:id="246"/>
      <w:bookmarkEnd w:id="247"/>
      <w:r>
        <w:rPr>
          <w:rFonts w:asciiTheme="minorEastAsia" w:hAnsiTheme="minorEastAsia" w:eastAsiaTheme="minorEastAsia"/>
          <w:b/>
          <w:sz w:val="28"/>
          <w:highlight w:val="none"/>
        </w:rPr>
        <w:br w:type="page"/>
      </w:r>
    </w:p>
    <w:p w14:paraId="2F69E07D">
      <w:pPr>
        <w:shd w:val="clear"/>
        <w:spacing w:line="360" w:lineRule="auto"/>
        <w:jc w:val="center"/>
        <w:outlineLvl w:val="1"/>
        <w:rPr>
          <w:rFonts w:asciiTheme="minorEastAsia" w:hAnsiTheme="minorEastAsia" w:eastAsiaTheme="minorEastAsia"/>
          <w:b/>
          <w:sz w:val="24"/>
          <w:highlight w:val="none"/>
        </w:rPr>
      </w:pPr>
      <w:bookmarkStart w:id="248" w:name="_Toc5555"/>
      <w:bookmarkStart w:id="249" w:name="_Toc28960"/>
      <w:r>
        <w:rPr>
          <w:rFonts w:hint="eastAsia" w:asciiTheme="minorEastAsia" w:hAnsiTheme="minorEastAsia" w:eastAsiaTheme="minorEastAsia"/>
          <w:b/>
          <w:sz w:val="24"/>
          <w:highlight w:val="none"/>
        </w:rPr>
        <w:t>一、开标一览表</w:t>
      </w:r>
      <w:bookmarkEnd w:id="248"/>
      <w:bookmarkEnd w:id="249"/>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304"/>
        <w:gridCol w:w="6218"/>
      </w:tblGrid>
      <w:tr w14:paraId="031EF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85" w:hRule="atLeast"/>
          <w:jc w:val="center"/>
        </w:trPr>
        <w:tc>
          <w:tcPr>
            <w:tcW w:w="1352" w:type="pct"/>
            <w:tcBorders>
              <w:top w:val="single" w:color="auto" w:sz="4" w:space="0"/>
              <w:bottom w:val="single" w:color="auto" w:sz="4" w:space="0"/>
              <w:right w:val="single" w:color="auto" w:sz="4" w:space="0"/>
            </w:tcBorders>
            <w:vAlign w:val="center"/>
          </w:tcPr>
          <w:p w14:paraId="79199B50">
            <w:pPr>
              <w:widowControl/>
              <w:shd w:val="clear"/>
              <w:spacing w:line="360" w:lineRule="exact"/>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项目名称</w:t>
            </w:r>
          </w:p>
        </w:tc>
        <w:tc>
          <w:tcPr>
            <w:tcW w:w="3648" w:type="pct"/>
            <w:tcBorders>
              <w:top w:val="single" w:color="auto" w:sz="4" w:space="0"/>
              <w:bottom w:val="single" w:color="auto" w:sz="4" w:space="0"/>
              <w:right w:val="single" w:color="auto" w:sz="4" w:space="0"/>
            </w:tcBorders>
            <w:vAlign w:val="center"/>
          </w:tcPr>
          <w:p w14:paraId="6565E86D">
            <w:pPr>
              <w:shd w:val="clear"/>
              <w:spacing w:line="360" w:lineRule="exact"/>
              <w:rPr>
                <w:rFonts w:asciiTheme="minorEastAsia" w:hAnsiTheme="minorEastAsia" w:eastAsiaTheme="minorEastAsia"/>
                <w:bCs/>
                <w:sz w:val="24"/>
                <w:highlight w:val="none"/>
                <w:u w:val="single"/>
              </w:rPr>
            </w:pPr>
          </w:p>
        </w:tc>
      </w:tr>
      <w:tr w14:paraId="2E94E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CDAA623">
            <w:pPr>
              <w:shd w:val="clear"/>
              <w:spacing w:line="360" w:lineRule="exact"/>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投标人全称</w:t>
            </w:r>
          </w:p>
        </w:tc>
        <w:tc>
          <w:tcPr>
            <w:tcW w:w="3648" w:type="pct"/>
            <w:tcBorders>
              <w:top w:val="nil"/>
            </w:tcBorders>
            <w:vAlign w:val="center"/>
          </w:tcPr>
          <w:p w14:paraId="520B849E">
            <w:pPr>
              <w:shd w:val="clear"/>
              <w:spacing w:line="360" w:lineRule="auto"/>
              <w:rPr>
                <w:rFonts w:asciiTheme="minorEastAsia" w:hAnsiTheme="minorEastAsia" w:eastAsiaTheme="minorEastAsia"/>
                <w:sz w:val="24"/>
                <w:highlight w:val="none"/>
              </w:rPr>
            </w:pPr>
          </w:p>
        </w:tc>
      </w:tr>
      <w:tr w14:paraId="5AD26D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1DF571CD">
            <w:pPr>
              <w:shd w:val="clear"/>
              <w:spacing w:line="360" w:lineRule="exact"/>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投标范围</w:t>
            </w:r>
          </w:p>
        </w:tc>
        <w:tc>
          <w:tcPr>
            <w:tcW w:w="3648" w:type="pct"/>
            <w:tcBorders>
              <w:top w:val="nil"/>
            </w:tcBorders>
            <w:vAlign w:val="center"/>
          </w:tcPr>
          <w:p w14:paraId="267FB2FE">
            <w:pPr>
              <w:widowControl/>
              <w:shd w:val="clea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szCs w:val="28"/>
                <w:highlight w:val="none"/>
              </w:rPr>
              <w:t>全部</w:t>
            </w:r>
          </w:p>
        </w:tc>
      </w:tr>
      <w:tr w14:paraId="672DD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510" w:hRule="atLeast"/>
          <w:jc w:val="center"/>
        </w:trPr>
        <w:tc>
          <w:tcPr>
            <w:tcW w:w="1352" w:type="pct"/>
            <w:tcBorders>
              <w:top w:val="nil"/>
            </w:tcBorders>
            <w:vAlign w:val="center"/>
          </w:tcPr>
          <w:p w14:paraId="51A72F9E">
            <w:pPr>
              <w:shd w:val="clear"/>
              <w:spacing w:line="360" w:lineRule="exact"/>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投标报价</w:t>
            </w:r>
          </w:p>
        </w:tc>
        <w:tc>
          <w:tcPr>
            <w:tcW w:w="3648" w:type="pct"/>
            <w:tcBorders>
              <w:top w:val="nil"/>
            </w:tcBorders>
            <w:vAlign w:val="center"/>
          </w:tcPr>
          <w:p w14:paraId="6C0B49FE">
            <w:pPr>
              <w:shd w:val="clear"/>
              <w:snapToGrid w:val="0"/>
              <w:spacing w:line="360" w:lineRule="auto"/>
              <w:jc w:val="left"/>
              <w:rPr>
                <w:rFonts w:hint="eastAsia" w:ascii="宋体" w:hAnsi="宋体" w:eastAsia="宋体" w:cs="宋体"/>
                <w:bCs/>
                <w:sz w:val="24"/>
                <w:szCs w:val="24"/>
                <w:highlight w:val="none"/>
                <w:u w:val="single"/>
                <w:lang w:val="en-US" w:eastAsia="zh-CN"/>
              </w:rPr>
            </w:pPr>
            <w:r>
              <w:rPr>
                <w:rFonts w:hint="eastAsia" w:ascii="宋体" w:hAnsi="宋体" w:eastAsia="宋体" w:cs="宋体"/>
                <w:bCs/>
                <w:sz w:val="24"/>
                <w:szCs w:val="24"/>
                <w:highlight w:val="none"/>
              </w:rPr>
              <w:t>大写：</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元</w:t>
            </w:r>
          </w:p>
          <w:p w14:paraId="0E6BEE16">
            <w:pPr>
              <w:shd w:val="clear"/>
              <w:spacing w:line="360" w:lineRule="auto"/>
              <w:ind w:right="-670"/>
              <w:rPr>
                <w:rFonts w:hint="eastAsia" w:eastAsia="宋体" w:asciiTheme="minorEastAsia" w:hAnsiTheme="minorEastAsia"/>
                <w:sz w:val="24"/>
                <w:highlight w:val="none"/>
                <w:lang w:val="en-US" w:eastAsia="zh-CN"/>
              </w:rPr>
            </w:pPr>
            <w:r>
              <w:rPr>
                <w:rFonts w:hint="eastAsia" w:ascii="宋体" w:hAnsi="宋体" w:eastAsia="宋体" w:cs="宋体"/>
                <w:bCs/>
                <w:sz w:val="24"/>
                <w:szCs w:val="24"/>
                <w:highlight w:val="none"/>
              </w:rPr>
              <w:t>小写：</w:t>
            </w:r>
            <w:r>
              <w:rPr>
                <w:rFonts w:hint="eastAsia" w:ascii="宋体" w:hAnsi="宋体" w:eastAsia="宋体" w:cs="宋体"/>
                <w:bCs/>
                <w:sz w:val="24"/>
                <w:szCs w:val="24"/>
                <w:highlight w:val="none"/>
                <w:u w:val="single"/>
              </w:rPr>
              <w:t xml:space="preserve">                     </w:t>
            </w:r>
            <w:r>
              <w:rPr>
                <w:rFonts w:hint="eastAsia" w:ascii="宋体" w:hAnsi="宋体" w:eastAsia="宋体" w:cs="宋体"/>
                <w:bCs/>
                <w:sz w:val="24"/>
                <w:szCs w:val="24"/>
                <w:highlight w:val="none"/>
                <w:u w:val="single"/>
                <w:lang w:val="en-US" w:eastAsia="zh-CN"/>
              </w:rPr>
              <w:t>元</w:t>
            </w:r>
          </w:p>
        </w:tc>
      </w:tr>
      <w:tr w14:paraId="60E5B0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810" w:hRule="atLeast"/>
          <w:jc w:val="center"/>
        </w:trPr>
        <w:tc>
          <w:tcPr>
            <w:tcW w:w="1352" w:type="pct"/>
            <w:tcBorders>
              <w:top w:val="nil"/>
            </w:tcBorders>
            <w:vAlign w:val="center"/>
          </w:tcPr>
          <w:p w14:paraId="7389F92A">
            <w:pPr>
              <w:shd w:val="clear"/>
              <w:spacing w:line="360" w:lineRule="auto"/>
              <w:jc w:val="cente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其他</w:t>
            </w:r>
          </w:p>
        </w:tc>
        <w:tc>
          <w:tcPr>
            <w:tcW w:w="3648" w:type="pct"/>
            <w:tcBorders>
              <w:top w:val="nil"/>
            </w:tcBorders>
            <w:vAlign w:val="center"/>
          </w:tcPr>
          <w:p w14:paraId="2C51E346">
            <w:pPr>
              <w:shd w:val="clear"/>
              <w:spacing w:line="360" w:lineRule="auto"/>
              <w:jc w:val="left"/>
              <w:rPr>
                <w:rFonts w:asciiTheme="minorEastAsia" w:hAnsiTheme="minorEastAsia" w:eastAsiaTheme="minorEastAsia"/>
                <w:sz w:val="24"/>
                <w:szCs w:val="28"/>
                <w:highlight w:val="none"/>
              </w:rPr>
            </w:pPr>
          </w:p>
        </w:tc>
      </w:tr>
    </w:tbl>
    <w:p w14:paraId="63B8A796">
      <w:pPr>
        <w:shd w:val="clear"/>
        <w:spacing w:line="360" w:lineRule="auto"/>
        <w:ind w:firstLine="4320" w:firstLineChars="1800"/>
        <w:jc w:val="center"/>
        <w:rPr>
          <w:rFonts w:asciiTheme="minorEastAsia" w:hAnsiTheme="minorEastAsia" w:eastAsiaTheme="minorEastAsia"/>
          <w:bCs/>
          <w:sz w:val="24"/>
          <w:highlight w:val="none"/>
          <w:u w:val="single"/>
        </w:rPr>
      </w:pPr>
      <w:r>
        <w:rPr>
          <w:rFonts w:hint="eastAsia" w:asciiTheme="minorEastAsia" w:hAnsiTheme="minorEastAsia" w:eastAsiaTheme="minorEastAsia"/>
          <w:bCs/>
          <w:sz w:val="24"/>
          <w:highlight w:val="none"/>
        </w:rPr>
        <w:t>投标人电子签章：</w:t>
      </w:r>
      <w:r>
        <w:rPr>
          <w:rFonts w:hint="eastAsia" w:asciiTheme="minorEastAsia" w:hAnsiTheme="minorEastAsia" w:eastAsiaTheme="minorEastAsia"/>
          <w:bCs/>
          <w:sz w:val="24"/>
          <w:highlight w:val="none"/>
          <w:u w:val="single"/>
        </w:rPr>
        <w:t xml:space="preserve">     </w:t>
      </w:r>
      <w:r>
        <w:rPr>
          <w:rFonts w:asciiTheme="minorEastAsia" w:hAnsiTheme="minorEastAsia" w:eastAsiaTheme="minorEastAsia"/>
          <w:bCs/>
          <w:sz w:val="24"/>
          <w:highlight w:val="none"/>
          <w:u w:val="single"/>
        </w:rPr>
        <w:t xml:space="preserve">    </w:t>
      </w:r>
      <w:r>
        <w:rPr>
          <w:rFonts w:hint="eastAsia" w:asciiTheme="minorEastAsia" w:hAnsiTheme="minorEastAsia" w:eastAsiaTheme="minorEastAsia"/>
          <w:bCs/>
          <w:sz w:val="24"/>
          <w:highlight w:val="none"/>
          <w:u w:val="single"/>
        </w:rPr>
        <w:t xml:space="preserve">    </w:t>
      </w:r>
    </w:p>
    <w:p w14:paraId="11AFE41F">
      <w:pPr>
        <w:shd w:val="clear"/>
        <w:spacing w:line="360" w:lineRule="auto"/>
        <w:ind w:firstLine="4320" w:firstLineChars="1800"/>
        <w:jc w:val="center"/>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日          期：</w:t>
      </w:r>
      <w:r>
        <w:rPr>
          <w:rFonts w:hint="eastAsia" w:asciiTheme="minorEastAsia" w:hAnsiTheme="minorEastAsia" w:eastAsiaTheme="minorEastAsia"/>
          <w:bCs/>
          <w:sz w:val="24"/>
          <w:highlight w:val="none"/>
          <w:u w:val="single"/>
        </w:rPr>
        <w:t xml:space="preserve">             </w:t>
      </w:r>
    </w:p>
    <w:p w14:paraId="1DB3B321">
      <w:pPr>
        <w:shd w:val="clear"/>
        <w:spacing w:line="360" w:lineRule="auto"/>
        <w:rPr>
          <w:rFonts w:asciiTheme="minorEastAsia" w:hAnsiTheme="minorEastAsia" w:eastAsiaTheme="minorEastAsia"/>
          <w:sz w:val="24"/>
          <w:highlight w:val="none"/>
        </w:rPr>
      </w:pPr>
      <w:r>
        <w:rPr>
          <w:rFonts w:asciiTheme="minorEastAsia" w:hAnsiTheme="minorEastAsia" w:eastAsiaTheme="minorEastAsia"/>
          <w:sz w:val="24"/>
          <w:highlight w:val="none"/>
        </w:rPr>
        <w:t xml:space="preserve">     </w:t>
      </w:r>
    </w:p>
    <w:p w14:paraId="1AE721FF">
      <w:pPr>
        <w:shd w:val="clear"/>
        <w:spacing w:line="360" w:lineRule="auto"/>
        <w:ind w:firstLine="360" w:firstLineChars="150"/>
        <w:rPr>
          <w:rFonts w:asciiTheme="minorEastAsia" w:hAnsiTheme="minorEastAsia" w:eastAsiaTheme="minorEastAsia"/>
          <w:sz w:val="24"/>
          <w:highlight w:val="none"/>
        </w:rPr>
      </w:pPr>
    </w:p>
    <w:p w14:paraId="4FDB0254">
      <w:pPr>
        <w:shd w:val="clear"/>
        <w:spacing w:line="360" w:lineRule="auto"/>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注：</w:t>
      </w:r>
    </w:p>
    <w:p w14:paraId="20EF0F37">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1</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此表用于开标唱标之用。</w:t>
      </w:r>
    </w:p>
    <w:p w14:paraId="0CED911A">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2</w:t>
      </w:r>
      <w:r>
        <w:rPr>
          <w:rFonts w:hint="eastAsia" w:asciiTheme="minorEastAsia" w:hAnsiTheme="minorEastAsia" w:eastAsiaTheme="minorEastAsia"/>
          <w:sz w:val="24"/>
          <w:highlight w:val="none"/>
        </w:rPr>
        <w:t>.</w:t>
      </w:r>
      <w:r>
        <w:rPr>
          <w:rFonts w:asciiTheme="minorEastAsia" w:hAnsiTheme="minorEastAsia" w:eastAsiaTheme="minorEastAsia"/>
          <w:sz w:val="24"/>
          <w:highlight w:val="none"/>
        </w:rPr>
        <w:t>表中投标报价即为优惠后报价，并作为评审及定标依据。任何有选择或有条件的投标报价，或者表中某一包别填写多个报价，均为无效报价。</w:t>
      </w:r>
    </w:p>
    <w:p w14:paraId="16681C17">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3.表中大写金额与小写金额不一致的，以大写金额为准。</w:t>
      </w:r>
    </w:p>
    <w:p w14:paraId="33196BB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4.如投标人电子交易系统中填写的报价与投标文件中签章的开标一览表报价不一致，以投标文件中签章的开标一览表报价为准。</w:t>
      </w:r>
      <w:r>
        <w:rPr>
          <w:rFonts w:asciiTheme="minorEastAsia" w:hAnsiTheme="minorEastAsia" w:eastAsiaTheme="minorEastAsia"/>
          <w:sz w:val="24"/>
          <w:highlight w:val="none"/>
        </w:rPr>
        <w:br w:type="page"/>
      </w:r>
    </w:p>
    <w:p w14:paraId="1FD95949">
      <w:pPr>
        <w:shd w:val="clear"/>
        <w:spacing w:line="360" w:lineRule="auto"/>
        <w:jc w:val="center"/>
        <w:outlineLvl w:val="1"/>
        <w:rPr>
          <w:rFonts w:asciiTheme="minorEastAsia" w:hAnsiTheme="minorEastAsia" w:eastAsiaTheme="minorEastAsia"/>
          <w:b/>
          <w:sz w:val="24"/>
          <w:highlight w:val="none"/>
        </w:rPr>
      </w:pPr>
      <w:bookmarkStart w:id="250" w:name="_Toc6441"/>
      <w:bookmarkStart w:id="251" w:name="_Toc18010"/>
      <w:r>
        <w:rPr>
          <w:rFonts w:hint="eastAsia" w:asciiTheme="minorEastAsia" w:hAnsiTheme="minorEastAsia" w:eastAsiaTheme="minorEastAsia"/>
          <w:b/>
          <w:sz w:val="24"/>
          <w:highlight w:val="none"/>
        </w:rPr>
        <w:t>二、投标函</w:t>
      </w:r>
      <w:bookmarkEnd w:id="250"/>
      <w:bookmarkEnd w:id="251"/>
    </w:p>
    <w:p w14:paraId="5A91387F">
      <w:pPr>
        <w:pStyle w:val="13"/>
        <w:shd w:val="clear"/>
        <w:spacing w:line="360" w:lineRule="auto"/>
        <w:rPr>
          <w:rFonts w:ascii="宋体" w:hAnsi="宋体"/>
          <w:sz w:val="24"/>
          <w:highlight w:val="none"/>
          <w:u w:val="single"/>
        </w:rPr>
      </w:pPr>
      <w:r>
        <w:rPr>
          <w:rFonts w:hint="eastAsia" w:ascii="宋体" w:hAnsi="宋体"/>
          <w:sz w:val="24"/>
          <w:highlight w:val="none"/>
        </w:rPr>
        <w:t>致：安徽中医药大学第二附属医院</w:t>
      </w:r>
    </w:p>
    <w:p w14:paraId="75B59799">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根据贵方的招标公告和投标邀请，我方兹宣布同意如下：</w:t>
      </w:r>
    </w:p>
    <w:p w14:paraId="4CF4E4F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hint="eastAsia" w:ascii="宋体" w:hAnsi="宋体" w:eastAsia="宋体" w:cs="宋体"/>
          <w:sz w:val="24"/>
          <w:szCs w:val="24"/>
          <w:highlight w:val="none"/>
        </w:rPr>
        <w:t>我方根据招标文件的规定，严格履行合同的责任和义务,并保证于买方要求的日期内完成，并通过买方验收。</w:t>
      </w:r>
    </w:p>
    <w:p w14:paraId="4F5A9327">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2.我方已详细审核全部招标文件，包括招标文件附件及更正公告（如有），我方正式认可并遵守本次招标文件，并对招标文件各项条款、规定及要求均无异议。</w:t>
      </w:r>
    </w:p>
    <w:p w14:paraId="3DACCE0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3.我方同意从招标文件规定的开标日期起遵循本招标文件，并在招标文件规定的投标有效期之前均具有约束力。</w:t>
      </w:r>
    </w:p>
    <w:p w14:paraId="72582023">
      <w:pPr>
        <w:shd w:val="clear"/>
        <w:spacing w:line="360" w:lineRule="auto"/>
        <w:ind w:firstLine="435"/>
        <w:rPr>
          <w:rFonts w:hint="eastAsia" w:asciiTheme="minorEastAsia" w:hAnsiTheme="minorEastAsia" w:eastAsiaTheme="minorEastAsia"/>
          <w:sz w:val="24"/>
          <w:highlight w:val="none"/>
        </w:rPr>
      </w:pPr>
      <w:r>
        <w:rPr>
          <w:rFonts w:hint="eastAsia" w:asciiTheme="minorEastAsia" w:hAnsiTheme="minorEastAsia" w:eastAsiaTheme="minorEastAsia"/>
          <w:sz w:val="24"/>
          <w:highlight w:val="none"/>
        </w:rPr>
        <w:t>4.我方声明投标文件所提供的一切资料均真实无误、及时、有效，企业运营正常。由于我方提供资料不实而造成的责任和后果由我方承担。我方同意按照贵方提出的要求，提供与投标有关的任何证据、数据或资料。</w:t>
      </w:r>
    </w:p>
    <w:p w14:paraId="708BD3A5">
      <w:pPr>
        <w:shd w:val="clear"/>
        <w:spacing w:line="360" w:lineRule="auto"/>
        <w:ind w:firstLine="435"/>
        <w:rPr>
          <w:rFonts w:hint="default" w:asciiTheme="minorEastAsia" w:hAnsiTheme="minorEastAsia" w:eastAsiaTheme="minorEastAsia"/>
          <w:sz w:val="24"/>
          <w:highlight w:val="none"/>
          <w:lang w:val="en-US" w:eastAsia="zh-CN"/>
        </w:rPr>
      </w:pPr>
      <w:r>
        <w:rPr>
          <w:rFonts w:hint="eastAsia" w:asciiTheme="minorEastAsia" w:hAnsiTheme="minorEastAsia" w:eastAsiaTheme="minorEastAsia"/>
          <w:sz w:val="24"/>
          <w:highlight w:val="none"/>
          <w:lang w:val="en-US" w:eastAsia="zh-CN"/>
        </w:rPr>
        <w:t>5.我方承诺完全响应招标文件第三章采购需求“一、采购需求前附表”、“三、人员配置要求”、“四、报价要求”、“五、安装调试、验收试验及质量保证”、“六、技术培训”、“七、质保及售后服务”要求内容。</w:t>
      </w:r>
    </w:p>
    <w:p w14:paraId="56CEA0D4">
      <w:pPr>
        <w:shd w:val="clear"/>
        <w:spacing w:line="360" w:lineRule="auto"/>
        <w:ind w:firstLine="4800" w:firstLineChars="2000"/>
        <w:rPr>
          <w:rFonts w:ascii="宋体" w:hAnsi="宋体" w:eastAsia="宋体"/>
          <w:sz w:val="24"/>
          <w:highlight w:val="none"/>
        </w:rPr>
      </w:pPr>
    </w:p>
    <w:p w14:paraId="79C1ABB0">
      <w:pPr>
        <w:shd w:val="clear"/>
        <w:spacing w:line="360" w:lineRule="auto"/>
        <w:ind w:firstLine="4800" w:firstLineChars="2000"/>
        <w:rPr>
          <w:rFonts w:ascii="宋体" w:hAnsi="宋体" w:eastAsia="宋体"/>
          <w:sz w:val="24"/>
          <w:highlight w:val="none"/>
          <w:u w:val="single"/>
        </w:rPr>
      </w:pPr>
      <w:r>
        <w:rPr>
          <w:rFonts w:hint="eastAsia" w:ascii="宋体" w:hAnsi="宋体" w:eastAsia="宋体"/>
          <w:sz w:val="24"/>
          <w:highlight w:val="none"/>
        </w:rPr>
        <w:t>投标人电子签章：</w:t>
      </w:r>
      <w:r>
        <w:rPr>
          <w:rFonts w:hint="eastAsia" w:ascii="宋体" w:hAnsi="宋体" w:eastAsia="宋体"/>
          <w:sz w:val="24"/>
          <w:highlight w:val="none"/>
          <w:u w:val="single"/>
        </w:rPr>
        <w:t xml:space="preserve">             </w:t>
      </w:r>
    </w:p>
    <w:p w14:paraId="79A37600">
      <w:pPr>
        <w:shd w:val="clear"/>
        <w:spacing w:line="360" w:lineRule="auto"/>
        <w:ind w:firstLine="4800" w:firstLineChars="2000"/>
        <w:rPr>
          <w:rFonts w:ascii="宋体" w:hAnsi="宋体" w:eastAsia="宋体"/>
          <w:sz w:val="24"/>
          <w:highlight w:val="none"/>
          <w:u w:val="single"/>
        </w:rPr>
      </w:pPr>
      <w:r>
        <w:rPr>
          <w:rFonts w:hint="eastAsia" w:ascii="宋体" w:hAnsi="宋体" w:eastAsia="宋体"/>
          <w:sz w:val="24"/>
          <w:highlight w:val="none"/>
        </w:rPr>
        <w:t>日          期：</w:t>
      </w:r>
      <w:r>
        <w:rPr>
          <w:rFonts w:hint="eastAsia" w:ascii="宋体" w:hAnsi="宋体" w:eastAsia="宋体"/>
          <w:sz w:val="24"/>
          <w:highlight w:val="none"/>
          <w:u w:val="single"/>
        </w:rPr>
        <w:t xml:space="preserve">             </w:t>
      </w:r>
    </w:p>
    <w:p w14:paraId="78385054">
      <w:pPr>
        <w:widowControl/>
        <w:shd w:val="clear"/>
        <w:jc w:val="left"/>
        <w:rPr>
          <w:rFonts w:ascii="宋体" w:hAnsi="宋体" w:eastAsia="宋体"/>
          <w:sz w:val="24"/>
          <w:highlight w:val="none"/>
          <w:u w:val="single"/>
        </w:rPr>
      </w:pPr>
      <w:r>
        <w:rPr>
          <w:rFonts w:ascii="宋体" w:hAnsi="宋体" w:eastAsia="宋体"/>
          <w:sz w:val="24"/>
          <w:highlight w:val="none"/>
          <w:u w:val="single"/>
        </w:rPr>
        <w:br w:type="page"/>
      </w:r>
    </w:p>
    <w:p w14:paraId="78775A16">
      <w:pPr>
        <w:shd w:val="clear"/>
        <w:spacing w:line="360" w:lineRule="auto"/>
        <w:jc w:val="center"/>
        <w:outlineLvl w:val="1"/>
        <w:rPr>
          <w:rFonts w:asciiTheme="minorEastAsia" w:hAnsiTheme="minorEastAsia" w:eastAsiaTheme="minorEastAsia"/>
          <w:b/>
          <w:sz w:val="24"/>
          <w:highlight w:val="none"/>
        </w:rPr>
      </w:pPr>
      <w:bookmarkStart w:id="252" w:name="_Toc1328"/>
      <w:r>
        <w:rPr>
          <w:rFonts w:hint="eastAsia" w:asciiTheme="minorEastAsia" w:hAnsiTheme="minorEastAsia" w:eastAsiaTheme="minorEastAsia"/>
          <w:b/>
          <w:sz w:val="24"/>
          <w:highlight w:val="none"/>
        </w:rPr>
        <w:t>三、投标人资格声明书</w:t>
      </w:r>
      <w:bookmarkEnd w:id="252"/>
      <w:r>
        <w:rPr>
          <w:rFonts w:hint="eastAsia" w:asciiTheme="minorEastAsia" w:hAnsiTheme="minorEastAsia" w:eastAsiaTheme="minorEastAsia"/>
          <w:b/>
          <w:sz w:val="24"/>
          <w:highlight w:val="none"/>
        </w:rPr>
        <w:t xml:space="preserve"> </w:t>
      </w:r>
    </w:p>
    <w:p w14:paraId="71C42E2A">
      <w:pPr>
        <w:pStyle w:val="13"/>
        <w:shd w:val="clear"/>
        <w:spacing w:line="360" w:lineRule="auto"/>
        <w:rPr>
          <w:rFonts w:asciiTheme="minorEastAsia" w:hAnsiTheme="minorEastAsia" w:cstheme="minorEastAsia"/>
          <w:sz w:val="24"/>
          <w:szCs w:val="24"/>
          <w:highlight w:val="none"/>
        </w:rPr>
      </w:pPr>
      <w:r>
        <w:rPr>
          <w:rFonts w:hint="eastAsia" w:ascii="宋体" w:hAnsi="宋体"/>
          <w:sz w:val="24"/>
          <w:highlight w:val="none"/>
        </w:rPr>
        <w:t>致：安徽中医药大学第二附属医院</w:t>
      </w:r>
    </w:p>
    <w:p w14:paraId="3EA201D1">
      <w:pPr>
        <w:widowControl/>
        <w:shd w:val="clear"/>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bidi="ar"/>
        </w:rPr>
        <w:t>在参与本次项目投标中，我单位承诺：</w:t>
      </w:r>
    </w:p>
    <w:p w14:paraId="55C34CA8">
      <w:pPr>
        <w:widowControl/>
        <w:shd w:val="clear"/>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bidi="ar"/>
        </w:rPr>
        <w:t>（一）具有良好的商业信誉和健全的财务会计制度；</w:t>
      </w:r>
    </w:p>
    <w:p w14:paraId="7D36F483">
      <w:pPr>
        <w:widowControl/>
        <w:shd w:val="clear"/>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bidi="ar"/>
        </w:rPr>
        <w:t>（二）具有履行合同所必需的设备和专业技术能力；</w:t>
      </w:r>
    </w:p>
    <w:p w14:paraId="3575D457">
      <w:pPr>
        <w:widowControl/>
        <w:shd w:val="clear"/>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bidi="ar"/>
        </w:rPr>
        <w:t>（三）有依法缴纳税收和社会保障资金的良好记录；</w:t>
      </w:r>
    </w:p>
    <w:p w14:paraId="783675C5">
      <w:pPr>
        <w:widowControl/>
        <w:shd w:val="clear"/>
        <w:spacing w:line="360" w:lineRule="auto"/>
        <w:ind w:firstLine="480" w:firstLineChars="200"/>
        <w:jc w:val="left"/>
        <w:rPr>
          <w:rFonts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（四）参加政府采购活动前3</w:t>
      </w:r>
    </w:p>
    <w:p w14:paraId="4EB28A44">
      <w:pPr>
        <w:widowControl/>
        <w:shd w:val="clear"/>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bidi="ar"/>
        </w:rPr>
        <w:t>内，在经营活动中没有重大违法记录（重大违法记录指因违法经营受到刑事处罚或者责令停产停业、吊销许可证或者执照、较大数额罚款等行政处罚，不包括因违法经营被禁止在一定期限内参加政府采购活动，但期限已经届满的情形）；</w:t>
      </w:r>
    </w:p>
    <w:p w14:paraId="37BB800F">
      <w:pPr>
        <w:widowControl/>
        <w:shd w:val="clear"/>
        <w:spacing w:line="360" w:lineRule="auto"/>
        <w:ind w:firstLine="480" w:firstLineChars="200"/>
        <w:jc w:val="left"/>
        <w:rPr>
          <w:rFonts w:asciiTheme="minorEastAsia" w:hAnsiTheme="minorEastAsia" w:eastAsiaTheme="minorEastAsia" w:cstheme="minorEastAsia"/>
          <w:sz w:val="24"/>
          <w:szCs w:val="24"/>
          <w:highlight w:val="none"/>
        </w:rPr>
      </w:pPr>
      <w:r>
        <w:rPr>
          <w:rFonts w:hint="eastAsia" w:asciiTheme="minorEastAsia" w:hAnsiTheme="minorEastAsia" w:eastAsiaTheme="minorEastAsia" w:cstheme="minorEastAsia"/>
          <w:color w:val="000000"/>
          <w:kern w:val="0"/>
          <w:sz w:val="24"/>
          <w:szCs w:val="24"/>
          <w:highlight w:val="none"/>
          <w:lang w:bidi="ar"/>
        </w:rPr>
        <w:t>（五）我单位不存在为采购项目提供整体设计、规范编制或者项目管理、监理、检测等服务后，再参加该采购项目的其他采购活动的情形（单一来源采购项目除外）；</w:t>
      </w:r>
    </w:p>
    <w:p w14:paraId="3E3093A8">
      <w:pPr>
        <w:widowControl/>
        <w:shd w:val="clear"/>
        <w:spacing w:line="360" w:lineRule="auto"/>
        <w:ind w:firstLine="480" w:firstLineChars="200"/>
        <w:jc w:val="left"/>
        <w:rPr>
          <w:rFonts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（六）我单位（含不具有独立法人资格的分支机构）无以下不良信用记录情形：</w:t>
      </w:r>
    </w:p>
    <w:p w14:paraId="383D7E78">
      <w:pPr>
        <w:widowControl/>
        <w:shd w:val="clear"/>
        <w:spacing w:line="360" w:lineRule="auto"/>
        <w:ind w:firstLine="480" w:firstLineChars="200"/>
        <w:jc w:val="left"/>
        <w:rPr>
          <w:rFonts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（1）被人民法院列入失信被执行人；</w:t>
      </w:r>
    </w:p>
    <w:p w14:paraId="09579F83">
      <w:pPr>
        <w:widowControl/>
        <w:shd w:val="clear"/>
        <w:spacing w:line="360" w:lineRule="auto"/>
        <w:ind w:firstLine="480" w:firstLineChars="200"/>
        <w:jc w:val="left"/>
        <w:rPr>
          <w:rFonts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（2）被税务部门列入重大税收违法失信主体名单；</w:t>
      </w:r>
    </w:p>
    <w:p w14:paraId="3F892D5E">
      <w:pPr>
        <w:widowControl/>
        <w:shd w:val="clear"/>
        <w:spacing w:line="360" w:lineRule="auto"/>
        <w:ind w:firstLine="480" w:firstLineChars="200"/>
        <w:jc w:val="left"/>
        <w:rPr>
          <w:rFonts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（3）被政府采购监管部门列入政府采购严重违法失信行为记录名单。</w:t>
      </w:r>
    </w:p>
    <w:p w14:paraId="3A8B2AEA">
      <w:pPr>
        <w:widowControl/>
        <w:shd w:val="clear"/>
        <w:spacing w:line="360" w:lineRule="auto"/>
        <w:ind w:firstLine="480" w:firstLineChars="200"/>
        <w:jc w:val="left"/>
        <w:rPr>
          <w:rFonts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七）我单位无“单位负责人为同一人或者存在直接控股、管理关系的不同供应商，参加同一合同项下的采购活动”的情形。与我单位存在单位负责人为同一人或者存在直接控股、管理关系的其他法人单位信息如下（如有，不论其是否参加同一合同项下的政府采购活动均须填写）：</w:t>
      </w:r>
    </w:p>
    <w:tbl>
      <w:tblPr>
        <w:tblStyle w:val="2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840"/>
        <w:gridCol w:w="2841"/>
        <w:gridCol w:w="2841"/>
      </w:tblGrid>
      <w:tr w14:paraId="2B6B1D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8095141">
            <w:pPr>
              <w:widowControl/>
              <w:shd w:val="clear"/>
              <w:spacing w:before="156" w:beforeLines="50" w:after="10"/>
              <w:jc w:val="center"/>
              <w:rPr>
                <w:rFonts w:asciiTheme="minorEastAsia" w:hAnsiTheme="minorEastAsia" w:eastAsiaTheme="minorEastAsia" w:cstheme="minorEastAsia"/>
                <w:color w:val="000000"/>
                <w:kern w:val="0"/>
                <w:sz w:val="24"/>
                <w:szCs w:val="24"/>
                <w:highlight w:val="none"/>
                <w:lang w:bidi="ar"/>
              </w:rPr>
            </w:pPr>
            <w:r>
              <w:rPr>
                <w:rFonts w:hint="eastAsia" w:asciiTheme="minorEastAsia" w:hAnsiTheme="minorEastAsia" w:eastAsiaTheme="minorEastAsia" w:cstheme="minorEastAsia"/>
                <w:color w:val="000000"/>
                <w:kern w:val="0"/>
                <w:sz w:val="24"/>
                <w:szCs w:val="24"/>
                <w:highlight w:val="none"/>
                <w:lang w:bidi="ar"/>
              </w:rPr>
              <w:t>序号</w:t>
            </w:r>
          </w:p>
        </w:tc>
        <w:tc>
          <w:tcPr>
            <w:tcW w:w="2841" w:type="dxa"/>
          </w:tcPr>
          <w:p w14:paraId="7AB1403A">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r>
              <w:rPr>
                <w:rFonts w:hint="eastAsia" w:asciiTheme="minorEastAsia" w:hAnsiTheme="minorEastAsia" w:eastAsiaTheme="minorEastAsia" w:cstheme="minorEastAsia"/>
                <w:color w:val="000000"/>
                <w:kern w:val="0"/>
                <w:sz w:val="24"/>
                <w:highlight w:val="none"/>
                <w:lang w:val="en-US" w:bidi="ar"/>
              </w:rPr>
              <w:t>单位名称</w:t>
            </w:r>
          </w:p>
        </w:tc>
        <w:tc>
          <w:tcPr>
            <w:tcW w:w="2841" w:type="dxa"/>
          </w:tcPr>
          <w:p w14:paraId="29A8ACBA">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r>
              <w:rPr>
                <w:rFonts w:hint="eastAsia" w:asciiTheme="minorEastAsia" w:hAnsiTheme="minorEastAsia" w:eastAsiaTheme="minorEastAsia" w:cstheme="minorEastAsia"/>
                <w:color w:val="000000"/>
                <w:kern w:val="0"/>
                <w:sz w:val="24"/>
                <w:highlight w:val="none"/>
                <w:lang w:val="en-US" w:bidi="ar"/>
              </w:rPr>
              <w:t>相互关系</w:t>
            </w:r>
          </w:p>
        </w:tc>
      </w:tr>
      <w:tr w14:paraId="105D65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784D332F">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r>
              <w:rPr>
                <w:rFonts w:hint="eastAsia" w:asciiTheme="minorEastAsia" w:hAnsiTheme="minorEastAsia" w:eastAsiaTheme="minorEastAsia" w:cstheme="minorEastAsia"/>
                <w:color w:val="000000"/>
                <w:kern w:val="0"/>
                <w:sz w:val="24"/>
                <w:highlight w:val="none"/>
                <w:lang w:val="en-US" w:bidi="ar"/>
              </w:rPr>
              <w:t>1</w:t>
            </w:r>
          </w:p>
        </w:tc>
        <w:tc>
          <w:tcPr>
            <w:tcW w:w="2841" w:type="dxa"/>
          </w:tcPr>
          <w:p w14:paraId="7A13D496">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p>
        </w:tc>
        <w:tc>
          <w:tcPr>
            <w:tcW w:w="2841" w:type="dxa"/>
          </w:tcPr>
          <w:p w14:paraId="19931D3C">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p>
        </w:tc>
      </w:tr>
      <w:tr w14:paraId="18D213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2840" w:type="dxa"/>
          </w:tcPr>
          <w:p w14:paraId="105F9944">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r>
              <w:rPr>
                <w:rFonts w:hint="eastAsia" w:asciiTheme="minorEastAsia" w:hAnsiTheme="minorEastAsia" w:eastAsiaTheme="minorEastAsia" w:cstheme="minorEastAsia"/>
                <w:color w:val="000000"/>
                <w:kern w:val="0"/>
                <w:sz w:val="24"/>
                <w:highlight w:val="none"/>
                <w:lang w:val="en-US" w:bidi="ar"/>
              </w:rPr>
              <w:t>2</w:t>
            </w:r>
          </w:p>
        </w:tc>
        <w:tc>
          <w:tcPr>
            <w:tcW w:w="2841" w:type="dxa"/>
          </w:tcPr>
          <w:p w14:paraId="6476754D">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p>
        </w:tc>
        <w:tc>
          <w:tcPr>
            <w:tcW w:w="2841" w:type="dxa"/>
          </w:tcPr>
          <w:p w14:paraId="270D37D4">
            <w:pPr>
              <w:pStyle w:val="8"/>
              <w:shd w:val="clear"/>
              <w:spacing w:before="156" w:beforeLines="50" w:after="10"/>
              <w:jc w:val="center"/>
              <w:rPr>
                <w:rFonts w:asciiTheme="minorEastAsia" w:hAnsiTheme="minorEastAsia" w:eastAsiaTheme="minorEastAsia" w:cstheme="minorEastAsia"/>
                <w:color w:val="000000"/>
                <w:kern w:val="0"/>
                <w:sz w:val="24"/>
                <w:highlight w:val="none"/>
                <w:lang w:val="en-US" w:bidi="ar"/>
              </w:rPr>
            </w:pPr>
          </w:p>
        </w:tc>
      </w:tr>
    </w:tbl>
    <w:p w14:paraId="605A535D">
      <w:pPr>
        <w:shd w:val="clear"/>
        <w:spacing w:line="360" w:lineRule="auto"/>
        <w:ind w:firstLine="435"/>
        <w:rPr>
          <w:rFonts w:ascii="宋体" w:hAnsi="宋体" w:eastAsia="宋体"/>
          <w:sz w:val="24"/>
          <w:highlight w:val="none"/>
        </w:rPr>
      </w:pPr>
      <w:r>
        <w:rPr>
          <w:rFonts w:hint="eastAsia" w:ascii="宋体" w:hAnsi="宋体" w:eastAsia="宋体"/>
          <w:sz w:val="24"/>
          <w:highlight w:val="none"/>
        </w:rPr>
        <w:t>本单位对</w:t>
      </w:r>
      <w:r>
        <w:rPr>
          <w:rFonts w:hint="eastAsia" w:asciiTheme="minorEastAsia" w:hAnsiTheme="minorEastAsia" w:eastAsiaTheme="minorEastAsia"/>
          <w:sz w:val="24"/>
          <w:highlight w:val="none"/>
        </w:rPr>
        <w:t>上述</w:t>
      </w:r>
      <w:r>
        <w:rPr>
          <w:rFonts w:hint="eastAsia" w:ascii="宋体" w:hAnsi="宋体" w:eastAsia="宋体"/>
          <w:sz w:val="24"/>
          <w:highlight w:val="none"/>
        </w:rPr>
        <w:t>声明的真实性负责。如有虚假，将依法承担相应责任。</w:t>
      </w:r>
    </w:p>
    <w:p w14:paraId="5429414E">
      <w:pPr>
        <w:shd w:val="clear"/>
        <w:spacing w:line="360" w:lineRule="auto"/>
        <w:ind w:firstLine="4800" w:firstLineChars="2000"/>
        <w:rPr>
          <w:rFonts w:ascii="宋体" w:hAnsi="宋体" w:eastAsia="宋体"/>
          <w:sz w:val="24"/>
          <w:highlight w:val="none"/>
          <w:u w:val="single"/>
        </w:rPr>
      </w:pPr>
      <w:r>
        <w:rPr>
          <w:rFonts w:hint="eastAsia" w:ascii="宋体" w:hAnsi="宋体" w:eastAsia="宋体"/>
          <w:sz w:val="24"/>
          <w:highlight w:val="none"/>
        </w:rPr>
        <w:t>投标人电子签章：</w:t>
      </w:r>
      <w:r>
        <w:rPr>
          <w:rFonts w:hint="eastAsia" w:ascii="宋体" w:hAnsi="宋体" w:eastAsia="宋体"/>
          <w:sz w:val="24"/>
          <w:highlight w:val="none"/>
          <w:u w:val="single"/>
        </w:rPr>
        <w:t xml:space="preserve">     </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p>
    <w:p w14:paraId="29236E8F">
      <w:pPr>
        <w:shd w:val="clear"/>
        <w:tabs>
          <w:tab w:val="left" w:pos="630"/>
        </w:tabs>
        <w:spacing w:line="360" w:lineRule="auto"/>
        <w:ind w:firstLine="4800" w:firstLineChars="2000"/>
        <w:rPr>
          <w:rFonts w:asciiTheme="minorEastAsia" w:hAnsiTheme="minorEastAsia" w:eastAsiaTheme="minorEastAsia" w:cstheme="minorEastAsia"/>
          <w:color w:val="000000"/>
          <w:kern w:val="0"/>
          <w:sz w:val="24"/>
          <w:szCs w:val="24"/>
          <w:highlight w:val="none"/>
          <w:lang w:bidi="ar"/>
        </w:rPr>
      </w:pPr>
      <w:r>
        <w:rPr>
          <w:rFonts w:hint="eastAsia" w:ascii="宋体" w:hAnsi="宋体" w:eastAsia="宋体"/>
          <w:sz w:val="24"/>
          <w:highlight w:val="none"/>
        </w:rPr>
        <w:t xml:space="preserve">日     </w:t>
      </w:r>
      <w:r>
        <w:rPr>
          <w:rFonts w:ascii="宋体" w:hAnsi="宋体" w:eastAsia="宋体"/>
          <w:sz w:val="24"/>
          <w:highlight w:val="none"/>
        </w:rPr>
        <w:t xml:space="preserve">    </w:t>
      </w:r>
      <w:r>
        <w:rPr>
          <w:rFonts w:hint="eastAsia" w:ascii="宋体" w:hAnsi="宋体" w:eastAsia="宋体"/>
          <w:sz w:val="24"/>
          <w:highlight w:val="none"/>
        </w:rPr>
        <w:t xml:space="preserve"> 期：</w:t>
      </w:r>
      <w:r>
        <w:rPr>
          <w:rFonts w:hint="eastAsia" w:ascii="宋体" w:hAnsi="宋体" w:eastAsia="宋体"/>
          <w:sz w:val="24"/>
          <w:highlight w:val="none"/>
          <w:u w:val="single"/>
        </w:rPr>
        <w:t xml:space="preserve">             </w:t>
      </w:r>
    </w:p>
    <w:p w14:paraId="17F618DD">
      <w:pPr>
        <w:shd w:val="clear"/>
        <w:rPr>
          <w:rFonts w:asciiTheme="minorEastAsia" w:hAnsiTheme="minorEastAsia" w:eastAsiaTheme="minorEastAsia"/>
          <w:b/>
          <w:sz w:val="24"/>
          <w:highlight w:val="none"/>
        </w:rPr>
      </w:pPr>
      <w:bookmarkStart w:id="253" w:name="_Toc11607"/>
      <w:r>
        <w:rPr>
          <w:rFonts w:hint="eastAsia" w:asciiTheme="minorEastAsia" w:hAnsiTheme="minorEastAsia" w:eastAsiaTheme="minorEastAsia"/>
          <w:b/>
          <w:sz w:val="24"/>
          <w:highlight w:val="none"/>
        </w:rPr>
        <w:br w:type="page"/>
      </w:r>
    </w:p>
    <w:p w14:paraId="6C263433">
      <w:pPr>
        <w:shd w:val="clear"/>
        <w:spacing w:line="360" w:lineRule="auto"/>
        <w:jc w:val="center"/>
        <w:outlineLvl w:val="1"/>
        <w:rPr>
          <w:rFonts w:asciiTheme="minorEastAsia" w:hAnsiTheme="minorEastAsia" w:eastAsiaTheme="minorEastAsia"/>
          <w:b/>
          <w:sz w:val="24"/>
          <w:highlight w:val="none"/>
        </w:rPr>
      </w:pPr>
      <w:bookmarkStart w:id="254" w:name="_Toc16960"/>
      <w:r>
        <w:rPr>
          <w:rFonts w:hint="eastAsia" w:asciiTheme="minorEastAsia" w:hAnsiTheme="minorEastAsia" w:eastAsiaTheme="minorEastAsia"/>
          <w:b/>
          <w:sz w:val="24"/>
          <w:highlight w:val="none"/>
        </w:rPr>
        <w:t>四、授权书</w:t>
      </w:r>
      <w:bookmarkEnd w:id="253"/>
      <w:bookmarkEnd w:id="254"/>
    </w:p>
    <w:p w14:paraId="08E8CC0E">
      <w:pPr>
        <w:pStyle w:val="12"/>
        <w:shd w:val="clear"/>
        <w:snapToGrid w:val="0"/>
        <w:spacing w:line="360" w:lineRule="auto"/>
        <w:ind w:firstLine="480" w:firstLineChars="200"/>
        <w:jc w:val="left"/>
        <w:rPr>
          <w:rFonts w:hAnsi="宋体" w:eastAsia="宋体"/>
          <w:sz w:val="24"/>
          <w:szCs w:val="28"/>
          <w:highlight w:val="none"/>
        </w:rPr>
      </w:pPr>
    </w:p>
    <w:p w14:paraId="5E50A686">
      <w:pPr>
        <w:shd w:val="clear"/>
        <w:spacing w:line="360" w:lineRule="auto"/>
        <w:ind w:firstLine="435"/>
        <w:rPr>
          <w:rFonts w:hAnsi="宋体" w:eastAsia="宋体"/>
          <w:sz w:val="24"/>
          <w:szCs w:val="28"/>
          <w:highlight w:val="none"/>
        </w:rPr>
      </w:pPr>
      <w:r>
        <w:rPr>
          <w:rFonts w:hint="eastAsia" w:hAnsi="宋体" w:eastAsia="宋体"/>
          <w:sz w:val="24"/>
          <w:szCs w:val="28"/>
          <w:highlight w:val="none"/>
        </w:rPr>
        <w:t>本</w:t>
      </w:r>
      <w:r>
        <w:rPr>
          <w:rFonts w:hint="eastAsia" w:asciiTheme="minorEastAsia" w:hAnsiTheme="minorEastAsia" w:eastAsiaTheme="minorEastAsia"/>
          <w:sz w:val="24"/>
          <w:highlight w:val="none"/>
        </w:rPr>
        <w:t>授权</w:t>
      </w:r>
      <w:r>
        <w:rPr>
          <w:rFonts w:hint="eastAsia" w:hAnsi="宋体" w:eastAsia="宋体"/>
          <w:sz w:val="24"/>
          <w:szCs w:val="28"/>
          <w:highlight w:val="none"/>
        </w:rPr>
        <w:t>书声明：</w:t>
      </w:r>
      <w:r>
        <w:rPr>
          <w:rFonts w:hint="eastAsia" w:hAnsi="宋体" w:eastAsia="宋体"/>
          <w:sz w:val="24"/>
          <w:szCs w:val="28"/>
          <w:highlight w:val="none"/>
          <w:u w:val="single"/>
        </w:rPr>
        <w:t xml:space="preserve">           </w:t>
      </w:r>
      <w:r>
        <w:rPr>
          <w:rFonts w:hint="eastAsia" w:hAnsi="宋体" w:eastAsia="宋体"/>
          <w:sz w:val="24"/>
          <w:szCs w:val="28"/>
          <w:highlight w:val="none"/>
        </w:rPr>
        <w:t>（投标人名称）授权</w:t>
      </w:r>
      <w:r>
        <w:rPr>
          <w:rFonts w:hint="eastAsia" w:hAnsi="宋体" w:eastAsia="宋体"/>
          <w:sz w:val="24"/>
          <w:szCs w:val="28"/>
          <w:highlight w:val="none"/>
          <w:u w:val="single"/>
        </w:rPr>
        <w:t xml:space="preserve">       </w:t>
      </w:r>
      <w:r>
        <w:rPr>
          <w:rFonts w:hint="eastAsia" w:hAnsi="宋体" w:eastAsia="宋体"/>
          <w:sz w:val="24"/>
          <w:szCs w:val="28"/>
          <w:highlight w:val="none"/>
        </w:rPr>
        <w:t>（投标人授权代表姓名）代表我方参加本项目</w:t>
      </w:r>
      <w:r>
        <w:rPr>
          <w:rFonts w:hint="eastAsia" w:hAnsi="宋体" w:eastAsia="宋体"/>
          <w:bCs/>
          <w:sz w:val="24"/>
          <w:szCs w:val="28"/>
          <w:highlight w:val="none"/>
        </w:rPr>
        <w:t>采购活动</w:t>
      </w:r>
      <w:r>
        <w:rPr>
          <w:rFonts w:hint="eastAsia" w:hAnsi="宋体" w:eastAsia="宋体"/>
          <w:sz w:val="24"/>
          <w:szCs w:val="28"/>
          <w:highlight w:val="none"/>
        </w:rPr>
        <w:t>，全权代表我方处理投标过程的一切事宜，包括但不限于：投标、参与开标、谈判、签约等。投标人授权代表在投标过程中所签署的一切文件和处理与之有关的一切事务，我方均予以认可并对此承担责任。投标人授权代表无转委托权。特此授权。</w:t>
      </w:r>
    </w:p>
    <w:p w14:paraId="5F3426E3">
      <w:pPr>
        <w:shd w:val="clear"/>
        <w:spacing w:line="360" w:lineRule="auto"/>
        <w:ind w:firstLine="435"/>
        <w:rPr>
          <w:rFonts w:hAnsi="宋体" w:eastAsia="宋体"/>
          <w:sz w:val="24"/>
          <w:szCs w:val="28"/>
          <w:highlight w:val="none"/>
        </w:rPr>
      </w:pPr>
      <w:r>
        <w:rPr>
          <w:rFonts w:hint="eastAsia" w:hAnsi="宋体" w:eastAsia="宋体"/>
          <w:sz w:val="24"/>
          <w:szCs w:val="28"/>
          <w:highlight w:val="none"/>
        </w:rPr>
        <w:t>本授权书自出具之日起生效。</w:t>
      </w:r>
    </w:p>
    <w:p w14:paraId="3EA03D83">
      <w:pPr>
        <w:shd w:val="clear"/>
        <w:spacing w:line="360" w:lineRule="auto"/>
        <w:ind w:firstLine="435"/>
        <w:rPr>
          <w:rFonts w:hAnsi="宋体" w:eastAsia="宋体"/>
          <w:sz w:val="24"/>
          <w:highlight w:val="none"/>
        </w:rPr>
      </w:pPr>
      <w:r>
        <w:rPr>
          <w:rFonts w:hint="eastAsia" w:hAnsi="宋体" w:eastAsia="宋体"/>
          <w:sz w:val="24"/>
          <w:szCs w:val="28"/>
          <w:highlight w:val="none"/>
        </w:rPr>
        <w:t>授权</w:t>
      </w:r>
      <w:r>
        <w:rPr>
          <w:rFonts w:hint="eastAsia" w:asciiTheme="minorEastAsia" w:hAnsiTheme="minorEastAsia" w:eastAsiaTheme="minorEastAsia"/>
          <w:sz w:val="24"/>
          <w:highlight w:val="none"/>
        </w:rPr>
        <w:t>代表</w:t>
      </w:r>
      <w:r>
        <w:rPr>
          <w:rFonts w:hint="eastAsia" w:hAnsi="宋体" w:eastAsia="宋体"/>
          <w:sz w:val="24"/>
          <w:highlight w:val="none"/>
        </w:rPr>
        <w:t>身份证明扫描件：</w:t>
      </w:r>
    </w:p>
    <w:tbl>
      <w:tblPr>
        <w:tblStyle w:val="25"/>
        <w:tblW w:w="814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071"/>
        <w:gridCol w:w="4073"/>
      </w:tblGrid>
      <w:tr w14:paraId="6E7823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41" w:hRule="atLeast"/>
          <w:jc w:val="center"/>
        </w:trPr>
        <w:tc>
          <w:tcPr>
            <w:tcW w:w="4071" w:type="dxa"/>
            <w:vAlign w:val="center"/>
          </w:tcPr>
          <w:p w14:paraId="66003B98">
            <w:pPr>
              <w:shd w:val="clear"/>
              <w:adjustRightInd w:val="0"/>
              <w:snapToGrid w:val="0"/>
              <w:ind w:firstLine="420"/>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身份证扫描件</w:t>
            </w:r>
          </w:p>
        </w:tc>
        <w:tc>
          <w:tcPr>
            <w:tcW w:w="4073" w:type="dxa"/>
            <w:vAlign w:val="center"/>
          </w:tcPr>
          <w:p w14:paraId="76D07973">
            <w:pPr>
              <w:shd w:val="clear"/>
              <w:adjustRightInd w:val="0"/>
              <w:snapToGrid w:val="0"/>
              <w:ind w:firstLine="420"/>
              <w:jc w:val="center"/>
              <w:rPr>
                <w:rFonts w:ascii="宋体" w:hAnsi="宋体" w:eastAsia="宋体" w:cs="宋体"/>
                <w:kern w:val="0"/>
                <w:sz w:val="24"/>
                <w:szCs w:val="24"/>
                <w:highlight w:val="none"/>
              </w:rPr>
            </w:pPr>
            <w:r>
              <w:rPr>
                <w:rFonts w:hint="eastAsia" w:ascii="宋体" w:hAnsi="宋体" w:eastAsia="宋体" w:cs="宋体"/>
                <w:kern w:val="0"/>
                <w:sz w:val="24"/>
                <w:szCs w:val="24"/>
                <w:highlight w:val="none"/>
              </w:rPr>
              <w:t>身份证扫描件</w:t>
            </w:r>
          </w:p>
        </w:tc>
      </w:tr>
    </w:tbl>
    <w:p w14:paraId="2C5C8315">
      <w:pPr>
        <w:shd w:val="clear"/>
        <w:spacing w:line="360" w:lineRule="auto"/>
        <w:ind w:firstLine="435"/>
        <w:rPr>
          <w:rFonts w:asciiTheme="minorEastAsia" w:hAnsiTheme="minorEastAsia" w:eastAsiaTheme="minorEastAsia"/>
          <w:sz w:val="24"/>
          <w:highlight w:val="none"/>
        </w:rPr>
      </w:pPr>
    </w:p>
    <w:p w14:paraId="7BA25597">
      <w:pPr>
        <w:shd w:val="clear"/>
        <w:spacing w:line="360" w:lineRule="auto"/>
        <w:ind w:firstLine="435"/>
        <w:rPr>
          <w:rFonts w:hAnsi="宋体" w:eastAsia="宋体"/>
          <w:sz w:val="24"/>
          <w:szCs w:val="28"/>
          <w:highlight w:val="none"/>
          <w:u w:val="single"/>
          <w:lang w:val="zh-CN"/>
        </w:rPr>
      </w:pPr>
      <w:r>
        <w:rPr>
          <w:rFonts w:hint="eastAsia" w:hAnsi="宋体" w:eastAsia="宋体"/>
          <w:sz w:val="24"/>
          <w:szCs w:val="28"/>
          <w:highlight w:val="none"/>
        </w:rPr>
        <w:t>授权代表联系方式：</w:t>
      </w:r>
      <w:r>
        <w:rPr>
          <w:rFonts w:hint="eastAsia" w:hAnsi="宋体" w:eastAsia="宋体"/>
          <w:sz w:val="24"/>
          <w:szCs w:val="28"/>
          <w:highlight w:val="none"/>
          <w:u w:val="single"/>
        </w:rPr>
        <w:t xml:space="preserve">          （请填写手机号码）</w:t>
      </w:r>
    </w:p>
    <w:p w14:paraId="43814717">
      <w:pPr>
        <w:shd w:val="clear"/>
        <w:spacing w:line="360" w:lineRule="auto"/>
        <w:ind w:firstLine="435"/>
        <w:rPr>
          <w:rFonts w:hAnsi="宋体" w:eastAsia="宋体"/>
          <w:sz w:val="24"/>
          <w:szCs w:val="28"/>
          <w:highlight w:val="none"/>
          <w:lang w:val="zh-CN"/>
        </w:rPr>
      </w:pPr>
    </w:p>
    <w:p w14:paraId="1B778D7F">
      <w:pPr>
        <w:shd w:val="clear"/>
        <w:spacing w:line="360" w:lineRule="auto"/>
        <w:ind w:firstLine="435"/>
        <w:rPr>
          <w:rFonts w:ascii="宋体" w:hAnsi="宋体" w:eastAsia="宋体"/>
          <w:sz w:val="24"/>
          <w:szCs w:val="28"/>
          <w:highlight w:val="none"/>
        </w:rPr>
      </w:pPr>
      <w:r>
        <w:rPr>
          <w:rFonts w:hint="eastAsia" w:asciiTheme="minorEastAsia" w:hAnsiTheme="minorEastAsia" w:eastAsiaTheme="minorEastAsia"/>
          <w:sz w:val="24"/>
          <w:highlight w:val="none"/>
        </w:rPr>
        <w:t>特此</w:t>
      </w:r>
      <w:r>
        <w:rPr>
          <w:rFonts w:hint="eastAsia" w:ascii="宋体" w:hAnsi="宋体" w:eastAsia="宋体"/>
          <w:sz w:val="24"/>
          <w:szCs w:val="28"/>
          <w:highlight w:val="none"/>
        </w:rPr>
        <w:t>声明。</w:t>
      </w:r>
    </w:p>
    <w:p w14:paraId="30DD1F94">
      <w:pPr>
        <w:shd w:val="clear"/>
        <w:spacing w:line="360" w:lineRule="auto"/>
        <w:rPr>
          <w:rFonts w:ascii="宋体" w:hAnsi="宋体" w:eastAsia="宋体"/>
          <w:sz w:val="24"/>
          <w:szCs w:val="28"/>
          <w:highlight w:val="none"/>
        </w:rPr>
      </w:pPr>
    </w:p>
    <w:p w14:paraId="13DCB21B">
      <w:pPr>
        <w:shd w:val="clear"/>
        <w:spacing w:line="360" w:lineRule="auto"/>
        <w:ind w:firstLine="435"/>
        <w:jc w:val="center"/>
        <w:rPr>
          <w:rFonts w:ascii="宋体" w:hAnsi="宋体" w:eastAsia="宋体"/>
          <w:bCs/>
          <w:sz w:val="24"/>
          <w:szCs w:val="28"/>
          <w:highlight w:val="none"/>
        </w:rPr>
      </w:pPr>
      <w:r>
        <w:rPr>
          <w:rFonts w:hint="eastAsia" w:ascii="宋体" w:hAnsi="宋体" w:eastAsia="宋体"/>
          <w:bCs/>
          <w:sz w:val="24"/>
          <w:szCs w:val="28"/>
          <w:highlight w:val="none"/>
        </w:rPr>
        <w:t xml:space="preserve">                            投标人电子签章：</w:t>
      </w:r>
      <w:r>
        <w:rPr>
          <w:rFonts w:hint="eastAsia" w:ascii="宋体" w:hAnsi="宋体" w:eastAsia="宋体"/>
          <w:bCs/>
          <w:sz w:val="24"/>
          <w:szCs w:val="28"/>
          <w:highlight w:val="none"/>
          <w:u w:val="single"/>
        </w:rPr>
        <w:t xml:space="preserve">                    </w:t>
      </w:r>
    </w:p>
    <w:p w14:paraId="3A89123F">
      <w:pPr>
        <w:shd w:val="clear"/>
        <w:spacing w:line="360" w:lineRule="auto"/>
        <w:ind w:firstLine="435"/>
        <w:jc w:val="center"/>
        <w:rPr>
          <w:rFonts w:ascii="宋体" w:hAnsi="宋体" w:eastAsia="宋体"/>
          <w:sz w:val="24"/>
          <w:szCs w:val="28"/>
          <w:highlight w:val="none"/>
        </w:rPr>
      </w:pPr>
      <w:r>
        <w:rPr>
          <w:rFonts w:hint="eastAsia" w:ascii="宋体" w:hAnsi="宋体" w:eastAsia="宋体"/>
          <w:sz w:val="24"/>
          <w:szCs w:val="28"/>
          <w:highlight w:val="none"/>
        </w:rPr>
        <w:t xml:space="preserve">                            日          期：</w:t>
      </w:r>
      <w:r>
        <w:rPr>
          <w:rFonts w:hint="eastAsia" w:ascii="宋体" w:hAnsi="宋体" w:eastAsia="宋体"/>
          <w:b/>
          <w:bCs/>
          <w:sz w:val="24"/>
          <w:szCs w:val="28"/>
          <w:highlight w:val="none"/>
          <w:u w:val="single"/>
        </w:rPr>
        <w:t xml:space="preserve">                    </w:t>
      </w:r>
    </w:p>
    <w:p w14:paraId="623A7F90">
      <w:pPr>
        <w:shd w:val="clear"/>
        <w:spacing w:line="360" w:lineRule="auto"/>
        <w:ind w:firstLine="435"/>
        <w:rPr>
          <w:rFonts w:asciiTheme="minorEastAsia" w:hAnsiTheme="minorEastAsia" w:eastAsiaTheme="minorEastAsia"/>
          <w:sz w:val="24"/>
          <w:highlight w:val="none"/>
        </w:rPr>
      </w:pPr>
    </w:p>
    <w:p w14:paraId="7A581D12">
      <w:pPr>
        <w:shd w:val="clear"/>
        <w:spacing w:line="360" w:lineRule="auto"/>
        <w:ind w:firstLine="435"/>
        <w:rPr>
          <w:rFonts w:asciiTheme="minorEastAsia" w:hAnsiTheme="minorEastAsia" w:eastAsiaTheme="minorEastAsia"/>
          <w:sz w:val="24"/>
          <w:highlight w:val="none"/>
        </w:rPr>
      </w:pPr>
    </w:p>
    <w:p w14:paraId="2A1BBDB9">
      <w:pPr>
        <w:shd w:val="clear"/>
        <w:spacing w:line="360" w:lineRule="auto"/>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注：</w:t>
      </w:r>
    </w:p>
    <w:p w14:paraId="327E059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1.本项目只允许有唯一的投标人授权代表，提供身份证明扫描件；</w:t>
      </w:r>
    </w:p>
    <w:p w14:paraId="5B163CD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b/>
          <w:bCs/>
          <w:sz w:val="24"/>
          <w:highlight w:val="none"/>
        </w:rPr>
        <w:t>2.法定代表人参加投标的无需提供授权书，提供身份证明扫描件。</w:t>
      </w:r>
    </w:p>
    <w:p w14:paraId="2E4221C2">
      <w:pPr>
        <w:widowControl/>
        <w:shd w:val="clear"/>
        <w:jc w:val="left"/>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5CECE55C">
      <w:pPr>
        <w:shd w:val="clear"/>
        <w:spacing w:line="360" w:lineRule="auto"/>
        <w:jc w:val="center"/>
        <w:outlineLvl w:val="1"/>
        <w:rPr>
          <w:rFonts w:asciiTheme="minorEastAsia" w:hAnsiTheme="minorEastAsia" w:eastAsiaTheme="minorEastAsia"/>
          <w:b/>
          <w:sz w:val="24"/>
          <w:highlight w:val="none"/>
        </w:rPr>
      </w:pPr>
      <w:bookmarkStart w:id="255" w:name="_Toc6796"/>
      <w:bookmarkStart w:id="256" w:name="_Toc31991"/>
      <w:r>
        <w:rPr>
          <w:rFonts w:hint="eastAsia" w:asciiTheme="minorEastAsia" w:hAnsiTheme="minorEastAsia" w:eastAsiaTheme="minorEastAsia"/>
          <w:b/>
          <w:sz w:val="24"/>
          <w:highlight w:val="none"/>
        </w:rPr>
        <w:t>五、投标分项报价表</w:t>
      </w:r>
      <w:bookmarkEnd w:id="255"/>
      <w:bookmarkEnd w:id="256"/>
    </w:p>
    <w:p w14:paraId="7BFA8A4B">
      <w:pPr>
        <w:pStyle w:val="44"/>
        <w:shd w:val="clear"/>
        <w:jc w:val="left"/>
        <w:rPr>
          <w:rFonts w:ascii="宋体" w:hAnsi="宋体"/>
          <w:b/>
          <w:bCs/>
          <w:highlight w:val="none"/>
        </w:rPr>
      </w:pPr>
      <w:r>
        <w:rPr>
          <w:rFonts w:hint="eastAsia" w:ascii="宋体" w:hAnsi="宋体"/>
          <w:b/>
          <w:bCs/>
          <w:highlight w:val="none"/>
        </w:rPr>
        <w:t>5-1分项报价表</w:t>
      </w:r>
    </w:p>
    <w:tbl>
      <w:tblPr>
        <w:tblStyle w:val="25"/>
        <w:tblW w:w="4998"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71"/>
        <w:gridCol w:w="1323"/>
        <w:gridCol w:w="1316"/>
        <w:gridCol w:w="1315"/>
        <w:gridCol w:w="671"/>
        <w:gridCol w:w="671"/>
        <w:gridCol w:w="942"/>
        <w:gridCol w:w="939"/>
        <w:gridCol w:w="671"/>
      </w:tblGrid>
      <w:tr w14:paraId="29F856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vAlign w:val="center"/>
          </w:tcPr>
          <w:p w14:paraId="02EB3403">
            <w:pPr>
              <w:pStyle w:val="37"/>
              <w:widowControl w:val="0"/>
              <w:shd w:val="clear"/>
              <w:spacing w:before="0" w:beforeAutospacing="0" w:after="0" w:afterAutospacing="0"/>
              <w:rPr>
                <w:rFonts w:ascii="宋体" w:hAnsi="宋体" w:eastAsia="宋体"/>
                <w:bCs w:val="0"/>
                <w:kern w:val="2"/>
                <w:sz w:val="24"/>
                <w:szCs w:val="20"/>
                <w:highlight w:val="none"/>
              </w:rPr>
            </w:pPr>
            <w:r>
              <w:rPr>
                <w:rFonts w:hint="eastAsia" w:ascii="宋体" w:hAnsi="宋体" w:eastAsia="宋体"/>
                <w:bCs w:val="0"/>
                <w:kern w:val="2"/>
                <w:sz w:val="24"/>
                <w:szCs w:val="20"/>
                <w:highlight w:val="none"/>
              </w:rPr>
              <w:t>序号</w:t>
            </w:r>
          </w:p>
        </w:tc>
        <w:tc>
          <w:tcPr>
            <w:tcW w:w="776" w:type="pct"/>
            <w:vAlign w:val="center"/>
          </w:tcPr>
          <w:p w14:paraId="73FB9F55">
            <w:pPr>
              <w:shd w:val="clear"/>
              <w:jc w:val="center"/>
              <w:rPr>
                <w:rFonts w:ascii="宋体" w:hAnsi="宋体" w:eastAsia="宋体"/>
                <w:b/>
                <w:sz w:val="24"/>
                <w:highlight w:val="none"/>
              </w:rPr>
            </w:pPr>
            <w:r>
              <w:rPr>
                <w:rFonts w:hint="eastAsia" w:ascii="宋体" w:hAnsi="宋体" w:eastAsia="宋体"/>
                <w:b/>
                <w:sz w:val="24"/>
                <w:highlight w:val="none"/>
              </w:rPr>
              <w:t>货物名称</w:t>
            </w:r>
          </w:p>
        </w:tc>
        <w:tc>
          <w:tcPr>
            <w:tcW w:w="772" w:type="pct"/>
            <w:vAlign w:val="center"/>
          </w:tcPr>
          <w:p w14:paraId="74F9288A">
            <w:pPr>
              <w:shd w:val="clear"/>
              <w:jc w:val="center"/>
              <w:rPr>
                <w:rFonts w:ascii="宋体" w:hAnsi="宋体" w:eastAsia="宋体"/>
                <w:b/>
                <w:sz w:val="24"/>
                <w:highlight w:val="none"/>
              </w:rPr>
            </w:pPr>
            <w:r>
              <w:rPr>
                <w:rFonts w:hint="eastAsia" w:ascii="宋体" w:hAnsi="宋体" w:eastAsia="宋体"/>
                <w:b/>
                <w:sz w:val="24"/>
                <w:highlight w:val="none"/>
              </w:rPr>
              <w:t>品牌、型</w:t>
            </w:r>
          </w:p>
          <w:p w14:paraId="75AB3D77">
            <w:pPr>
              <w:shd w:val="clear"/>
              <w:jc w:val="center"/>
              <w:rPr>
                <w:rFonts w:ascii="宋体" w:hAnsi="宋体" w:eastAsia="宋体"/>
                <w:b/>
                <w:sz w:val="24"/>
                <w:highlight w:val="none"/>
              </w:rPr>
            </w:pPr>
            <w:r>
              <w:rPr>
                <w:rFonts w:hint="eastAsia" w:ascii="宋体" w:hAnsi="宋体" w:eastAsia="宋体"/>
                <w:b/>
                <w:sz w:val="24"/>
                <w:highlight w:val="none"/>
              </w:rPr>
              <w:t>号规格</w:t>
            </w:r>
          </w:p>
        </w:tc>
        <w:tc>
          <w:tcPr>
            <w:tcW w:w="771" w:type="pct"/>
            <w:vAlign w:val="center"/>
          </w:tcPr>
          <w:p w14:paraId="3FC9B9D4">
            <w:pPr>
              <w:shd w:val="clear"/>
              <w:jc w:val="center"/>
              <w:rPr>
                <w:rFonts w:ascii="宋体" w:hAnsi="宋体" w:eastAsia="宋体"/>
                <w:b/>
                <w:sz w:val="24"/>
                <w:highlight w:val="none"/>
              </w:rPr>
            </w:pPr>
            <w:r>
              <w:rPr>
                <w:rFonts w:hint="eastAsia" w:ascii="宋体" w:hAnsi="宋体" w:eastAsia="宋体"/>
                <w:b/>
                <w:sz w:val="24"/>
                <w:highlight w:val="none"/>
              </w:rPr>
              <w:t>原产地及</w:t>
            </w:r>
          </w:p>
          <w:p w14:paraId="69A6F33E">
            <w:pPr>
              <w:shd w:val="clear"/>
              <w:jc w:val="center"/>
              <w:rPr>
                <w:rFonts w:ascii="宋体" w:hAnsi="宋体" w:eastAsia="宋体"/>
                <w:b/>
                <w:sz w:val="24"/>
                <w:highlight w:val="none"/>
              </w:rPr>
            </w:pPr>
            <w:r>
              <w:rPr>
                <w:rFonts w:hint="eastAsia" w:ascii="宋体" w:hAnsi="宋体" w:eastAsia="宋体"/>
                <w:b/>
                <w:sz w:val="24"/>
                <w:highlight w:val="none"/>
              </w:rPr>
              <w:t>生产厂商</w:t>
            </w:r>
          </w:p>
        </w:tc>
        <w:tc>
          <w:tcPr>
            <w:tcW w:w="393" w:type="pct"/>
            <w:vAlign w:val="center"/>
          </w:tcPr>
          <w:p w14:paraId="5E220F61">
            <w:pPr>
              <w:shd w:val="clear"/>
              <w:jc w:val="center"/>
              <w:rPr>
                <w:rFonts w:ascii="宋体" w:hAnsi="宋体" w:eastAsia="宋体"/>
                <w:b/>
                <w:sz w:val="24"/>
                <w:highlight w:val="none"/>
              </w:rPr>
            </w:pPr>
            <w:r>
              <w:rPr>
                <w:rFonts w:hint="eastAsia" w:ascii="宋体" w:hAnsi="宋体" w:eastAsia="宋体"/>
                <w:b/>
                <w:sz w:val="24"/>
                <w:highlight w:val="none"/>
              </w:rPr>
              <w:t>单位</w:t>
            </w:r>
          </w:p>
        </w:tc>
        <w:tc>
          <w:tcPr>
            <w:tcW w:w="393" w:type="pct"/>
            <w:vAlign w:val="center"/>
          </w:tcPr>
          <w:p w14:paraId="320CC90F">
            <w:pPr>
              <w:shd w:val="clear"/>
              <w:jc w:val="center"/>
              <w:rPr>
                <w:rFonts w:ascii="宋体" w:hAnsi="宋体" w:eastAsia="宋体"/>
                <w:b/>
                <w:sz w:val="24"/>
                <w:highlight w:val="none"/>
              </w:rPr>
            </w:pPr>
            <w:r>
              <w:rPr>
                <w:rFonts w:hint="eastAsia" w:ascii="宋体" w:hAnsi="宋体" w:eastAsia="宋体"/>
                <w:b/>
                <w:sz w:val="24"/>
                <w:highlight w:val="none"/>
              </w:rPr>
              <w:t>数量</w:t>
            </w:r>
          </w:p>
        </w:tc>
        <w:tc>
          <w:tcPr>
            <w:tcW w:w="552" w:type="pct"/>
            <w:vAlign w:val="center"/>
          </w:tcPr>
          <w:p w14:paraId="57B37F39">
            <w:pPr>
              <w:shd w:val="clear"/>
              <w:jc w:val="center"/>
              <w:rPr>
                <w:rFonts w:ascii="宋体" w:hAnsi="宋体" w:eastAsia="宋体"/>
                <w:b/>
                <w:sz w:val="24"/>
                <w:highlight w:val="none"/>
              </w:rPr>
            </w:pPr>
            <w:r>
              <w:rPr>
                <w:rFonts w:hint="eastAsia" w:ascii="宋体" w:hAnsi="宋体" w:eastAsia="宋体"/>
                <w:b/>
                <w:sz w:val="24"/>
                <w:highlight w:val="none"/>
              </w:rPr>
              <w:t>单价</w:t>
            </w:r>
          </w:p>
          <w:p w14:paraId="39894848">
            <w:pPr>
              <w:shd w:val="clear"/>
              <w:jc w:val="center"/>
              <w:rPr>
                <w:rFonts w:ascii="宋体" w:hAnsi="宋体" w:eastAsia="宋体"/>
                <w:b/>
                <w:sz w:val="24"/>
                <w:highlight w:val="none"/>
              </w:rPr>
            </w:pPr>
            <w:r>
              <w:rPr>
                <w:rFonts w:hint="eastAsia" w:ascii="宋体" w:hAnsi="宋体" w:eastAsia="宋体"/>
                <w:b/>
                <w:sz w:val="24"/>
                <w:highlight w:val="none"/>
              </w:rPr>
              <w:t>（元）</w:t>
            </w:r>
          </w:p>
        </w:tc>
        <w:tc>
          <w:tcPr>
            <w:tcW w:w="551" w:type="pct"/>
            <w:vAlign w:val="center"/>
          </w:tcPr>
          <w:p w14:paraId="3425285D">
            <w:pPr>
              <w:shd w:val="clear"/>
              <w:jc w:val="center"/>
              <w:rPr>
                <w:rFonts w:ascii="宋体" w:hAnsi="宋体" w:eastAsia="宋体"/>
                <w:b/>
                <w:sz w:val="24"/>
                <w:highlight w:val="none"/>
              </w:rPr>
            </w:pPr>
            <w:r>
              <w:rPr>
                <w:rFonts w:hint="eastAsia" w:ascii="宋体" w:hAnsi="宋体" w:eastAsia="宋体"/>
                <w:b/>
                <w:sz w:val="24"/>
                <w:highlight w:val="none"/>
              </w:rPr>
              <w:t>小计</w:t>
            </w:r>
          </w:p>
          <w:p w14:paraId="57010817">
            <w:pPr>
              <w:shd w:val="clear"/>
              <w:jc w:val="center"/>
              <w:rPr>
                <w:rFonts w:ascii="宋体" w:hAnsi="宋体" w:eastAsia="宋体"/>
                <w:b/>
                <w:sz w:val="24"/>
                <w:highlight w:val="none"/>
              </w:rPr>
            </w:pPr>
            <w:r>
              <w:rPr>
                <w:rFonts w:hint="eastAsia" w:ascii="宋体" w:hAnsi="宋体" w:eastAsia="宋体"/>
                <w:b/>
                <w:sz w:val="24"/>
                <w:highlight w:val="none"/>
              </w:rPr>
              <w:t>（元）</w:t>
            </w:r>
          </w:p>
        </w:tc>
        <w:tc>
          <w:tcPr>
            <w:tcW w:w="393" w:type="pct"/>
            <w:vAlign w:val="center"/>
          </w:tcPr>
          <w:p w14:paraId="47A63804">
            <w:pPr>
              <w:shd w:val="clear"/>
              <w:jc w:val="center"/>
              <w:rPr>
                <w:rFonts w:ascii="宋体" w:hAnsi="宋体" w:eastAsia="宋体"/>
                <w:b/>
                <w:sz w:val="24"/>
                <w:highlight w:val="none"/>
              </w:rPr>
            </w:pPr>
            <w:r>
              <w:rPr>
                <w:rFonts w:hint="eastAsia" w:ascii="宋体" w:hAnsi="宋体" w:eastAsia="宋体"/>
                <w:b/>
                <w:sz w:val="24"/>
                <w:highlight w:val="none"/>
              </w:rPr>
              <w:t>备注</w:t>
            </w:r>
          </w:p>
        </w:tc>
      </w:tr>
      <w:tr w14:paraId="7492FD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Borders>
              <w:bottom w:val="single" w:color="auto" w:sz="4" w:space="0"/>
            </w:tcBorders>
          </w:tcPr>
          <w:p w14:paraId="081E0F3E">
            <w:pPr>
              <w:shd w:val="clear"/>
              <w:jc w:val="center"/>
              <w:rPr>
                <w:rFonts w:ascii="宋体" w:hAnsi="宋体" w:eastAsia="宋体"/>
                <w:sz w:val="24"/>
                <w:highlight w:val="none"/>
              </w:rPr>
            </w:pPr>
            <w:r>
              <w:rPr>
                <w:rFonts w:hint="eastAsia" w:ascii="宋体" w:hAnsi="宋体" w:eastAsia="宋体"/>
                <w:sz w:val="24"/>
                <w:highlight w:val="none"/>
              </w:rPr>
              <w:t>1</w:t>
            </w:r>
          </w:p>
        </w:tc>
        <w:tc>
          <w:tcPr>
            <w:tcW w:w="1323" w:type="dxa"/>
            <w:vAlign w:val="center"/>
          </w:tcPr>
          <w:p w14:paraId="7761E195">
            <w:pPr>
              <w:shd w:val="clear"/>
              <w:jc w:val="center"/>
              <w:rPr>
                <w:rFonts w:ascii="宋体" w:hAnsi="宋体" w:eastAsia="宋体"/>
                <w:sz w:val="24"/>
                <w:highlight w:val="none"/>
              </w:rPr>
            </w:pPr>
            <w:r>
              <w:rPr>
                <w:rFonts w:hint="eastAsia" w:ascii="宋体" w:hAnsi="宋体" w:eastAsia="宋体" w:cs="宋体"/>
                <w:bCs/>
                <w:sz w:val="24"/>
                <w:szCs w:val="24"/>
                <w:highlight w:val="none"/>
              </w:rPr>
              <w:t>智慧中药房全流程管理系统</w:t>
            </w:r>
          </w:p>
        </w:tc>
        <w:tc>
          <w:tcPr>
            <w:tcW w:w="772" w:type="pct"/>
          </w:tcPr>
          <w:p w14:paraId="0375DE1C">
            <w:pPr>
              <w:shd w:val="clear"/>
              <w:rPr>
                <w:rFonts w:ascii="宋体" w:hAnsi="宋体" w:eastAsia="宋体"/>
                <w:sz w:val="24"/>
                <w:highlight w:val="none"/>
              </w:rPr>
            </w:pPr>
          </w:p>
        </w:tc>
        <w:tc>
          <w:tcPr>
            <w:tcW w:w="771" w:type="pct"/>
          </w:tcPr>
          <w:p w14:paraId="52FF1C92">
            <w:pPr>
              <w:shd w:val="clear"/>
              <w:rPr>
                <w:rFonts w:ascii="宋体" w:hAnsi="宋体" w:eastAsia="宋体"/>
                <w:sz w:val="24"/>
                <w:highlight w:val="none"/>
              </w:rPr>
            </w:pPr>
          </w:p>
        </w:tc>
        <w:tc>
          <w:tcPr>
            <w:tcW w:w="393" w:type="pct"/>
          </w:tcPr>
          <w:p w14:paraId="7C01FFE9">
            <w:pPr>
              <w:shd w:val="clear"/>
              <w:rPr>
                <w:rFonts w:ascii="宋体" w:hAnsi="宋体" w:eastAsia="宋体"/>
                <w:sz w:val="24"/>
                <w:highlight w:val="none"/>
              </w:rPr>
            </w:pPr>
          </w:p>
        </w:tc>
        <w:tc>
          <w:tcPr>
            <w:tcW w:w="393" w:type="pct"/>
          </w:tcPr>
          <w:p w14:paraId="4DE5AC10">
            <w:pPr>
              <w:shd w:val="clear"/>
              <w:rPr>
                <w:rFonts w:ascii="宋体" w:hAnsi="宋体" w:eastAsia="宋体"/>
                <w:sz w:val="24"/>
                <w:highlight w:val="none"/>
              </w:rPr>
            </w:pPr>
          </w:p>
        </w:tc>
        <w:tc>
          <w:tcPr>
            <w:tcW w:w="552" w:type="pct"/>
          </w:tcPr>
          <w:p w14:paraId="21DA4597">
            <w:pPr>
              <w:shd w:val="clear"/>
              <w:rPr>
                <w:rFonts w:ascii="宋体" w:hAnsi="宋体" w:eastAsia="宋体"/>
                <w:sz w:val="24"/>
                <w:highlight w:val="none"/>
              </w:rPr>
            </w:pPr>
          </w:p>
        </w:tc>
        <w:tc>
          <w:tcPr>
            <w:tcW w:w="551" w:type="pct"/>
          </w:tcPr>
          <w:p w14:paraId="2A9B41D8">
            <w:pPr>
              <w:shd w:val="clear"/>
              <w:rPr>
                <w:rFonts w:ascii="宋体" w:hAnsi="宋体" w:eastAsia="宋体"/>
                <w:sz w:val="24"/>
                <w:highlight w:val="none"/>
              </w:rPr>
            </w:pPr>
          </w:p>
        </w:tc>
        <w:tc>
          <w:tcPr>
            <w:tcW w:w="393" w:type="pct"/>
          </w:tcPr>
          <w:p w14:paraId="2B68B0FE">
            <w:pPr>
              <w:shd w:val="clear"/>
              <w:rPr>
                <w:rFonts w:ascii="宋体" w:hAnsi="宋体" w:eastAsia="宋体"/>
                <w:sz w:val="24"/>
                <w:highlight w:val="none"/>
              </w:rPr>
            </w:pPr>
          </w:p>
        </w:tc>
      </w:tr>
      <w:tr w14:paraId="6C4B5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3" w:hRule="atLeast"/>
          <w:jc w:val="center"/>
        </w:trPr>
        <w:tc>
          <w:tcPr>
            <w:tcW w:w="393" w:type="pct"/>
          </w:tcPr>
          <w:p w14:paraId="01A75D3A">
            <w:pPr>
              <w:shd w:val="clear"/>
              <w:jc w:val="center"/>
              <w:rPr>
                <w:rFonts w:ascii="宋体" w:hAnsi="宋体" w:eastAsia="宋体"/>
                <w:sz w:val="24"/>
                <w:highlight w:val="none"/>
              </w:rPr>
            </w:pPr>
            <w:r>
              <w:rPr>
                <w:rFonts w:hint="eastAsia" w:ascii="宋体" w:hAnsi="宋体" w:eastAsia="宋体"/>
                <w:sz w:val="24"/>
                <w:highlight w:val="none"/>
              </w:rPr>
              <w:t>2</w:t>
            </w:r>
          </w:p>
        </w:tc>
        <w:tc>
          <w:tcPr>
            <w:tcW w:w="1323" w:type="dxa"/>
            <w:vAlign w:val="center"/>
          </w:tcPr>
          <w:p w14:paraId="1C5F27B4">
            <w:pPr>
              <w:shd w:val="clear"/>
              <w:jc w:val="center"/>
              <w:rPr>
                <w:rFonts w:ascii="宋体" w:hAnsi="宋体" w:eastAsia="宋体"/>
                <w:sz w:val="24"/>
                <w:highlight w:val="none"/>
              </w:rPr>
            </w:pPr>
            <w:r>
              <w:rPr>
                <w:rFonts w:hint="eastAsia" w:ascii="宋体" w:hAnsi="宋体" w:eastAsia="宋体" w:cs="宋体"/>
                <w:color w:val="000000"/>
                <w:kern w:val="0"/>
                <w:sz w:val="24"/>
                <w:szCs w:val="24"/>
                <w:highlight w:val="none"/>
                <w:lang w:bidi="ar"/>
              </w:rPr>
              <w:t>智慧中药房合理用药系统</w:t>
            </w:r>
          </w:p>
        </w:tc>
        <w:tc>
          <w:tcPr>
            <w:tcW w:w="772" w:type="pct"/>
          </w:tcPr>
          <w:p w14:paraId="439F3115">
            <w:pPr>
              <w:shd w:val="clear"/>
              <w:rPr>
                <w:rFonts w:ascii="宋体" w:hAnsi="宋体" w:eastAsia="宋体"/>
                <w:sz w:val="24"/>
                <w:highlight w:val="none"/>
              </w:rPr>
            </w:pPr>
          </w:p>
        </w:tc>
        <w:tc>
          <w:tcPr>
            <w:tcW w:w="771" w:type="pct"/>
          </w:tcPr>
          <w:p w14:paraId="0B5EF6A2">
            <w:pPr>
              <w:shd w:val="clear"/>
              <w:rPr>
                <w:rFonts w:ascii="宋体" w:hAnsi="宋体" w:eastAsia="宋体"/>
                <w:sz w:val="24"/>
                <w:highlight w:val="none"/>
              </w:rPr>
            </w:pPr>
          </w:p>
        </w:tc>
        <w:tc>
          <w:tcPr>
            <w:tcW w:w="393" w:type="pct"/>
          </w:tcPr>
          <w:p w14:paraId="66BA4716">
            <w:pPr>
              <w:shd w:val="clear"/>
              <w:rPr>
                <w:rFonts w:ascii="宋体" w:hAnsi="宋体" w:eastAsia="宋体"/>
                <w:sz w:val="24"/>
                <w:highlight w:val="none"/>
              </w:rPr>
            </w:pPr>
          </w:p>
        </w:tc>
        <w:tc>
          <w:tcPr>
            <w:tcW w:w="393" w:type="pct"/>
          </w:tcPr>
          <w:p w14:paraId="4981F119">
            <w:pPr>
              <w:shd w:val="clear"/>
              <w:rPr>
                <w:rFonts w:ascii="宋体" w:hAnsi="宋体" w:eastAsia="宋体"/>
                <w:sz w:val="24"/>
                <w:highlight w:val="none"/>
              </w:rPr>
            </w:pPr>
          </w:p>
        </w:tc>
        <w:tc>
          <w:tcPr>
            <w:tcW w:w="552" w:type="pct"/>
          </w:tcPr>
          <w:p w14:paraId="6A08DEBB">
            <w:pPr>
              <w:shd w:val="clear"/>
              <w:rPr>
                <w:rFonts w:ascii="宋体" w:hAnsi="宋体" w:eastAsia="宋体"/>
                <w:sz w:val="24"/>
                <w:highlight w:val="none"/>
              </w:rPr>
            </w:pPr>
          </w:p>
        </w:tc>
        <w:tc>
          <w:tcPr>
            <w:tcW w:w="551" w:type="pct"/>
          </w:tcPr>
          <w:p w14:paraId="21EA39CE">
            <w:pPr>
              <w:shd w:val="clear"/>
              <w:rPr>
                <w:rFonts w:ascii="宋体" w:hAnsi="宋体" w:eastAsia="宋体"/>
                <w:sz w:val="24"/>
                <w:highlight w:val="none"/>
              </w:rPr>
            </w:pPr>
          </w:p>
        </w:tc>
        <w:tc>
          <w:tcPr>
            <w:tcW w:w="393" w:type="pct"/>
          </w:tcPr>
          <w:p w14:paraId="2599FD7C">
            <w:pPr>
              <w:shd w:val="clear"/>
              <w:rPr>
                <w:rFonts w:ascii="宋体" w:hAnsi="宋体" w:eastAsia="宋体"/>
                <w:sz w:val="24"/>
                <w:highlight w:val="none"/>
              </w:rPr>
            </w:pPr>
          </w:p>
        </w:tc>
      </w:tr>
      <w:tr w14:paraId="3B9FB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3EF7B92A">
            <w:pPr>
              <w:shd w:val="clear"/>
              <w:jc w:val="center"/>
              <w:rPr>
                <w:rFonts w:ascii="宋体" w:hAnsi="宋体" w:eastAsia="宋体"/>
                <w:sz w:val="24"/>
                <w:highlight w:val="none"/>
              </w:rPr>
            </w:pPr>
            <w:r>
              <w:rPr>
                <w:rFonts w:hint="eastAsia" w:ascii="宋体" w:hAnsi="宋体" w:eastAsia="宋体"/>
                <w:sz w:val="24"/>
                <w:highlight w:val="none"/>
              </w:rPr>
              <w:t>3</w:t>
            </w:r>
          </w:p>
        </w:tc>
        <w:tc>
          <w:tcPr>
            <w:tcW w:w="1323" w:type="dxa"/>
            <w:vAlign w:val="center"/>
          </w:tcPr>
          <w:p w14:paraId="3F508895">
            <w:pPr>
              <w:shd w:val="clear"/>
              <w:jc w:val="center"/>
              <w:rPr>
                <w:rFonts w:ascii="宋体" w:hAnsi="宋体" w:eastAsia="宋体"/>
                <w:sz w:val="24"/>
                <w:highlight w:val="none"/>
              </w:rPr>
            </w:pPr>
            <w:r>
              <w:rPr>
                <w:rFonts w:hint="eastAsia" w:ascii="宋体" w:hAnsi="宋体" w:eastAsia="宋体" w:cs="宋体"/>
                <w:color w:val="000000"/>
                <w:kern w:val="0"/>
                <w:sz w:val="24"/>
                <w:szCs w:val="24"/>
                <w:highlight w:val="none"/>
                <w:lang w:bidi="ar"/>
              </w:rPr>
              <w:t>智能取药柜</w:t>
            </w:r>
          </w:p>
        </w:tc>
        <w:tc>
          <w:tcPr>
            <w:tcW w:w="772" w:type="pct"/>
          </w:tcPr>
          <w:p w14:paraId="20B310BD">
            <w:pPr>
              <w:shd w:val="clear"/>
              <w:rPr>
                <w:rFonts w:ascii="宋体" w:hAnsi="宋体" w:eastAsia="宋体"/>
                <w:sz w:val="24"/>
                <w:highlight w:val="none"/>
              </w:rPr>
            </w:pPr>
          </w:p>
        </w:tc>
        <w:tc>
          <w:tcPr>
            <w:tcW w:w="771" w:type="pct"/>
          </w:tcPr>
          <w:p w14:paraId="09A7230D">
            <w:pPr>
              <w:shd w:val="clear"/>
              <w:rPr>
                <w:rFonts w:ascii="宋体" w:hAnsi="宋体" w:eastAsia="宋体"/>
                <w:sz w:val="24"/>
                <w:highlight w:val="none"/>
              </w:rPr>
            </w:pPr>
          </w:p>
        </w:tc>
        <w:tc>
          <w:tcPr>
            <w:tcW w:w="393" w:type="pct"/>
          </w:tcPr>
          <w:p w14:paraId="275F91C4">
            <w:pPr>
              <w:shd w:val="clear"/>
              <w:rPr>
                <w:rFonts w:ascii="宋体" w:hAnsi="宋体" w:eastAsia="宋体"/>
                <w:sz w:val="24"/>
                <w:highlight w:val="none"/>
              </w:rPr>
            </w:pPr>
          </w:p>
        </w:tc>
        <w:tc>
          <w:tcPr>
            <w:tcW w:w="393" w:type="pct"/>
          </w:tcPr>
          <w:p w14:paraId="6E9B5D37">
            <w:pPr>
              <w:shd w:val="clear"/>
              <w:rPr>
                <w:rFonts w:ascii="宋体" w:hAnsi="宋体" w:eastAsia="宋体"/>
                <w:sz w:val="24"/>
                <w:highlight w:val="none"/>
              </w:rPr>
            </w:pPr>
          </w:p>
        </w:tc>
        <w:tc>
          <w:tcPr>
            <w:tcW w:w="552" w:type="pct"/>
          </w:tcPr>
          <w:p w14:paraId="7D351FDC">
            <w:pPr>
              <w:shd w:val="clear"/>
              <w:rPr>
                <w:rFonts w:ascii="宋体" w:hAnsi="宋体" w:eastAsia="宋体"/>
                <w:sz w:val="24"/>
                <w:highlight w:val="none"/>
              </w:rPr>
            </w:pPr>
          </w:p>
        </w:tc>
        <w:tc>
          <w:tcPr>
            <w:tcW w:w="551" w:type="pct"/>
          </w:tcPr>
          <w:p w14:paraId="68D6AC0F">
            <w:pPr>
              <w:shd w:val="clear"/>
              <w:rPr>
                <w:rFonts w:ascii="宋体" w:hAnsi="宋体" w:eastAsia="宋体"/>
                <w:sz w:val="24"/>
                <w:highlight w:val="none"/>
              </w:rPr>
            </w:pPr>
          </w:p>
        </w:tc>
        <w:tc>
          <w:tcPr>
            <w:tcW w:w="393" w:type="pct"/>
          </w:tcPr>
          <w:p w14:paraId="2EB92AF3">
            <w:pPr>
              <w:shd w:val="clear"/>
              <w:rPr>
                <w:rFonts w:ascii="宋体" w:hAnsi="宋体" w:eastAsia="宋体"/>
                <w:sz w:val="24"/>
                <w:highlight w:val="none"/>
              </w:rPr>
            </w:pPr>
          </w:p>
        </w:tc>
      </w:tr>
      <w:tr w14:paraId="6233C4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7DD361CA">
            <w:pPr>
              <w:shd w:val="clear"/>
              <w:jc w:val="center"/>
              <w:rPr>
                <w:rFonts w:hint="eastAsia" w:ascii="宋体" w:hAnsi="宋体" w:eastAsia="宋体"/>
                <w:sz w:val="24"/>
                <w:highlight w:val="none"/>
                <w:lang w:eastAsia="zh-CN"/>
              </w:rPr>
            </w:pPr>
            <w:r>
              <w:rPr>
                <w:rFonts w:hint="eastAsia" w:ascii="宋体" w:hAnsi="宋体" w:eastAsia="宋体"/>
                <w:sz w:val="24"/>
                <w:highlight w:val="none"/>
                <w:lang w:val="en-US" w:eastAsia="zh-CN"/>
              </w:rPr>
              <w:t>4</w:t>
            </w:r>
          </w:p>
        </w:tc>
        <w:tc>
          <w:tcPr>
            <w:tcW w:w="1323" w:type="dxa"/>
            <w:vAlign w:val="center"/>
          </w:tcPr>
          <w:p w14:paraId="52FDDD29">
            <w:pPr>
              <w:shd w:val="clear"/>
              <w:jc w:val="center"/>
              <w:rPr>
                <w:rFonts w:ascii="宋体" w:hAnsi="宋体" w:eastAsia="宋体"/>
                <w:sz w:val="24"/>
                <w:highlight w:val="none"/>
              </w:rPr>
            </w:pPr>
            <w:r>
              <w:rPr>
                <w:rFonts w:hint="eastAsia" w:ascii="宋体" w:hAnsi="宋体" w:eastAsia="宋体" w:cs="宋体"/>
                <w:color w:val="000000"/>
                <w:kern w:val="0"/>
                <w:sz w:val="24"/>
                <w:szCs w:val="24"/>
                <w:highlight w:val="none"/>
                <w:lang w:bidi="ar"/>
              </w:rPr>
              <w:t>平板PAD</w:t>
            </w:r>
          </w:p>
        </w:tc>
        <w:tc>
          <w:tcPr>
            <w:tcW w:w="772" w:type="pct"/>
          </w:tcPr>
          <w:p w14:paraId="0F448206">
            <w:pPr>
              <w:shd w:val="clear"/>
              <w:rPr>
                <w:rFonts w:ascii="宋体" w:hAnsi="宋体" w:eastAsia="宋体"/>
                <w:sz w:val="24"/>
                <w:highlight w:val="none"/>
              </w:rPr>
            </w:pPr>
          </w:p>
        </w:tc>
        <w:tc>
          <w:tcPr>
            <w:tcW w:w="771" w:type="pct"/>
          </w:tcPr>
          <w:p w14:paraId="6F4523F1">
            <w:pPr>
              <w:shd w:val="clear"/>
              <w:rPr>
                <w:rFonts w:ascii="宋体" w:hAnsi="宋体" w:eastAsia="宋体"/>
                <w:sz w:val="24"/>
                <w:highlight w:val="none"/>
              </w:rPr>
            </w:pPr>
          </w:p>
        </w:tc>
        <w:tc>
          <w:tcPr>
            <w:tcW w:w="393" w:type="pct"/>
          </w:tcPr>
          <w:p w14:paraId="5713503A">
            <w:pPr>
              <w:shd w:val="clear"/>
              <w:rPr>
                <w:rFonts w:ascii="宋体" w:hAnsi="宋体" w:eastAsia="宋体"/>
                <w:sz w:val="24"/>
                <w:highlight w:val="none"/>
              </w:rPr>
            </w:pPr>
          </w:p>
        </w:tc>
        <w:tc>
          <w:tcPr>
            <w:tcW w:w="393" w:type="pct"/>
          </w:tcPr>
          <w:p w14:paraId="44B66D33">
            <w:pPr>
              <w:shd w:val="clear"/>
              <w:rPr>
                <w:rFonts w:ascii="宋体" w:hAnsi="宋体" w:eastAsia="宋体"/>
                <w:sz w:val="24"/>
                <w:highlight w:val="none"/>
              </w:rPr>
            </w:pPr>
          </w:p>
        </w:tc>
        <w:tc>
          <w:tcPr>
            <w:tcW w:w="552" w:type="pct"/>
          </w:tcPr>
          <w:p w14:paraId="4D3028A2">
            <w:pPr>
              <w:shd w:val="clear"/>
              <w:rPr>
                <w:rFonts w:ascii="宋体" w:hAnsi="宋体" w:eastAsia="宋体"/>
                <w:sz w:val="24"/>
                <w:highlight w:val="none"/>
              </w:rPr>
            </w:pPr>
          </w:p>
        </w:tc>
        <w:tc>
          <w:tcPr>
            <w:tcW w:w="551" w:type="pct"/>
          </w:tcPr>
          <w:p w14:paraId="1790092E">
            <w:pPr>
              <w:shd w:val="clear"/>
              <w:rPr>
                <w:rFonts w:ascii="宋体" w:hAnsi="宋体" w:eastAsia="宋体"/>
                <w:sz w:val="24"/>
                <w:highlight w:val="none"/>
              </w:rPr>
            </w:pPr>
          </w:p>
        </w:tc>
        <w:tc>
          <w:tcPr>
            <w:tcW w:w="393" w:type="pct"/>
          </w:tcPr>
          <w:p w14:paraId="578F6552">
            <w:pPr>
              <w:shd w:val="clear"/>
              <w:rPr>
                <w:rFonts w:ascii="宋体" w:hAnsi="宋体" w:eastAsia="宋体"/>
                <w:sz w:val="24"/>
                <w:highlight w:val="none"/>
              </w:rPr>
            </w:pPr>
          </w:p>
        </w:tc>
      </w:tr>
      <w:tr w14:paraId="3EFA1A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0E6A5D4E">
            <w:pPr>
              <w:shd w:val="clear"/>
              <w:jc w:val="center"/>
              <w:rPr>
                <w:rFonts w:hint="eastAsia" w:ascii="宋体" w:hAnsi="宋体" w:eastAsia="宋体"/>
                <w:sz w:val="24"/>
                <w:highlight w:val="none"/>
                <w:lang w:val="en-US" w:eastAsia="zh-CN"/>
              </w:rPr>
            </w:pPr>
            <w:r>
              <w:rPr>
                <w:rFonts w:hint="eastAsia" w:ascii="宋体" w:hAnsi="宋体" w:eastAsia="宋体"/>
                <w:sz w:val="24"/>
                <w:highlight w:val="none"/>
                <w:lang w:val="en-US" w:eastAsia="zh-CN"/>
              </w:rPr>
              <w:t>5</w:t>
            </w:r>
          </w:p>
        </w:tc>
        <w:tc>
          <w:tcPr>
            <w:tcW w:w="1323" w:type="dxa"/>
            <w:vAlign w:val="center"/>
          </w:tcPr>
          <w:p w14:paraId="31EF4A77">
            <w:pPr>
              <w:shd w:val="clear"/>
              <w:jc w:val="center"/>
              <w:rPr>
                <w:rFonts w:ascii="宋体" w:hAnsi="宋体" w:eastAsia="宋体"/>
                <w:sz w:val="24"/>
                <w:highlight w:val="none"/>
              </w:rPr>
            </w:pPr>
            <w:r>
              <w:rPr>
                <w:rFonts w:hint="eastAsia" w:ascii="宋体" w:hAnsi="宋体" w:eastAsia="宋体" w:cs="宋体"/>
                <w:color w:val="000000"/>
                <w:kern w:val="0"/>
                <w:sz w:val="24"/>
                <w:szCs w:val="24"/>
                <w:highlight w:val="none"/>
                <w:lang w:bidi="ar"/>
              </w:rPr>
              <w:t>手持PDA</w:t>
            </w:r>
          </w:p>
        </w:tc>
        <w:tc>
          <w:tcPr>
            <w:tcW w:w="772" w:type="pct"/>
          </w:tcPr>
          <w:p w14:paraId="343FEA2C">
            <w:pPr>
              <w:shd w:val="clear"/>
              <w:rPr>
                <w:rFonts w:ascii="宋体" w:hAnsi="宋体" w:eastAsia="宋体"/>
                <w:sz w:val="24"/>
                <w:highlight w:val="none"/>
              </w:rPr>
            </w:pPr>
          </w:p>
        </w:tc>
        <w:tc>
          <w:tcPr>
            <w:tcW w:w="771" w:type="pct"/>
          </w:tcPr>
          <w:p w14:paraId="75F96339">
            <w:pPr>
              <w:shd w:val="clear"/>
              <w:rPr>
                <w:rFonts w:ascii="宋体" w:hAnsi="宋体" w:eastAsia="宋体"/>
                <w:sz w:val="24"/>
                <w:highlight w:val="none"/>
              </w:rPr>
            </w:pPr>
          </w:p>
        </w:tc>
        <w:tc>
          <w:tcPr>
            <w:tcW w:w="393" w:type="pct"/>
          </w:tcPr>
          <w:p w14:paraId="7722088C">
            <w:pPr>
              <w:shd w:val="clear"/>
              <w:rPr>
                <w:rFonts w:ascii="宋体" w:hAnsi="宋体" w:eastAsia="宋体"/>
                <w:sz w:val="24"/>
                <w:highlight w:val="none"/>
              </w:rPr>
            </w:pPr>
          </w:p>
        </w:tc>
        <w:tc>
          <w:tcPr>
            <w:tcW w:w="393" w:type="pct"/>
          </w:tcPr>
          <w:p w14:paraId="7B6200D0">
            <w:pPr>
              <w:shd w:val="clear"/>
              <w:rPr>
                <w:rFonts w:ascii="宋体" w:hAnsi="宋体" w:eastAsia="宋体"/>
                <w:sz w:val="24"/>
                <w:highlight w:val="none"/>
              </w:rPr>
            </w:pPr>
          </w:p>
        </w:tc>
        <w:tc>
          <w:tcPr>
            <w:tcW w:w="552" w:type="pct"/>
          </w:tcPr>
          <w:p w14:paraId="0C95B99E">
            <w:pPr>
              <w:shd w:val="clear"/>
              <w:rPr>
                <w:rFonts w:ascii="宋体" w:hAnsi="宋体" w:eastAsia="宋体"/>
                <w:sz w:val="24"/>
                <w:highlight w:val="none"/>
              </w:rPr>
            </w:pPr>
          </w:p>
        </w:tc>
        <w:tc>
          <w:tcPr>
            <w:tcW w:w="551" w:type="pct"/>
          </w:tcPr>
          <w:p w14:paraId="2DAED56A">
            <w:pPr>
              <w:shd w:val="clear"/>
              <w:rPr>
                <w:rFonts w:ascii="宋体" w:hAnsi="宋体" w:eastAsia="宋体"/>
                <w:sz w:val="24"/>
                <w:highlight w:val="none"/>
              </w:rPr>
            </w:pPr>
          </w:p>
        </w:tc>
        <w:tc>
          <w:tcPr>
            <w:tcW w:w="393" w:type="pct"/>
          </w:tcPr>
          <w:p w14:paraId="36DC7B6B">
            <w:pPr>
              <w:shd w:val="clear"/>
              <w:rPr>
                <w:rFonts w:ascii="宋体" w:hAnsi="宋体" w:eastAsia="宋体"/>
                <w:sz w:val="24"/>
                <w:highlight w:val="none"/>
              </w:rPr>
            </w:pPr>
          </w:p>
        </w:tc>
      </w:tr>
      <w:tr w14:paraId="308F758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16EF93DB">
            <w:pPr>
              <w:shd w:val="clear"/>
              <w:jc w:val="center"/>
              <w:rPr>
                <w:rFonts w:hint="eastAsia" w:ascii="宋体" w:hAnsi="宋体" w:eastAsia="宋体"/>
                <w:sz w:val="24"/>
                <w:highlight w:val="none"/>
                <w:lang w:val="en-US" w:eastAsia="zh-CN"/>
              </w:rPr>
            </w:pPr>
            <w:r>
              <w:rPr>
                <w:rFonts w:hint="eastAsia" w:ascii="宋体" w:hAnsi="宋体" w:eastAsia="宋体"/>
                <w:sz w:val="24"/>
                <w:highlight w:val="none"/>
                <w:lang w:val="en-US" w:eastAsia="zh-CN"/>
              </w:rPr>
              <w:t>6</w:t>
            </w:r>
          </w:p>
        </w:tc>
        <w:tc>
          <w:tcPr>
            <w:tcW w:w="1323" w:type="dxa"/>
            <w:vAlign w:val="center"/>
          </w:tcPr>
          <w:p w14:paraId="5696A71E">
            <w:pPr>
              <w:shd w:val="clear"/>
              <w:jc w:val="center"/>
              <w:rPr>
                <w:rFonts w:ascii="宋体" w:hAnsi="宋体" w:eastAsia="宋体"/>
                <w:sz w:val="24"/>
                <w:highlight w:val="none"/>
              </w:rPr>
            </w:pPr>
            <w:r>
              <w:rPr>
                <w:rFonts w:hint="eastAsia" w:ascii="宋体" w:hAnsi="宋体" w:eastAsia="宋体" w:cs="宋体"/>
                <w:color w:val="000000"/>
                <w:kern w:val="0"/>
                <w:sz w:val="24"/>
                <w:szCs w:val="24"/>
                <w:highlight w:val="none"/>
                <w:lang w:bidi="ar"/>
              </w:rPr>
              <w:t>显示屏</w:t>
            </w:r>
          </w:p>
        </w:tc>
        <w:tc>
          <w:tcPr>
            <w:tcW w:w="772" w:type="pct"/>
          </w:tcPr>
          <w:p w14:paraId="1433A70A">
            <w:pPr>
              <w:shd w:val="clear"/>
              <w:rPr>
                <w:rFonts w:ascii="宋体" w:hAnsi="宋体" w:eastAsia="宋体"/>
                <w:sz w:val="24"/>
                <w:highlight w:val="none"/>
              </w:rPr>
            </w:pPr>
          </w:p>
        </w:tc>
        <w:tc>
          <w:tcPr>
            <w:tcW w:w="771" w:type="pct"/>
          </w:tcPr>
          <w:p w14:paraId="7FE99EF3">
            <w:pPr>
              <w:shd w:val="clear"/>
              <w:rPr>
                <w:rFonts w:ascii="宋体" w:hAnsi="宋体" w:eastAsia="宋体"/>
                <w:sz w:val="24"/>
                <w:highlight w:val="none"/>
              </w:rPr>
            </w:pPr>
          </w:p>
        </w:tc>
        <w:tc>
          <w:tcPr>
            <w:tcW w:w="393" w:type="pct"/>
          </w:tcPr>
          <w:p w14:paraId="2F4064D2">
            <w:pPr>
              <w:shd w:val="clear"/>
              <w:rPr>
                <w:rFonts w:ascii="宋体" w:hAnsi="宋体" w:eastAsia="宋体"/>
                <w:sz w:val="24"/>
                <w:highlight w:val="none"/>
              </w:rPr>
            </w:pPr>
          </w:p>
        </w:tc>
        <w:tc>
          <w:tcPr>
            <w:tcW w:w="393" w:type="pct"/>
          </w:tcPr>
          <w:p w14:paraId="3C7D3218">
            <w:pPr>
              <w:shd w:val="clear"/>
              <w:rPr>
                <w:rFonts w:ascii="宋体" w:hAnsi="宋体" w:eastAsia="宋体"/>
                <w:sz w:val="24"/>
                <w:highlight w:val="none"/>
              </w:rPr>
            </w:pPr>
          </w:p>
        </w:tc>
        <w:tc>
          <w:tcPr>
            <w:tcW w:w="552" w:type="pct"/>
          </w:tcPr>
          <w:p w14:paraId="20E11FAF">
            <w:pPr>
              <w:shd w:val="clear"/>
              <w:rPr>
                <w:rFonts w:ascii="宋体" w:hAnsi="宋体" w:eastAsia="宋体"/>
                <w:sz w:val="24"/>
                <w:highlight w:val="none"/>
              </w:rPr>
            </w:pPr>
          </w:p>
        </w:tc>
        <w:tc>
          <w:tcPr>
            <w:tcW w:w="551" w:type="pct"/>
          </w:tcPr>
          <w:p w14:paraId="1B18C9F4">
            <w:pPr>
              <w:shd w:val="clear"/>
              <w:rPr>
                <w:rFonts w:ascii="宋体" w:hAnsi="宋体" w:eastAsia="宋体"/>
                <w:sz w:val="24"/>
                <w:highlight w:val="none"/>
              </w:rPr>
            </w:pPr>
          </w:p>
        </w:tc>
        <w:tc>
          <w:tcPr>
            <w:tcW w:w="393" w:type="pct"/>
          </w:tcPr>
          <w:p w14:paraId="51A9BB74">
            <w:pPr>
              <w:shd w:val="clear"/>
              <w:rPr>
                <w:rFonts w:ascii="宋体" w:hAnsi="宋体" w:eastAsia="宋体"/>
                <w:sz w:val="24"/>
                <w:highlight w:val="none"/>
              </w:rPr>
            </w:pPr>
          </w:p>
        </w:tc>
      </w:tr>
      <w:tr w14:paraId="5F815A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393" w:type="pct"/>
          </w:tcPr>
          <w:p w14:paraId="3E072CE5">
            <w:pPr>
              <w:shd w:val="clear"/>
              <w:jc w:val="center"/>
              <w:rPr>
                <w:rFonts w:hint="eastAsia" w:ascii="宋体" w:hAnsi="宋体" w:eastAsia="宋体"/>
                <w:sz w:val="24"/>
                <w:highlight w:val="none"/>
                <w:lang w:val="en-US" w:eastAsia="zh-CN"/>
              </w:rPr>
            </w:pPr>
            <w:r>
              <w:rPr>
                <w:rFonts w:hint="eastAsia" w:ascii="宋体" w:hAnsi="宋体" w:eastAsia="宋体"/>
                <w:sz w:val="24"/>
                <w:highlight w:val="none"/>
                <w:lang w:val="en-US" w:eastAsia="zh-CN"/>
              </w:rPr>
              <w:t>7</w:t>
            </w:r>
          </w:p>
        </w:tc>
        <w:tc>
          <w:tcPr>
            <w:tcW w:w="1323" w:type="dxa"/>
            <w:vAlign w:val="center"/>
          </w:tcPr>
          <w:p w14:paraId="2526FAAA">
            <w:pPr>
              <w:shd w:val="clear"/>
              <w:jc w:val="center"/>
              <w:rPr>
                <w:rFonts w:ascii="宋体" w:hAnsi="宋体" w:eastAsia="宋体"/>
                <w:sz w:val="24"/>
                <w:highlight w:val="none"/>
              </w:rPr>
            </w:pPr>
            <w:r>
              <w:rPr>
                <w:rFonts w:hint="eastAsia" w:ascii="宋体" w:hAnsi="宋体" w:eastAsia="宋体" w:cs="宋体"/>
                <w:color w:val="000000"/>
                <w:kern w:val="0"/>
                <w:sz w:val="24"/>
                <w:szCs w:val="24"/>
                <w:highlight w:val="none"/>
                <w:lang w:bidi="ar"/>
              </w:rPr>
              <w:t>服务器</w:t>
            </w:r>
          </w:p>
        </w:tc>
        <w:tc>
          <w:tcPr>
            <w:tcW w:w="772" w:type="pct"/>
          </w:tcPr>
          <w:p w14:paraId="2E100619">
            <w:pPr>
              <w:shd w:val="clear"/>
              <w:rPr>
                <w:rFonts w:ascii="宋体" w:hAnsi="宋体" w:eastAsia="宋体"/>
                <w:sz w:val="24"/>
                <w:highlight w:val="none"/>
              </w:rPr>
            </w:pPr>
          </w:p>
        </w:tc>
        <w:tc>
          <w:tcPr>
            <w:tcW w:w="771" w:type="pct"/>
          </w:tcPr>
          <w:p w14:paraId="46F11DA7">
            <w:pPr>
              <w:shd w:val="clear"/>
              <w:rPr>
                <w:rFonts w:ascii="宋体" w:hAnsi="宋体" w:eastAsia="宋体"/>
                <w:sz w:val="24"/>
                <w:highlight w:val="none"/>
              </w:rPr>
            </w:pPr>
          </w:p>
        </w:tc>
        <w:tc>
          <w:tcPr>
            <w:tcW w:w="393" w:type="pct"/>
          </w:tcPr>
          <w:p w14:paraId="3B27E1BC">
            <w:pPr>
              <w:shd w:val="clear"/>
              <w:rPr>
                <w:rFonts w:ascii="宋体" w:hAnsi="宋体" w:eastAsia="宋体"/>
                <w:sz w:val="24"/>
                <w:highlight w:val="none"/>
              </w:rPr>
            </w:pPr>
          </w:p>
        </w:tc>
        <w:tc>
          <w:tcPr>
            <w:tcW w:w="393" w:type="pct"/>
          </w:tcPr>
          <w:p w14:paraId="25242979">
            <w:pPr>
              <w:shd w:val="clear"/>
              <w:rPr>
                <w:rFonts w:ascii="宋体" w:hAnsi="宋体" w:eastAsia="宋体"/>
                <w:sz w:val="24"/>
                <w:highlight w:val="none"/>
              </w:rPr>
            </w:pPr>
          </w:p>
        </w:tc>
        <w:tc>
          <w:tcPr>
            <w:tcW w:w="552" w:type="pct"/>
          </w:tcPr>
          <w:p w14:paraId="3B4D8285">
            <w:pPr>
              <w:shd w:val="clear"/>
              <w:rPr>
                <w:rFonts w:ascii="宋体" w:hAnsi="宋体" w:eastAsia="宋体"/>
                <w:sz w:val="24"/>
                <w:highlight w:val="none"/>
              </w:rPr>
            </w:pPr>
          </w:p>
        </w:tc>
        <w:tc>
          <w:tcPr>
            <w:tcW w:w="551" w:type="pct"/>
          </w:tcPr>
          <w:p w14:paraId="575B004D">
            <w:pPr>
              <w:shd w:val="clear"/>
              <w:rPr>
                <w:rFonts w:ascii="宋体" w:hAnsi="宋体" w:eastAsia="宋体"/>
                <w:sz w:val="24"/>
                <w:highlight w:val="none"/>
              </w:rPr>
            </w:pPr>
          </w:p>
        </w:tc>
        <w:tc>
          <w:tcPr>
            <w:tcW w:w="393" w:type="pct"/>
          </w:tcPr>
          <w:p w14:paraId="438C5010">
            <w:pPr>
              <w:shd w:val="clear"/>
              <w:rPr>
                <w:rFonts w:ascii="宋体" w:hAnsi="宋体" w:eastAsia="宋体"/>
                <w:sz w:val="24"/>
                <w:highlight w:val="none"/>
              </w:rPr>
            </w:pPr>
          </w:p>
        </w:tc>
      </w:tr>
      <w:tr w14:paraId="388BB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24" w:hRule="atLeast"/>
          <w:jc w:val="center"/>
        </w:trPr>
        <w:tc>
          <w:tcPr>
            <w:tcW w:w="4055" w:type="pct"/>
            <w:gridSpan w:val="7"/>
            <w:vAlign w:val="center"/>
          </w:tcPr>
          <w:p w14:paraId="5461A2A8">
            <w:pPr>
              <w:shd w:val="clear"/>
              <w:jc w:val="center"/>
              <w:rPr>
                <w:rFonts w:ascii="宋体" w:hAnsi="宋体" w:eastAsia="宋体"/>
                <w:sz w:val="24"/>
                <w:highlight w:val="none"/>
              </w:rPr>
            </w:pPr>
            <w:r>
              <w:rPr>
                <w:rFonts w:hint="eastAsia" w:ascii="宋体" w:hAnsi="宋体" w:eastAsia="宋体"/>
                <w:b/>
                <w:sz w:val="24"/>
                <w:highlight w:val="none"/>
              </w:rPr>
              <w:t>合计金额（元）</w:t>
            </w:r>
          </w:p>
        </w:tc>
        <w:tc>
          <w:tcPr>
            <w:tcW w:w="944" w:type="pct"/>
            <w:gridSpan w:val="2"/>
          </w:tcPr>
          <w:p w14:paraId="559957D4">
            <w:pPr>
              <w:shd w:val="clear"/>
              <w:rPr>
                <w:rFonts w:ascii="宋体" w:hAnsi="宋体" w:eastAsia="宋体"/>
                <w:sz w:val="24"/>
                <w:highlight w:val="none"/>
              </w:rPr>
            </w:pPr>
          </w:p>
        </w:tc>
      </w:tr>
    </w:tbl>
    <w:p w14:paraId="064E52F3">
      <w:pPr>
        <w:pStyle w:val="44"/>
        <w:shd w:val="clear"/>
        <w:rPr>
          <w:rFonts w:ascii="宋体" w:hAnsi="宋体"/>
          <w:b/>
          <w:bCs/>
          <w:highlight w:val="none"/>
        </w:rPr>
      </w:pPr>
    </w:p>
    <w:p w14:paraId="6AD76037">
      <w:pPr>
        <w:shd w:val="clear"/>
        <w:spacing w:line="360" w:lineRule="auto"/>
        <w:ind w:firstLine="435"/>
        <w:jc w:val="right"/>
        <w:rPr>
          <w:rFonts w:ascii="宋体" w:hAnsi="宋体" w:eastAsia="宋体"/>
          <w:b/>
          <w:bCs/>
          <w:highlight w:val="none"/>
        </w:rPr>
      </w:pPr>
      <w:r>
        <w:rPr>
          <w:rFonts w:hint="eastAsia" w:ascii="宋体" w:hAnsi="宋体" w:eastAsia="宋体"/>
          <w:bCs/>
          <w:sz w:val="24"/>
          <w:szCs w:val="28"/>
          <w:highlight w:val="none"/>
          <w:u w:val="single"/>
        </w:rPr>
        <w:t xml:space="preserve">       </w:t>
      </w:r>
    </w:p>
    <w:p w14:paraId="7C354805">
      <w:pPr>
        <w:pStyle w:val="44"/>
        <w:shd w:val="clear"/>
        <w:rPr>
          <w:rFonts w:ascii="宋体" w:hAnsi="宋体"/>
          <w:b/>
          <w:bCs/>
          <w:highlight w:val="none"/>
        </w:rPr>
      </w:pPr>
      <w:r>
        <w:rPr>
          <w:rFonts w:hint="eastAsia" w:ascii="宋体" w:hAnsi="宋体"/>
          <w:b/>
          <w:bCs/>
          <w:highlight w:val="none"/>
        </w:rPr>
        <w:t>5-2 符合本国产品标准的产品成本之和占比</w:t>
      </w:r>
    </w:p>
    <w:tbl>
      <w:tblPr>
        <w:tblStyle w:val="26"/>
        <w:tblW w:w="851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905"/>
        <w:gridCol w:w="1609"/>
      </w:tblGrid>
      <w:tr w14:paraId="73E197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997" w:hRule="atLeast"/>
        </w:trPr>
        <w:tc>
          <w:tcPr>
            <w:tcW w:w="6905" w:type="dxa"/>
          </w:tcPr>
          <w:p w14:paraId="4DECA2F7">
            <w:pPr>
              <w:shd w:val="clear"/>
              <w:spacing w:line="360" w:lineRule="auto"/>
              <w:rPr>
                <w:rFonts w:ascii="宋体" w:hAnsi="宋体" w:eastAsia="宋体"/>
                <w:b/>
                <w:bCs/>
                <w:szCs w:val="21"/>
                <w:highlight w:val="none"/>
              </w:rPr>
            </w:pPr>
            <w:r>
              <w:rPr>
                <w:rFonts w:hint="eastAsia" w:ascii="宋体" w:hAnsi="宋体" w:eastAsia="宋体" w:cs="宋体"/>
                <w:sz w:val="24"/>
                <w:szCs w:val="24"/>
                <w:highlight w:val="none"/>
              </w:rPr>
              <w:t>本公司（单位）提供的符合本国产品标准的产品成本之和占提供的全部产品成本之和的比例</w:t>
            </w:r>
          </w:p>
        </w:tc>
        <w:tc>
          <w:tcPr>
            <w:tcW w:w="1609" w:type="dxa"/>
          </w:tcPr>
          <w:p w14:paraId="6345AD47">
            <w:pPr>
              <w:shd w:val="clear"/>
              <w:spacing w:line="360" w:lineRule="auto"/>
              <w:rPr>
                <w:rFonts w:ascii="宋体" w:hAnsi="宋体" w:eastAsia="宋体" w:cs="宋体"/>
                <w:sz w:val="24"/>
                <w:szCs w:val="24"/>
                <w:highlight w:val="none"/>
                <w:u w:val="single"/>
              </w:rPr>
            </w:pPr>
          </w:p>
          <w:p w14:paraId="218CB0CA">
            <w:pPr>
              <w:shd w:val="clear"/>
              <w:spacing w:line="360" w:lineRule="auto"/>
              <w:rPr>
                <w:rFonts w:ascii="宋体" w:hAnsi="宋体" w:eastAsia="宋体"/>
                <w:b/>
                <w:bCs/>
                <w:szCs w:val="21"/>
                <w:highlight w:val="none"/>
              </w:rPr>
            </w:pPr>
            <w:r>
              <w:rPr>
                <w:rFonts w:hint="eastAsia" w:ascii="宋体" w:hAnsi="宋体" w:eastAsia="宋体" w:cs="宋体"/>
                <w:sz w:val="24"/>
                <w:szCs w:val="24"/>
                <w:highlight w:val="none"/>
                <w:u w:val="single"/>
              </w:rPr>
              <w:t xml:space="preserve">      </w:t>
            </w:r>
            <w:r>
              <w:rPr>
                <w:rFonts w:hint="eastAsia" w:ascii="宋体" w:hAnsi="宋体" w:eastAsia="宋体" w:cs="Times New Roman"/>
                <w:bCs/>
                <w:szCs w:val="24"/>
                <w:highlight w:val="none"/>
              </w:rPr>
              <w:t>%</w:t>
            </w:r>
          </w:p>
        </w:tc>
      </w:tr>
      <w:tr w14:paraId="3752AA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5" w:hRule="atLeast"/>
        </w:trPr>
        <w:tc>
          <w:tcPr>
            <w:tcW w:w="8514" w:type="dxa"/>
            <w:gridSpan w:val="2"/>
          </w:tcPr>
          <w:p w14:paraId="6902F005">
            <w:pPr>
              <w:shd w:val="clear"/>
              <w:tabs>
                <w:tab w:val="left" w:pos="4620"/>
              </w:tabs>
              <w:spacing w:line="360" w:lineRule="auto"/>
              <w:jc w:val="left"/>
              <w:rPr>
                <w:rFonts w:ascii="宋体" w:hAnsi="宋体" w:eastAsia="宋体" w:cs="Times New Roman"/>
                <w:b/>
                <w:szCs w:val="24"/>
                <w:highlight w:val="none"/>
              </w:rPr>
            </w:pPr>
            <w:r>
              <w:rPr>
                <w:rFonts w:hint="eastAsia" w:ascii="宋体" w:hAnsi="宋体" w:eastAsia="宋体" w:cs="Times New Roman"/>
                <w:b/>
                <w:szCs w:val="24"/>
                <w:highlight w:val="none"/>
              </w:rPr>
              <w:t>提醒：</w:t>
            </w:r>
          </w:p>
          <w:p w14:paraId="4211CC09">
            <w:pPr>
              <w:shd w:val="clear"/>
              <w:tabs>
                <w:tab w:val="left" w:pos="4620"/>
              </w:tabs>
              <w:spacing w:line="360" w:lineRule="auto"/>
              <w:jc w:val="left"/>
              <w:rPr>
                <w:rFonts w:ascii="宋体" w:hAnsi="宋体" w:eastAsia="宋体" w:cs="Times New Roman"/>
                <w:bCs/>
                <w:szCs w:val="24"/>
                <w:highlight w:val="none"/>
              </w:rPr>
            </w:pPr>
            <w:r>
              <w:rPr>
                <w:rFonts w:hint="eastAsia" w:ascii="宋体" w:hAnsi="宋体" w:eastAsia="宋体" w:cs="Times New Roman"/>
                <w:bCs/>
                <w:szCs w:val="24"/>
                <w:highlight w:val="none"/>
              </w:rPr>
              <w:t>1.投标人为该采购项目或者采购包提供的符合本国产品标准的产品成本之和占该投标人提供的全部产品成本之和的比例达到80%以上时，对该投标人提供的全部产品给予价格评审优惠。</w:t>
            </w:r>
          </w:p>
          <w:p w14:paraId="22252D7C">
            <w:pPr>
              <w:shd w:val="clear"/>
              <w:spacing w:line="360" w:lineRule="auto"/>
              <w:rPr>
                <w:rFonts w:ascii="宋体" w:hAnsi="宋体" w:eastAsia="宋体" w:cs="Times New Roman"/>
                <w:bCs/>
                <w:szCs w:val="24"/>
                <w:highlight w:val="none"/>
              </w:rPr>
            </w:pPr>
            <w:r>
              <w:rPr>
                <w:rFonts w:hint="eastAsia" w:ascii="宋体" w:hAnsi="宋体" w:eastAsia="宋体" w:cs="Times New Roman"/>
                <w:bCs/>
                <w:szCs w:val="24"/>
                <w:highlight w:val="none"/>
              </w:rPr>
              <w:t>2.投标人应当根据“投标分项报价表-货物部分”的内容对符合本国产品标准的产品成本进行测算（比例未达到80%或未进行比例测算的，对该投标人提供的全部产品不予价格评审优惠），如有虚假响应，投标人承担全部责任。</w:t>
            </w:r>
          </w:p>
          <w:p w14:paraId="12230B6B">
            <w:pPr>
              <w:shd w:val="clear"/>
              <w:spacing w:line="360" w:lineRule="auto"/>
              <w:rPr>
                <w:rFonts w:ascii="宋体" w:hAnsi="宋体" w:eastAsia="宋体" w:cs="Times New Roman"/>
                <w:bCs/>
                <w:szCs w:val="24"/>
                <w:highlight w:val="none"/>
              </w:rPr>
            </w:pPr>
            <w:r>
              <w:rPr>
                <w:rFonts w:hint="eastAsia" w:ascii="宋体" w:hAnsi="宋体" w:eastAsia="宋体" w:cs="Times New Roman"/>
                <w:bCs/>
                <w:szCs w:val="24"/>
                <w:highlight w:val="none"/>
              </w:rPr>
              <w:t>3.</w:t>
            </w:r>
            <w:r>
              <w:rPr>
                <w:rFonts w:hint="eastAsia" w:ascii="宋体" w:hAnsi="宋体" w:eastAsia="宋体" w:cs="宋体"/>
                <w:bCs/>
                <w:szCs w:val="21"/>
                <w:highlight w:val="none"/>
                <w:lang w:bidi="ar"/>
              </w:rPr>
              <w:t>上表中全部产品成本之和是指表5-1包含的全部货物、服务产品成本之和。</w:t>
            </w:r>
          </w:p>
        </w:tc>
      </w:tr>
    </w:tbl>
    <w:p w14:paraId="41DF4DBB">
      <w:pPr>
        <w:shd w:val="clear"/>
        <w:spacing w:line="360" w:lineRule="auto"/>
        <w:rPr>
          <w:rFonts w:ascii="宋体" w:hAnsi="宋体" w:eastAsia="宋体"/>
          <w:b/>
          <w:bCs/>
          <w:szCs w:val="21"/>
          <w:highlight w:val="none"/>
        </w:rPr>
      </w:pPr>
    </w:p>
    <w:p w14:paraId="725986D4">
      <w:pPr>
        <w:shd w:val="clear"/>
        <w:spacing w:line="360" w:lineRule="auto"/>
        <w:ind w:firstLine="4800" w:firstLineChars="2000"/>
        <w:jc w:val="center"/>
        <w:rPr>
          <w:rFonts w:ascii="宋体" w:hAnsi="宋体" w:eastAsia="宋体"/>
          <w:sz w:val="24"/>
          <w:highlight w:val="none"/>
          <w:u w:val="single"/>
        </w:rPr>
      </w:pPr>
      <w:r>
        <w:rPr>
          <w:rFonts w:hint="eastAsia" w:ascii="宋体" w:hAnsi="宋体" w:eastAsia="宋体"/>
          <w:sz w:val="24"/>
          <w:highlight w:val="none"/>
        </w:rPr>
        <w:t>投标人电子签章：</w:t>
      </w:r>
      <w:r>
        <w:rPr>
          <w:rFonts w:hint="eastAsia" w:ascii="宋体" w:hAnsi="宋体" w:eastAsia="宋体"/>
          <w:sz w:val="24"/>
          <w:highlight w:val="none"/>
          <w:u w:val="single"/>
        </w:rPr>
        <w:t xml:space="preserve">     </w:t>
      </w:r>
      <w:r>
        <w:rPr>
          <w:rFonts w:ascii="宋体" w:hAnsi="宋体" w:eastAsia="宋体"/>
          <w:sz w:val="24"/>
          <w:highlight w:val="none"/>
          <w:u w:val="single"/>
        </w:rPr>
        <w:t xml:space="preserve">    </w:t>
      </w:r>
      <w:r>
        <w:rPr>
          <w:rFonts w:hint="eastAsia" w:ascii="宋体" w:hAnsi="宋体" w:eastAsia="宋体"/>
          <w:sz w:val="24"/>
          <w:highlight w:val="none"/>
          <w:u w:val="single"/>
        </w:rPr>
        <w:t xml:space="preserve">    </w:t>
      </w:r>
    </w:p>
    <w:p w14:paraId="43493136">
      <w:pPr>
        <w:shd w:val="clear"/>
        <w:tabs>
          <w:tab w:val="left" w:pos="630"/>
        </w:tabs>
        <w:spacing w:line="360" w:lineRule="auto"/>
        <w:ind w:firstLine="4800" w:firstLineChars="2000"/>
        <w:jc w:val="center"/>
        <w:rPr>
          <w:rFonts w:ascii="宋体" w:hAnsi="宋体" w:eastAsia="宋体"/>
          <w:sz w:val="24"/>
          <w:highlight w:val="none"/>
        </w:rPr>
      </w:pPr>
      <w:r>
        <w:rPr>
          <w:rFonts w:hint="eastAsia" w:ascii="宋体" w:hAnsi="宋体" w:eastAsia="宋体"/>
          <w:sz w:val="24"/>
          <w:highlight w:val="none"/>
        </w:rPr>
        <w:t xml:space="preserve">日     </w:t>
      </w:r>
      <w:r>
        <w:rPr>
          <w:rFonts w:ascii="宋体" w:hAnsi="宋体" w:eastAsia="宋体"/>
          <w:sz w:val="24"/>
          <w:highlight w:val="none"/>
        </w:rPr>
        <w:t xml:space="preserve">    </w:t>
      </w:r>
      <w:r>
        <w:rPr>
          <w:rFonts w:hint="eastAsia" w:ascii="宋体" w:hAnsi="宋体" w:eastAsia="宋体"/>
          <w:sz w:val="24"/>
          <w:highlight w:val="none"/>
        </w:rPr>
        <w:t xml:space="preserve"> 期：</w:t>
      </w:r>
      <w:r>
        <w:rPr>
          <w:rFonts w:hint="eastAsia" w:ascii="宋体" w:hAnsi="宋体" w:eastAsia="宋体"/>
          <w:sz w:val="24"/>
          <w:highlight w:val="none"/>
          <w:u w:val="single"/>
        </w:rPr>
        <w:t xml:space="preserve">             </w:t>
      </w:r>
    </w:p>
    <w:p w14:paraId="290C4559">
      <w:pPr>
        <w:shd w:val="clear"/>
        <w:spacing w:line="360" w:lineRule="auto"/>
        <w:rPr>
          <w:rFonts w:ascii="宋体" w:hAnsi="宋体" w:eastAsia="宋体"/>
          <w:b/>
          <w:bCs/>
          <w:szCs w:val="21"/>
          <w:highlight w:val="none"/>
        </w:rPr>
      </w:pPr>
      <w:r>
        <w:rPr>
          <w:rFonts w:hint="eastAsia" w:ascii="宋体" w:hAnsi="宋体" w:eastAsia="宋体"/>
          <w:b/>
          <w:bCs/>
          <w:szCs w:val="21"/>
          <w:highlight w:val="none"/>
        </w:rPr>
        <w:t>注：</w:t>
      </w:r>
    </w:p>
    <w:p w14:paraId="0FC5F10B">
      <w:pPr>
        <w:shd w:val="clear"/>
        <w:spacing w:line="360" w:lineRule="auto"/>
        <w:rPr>
          <w:rFonts w:ascii="宋体" w:hAnsi="宋体" w:eastAsia="宋体"/>
          <w:szCs w:val="21"/>
          <w:highlight w:val="none"/>
        </w:rPr>
      </w:pPr>
      <w:r>
        <w:rPr>
          <w:rFonts w:hint="eastAsia" w:ascii="宋体" w:hAnsi="宋体" w:eastAsia="宋体"/>
          <w:szCs w:val="21"/>
          <w:highlight w:val="none"/>
        </w:rPr>
        <w:t>1.表5-1中须明确列出所投产品的货物名称、品牌、型号规格、原产地及生产厂商，否则可能导致</w:t>
      </w:r>
      <w:r>
        <w:rPr>
          <w:rFonts w:hint="eastAsia" w:ascii="宋体" w:hAnsi="宋体" w:eastAsia="宋体"/>
          <w:b/>
          <w:bCs/>
          <w:szCs w:val="21"/>
          <w:highlight w:val="none"/>
        </w:rPr>
        <w:t>投标无效。</w:t>
      </w:r>
    </w:p>
    <w:p w14:paraId="6F8C7329">
      <w:pPr>
        <w:shd w:val="clear"/>
        <w:spacing w:line="360" w:lineRule="auto"/>
        <w:rPr>
          <w:rFonts w:ascii="宋体" w:hAnsi="宋体" w:eastAsia="宋体"/>
          <w:szCs w:val="21"/>
          <w:highlight w:val="none"/>
        </w:rPr>
      </w:pPr>
      <w:r>
        <w:rPr>
          <w:rFonts w:hint="eastAsia" w:ascii="宋体" w:hAnsi="宋体" w:eastAsia="宋体"/>
          <w:szCs w:val="21"/>
          <w:highlight w:val="none"/>
        </w:rPr>
        <w:t>2.上述报价为投标人完成本项目内容的全部费用（总报价为表5-1合计金额之和），如有漏项或缺项，自行承担全部责任。</w:t>
      </w:r>
    </w:p>
    <w:p w14:paraId="3B885F7A">
      <w:pPr>
        <w:widowControl/>
        <w:shd w:val="clear"/>
        <w:jc w:val="left"/>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26856CEA">
      <w:pPr>
        <w:shd w:val="clear"/>
        <w:spacing w:line="360" w:lineRule="auto"/>
        <w:jc w:val="center"/>
        <w:outlineLvl w:val="1"/>
        <w:rPr>
          <w:rFonts w:asciiTheme="minorEastAsia" w:hAnsiTheme="minorEastAsia" w:eastAsiaTheme="minorEastAsia"/>
          <w:b/>
          <w:sz w:val="24"/>
          <w:highlight w:val="none"/>
        </w:rPr>
      </w:pPr>
      <w:bookmarkStart w:id="257" w:name="_Toc11940"/>
      <w:bookmarkStart w:id="258" w:name="_Toc20329"/>
      <w:r>
        <w:rPr>
          <w:rFonts w:hint="eastAsia" w:asciiTheme="minorEastAsia" w:hAnsiTheme="minorEastAsia" w:eastAsiaTheme="minorEastAsia"/>
          <w:b/>
          <w:sz w:val="24"/>
          <w:highlight w:val="none"/>
        </w:rPr>
        <w:t>六、投标响应表</w:t>
      </w:r>
      <w:bookmarkEnd w:id="257"/>
      <w:bookmarkEnd w:id="258"/>
    </w:p>
    <w:p w14:paraId="49D3ABA1">
      <w:pPr>
        <w:shd w:val="clear"/>
        <w:spacing w:line="360" w:lineRule="auto"/>
        <w:jc w:val="center"/>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6</w:t>
      </w:r>
      <w:r>
        <w:rPr>
          <w:rFonts w:asciiTheme="minorEastAsia" w:hAnsiTheme="minorEastAsia" w:eastAsiaTheme="minorEastAsia"/>
          <w:b/>
          <w:sz w:val="24"/>
          <w:highlight w:val="none"/>
        </w:rPr>
        <w:t>.1</w:t>
      </w:r>
      <w:r>
        <w:rPr>
          <w:rFonts w:hint="eastAsia" w:asciiTheme="minorEastAsia" w:hAnsiTheme="minorEastAsia" w:eastAsiaTheme="minorEastAsia"/>
          <w:b/>
          <w:sz w:val="24"/>
          <w:highlight w:val="none"/>
        </w:rPr>
        <w:t>商务响应表</w:t>
      </w:r>
    </w:p>
    <w:tbl>
      <w:tblPr>
        <w:tblStyle w:val="25"/>
        <w:tblW w:w="493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14"/>
        <w:gridCol w:w="1892"/>
        <w:gridCol w:w="2278"/>
        <w:gridCol w:w="2175"/>
        <w:gridCol w:w="1356"/>
      </w:tblGrid>
      <w:tr w14:paraId="3248DD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24" w:type="pct"/>
            <w:vAlign w:val="center"/>
          </w:tcPr>
          <w:p w14:paraId="6DE5CA5C">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序号</w:t>
            </w:r>
          </w:p>
        </w:tc>
        <w:tc>
          <w:tcPr>
            <w:tcW w:w="1124" w:type="pct"/>
            <w:vAlign w:val="center"/>
          </w:tcPr>
          <w:p w14:paraId="6E5D9937">
            <w:pPr>
              <w:pStyle w:val="12"/>
              <w:shd w:val="clear"/>
              <w:jc w:val="center"/>
              <w:rPr>
                <w:rFonts w:cs="Wingdings" w:asciiTheme="minorEastAsia" w:hAnsiTheme="minorEastAsia"/>
                <w:b/>
                <w:sz w:val="24"/>
                <w:highlight w:val="none"/>
              </w:rPr>
            </w:pPr>
            <w:r>
              <w:rPr>
                <w:rFonts w:hint="eastAsia" w:asciiTheme="minorEastAsia" w:hAnsiTheme="minorEastAsia"/>
                <w:b/>
                <w:bCs/>
                <w:sz w:val="24"/>
                <w:szCs w:val="24"/>
                <w:highlight w:val="none"/>
              </w:rPr>
              <w:t>商务条款</w:t>
            </w:r>
          </w:p>
        </w:tc>
        <w:tc>
          <w:tcPr>
            <w:tcW w:w="1353" w:type="pct"/>
            <w:vAlign w:val="center"/>
          </w:tcPr>
          <w:p w14:paraId="5D44F6BE">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招标文件要求</w:t>
            </w:r>
          </w:p>
        </w:tc>
        <w:tc>
          <w:tcPr>
            <w:tcW w:w="1292" w:type="pct"/>
            <w:vAlign w:val="center"/>
          </w:tcPr>
          <w:p w14:paraId="11DE3AE5">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投标人承诺</w:t>
            </w:r>
          </w:p>
        </w:tc>
        <w:tc>
          <w:tcPr>
            <w:tcW w:w="805" w:type="pct"/>
            <w:vAlign w:val="center"/>
          </w:tcPr>
          <w:p w14:paraId="61A0A2A3">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偏离说明</w:t>
            </w:r>
          </w:p>
        </w:tc>
      </w:tr>
      <w:tr w14:paraId="6E3CDF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39F8939">
            <w:pPr>
              <w:shd w:val="clear"/>
              <w:jc w:val="center"/>
              <w:rPr>
                <w:rFonts w:asciiTheme="minorEastAsia" w:hAnsiTheme="minorEastAsia" w:eastAsiaTheme="minorEastAsia"/>
                <w:sz w:val="24"/>
                <w:highlight w:val="none"/>
              </w:rPr>
            </w:pPr>
            <w:r>
              <w:rPr>
                <w:rFonts w:asciiTheme="minorEastAsia" w:hAnsiTheme="minorEastAsia" w:eastAsiaTheme="minorEastAsia"/>
                <w:sz w:val="24"/>
                <w:highlight w:val="none"/>
              </w:rPr>
              <w:t>1</w:t>
            </w:r>
          </w:p>
        </w:tc>
        <w:tc>
          <w:tcPr>
            <w:tcW w:w="1124" w:type="pct"/>
            <w:vAlign w:val="center"/>
          </w:tcPr>
          <w:p w14:paraId="7C1AF61C">
            <w:pPr>
              <w:shd w:val="clear"/>
              <w:jc w:val="center"/>
              <w:rPr>
                <w:rFonts w:ascii="宋体" w:hAnsi="宋体" w:eastAsia="宋体"/>
                <w:sz w:val="24"/>
                <w:highlight w:val="none"/>
              </w:rPr>
            </w:pPr>
            <w:r>
              <w:rPr>
                <w:rFonts w:asciiTheme="minorEastAsia" w:hAnsiTheme="minorEastAsia" w:eastAsiaTheme="minorEastAsia"/>
                <w:sz w:val="24"/>
                <w:highlight w:val="none"/>
              </w:rPr>
              <w:t>付款方式</w:t>
            </w:r>
          </w:p>
        </w:tc>
        <w:tc>
          <w:tcPr>
            <w:tcW w:w="1353" w:type="pct"/>
            <w:vAlign w:val="center"/>
          </w:tcPr>
          <w:p w14:paraId="09F9664D">
            <w:pPr>
              <w:shd w:val="clear"/>
              <w:jc w:val="center"/>
              <w:rPr>
                <w:rFonts w:asciiTheme="minorEastAsia" w:hAnsiTheme="minorEastAsia" w:eastAsiaTheme="minorEastAsia"/>
                <w:sz w:val="24"/>
                <w:highlight w:val="none"/>
              </w:rPr>
            </w:pPr>
          </w:p>
        </w:tc>
        <w:tc>
          <w:tcPr>
            <w:tcW w:w="1292" w:type="pct"/>
            <w:vAlign w:val="center"/>
          </w:tcPr>
          <w:p w14:paraId="6ED78673">
            <w:pPr>
              <w:shd w:val="clear"/>
              <w:jc w:val="center"/>
              <w:rPr>
                <w:rFonts w:asciiTheme="minorEastAsia" w:hAnsiTheme="minorEastAsia" w:eastAsiaTheme="minorEastAsia"/>
                <w:sz w:val="24"/>
                <w:highlight w:val="none"/>
              </w:rPr>
            </w:pPr>
          </w:p>
        </w:tc>
        <w:tc>
          <w:tcPr>
            <w:tcW w:w="805" w:type="pct"/>
            <w:vAlign w:val="center"/>
          </w:tcPr>
          <w:p w14:paraId="4090BFB7">
            <w:pPr>
              <w:shd w:val="clear"/>
              <w:jc w:val="center"/>
              <w:rPr>
                <w:rFonts w:asciiTheme="minorEastAsia" w:hAnsiTheme="minorEastAsia" w:eastAsiaTheme="minorEastAsia"/>
                <w:sz w:val="24"/>
                <w:highlight w:val="none"/>
              </w:rPr>
            </w:pPr>
          </w:p>
        </w:tc>
      </w:tr>
      <w:tr w14:paraId="68DA5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03CFEE93">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p>
        </w:tc>
        <w:tc>
          <w:tcPr>
            <w:tcW w:w="1124" w:type="pct"/>
            <w:vAlign w:val="center"/>
          </w:tcPr>
          <w:p w14:paraId="2380CFC8">
            <w:pPr>
              <w:shd w:val="clear"/>
              <w:jc w:val="center"/>
              <w:rPr>
                <w:rFonts w:ascii="宋体" w:hAnsi="宋体" w:eastAsia="宋体"/>
                <w:sz w:val="24"/>
                <w:highlight w:val="none"/>
              </w:rPr>
            </w:pPr>
            <w:r>
              <w:rPr>
                <w:rFonts w:hint="eastAsia" w:ascii="宋体" w:hAnsi="宋体" w:eastAsia="宋体"/>
                <w:sz w:val="24"/>
                <w:highlight w:val="none"/>
              </w:rPr>
              <w:t>供货及安装地点</w:t>
            </w:r>
          </w:p>
        </w:tc>
        <w:tc>
          <w:tcPr>
            <w:tcW w:w="1353" w:type="pct"/>
            <w:vAlign w:val="center"/>
          </w:tcPr>
          <w:p w14:paraId="465346DC">
            <w:pPr>
              <w:shd w:val="clear"/>
              <w:jc w:val="center"/>
              <w:rPr>
                <w:rFonts w:asciiTheme="minorEastAsia" w:hAnsiTheme="minorEastAsia" w:eastAsiaTheme="minorEastAsia"/>
                <w:sz w:val="24"/>
                <w:highlight w:val="none"/>
              </w:rPr>
            </w:pPr>
          </w:p>
        </w:tc>
        <w:tc>
          <w:tcPr>
            <w:tcW w:w="1292" w:type="pct"/>
            <w:vAlign w:val="center"/>
          </w:tcPr>
          <w:p w14:paraId="3451F342">
            <w:pPr>
              <w:shd w:val="clear"/>
              <w:jc w:val="center"/>
              <w:rPr>
                <w:rFonts w:asciiTheme="minorEastAsia" w:hAnsiTheme="minorEastAsia" w:eastAsiaTheme="minorEastAsia"/>
                <w:sz w:val="24"/>
                <w:highlight w:val="none"/>
              </w:rPr>
            </w:pPr>
          </w:p>
        </w:tc>
        <w:tc>
          <w:tcPr>
            <w:tcW w:w="805" w:type="pct"/>
            <w:vAlign w:val="center"/>
          </w:tcPr>
          <w:p w14:paraId="4E06C111">
            <w:pPr>
              <w:shd w:val="clear"/>
              <w:jc w:val="center"/>
              <w:rPr>
                <w:rFonts w:asciiTheme="minorEastAsia" w:hAnsiTheme="minorEastAsia" w:eastAsiaTheme="minorEastAsia"/>
                <w:sz w:val="24"/>
                <w:highlight w:val="none"/>
              </w:rPr>
            </w:pPr>
          </w:p>
        </w:tc>
      </w:tr>
      <w:tr w14:paraId="604872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6D160D98">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w:t>
            </w:r>
          </w:p>
        </w:tc>
        <w:tc>
          <w:tcPr>
            <w:tcW w:w="1124" w:type="pct"/>
            <w:vAlign w:val="center"/>
          </w:tcPr>
          <w:p w14:paraId="0BE4F9CA">
            <w:pPr>
              <w:shd w:val="clear"/>
              <w:jc w:val="center"/>
              <w:rPr>
                <w:rFonts w:ascii="宋体" w:hAnsi="宋体" w:eastAsia="宋体"/>
                <w:sz w:val="24"/>
                <w:highlight w:val="none"/>
              </w:rPr>
            </w:pPr>
            <w:r>
              <w:rPr>
                <w:rFonts w:hint="eastAsia" w:ascii="宋体" w:hAnsi="宋体" w:eastAsia="宋体"/>
                <w:sz w:val="24"/>
                <w:highlight w:val="none"/>
              </w:rPr>
              <w:t>供货及安装期限</w:t>
            </w:r>
          </w:p>
        </w:tc>
        <w:tc>
          <w:tcPr>
            <w:tcW w:w="1353" w:type="pct"/>
            <w:vAlign w:val="center"/>
          </w:tcPr>
          <w:p w14:paraId="13DA4509">
            <w:pPr>
              <w:shd w:val="clear"/>
              <w:jc w:val="center"/>
              <w:rPr>
                <w:rFonts w:asciiTheme="minorEastAsia" w:hAnsiTheme="minorEastAsia" w:eastAsiaTheme="minorEastAsia"/>
                <w:sz w:val="24"/>
                <w:highlight w:val="none"/>
              </w:rPr>
            </w:pPr>
          </w:p>
        </w:tc>
        <w:tc>
          <w:tcPr>
            <w:tcW w:w="1292" w:type="pct"/>
            <w:vAlign w:val="center"/>
          </w:tcPr>
          <w:p w14:paraId="14884059">
            <w:pPr>
              <w:pStyle w:val="44"/>
              <w:shd w:val="clear"/>
              <w:jc w:val="center"/>
              <w:rPr>
                <w:rFonts w:asciiTheme="minorEastAsia" w:hAnsiTheme="minorEastAsia" w:eastAsiaTheme="minorEastAsia"/>
                <w:highlight w:val="none"/>
              </w:rPr>
            </w:pPr>
          </w:p>
        </w:tc>
        <w:tc>
          <w:tcPr>
            <w:tcW w:w="805" w:type="pct"/>
            <w:vAlign w:val="center"/>
          </w:tcPr>
          <w:p w14:paraId="637032A7">
            <w:pPr>
              <w:shd w:val="clear"/>
              <w:jc w:val="center"/>
              <w:rPr>
                <w:rFonts w:asciiTheme="minorEastAsia" w:hAnsiTheme="minorEastAsia" w:eastAsiaTheme="minorEastAsia"/>
                <w:sz w:val="24"/>
                <w:highlight w:val="none"/>
              </w:rPr>
            </w:pPr>
          </w:p>
        </w:tc>
      </w:tr>
      <w:tr w14:paraId="56C157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4F91037">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w:t>
            </w:r>
          </w:p>
        </w:tc>
        <w:tc>
          <w:tcPr>
            <w:tcW w:w="1124" w:type="pct"/>
            <w:vAlign w:val="center"/>
          </w:tcPr>
          <w:p w14:paraId="63516FEB">
            <w:pPr>
              <w:shd w:val="clear"/>
              <w:jc w:val="center"/>
              <w:rPr>
                <w:rFonts w:ascii="宋体" w:hAnsi="宋体" w:eastAsia="宋体"/>
                <w:sz w:val="24"/>
                <w:highlight w:val="none"/>
              </w:rPr>
            </w:pPr>
            <w:r>
              <w:rPr>
                <w:rFonts w:hint="eastAsia" w:ascii="宋体" w:hAnsi="宋体" w:eastAsia="宋体"/>
                <w:sz w:val="24"/>
                <w:highlight w:val="none"/>
              </w:rPr>
              <w:t>免费质保期</w:t>
            </w:r>
          </w:p>
        </w:tc>
        <w:tc>
          <w:tcPr>
            <w:tcW w:w="1353" w:type="pct"/>
            <w:vAlign w:val="center"/>
          </w:tcPr>
          <w:p w14:paraId="7D93D9B8">
            <w:pPr>
              <w:shd w:val="clear"/>
              <w:jc w:val="center"/>
              <w:rPr>
                <w:rFonts w:asciiTheme="minorEastAsia" w:hAnsiTheme="minorEastAsia" w:eastAsiaTheme="minorEastAsia"/>
                <w:sz w:val="24"/>
                <w:highlight w:val="none"/>
              </w:rPr>
            </w:pPr>
          </w:p>
        </w:tc>
        <w:tc>
          <w:tcPr>
            <w:tcW w:w="1292" w:type="pct"/>
            <w:vAlign w:val="center"/>
          </w:tcPr>
          <w:p w14:paraId="0E421BCA">
            <w:pPr>
              <w:shd w:val="clear"/>
              <w:jc w:val="center"/>
              <w:rPr>
                <w:rFonts w:asciiTheme="minorEastAsia" w:hAnsiTheme="minorEastAsia" w:eastAsiaTheme="minorEastAsia"/>
                <w:sz w:val="24"/>
                <w:highlight w:val="none"/>
              </w:rPr>
            </w:pPr>
          </w:p>
        </w:tc>
        <w:tc>
          <w:tcPr>
            <w:tcW w:w="805" w:type="pct"/>
            <w:vAlign w:val="center"/>
          </w:tcPr>
          <w:p w14:paraId="369EF4EE">
            <w:pPr>
              <w:shd w:val="clear"/>
              <w:jc w:val="center"/>
              <w:rPr>
                <w:rFonts w:asciiTheme="minorEastAsia" w:hAnsiTheme="minorEastAsia" w:eastAsiaTheme="minorEastAsia"/>
                <w:sz w:val="24"/>
                <w:highlight w:val="none"/>
              </w:rPr>
            </w:pPr>
          </w:p>
        </w:tc>
      </w:tr>
      <w:tr w14:paraId="288971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4F24869">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w:t>
            </w:r>
          </w:p>
        </w:tc>
        <w:tc>
          <w:tcPr>
            <w:tcW w:w="1124" w:type="pct"/>
            <w:vAlign w:val="center"/>
          </w:tcPr>
          <w:p w14:paraId="615D470D">
            <w:pPr>
              <w:shd w:val="clear"/>
              <w:jc w:val="center"/>
              <w:rPr>
                <w:rFonts w:ascii="宋体" w:hAnsi="宋体" w:eastAsia="宋体"/>
                <w:sz w:val="24"/>
                <w:highlight w:val="none"/>
              </w:rPr>
            </w:pPr>
            <w:r>
              <w:rPr>
                <w:rFonts w:hint="eastAsia" w:ascii="宋体" w:hAnsi="宋体" w:eastAsia="宋体"/>
                <w:sz w:val="24"/>
                <w:highlight w:val="none"/>
              </w:rPr>
              <w:t>质量要求</w:t>
            </w:r>
          </w:p>
        </w:tc>
        <w:tc>
          <w:tcPr>
            <w:tcW w:w="1353" w:type="pct"/>
            <w:vAlign w:val="center"/>
          </w:tcPr>
          <w:p w14:paraId="69D83312">
            <w:pPr>
              <w:shd w:val="clear"/>
              <w:jc w:val="center"/>
              <w:rPr>
                <w:rFonts w:asciiTheme="minorEastAsia" w:hAnsiTheme="minorEastAsia" w:eastAsiaTheme="minorEastAsia"/>
                <w:sz w:val="24"/>
                <w:highlight w:val="none"/>
              </w:rPr>
            </w:pPr>
          </w:p>
        </w:tc>
        <w:tc>
          <w:tcPr>
            <w:tcW w:w="1292" w:type="pct"/>
            <w:vAlign w:val="center"/>
          </w:tcPr>
          <w:p w14:paraId="77AB1656">
            <w:pPr>
              <w:shd w:val="clear"/>
              <w:jc w:val="center"/>
              <w:rPr>
                <w:rFonts w:asciiTheme="minorEastAsia" w:hAnsiTheme="minorEastAsia" w:eastAsiaTheme="minorEastAsia"/>
                <w:sz w:val="24"/>
                <w:highlight w:val="none"/>
              </w:rPr>
            </w:pPr>
          </w:p>
        </w:tc>
        <w:tc>
          <w:tcPr>
            <w:tcW w:w="805" w:type="pct"/>
            <w:vAlign w:val="center"/>
          </w:tcPr>
          <w:p w14:paraId="18FD8C1A">
            <w:pPr>
              <w:shd w:val="clear"/>
              <w:jc w:val="center"/>
              <w:rPr>
                <w:rFonts w:asciiTheme="minorEastAsia" w:hAnsiTheme="minorEastAsia" w:eastAsiaTheme="minorEastAsia"/>
                <w:sz w:val="24"/>
                <w:highlight w:val="none"/>
              </w:rPr>
            </w:pPr>
          </w:p>
        </w:tc>
      </w:tr>
      <w:tr w14:paraId="2B9090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54BC12F3">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6</w:t>
            </w:r>
          </w:p>
        </w:tc>
        <w:tc>
          <w:tcPr>
            <w:tcW w:w="1124" w:type="pct"/>
            <w:vAlign w:val="center"/>
          </w:tcPr>
          <w:p w14:paraId="03F440D4">
            <w:pPr>
              <w:shd w:val="clear"/>
              <w:jc w:val="center"/>
              <w:rPr>
                <w:rFonts w:ascii="宋体" w:hAnsi="宋体" w:eastAsia="宋体"/>
                <w:sz w:val="24"/>
                <w:highlight w:val="none"/>
              </w:rPr>
            </w:pPr>
            <w:r>
              <w:rPr>
                <w:rFonts w:hint="eastAsia" w:ascii="宋体" w:hAnsi="宋体" w:eastAsia="宋体"/>
                <w:sz w:val="24"/>
                <w:highlight w:val="none"/>
              </w:rPr>
              <w:t>验收要求</w:t>
            </w:r>
          </w:p>
        </w:tc>
        <w:tc>
          <w:tcPr>
            <w:tcW w:w="1353" w:type="pct"/>
            <w:vAlign w:val="center"/>
          </w:tcPr>
          <w:p w14:paraId="03275A33">
            <w:pPr>
              <w:shd w:val="clear"/>
              <w:jc w:val="center"/>
              <w:rPr>
                <w:rFonts w:asciiTheme="minorEastAsia" w:hAnsiTheme="minorEastAsia" w:eastAsiaTheme="minorEastAsia"/>
                <w:sz w:val="24"/>
                <w:highlight w:val="none"/>
              </w:rPr>
            </w:pPr>
          </w:p>
        </w:tc>
        <w:tc>
          <w:tcPr>
            <w:tcW w:w="1292" w:type="pct"/>
            <w:vAlign w:val="center"/>
          </w:tcPr>
          <w:p w14:paraId="3CCD44D6">
            <w:pPr>
              <w:shd w:val="clear"/>
              <w:jc w:val="center"/>
              <w:rPr>
                <w:rFonts w:asciiTheme="minorEastAsia" w:hAnsiTheme="minorEastAsia" w:eastAsiaTheme="minorEastAsia"/>
                <w:sz w:val="24"/>
                <w:highlight w:val="none"/>
              </w:rPr>
            </w:pPr>
          </w:p>
        </w:tc>
        <w:tc>
          <w:tcPr>
            <w:tcW w:w="805" w:type="pct"/>
            <w:vAlign w:val="center"/>
          </w:tcPr>
          <w:p w14:paraId="4AD0B498">
            <w:pPr>
              <w:shd w:val="clear"/>
              <w:jc w:val="center"/>
              <w:rPr>
                <w:rFonts w:asciiTheme="minorEastAsia" w:hAnsiTheme="minorEastAsia" w:eastAsiaTheme="minorEastAsia"/>
                <w:sz w:val="24"/>
                <w:highlight w:val="none"/>
              </w:rPr>
            </w:pPr>
          </w:p>
        </w:tc>
      </w:tr>
      <w:tr w14:paraId="65550D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2EB7AE0E">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7</w:t>
            </w:r>
          </w:p>
        </w:tc>
        <w:tc>
          <w:tcPr>
            <w:tcW w:w="1124" w:type="pct"/>
            <w:vAlign w:val="center"/>
          </w:tcPr>
          <w:p w14:paraId="4960E2F7">
            <w:pPr>
              <w:shd w:val="clear"/>
              <w:jc w:val="center"/>
              <w:rPr>
                <w:rFonts w:ascii="宋体" w:hAnsi="宋体" w:eastAsia="宋体"/>
                <w:sz w:val="24"/>
                <w:highlight w:val="none"/>
              </w:rPr>
            </w:pPr>
            <w:r>
              <w:rPr>
                <w:rFonts w:hint="eastAsia" w:ascii="宋体" w:hAnsi="宋体" w:eastAsia="宋体"/>
                <w:sz w:val="24"/>
                <w:highlight w:val="none"/>
              </w:rPr>
              <w:t>其他要求</w:t>
            </w:r>
          </w:p>
        </w:tc>
        <w:tc>
          <w:tcPr>
            <w:tcW w:w="1353" w:type="pct"/>
            <w:vAlign w:val="center"/>
          </w:tcPr>
          <w:p w14:paraId="615BA1F0">
            <w:pPr>
              <w:shd w:val="clear"/>
              <w:jc w:val="center"/>
              <w:rPr>
                <w:rFonts w:asciiTheme="minorEastAsia" w:hAnsiTheme="minorEastAsia" w:eastAsiaTheme="minorEastAsia"/>
                <w:sz w:val="24"/>
                <w:highlight w:val="none"/>
              </w:rPr>
            </w:pPr>
          </w:p>
        </w:tc>
        <w:tc>
          <w:tcPr>
            <w:tcW w:w="1292" w:type="pct"/>
            <w:vAlign w:val="center"/>
          </w:tcPr>
          <w:p w14:paraId="43B90A8F">
            <w:pPr>
              <w:shd w:val="clear"/>
              <w:jc w:val="center"/>
              <w:rPr>
                <w:rFonts w:asciiTheme="minorEastAsia" w:hAnsiTheme="minorEastAsia" w:eastAsiaTheme="minorEastAsia"/>
                <w:sz w:val="24"/>
                <w:highlight w:val="none"/>
              </w:rPr>
            </w:pPr>
          </w:p>
        </w:tc>
        <w:tc>
          <w:tcPr>
            <w:tcW w:w="805" w:type="pct"/>
            <w:vAlign w:val="center"/>
          </w:tcPr>
          <w:p w14:paraId="6834513E">
            <w:pPr>
              <w:shd w:val="clear"/>
              <w:jc w:val="center"/>
              <w:rPr>
                <w:rFonts w:asciiTheme="minorEastAsia" w:hAnsiTheme="minorEastAsia" w:eastAsiaTheme="minorEastAsia"/>
                <w:sz w:val="24"/>
                <w:highlight w:val="none"/>
              </w:rPr>
            </w:pPr>
          </w:p>
        </w:tc>
      </w:tr>
      <w:tr w14:paraId="66F5FC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24" w:type="pct"/>
            <w:vAlign w:val="center"/>
          </w:tcPr>
          <w:p w14:paraId="48DC8EB4">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tc>
        <w:tc>
          <w:tcPr>
            <w:tcW w:w="1124" w:type="pct"/>
            <w:vAlign w:val="center"/>
          </w:tcPr>
          <w:p w14:paraId="71929B76">
            <w:pPr>
              <w:shd w:val="clear"/>
              <w:jc w:val="center"/>
              <w:rPr>
                <w:rFonts w:ascii="宋体" w:hAnsi="宋体" w:eastAsia="宋体"/>
                <w:sz w:val="24"/>
                <w:highlight w:val="none"/>
              </w:rPr>
            </w:pPr>
          </w:p>
        </w:tc>
        <w:tc>
          <w:tcPr>
            <w:tcW w:w="1353" w:type="pct"/>
            <w:vAlign w:val="center"/>
          </w:tcPr>
          <w:p w14:paraId="05607E67">
            <w:pPr>
              <w:shd w:val="clear"/>
              <w:jc w:val="center"/>
              <w:rPr>
                <w:rFonts w:asciiTheme="minorEastAsia" w:hAnsiTheme="minorEastAsia" w:eastAsiaTheme="minorEastAsia"/>
                <w:sz w:val="24"/>
                <w:highlight w:val="none"/>
              </w:rPr>
            </w:pPr>
          </w:p>
        </w:tc>
        <w:tc>
          <w:tcPr>
            <w:tcW w:w="1292" w:type="pct"/>
            <w:vAlign w:val="center"/>
          </w:tcPr>
          <w:p w14:paraId="33130A6B">
            <w:pPr>
              <w:shd w:val="clear"/>
              <w:jc w:val="center"/>
              <w:rPr>
                <w:rFonts w:asciiTheme="minorEastAsia" w:hAnsiTheme="minorEastAsia" w:eastAsiaTheme="minorEastAsia"/>
                <w:sz w:val="24"/>
                <w:highlight w:val="none"/>
              </w:rPr>
            </w:pPr>
          </w:p>
        </w:tc>
        <w:tc>
          <w:tcPr>
            <w:tcW w:w="805" w:type="pct"/>
            <w:vAlign w:val="center"/>
          </w:tcPr>
          <w:p w14:paraId="22AC22C6">
            <w:pPr>
              <w:shd w:val="clear"/>
              <w:jc w:val="center"/>
              <w:rPr>
                <w:rFonts w:asciiTheme="minorEastAsia" w:hAnsiTheme="minorEastAsia" w:eastAsiaTheme="minorEastAsia"/>
                <w:sz w:val="24"/>
                <w:highlight w:val="none"/>
              </w:rPr>
            </w:pPr>
          </w:p>
        </w:tc>
      </w:tr>
    </w:tbl>
    <w:p w14:paraId="28125FCF">
      <w:pPr>
        <w:shd w:val="clea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招标文件中所列商务要求，我公司确认，对招标文件所列商务要求，</w:t>
      </w:r>
      <w:r>
        <w:rPr>
          <w:rFonts w:hint="eastAsia" w:ascii="宋体" w:hAnsi="宋体" w:eastAsia="宋体" w:cs="宋体"/>
          <w:b/>
          <w:sz w:val="24"/>
          <w:szCs w:val="24"/>
          <w:highlight w:val="none"/>
        </w:rPr>
        <w:t>除以上响应表所列情况外，</w:t>
      </w:r>
      <w:r>
        <w:rPr>
          <w:rFonts w:hint="eastAsia" w:ascii="宋体" w:hAnsi="宋体" w:eastAsia="宋体" w:cs="宋体"/>
          <w:sz w:val="24"/>
          <w:szCs w:val="24"/>
          <w:highlight w:val="none"/>
        </w:rPr>
        <w:t>我方响应情况全部为“无偏离”。</w:t>
      </w:r>
    </w:p>
    <w:p w14:paraId="03597851">
      <w:pPr>
        <w:shd w:val="clea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 xml:space="preserve"> </w:t>
      </w:r>
    </w:p>
    <w:p w14:paraId="1EBD96B7">
      <w:pPr>
        <w:shd w:val="clear"/>
        <w:spacing w:line="360" w:lineRule="auto"/>
        <w:ind w:firstLine="4320" w:firstLineChars="1800"/>
        <w:jc w:val="center"/>
        <w:rPr>
          <w:rFonts w:ascii="宋体" w:hAnsi="宋体" w:eastAsia="宋体" w:cs="宋体"/>
          <w:bCs/>
          <w:sz w:val="24"/>
          <w:szCs w:val="24"/>
          <w:highlight w:val="none"/>
          <w:u w:val="single"/>
        </w:rPr>
      </w:pPr>
      <w:r>
        <w:rPr>
          <w:rFonts w:hint="eastAsia" w:ascii="宋体" w:hAnsi="宋体" w:eastAsia="宋体" w:cs="宋体"/>
          <w:bCs/>
          <w:sz w:val="24"/>
          <w:szCs w:val="24"/>
          <w:highlight w:val="none"/>
        </w:rPr>
        <w:t>投标人电子签章：</w:t>
      </w:r>
      <w:r>
        <w:rPr>
          <w:rFonts w:hint="eastAsia" w:ascii="宋体" w:hAnsi="宋体" w:eastAsia="宋体" w:cs="宋体"/>
          <w:bCs/>
          <w:sz w:val="24"/>
          <w:szCs w:val="24"/>
          <w:highlight w:val="none"/>
          <w:u w:val="single"/>
        </w:rPr>
        <w:t xml:space="preserve">            </w:t>
      </w:r>
    </w:p>
    <w:p w14:paraId="510DADE9">
      <w:pPr>
        <w:shd w:val="clear"/>
        <w:spacing w:line="360" w:lineRule="auto"/>
        <w:ind w:firstLine="4320" w:firstLineChars="1800"/>
        <w:jc w:val="center"/>
        <w:rPr>
          <w:rFonts w:ascii="宋体" w:hAnsi="宋体" w:eastAsia="宋体" w:cs="宋体"/>
          <w:bCs/>
          <w:sz w:val="24"/>
          <w:szCs w:val="24"/>
          <w:highlight w:val="none"/>
        </w:rPr>
      </w:pPr>
      <w:r>
        <w:rPr>
          <w:rFonts w:hint="eastAsia" w:ascii="宋体" w:hAnsi="宋体" w:eastAsia="宋体" w:cs="宋体"/>
          <w:bCs/>
          <w:sz w:val="24"/>
          <w:szCs w:val="24"/>
          <w:highlight w:val="none"/>
        </w:rPr>
        <w:t>日         期：</w:t>
      </w:r>
      <w:r>
        <w:rPr>
          <w:rFonts w:hint="eastAsia" w:ascii="宋体" w:hAnsi="宋体" w:eastAsia="宋体" w:cs="宋体"/>
          <w:bCs/>
          <w:sz w:val="24"/>
          <w:szCs w:val="24"/>
          <w:highlight w:val="none"/>
          <w:u w:val="single"/>
        </w:rPr>
        <w:t xml:space="preserve">             </w:t>
      </w:r>
    </w:p>
    <w:p w14:paraId="3BD68FC9">
      <w:pPr>
        <w:shd w:val="clear"/>
        <w:adjustRightInd w:val="0"/>
        <w:snapToGrid w:val="0"/>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注：</w:t>
      </w:r>
    </w:p>
    <w:p w14:paraId="5C8D369C">
      <w:pPr>
        <w:shd w:val="clear"/>
        <w:adjustRightInd w:val="0"/>
        <w:snapToGrid w:val="0"/>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1.“无偏离”指与招标文件要求一致，“正偏离”指优于招标文件要求；“负偏离”指低于招标文件要求。</w:t>
      </w:r>
    </w:p>
    <w:p w14:paraId="5B208E90">
      <w:pPr>
        <w:shd w:val="clear"/>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2.无论正偏离或负偏离，投标人均需在“投标人承诺”一栏中列明响应的详细内容，否则视同投标人响应情况为“无偏离”。</w:t>
      </w:r>
    </w:p>
    <w:p w14:paraId="37BB9C46">
      <w:pPr>
        <w:shd w:val="clear"/>
        <w:adjustRightInd w:val="0"/>
        <w:snapToGrid w:val="0"/>
        <w:spacing w:line="360" w:lineRule="auto"/>
        <w:ind w:firstLine="482" w:firstLineChars="200"/>
        <w:rPr>
          <w:rFonts w:ascii="宋体" w:hAnsi="宋体" w:eastAsia="宋体" w:cs="宋体"/>
          <w:b/>
          <w:sz w:val="24"/>
          <w:szCs w:val="24"/>
          <w:highlight w:val="none"/>
        </w:rPr>
      </w:pPr>
      <w:r>
        <w:rPr>
          <w:rFonts w:hint="eastAsia" w:ascii="宋体" w:hAnsi="宋体" w:eastAsia="宋体" w:cs="宋体"/>
          <w:b/>
          <w:sz w:val="24"/>
          <w:szCs w:val="24"/>
          <w:highlight w:val="none"/>
        </w:rPr>
        <w:t>3.如投标人未在上述响应表中填写内容，视同投标人响应情况为“无偏离”。</w:t>
      </w:r>
    </w:p>
    <w:p w14:paraId="09916CB6">
      <w:pPr>
        <w:shd w:val="clear"/>
        <w:spacing w:line="360" w:lineRule="auto"/>
        <w:ind w:firstLine="435"/>
        <w:rPr>
          <w:rFonts w:asciiTheme="minorEastAsia" w:hAnsiTheme="minorEastAsia" w:eastAsiaTheme="minorEastAsia"/>
          <w:b/>
          <w:sz w:val="24"/>
          <w:highlight w:val="none"/>
        </w:rPr>
      </w:pPr>
    </w:p>
    <w:p w14:paraId="11D9F33C">
      <w:pPr>
        <w:shd w:val="clea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br w:type="page"/>
      </w:r>
    </w:p>
    <w:p w14:paraId="2FC26D16">
      <w:pPr>
        <w:shd w:val="clear"/>
        <w:spacing w:line="360" w:lineRule="auto"/>
        <w:jc w:val="center"/>
        <w:outlineLvl w:val="2"/>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6</w:t>
      </w:r>
      <w:r>
        <w:rPr>
          <w:rFonts w:asciiTheme="minorEastAsia" w:hAnsiTheme="minorEastAsia" w:eastAsiaTheme="minorEastAsia"/>
          <w:b/>
          <w:sz w:val="24"/>
          <w:highlight w:val="none"/>
        </w:rPr>
        <w:t>.2</w:t>
      </w:r>
      <w:r>
        <w:rPr>
          <w:rFonts w:hint="eastAsia" w:asciiTheme="minorEastAsia" w:hAnsiTheme="minorEastAsia" w:eastAsiaTheme="minorEastAsia"/>
          <w:b/>
          <w:sz w:val="24"/>
          <w:highlight w:val="none"/>
        </w:rPr>
        <w:t>技术响应表</w:t>
      </w:r>
    </w:p>
    <w:tbl>
      <w:tblPr>
        <w:tblStyle w:val="2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9"/>
        <w:gridCol w:w="1560"/>
        <w:gridCol w:w="2865"/>
        <w:gridCol w:w="2319"/>
        <w:gridCol w:w="1019"/>
      </w:tblGrid>
      <w:tr w14:paraId="40FC14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282" w:hRule="atLeast"/>
          <w:jc w:val="center"/>
        </w:trPr>
        <w:tc>
          <w:tcPr>
            <w:tcW w:w="445" w:type="pct"/>
            <w:vAlign w:val="center"/>
          </w:tcPr>
          <w:p w14:paraId="00AF40FB">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序号</w:t>
            </w:r>
          </w:p>
        </w:tc>
        <w:tc>
          <w:tcPr>
            <w:tcW w:w="915" w:type="pct"/>
            <w:vAlign w:val="center"/>
          </w:tcPr>
          <w:p w14:paraId="2D699A9B">
            <w:pPr>
              <w:pStyle w:val="12"/>
              <w:shd w:val="clear"/>
              <w:jc w:val="center"/>
              <w:rPr>
                <w:rFonts w:cs="Wingdings" w:asciiTheme="minorEastAsia" w:hAnsiTheme="minorEastAsia"/>
                <w:b/>
                <w:sz w:val="24"/>
                <w:highlight w:val="none"/>
              </w:rPr>
            </w:pPr>
            <w:r>
              <w:rPr>
                <w:rFonts w:hint="eastAsia" w:asciiTheme="minorEastAsia" w:hAnsiTheme="minorEastAsia"/>
                <w:b/>
                <w:bCs/>
                <w:sz w:val="24"/>
                <w:szCs w:val="24"/>
                <w:highlight w:val="none"/>
              </w:rPr>
              <w:t>货物名称</w:t>
            </w:r>
          </w:p>
        </w:tc>
        <w:tc>
          <w:tcPr>
            <w:tcW w:w="1680" w:type="pct"/>
            <w:vAlign w:val="center"/>
          </w:tcPr>
          <w:p w14:paraId="2EA62662">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招标文件规定的技术参数及要求</w:t>
            </w:r>
          </w:p>
        </w:tc>
        <w:tc>
          <w:tcPr>
            <w:tcW w:w="1360" w:type="pct"/>
            <w:vAlign w:val="center"/>
          </w:tcPr>
          <w:p w14:paraId="2D27B6D9">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所投产品的品牌、型号及技术参数</w:t>
            </w:r>
          </w:p>
        </w:tc>
        <w:tc>
          <w:tcPr>
            <w:tcW w:w="597" w:type="pct"/>
            <w:vAlign w:val="center"/>
          </w:tcPr>
          <w:p w14:paraId="776F5A45">
            <w:pPr>
              <w:pStyle w:val="12"/>
              <w:shd w:val="clear"/>
              <w:jc w:val="center"/>
              <w:rPr>
                <w:rFonts w:cs="Wingdings" w:asciiTheme="minorEastAsia" w:hAnsiTheme="minorEastAsia"/>
                <w:b/>
                <w:sz w:val="24"/>
                <w:highlight w:val="none"/>
              </w:rPr>
            </w:pPr>
            <w:r>
              <w:rPr>
                <w:rFonts w:hint="eastAsia" w:cs="Wingdings" w:asciiTheme="minorEastAsia" w:hAnsiTheme="minorEastAsia"/>
                <w:b/>
                <w:sz w:val="24"/>
                <w:highlight w:val="none"/>
              </w:rPr>
              <w:t>偏离说明</w:t>
            </w:r>
          </w:p>
        </w:tc>
      </w:tr>
      <w:tr w14:paraId="10E284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5" w:type="pct"/>
            <w:vAlign w:val="center"/>
          </w:tcPr>
          <w:p w14:paraId="755C58FF">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p>
        </w:tc>
        <w:tc>
          <w:tcPr>
            <w:tcW w:w="915" w:type="pct"/>
            <w:vAlign w:val="center"/>
          </w:tcPr>
          <w:p w14:paraId="63B3DBD6">
            <w:pPr>
              <w:shd w:val="clear"/>
              <w:jc w:val="center"/>
              <w:rPr>
                <w:rFonts w:asciiTheme="minorEastAsia" w:hAnsiTheme="minorEastAsia" w:eastAsiaTheme="minorEastAsia"/>
                <w:sz w:val="24"/>
                <w:highlight w:val="none"/>
              </w:rPr>
            </w:pPr>
          </w:p>
        </w:tc>
        <w:tc>
          <w:tcPr>
            <w:tcW w:w="1680" w:type="pct"/>
            <w:vAlign w:val="center"/>
          </w:tcPr>
          <w:p w14:paraId="11B61ECE">
            <w:pPr>
              <w:shd w:val="clear"/>
              <w:jc w:val="center"/>
              <w:rPr>
                <w:rFonts w:asciiTheme="minorEastAsia" w:hAnsiTheme="minorEastAsia" w:eastAsiaTheme="minorEastAsia"/>
                <w:sz w:val="24"/>
                <w:highlight w:val="none"/>
              </w:rPr>
            </w:pPr>
          </w:p>
        </w:tc>
        <w:tc>
          <w:tcPr>
            <w:tcW w:w="1360" w:type="pct"/>
            <w:vAlign w:val="center"/>
          </w:tcPr>
          <w:p w14:paraId="2A81A73A">
            <w:pPr>
              <w:shd w:val="clear"/>
              <w:jc w:val="center"/>
              <w:rPr>
                <w:rFonts w:asciiTheme="minorEastAsia" w:hAnsiTheme="minorEastAsia" w:eastAsiaTheme="minorEastAsia"/>
                <w:sz w:val="24"/>
                <w:highlight w:val="none"/>
              </w:rPr>
            </w:pPr>
          </w:p>
        </w:tc>
        <w:tc>
          <w:tcPr>
            <w:tcW w:w="597" w:type="pct"/>
            <w:vAlign w:val="center"/>
          </w:tcPr>
          <w:p w14:paraId="62BD3450">
            <w:pPr>
              <w:shd w:val="clear"/>
              <w:jc w:val="center"/>
              <w:rPr>
                <w:rFonts w:asciiTheme="minorEastAsia" w:hAnsiTheme="minorEastAsia" w:eastAsiaTheme="minorEastAsia"/>
                <w:sz w:val="24"/>
                <w:highlight w:val="none"/>
              </w:rPr>
            </w:pPr>
          </w:p>
        </w:tc>
      </w:tr>
      <w:tr w14:paraId="73792C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5" w:type="pct"/>
            <w:vAlign w:val="center"/>
          </w:tcPr>
          <w:p w14:paraId="3A8AF829">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p>
        </w:tc>
        <w:tc>
          <w:tcPr>
            <w:tcW w:w="915" w:type="pct"/>
            <w:vAlign w:val="center"/>
          </w:tcPr>
          <w:p w14:paraId="29AD169B">
            <w:pPr>
              <w:shd w:val="clear"/>
              <w:jc w:val="center"/>
              <w:rPr>
                <w:rFonts w:asciiTheme="minorEastAsia" w:hAnsiTheme="minorEastAsia" w:eastAsiaTheme="minorEastAsia"/>
                <w:sz w:val="24"/>
                <w:highlight w:val="none"/>
              </w:rPr>
            </w:pPr>
          </w:p>
        </w:tc>
        <w:tc>
          <w:tcPr>
            <w:tcW w:w="1680" w:type="pct"/>
            <w:vAlign w:val="center"/>
          </w:tcPr>
          <w:p w14:paraId="2DED9E84">
            <w:pPr>
              <w:shd w:val="clear"/>
              <w:jc w:val="center"/>
              <w:rPr>
                <w:rFonts w:asciiTheme="minorEastAsia" w:hAnsiTheme="minorEastAsia" w:eastAsiaTheme="minorEastAsia"/>
                <w:sz w:val="24"/>
                <w:highlight w:val="none"/>
              </w:rPr>
            </w:pPr>
          </w:p>
        </w:tc>
        <w:tc>
          <w:tcPr>
            <w:tcW w:w="1360" w:type="pct"/>
            <w:vAlign w:val="center"/>
          </w:tcPr>
          <w:p w14:paraId="411F3E68">
            <w:pPr>
              <w:shd w:val="clear"/>
              <w:jc w:val="center"/>
              <w:rPr>
                <w:rFonts w:asciiTheme="minorEastAsia" w:hAnsiTheme="minorEastAsia" w:eastAsiaTheme="minorEastAsia"/>
                <w:sz w:val="24"/>
                <w:highlight w:val="none"/>
              </w:rPr>
            </w:pPr>
          </w:p>
        </w:tc>
        <w:tc>
          <w:tcPr>
            <w:tcW w:w="597" w:type="pct"/>
            <w:vAlign w:val="center"/>
          </w:tcPr>
          <w:p w14:paraId="23169102">
            <w:pPr>
              <w:shd w:val="clear"/>
              <w:jc w:val="center"/>
              <w:rPr>
                <w:rFonts w:asciiTheme="minorEastAsia" w:hAnsiTheme="minorEastAsia" w:eastAsiaTheme="minorEastAsia"/>
                <w:sz w:val="24"/>
                <w:highlight w:val="none"/>
              </w:rPr>
            </w:pPr>
          </w:p>
        </w:tc>
      </w:tr>
      <w:tr w14:paraId="566E0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5" w:type="pct"/>
            <w:vAlign w:val="center"/>
          </w:tcPr>
          <w:p w14:paraId="05C3CBB0">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w:t>
            </w:r>
          </w:p>
        </w:tc>
        <w:tc>
          <w:tcPr>
            <w:tcW w:w="915" w:type="pct"/>
            <w:vAlign w:val="center"/>
          </w:tcPr>
          <w:p w14:paraId="401040E0">
            <w:pPr>
              <w:shd w:val="clear"/>
              <w:jc w:val="center"/>
              <w:rPr>
                <w:rFonts w:asciiTheme="minorEastAsia" w:hAnsiTheme="minorEastAsia" w:eastAsiaTheme="minorEastAsia"/>
                <w:sz w:val="24"/>
                <w:highlight w:val="none"/>
              </w:rPr>
            </w:pPr>
          </w:p>
        </w:tc>
        <w:tc>
          <w:tcPr>
            <w:tcW w:w="1680" w:type="pct"/>
            <w:vAlign w:val="center"/>
          </w:tcPr>
          <w:p w14:paraId="410FA5A0">
            <w:pPr>
              <w:shd w:val="clear"/>
              <w:jc w:val="center"/>
              <w:rPr>
                <w:rFonts w:asciiTheme="minorEastAsia" w:hAnsiTheme="minorEastAsia" w:eastAsiaTheme="minorEastAsia"/>
                <w:sz w:val="24"/>
                <w:highlight w:val="none"/>
              </w:rPr>
            </w:pPr>
          </w:p>
        </w:tc>
        <w:tc>
          <w:tcPr>
            <w:tcW w:w="1360" w:type="pct"/>
            <w:vAlign w:val="center"/>
          </w:tcPr>
          <w:p w14:paraId="79158BE1">
            <w:pPr>
              <w:pStyle w:val="44"/>
              <w:shd w:val="clear"/>
              <w:jc w:val="center"/>
              <w:rPr>
                <w:rFonts w:asciiTheme="minorEastAsia" w:hAnsiTheme="minorEastAsia" w:eastAsiaTheme="minorEastAsia"/>
                <w:highlight w:val="none"/>
              </w:rPr>
            </w:pPr>
          </w:p>
        </w:tc>
        <w:tc>
          <w:tcPr>
            <w:tcW w:w="597" w:type="pct"/>
            <w:vAlign w:val="center"/>
          </w:tcPr>
          <w:p w14:paraId="51CD182D">
            <w:pPr>
              <w:shd w:val="clear"/>
              <w:jc w:val="center"/>
              <w:rPr>
                <w:rFonts w:asciiTheme="minorEastAsia" w:hAnsiTheme="minorEastAsia" w:eastAsiaTheme="minorEastAsia"/>
                <w:sz w:val="24"/>
                <w:highlight w:val="none"/>
              </w:rPr>
            </w:pPr>
          </w:p>
        </w:tc>
      </w:tr>
      <w:tr w14:paraId="5E61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5" w:type="pct"/>
            <w:vAlign w:val="center"/>
          </w:tcPr>
          <w:p w14:paraId="22740B3D">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w:t>
            </w:r>
          </w:p>
        </w:tc>
        <w:tc>
          <w:tcPr>
            <w:tcW w:w="915" w:type="pct"/>
            <w:vAlign w:val="center"/>
          </w:tcPr>
          <w:p w14:paraId="0ECA98CD">
            <w:pPr>
              <w:shd w:val="clear"/>
              <w:jc w:val="center"/>
              <w:rPr>
                <w:rFonts w:asciiTheme="minorEastAsia" w:hAnsiTheme="minorEastAsia" w:eastAsiaTheme="minorEastAsia"/>
                <w:sz w:val="24"/>
                <w:highlight w:val="none"/>
              </w:rPr>
            </w:pPr>
          </w:p>
        </w:tc>
        <w:tc>
          <w:tcPr>
            <w:tcW w:w="1680" w:type="pct"/>
            <w:vAlign w:val="center"/>
          </w:tcPr>
          <w:p w14:paraId="4235117A">
            <w:pPr>
              <w:shd w:val="clear"/>
              <w:jc w:val="center"/>
              <w:rPr>
                <w:rFonts w:asciiTheme="minorEastAsia" w:hAnsiTheme="minorEastAsia" w:eastAsiaTheme="minorEastAsia"/>
                <w:sz w:val="24"/>
                <w:highlight w:val="none"/>
              </w:rPr>
            </w:pPr>
          </w:p>
        </w:tc>
        <w:tc>
          <w:tcPr>
            <w:tcW w:w="1360" w:type="pct"/>
            <w:vAlign w:val="center"/>
          </w:tcPr>
          <w:p w14:paraId="5A9E69F4">
            <w:pPr>
              <w:pStyle w:val="44"/>
              <w:shd w:val="clear"/>
              <w:jc w:val="center"/>
              <w:rPr>
                <w:rFonts w:asciiTheme="minorEastAsia" w:hAnsiTheme="minorEastAsia" w:eastAsiaTheme="minorEastAsia"/>
                <w:highlight w:val="none"/>
              </w:rPr>
            </w:pPr>
          </w:p>
        </w:tc>
        <w:tc>
          <w:tcPr>
            <w:tcW w:w="597" w:type="pct"/>
            <w:vAlign w:val="center"/>
          </w:tcPr>
          <w:p w14:paraId="62CE2BB3">
            <w:pPr>
              <w:shd w:val="clear"/>
              <w:jc w:val="center"/>
              <w:rPr>
                <w:rFonts w:asciiTheme="minorEastAsia" w:hAnsiTheme="minorEastAsia" w:eastAsiaTheme="minorEastAsia"/>
                <w:sz w:val="24"/>
                <w:highlight w:val="none"/>
              </w:rPr>
            </w:pPr>
          </w:p>
        </w:tc>
      </w:tr>
      <w:tr w14:paraId="23AFD1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54" w:hRule="atLeast"/>
          <w:jc w:val="center"/>
        </w:trPr>
        <w:tc>
          <w:tcPr>
            <w:tcW w:w="445" w:type="pct"/>
            <w:vAlign w:val="center"/>
          </w:tcPr>
          <w:p w14:paraId="478674A8">
            <w:pPr>
              <w:shd w:val="clear"/>
              <w:jc w:val="center"/>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tc>
        <w:tc>
          <w:tcPr>
            <w:tcW w:w="915" w:type="pct"/>
            <w:vAlign w:val="center"/>
          </w:tcPr>
          <w:p w14:paraId="1AEF0F50">
            <w:pPr>
              <w:shd w:val="clear"/>
              <w:jc w:val="center"/>
              <w:rPr>
                <w:rFonts w:asciiTheme="minorEastAsia" w:hAnsiTheme="minorEastAsia" w:eastAsiaTheme="minorEastAsia"/>
                <w:sz w:val="24"/>
                <w:highlight w:val="none"/>
              </w:rPr>
            </w:pPr>
          </w:p>
        </w:tc>
        <w:tc>
          <w:tcPr>
            <w:tcW w:w="1680" w:type="pct"/>
            <w:vAlign w:val="center"/>
          </w:tcPr>
          <w:p w14:paraId="6E85071B">
            <w:pPr>
              <w:shd w:val="clear"/>
              <w:jc w:val="center"/>
              <w:rPr>
                <w:rFonts w:asciiTheme="minorEastAsia" w:hAnsiTheme="minorEastAsia" w:eastAsiaTheme="minorEastAsia"/>
                <w:sz w:val="24"/>
                <w:highlight w:val="none"/>
              </w:rPr>
            </w:pPr>
          </w:p>
        </w:tc>
        <w:tc>
          <w:tcPr>
            <w:tcW w:w="1360" w:type="pct"/>
            <w:vAlign w:val="center"/>
          </w:tcPr>
          <w:p w14:paraId="2F6648C5">
            <w:pPr>
              <w:shd w:val="clear"/>
              <w:jc w:val="center"/>
              <w:rPr>
                <w:rFonts w:asciiTheme="minorEastAsia" w:hAnsiTheme="minorEastAsia" w:eastAsiaTheme="minorEastAsia"/>
                <w:sz w:val="24"/>
                <w:highlight w:val="none"/>
              </w:rPr>
            </w:pPr>
          </w:p>
        </w:tc>
        <w:tc>
          <w:tcPr>
            <w:tcW w:w="597" w:type="pct"/>
            <w:vAlign w:val="center"/>
          </w:tcPr>
          <w:p w14:paraId="22E3CC90">
            <w:pPr>
              <w:shd w:val="clear"/>
              <w:jc w:val="center"/>
              <w:rPr>
                <w:rFonts w:asciiTheme="minorEastAsia" w:hAnsiTheme="minorEastAsia" w:eastAsiaTheme="minorEastAsia"/>
                <w:sz w:val="24"/>
                <w:highlight w:val="none"/>
              </w:rPr>
            </w:pPr>
          </w:p>
        </w:tc>
      </w:tr>
    </w:tbl>
    <w:p w14:paraId="1EEBCBC2">
      <w:pPr>
        <w:shd w:val="clear"/>
        <w:spacing w:line="360" w:lineRule="auto"/>
        <w:rPr>
          <w:rFonts w:ascii="宋体" w:hAnsi="宋体" w:eastAsia="宋体" w:cs="宋体"/>
          <w:sz w:val="24"/>
          <w:szCs w:val="24"/>
          <w:highlight w:val="none"/>
        </w:rPr>
      </w:pPr>
      <w:r>
        <w:rPr>
          <w:rFonts w:hint="eastAsia" w:ascii="宋体" w:hAnsi="宋体" w:eastAsia="宋体" w:cs="宋体"/>
          <w:sz w:val="24"/>
          <w:szCs w:val="24"/>
          <w:highlight w:val="none"/>
        </w:rPr>
        <w:t>招标文件中所列技术要求，我公司确认，对招标文件所列技术要求，</w:t>
      </w:r>
      <w:r>
        <w:rPr>
          <w:rFonts w:hint="eastAsia" w:ascii="宋体" w:hAnsi="宋体" w:eastAsia="宋体" w:cs="宋体"/>
          <w:b/>
          <w:sz w:val="24"/>
          <w:szCs w:val="24"/>
          <w:highlight w:val="none"/>
        </w:rPr>
        <w:t>除以上响应表所列情况外，</w:t>
      </w:r>
      <w:r>
        <w:rPr>
          <w:rFonts w:hint="eastAsia" w:ascii="宋体" w:hAnsi="宋体" w:eastAsia="宋体" w:cs="宋体"/>
          <w:sz w:val="24"/>
          <w:szCs w:val="24"/>
          <w:highlight w:val="none"/>
        </w:rPr>
        <w:t>我方响应情况全部为“无偏离”。</w:t>
      </w:r>
    </w:p>
    <w:p w14:paraId="2BE6DDED">
      <w:pPr>
        <w:shd w:val="clear"/>
        <w:spacing w:line="360" w:lineRule="auto"/>
        <w:ind w:firstLine="4800" w:firstLineChars="2000"/>
        <w:rPr>
          <w:rFonts w:ascii="宋体" w:hAnsi="宋体" w:eastAsia="宋体" w:cs="宋体"/>
          <w:sz w:val="24"/>
          <w:szCs w:val="24"/>
          <w:highlight w:val="none"/>
        </w:rPr>
      </w:pPr>
      <w:r>
        <w:rPr>
          <w:rFonts w:hint="eastAsia" w:ascii="宋体" w:hAnsi="宋体" w:eastAsia="宋体" w:cs="宋体"/>
          <w:sz w:val="24"/>
          <w:szCs w:val="24"/>
          <w:highlight w:val="none"/>
        </w:rPr>
        <w:t xml:space="preserve"> </w:t>
      </w:r>
    </w:p>
    <w:p w14:paraId="6A3297FC">
      <w:pPr>
        <w:shd w:val="clear"/>
        <w:spacing w:line="360" w:lineRule="auto"/>
        <w:ind w:firstLine="4320" w:firstLineChars="1800"/>
        <w:jc w:val="center"/>
        <w:rPr>
          <w:rFonts w:ascii="宋体" w:hAnsi="宋体" w:eastAsia="宋体" w:cs="宋体"/>
          <w:bCs/>
          <w:sz w:val="24"/>
          <w:szCs w:val="24"/>
          <w:highlight w:val="none"/>
          <w:u w:val="single"/>
        </w:rPr>
      </w:pPr>
      <w:r>
        <w:rPr>
          <w:rFonts w:hint="eastAsia" w:ascii="宋体" w:hAnsi="宋体" w:eastAsia="宋体" w:cs="宋体"/>
          <w:bCs/>
          <w:sz w:val="24"/>
          <w:szCs w:val="24"/>
          <w:highlight w:val="none"/>
        </w:rPr>
        <w:t>投标人电子签章：</w:t>
      </w:r>
      <w:r>
        <w:rPr>
          <w:rFonts w:hint="eastAsia" w:ascii="宋体" w:hAnsi="宋体" w:eastAsia="宋体" w:cs="宋体"/>
          <w:bCs/>
          <w:sz w:val="24"/>
          <w:szCs w:val="24"/>
          <w:highlight w:val="none"/>
          <w:u w:val="single"/>
        </w:rPr>
        <w:t xml:space="preserve">            </w:t>
      </w:r>
    </w:p>
    <w:p w14:paraId="601D268C">
      <w:pPr>
        <w:shd w:val="clear"/>
        <w:spacing w:line="360" w:lineRule="auto"/>
        <w:ind w:firstLine="4320" w:firstLineChars="1800"/>
        <w:jc w:val="center"/>
        <w:rPr>
          <w:rFonts w:ascii="宋体" w:hAnsi="宋体" w:eastAsia="宋体" w:cs="宋体"/>
          <w:bCs/>
          <w:sz w:val="24"/>
          <w:szCs w:val="24"/>
          <w:highlight w:val="none"/>
        </w:rPr>
      </w:pPr>
      <w:r>
        <w:rPr>
          <w:rFonts w:hint="eastAsia" w:ascii="宋体" w:hAnsi="宋体" w:eastAsia="宋体" w:cs="宋体"/>
          <w:bCs/>
          <w:sz w:val="24"/>
          <w:szCs w:val="24"/>
          <w:highlight w:val="none"/>
        </w:rPr>
        <w:t>日         期：</w:t>
      </w:r>
      <w:r>
        <w:rPr>
          <w:rFonts w:hint="eastAsia" w:ascii="宋体" w:hAnsi="宋体" w:eastAsia="宋体" w:cs="宋体"/>
          <w:bCs/>
          <w:sz w:val="24"/>
          <w:szCs w:val="24"/>
          <w:highlight w:val="none"/>
          <w:u w:val="single"/>
        </w:rPr>
        <w:t xml:space="preserve">             </w:t>
      </w:r>
    </w:p>
    <w:p w14:paraId="6CD9BCEB">
      <w:pPr>
        <w:shd w:val="clear"/>
        <w:adjustRightInd w:val="0"/>
        <w:snapToGrid w:val="0"/>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注：</w:t>
      </w:r>
    </w:p>
    <w:p w14:paraId="13239B4F">
      <w:pPr>
        <w:shd w:val="clear"/>
        <w:adjustRightInd w:val="0"/>
        <w:snapToGrid w:val="0"/>
        <w:spacing w:line="360" w:lineRule="auto"/>
        <w:ind w:firstLine="480" w:firstLineChars="200"/>
        <w:jc w:val="left"/>
        <w:rPr>
          <w:rFonts w:ascii="宋体" w:hAnsi="宋体" w:eastAsia="宋体" w:cs="宋体"/>
          <w:sz w:val="24"/>
          <w:szCs w:val="24"/>
          <w:highlight w:val="none"/>
        </w:rPr>
      </w:pPr>
      <w:r>
        <w:rPr>
          <w:rFonts w:hint="eastAsia" w:ascii="宋体" w:hAnsi="宋体" w:eastAsia="宋体" w:cs="宋体"/>
          <w:sz w:val="24"/>
          <w:szCs w:val="24"/>
          <w:highlight w:val="none"/>
        </w:rPr>
        <w:t>1.“无偏离”指与招标文件要求一致，“正偏离”指优于招标文件要求；“负偏离”指低于招标文件要求。</w:t>
      </w:r>
    </w:p>
    <w:p w14:paraId="22654D4B">
      <w:pPr>
        <w:shd w:val="clear"/>
        <w:adjustRightInd w:val="0"/>
        <w:snapToGrid w:val="0"/>
        <w:spacing w:line="360" w:lineRule="auto"/>
        <w:ind w:firstLine="480" w:firstLineChars="200"/>
        <w:rPr>
          <w:rFonts w:ascii="宋体" w:hAnsi="宋体" w:eastAsia="宋体" w:cs="宋体"/>
          <w:sz w:val="24"/>
          <w:szCs w:val="24"/>
          <w:highlight w:val="none"/>
        </w:rPr>
      </w:pPr>
      <w:r>
        <w:rPr>
          <w:rFonts w:hint="eastAsia" w:ascii="宋体" w:hAnsi="宋体" w:eastAsia="宋体" w:cs="宋体"/>
          <w:sz w:val="24"/>
          <w:szCs w:val="24"/>
          <w:highlight w:val="none"/>
        </w:rPr>
        <w:t>2.无论正偏离或负偏离，投标人均需在“所投产品的品牌、型号及技术参数”一栏中列明响应的详细内容，否则视同投标人响应情况为“无偏离”。</w:t>
      </w:r>
    </w:p>
    <w:p w14:paraId="5AE46CC2">
      <w:pPr>
        <w:shd w:val="clear"/>
        <w:adjustRightInd w:val="0"/>
        <w:snapToGrid w:val="0"/>
        <w:spacing w:line="360" w:lineRule="auto"/>
        <w:ind w:firstLine="482" w:firstLineChars="200"/>
        <w:rPr>
          <w:rFonts w:ascii="宋体" w:hAnsi="宋体" w:eastAsia="宋体"/>
          <w:sz w:val="24"/>
          <w:szCs w:val="24"/>
          <w:highlight w:val="none"/>
          <w:u w:val="single"/>
        </w:rPr>
      </w:pPr>
      <w:r>
        <w:rPr>
          <w:rFonts w:hint="eastAsia" w:ascii="宋体" w:hAnsi="宋体" w:eastAsia="宋体" w:cs="宋体"/>
          <w:b/>
          <w:sz w:val="24"/>
          <w:szCs w:val="24"/>
          <w:highlight w:val="none"/>
        </w:rPr>
        <w:t>3.如投标人未在上述响应表中填写内容，视同投标人响应情况为“无偏离”。</w:t>
      </w:r>
    </w:p>
    <w:p w14:paraId="180D7F4F">
      <w:pPr>
        <w:pStyle w:val="13"/>
        <w:shd w:val="clear"/>
        <w:spacing w:line="360" w:lineRule="auto"/>
        <w:rPr>
          <w:rFonts w:asciiTheme="minorEastAsia" w:hAnsiTheme="minorEastAsia" w:eastAsiaTheme="minorEastAsia"/>
          <w:b w:val="0"/>
          <w:sz w:val="24"/>
          <w:highlight w:val="none"/>
        </w:rPr>
      </w:pPr>
      <w:r>
        <w:rPr>
          <w:rFonts w:asciiTheme="minorEastAsia" w:hAnsiTheme="minorEastAsia" w:eastAsiaTheme="minorEastAsia"/>
          <w:b w:val="0"/>
          <w:sz w:val="24"/>
          <w:highlight w:val="none"/>
        </w:rPr>
        <w:br w:type="page"/>
      </w:r>
    </w:p>
    <w:p w14:paraId="5A043951">
      <w:pPr>
        <w:shd w:val="clear"/>
        <w:spacing w:line="360" w:lineRule="auto"/>
        <w:jc w:val="center"/>
        <w:outlineLvl w:val="1"/>
        <w:rPr>
          <w:rFonts w:asciiTheme="minorEastAsia" w:hAnsiTheme="minorEastAsia" w:eastAsiaTheme="minorEastAsia"/>
          <w:b/>
          <w:sz w:val="24"/>
          <w:highlight w:val="none"/>
        </w:rPr>
      </w:pPr>
      <w:bookmarkStart w:id="259" w:name="_Toc31000"/>
      <w:bookmarkStart w:id="260" w:name="_Toc11594"/>
      <w:r>
        <w:rPr>
          <w:rFonts w:hint="eastAsia" w:asciiTheme="minorEastAsia" w:hAnsiTheme="minorEastAsia" w:eastAsiaTheme="minorEastAsia"/>
          <w:b/>
          <w:sz w:val="24"/>
          <w:highlight w:val="none"/>
        </w:rPr>
        <w:t>七、联合协议</w:t>
      </w:r>
      <w:bookmarkEnd w:id="259"/>
      <w:bookmarkEnd w:id="260"/>
      <w:r>
        <w:rPr>
          <w:rFonts w:hint="eastAsia" w:asciiTheme="minorEastAsia" w:hAnsiTheme="minorEastAsia" w:eastAsiaTheme="minorEastAsia"/>
          <w:b/>
          <w:sz w:val="24"/>
          <w:highlight w:val="none"/>
        </w:rPr>
        <w:t>（如有）</w:t>
      </w:r>
    </w:p>
    <w:p w14:paraId="67E88648">
      <w:pPr>
        <w:pStyle w:val="21"/>
        <w:shd w:val="clear"/>
        <w:spacing w:line="360" w:lineRule="auto"/>
        <w:rPr>
          <w:rFonts w:asciiTheme="minorEastAsia" w:hAnsiTheme="minorEastAsia" w:eastAsiaTheme="minorEastAsia"/>
          <w:sz w:val="24"/>
          <w:highlight w:val="none"/>
        </w:rPr>
      </w:pPr>
      <w:r>
        <w:rPr>
          <w:rFonts w:hint="eastAsia" w:ascii="宋体" w:hAnsi="宋体" w:eastAsia="宋体"/>
          <w:b w:val="0"/>
          <w:i/>
          <w:color w:val="FF0000"/>
          <w:sz w:val="24"/>
          <w:highlight w:val="none"/>
        </w:rPr>
        <w:t>（不允许联合体投标或未组成联合体投标，不需此件，</w:t>
      </w:r>
      <w:r>
        <w:rPr>
          <w:rFonts w:hint="eastAsia" w:ascii="宋体" w:hAnsi="宋体" w:eastAsia="宋体" w:cs="@仿宋_GB2312"/>
          <w:b w:val="0"/>
          <w:bCs w:val="0"/>
          <w:i/>
          <w:iCs/>
          <w:color w:val="FF0000"/>
          <w:sz w:val="24"/>
          <w:szCs w:val="18"/>
          <w:highlight w:val="none"/>
        </w:rPr>
        <w:t>请删去“联合协议”</w:t>
      </w:r>
      <w:r>
        <w:rPr>
          <w:rFonts w:hint="eastAsia" w:ascii="宋体" w:hAnsi="宋体" w:eastAsia="宋体"/>
          <w:b w:val="0"/>
          <w:i/>
          <w:color w:val="FF0000"/>
          <w:sz w:val="24"/>
          <w:highlight w:val="none"/>
        </w:rPr>
        <w:t>；允许联合体投标且投标人为联合体投标的，请将此件制成扫描件上传，同时删去本提示内容）</w:t>
      </w:r>
    </w:p>
    <w:p w14:paraId="4B9B844B">
      <w:pPr>
        <w:shd w:val="clear"/>
        <w:spacing w:line="360" w:lineRule="auto"/>
        <w:ind w:firstLine="435"/>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联合体成员一名称：</w:t>
      </w:r>
      <w:r>
        <w:rPr>
          <w:rFonts w:hint="eastAsia"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w:t>
      </w:r>
    </w:p>
    <w:p w14:paraId="1C620F45">
      <w:pPr>
        <w:shd w:val="clear"/>
        <w:spacing w:line="360" w:lineRule="auto"/>
        <w:ind w:firstLine="435"/>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联合体成员二名称：</w:t>
      </w:r>
      <w:r>
        <w:rPr>
          <w:rFonts w:hint="eastAsia"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w:t>
      </w:r>
    </w:p>
    <w:p w14:paraId="6667785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p w14:paraId="34E39E1B">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上述各成员单位经过友好协商，自愿组成</w:t>
      </w:r>
      <w:r>
        <w:rPr>
          <w:rFonts w:asciiTheme="minorEastAsia" w:hAnsiTheme="minorEastAsia" w:eastAsiaTheme="minorEastAsia"/>
          <w:sz w:val="24"/>
          <w:highlight w:val="none"/>
        </w:rPr>
        <w:t>联合体，共同参加</w:t>
      </w:r>
      <w:r>
        <w:rPr>
          <w:rFonts w:hint="eastAsia" w:asciiTheme="minorEastAsia" w:hAnsiTheme="minorEastAsia" w:eastAsiaTheme="minorEastAsia"/>
          <w:sz w:val="24"/>
          <w:highlight w:val="none"/>
        </w:rPr>
        <w:t>本项目的投标，</w:t>
      </w:r>
      <w:r>
        <w:rPr>
          <w:rFonts w:asciiTheme="minorEastAsia" w:hAnsiTheme="minorEastAsia" w:eastAsiaTheme="minorEastAsia"/>
          <w:sz w:val="24"/>
          <w:highlight w:val="none"/>
        </w:rPr>
        <w:t>现就联合体投标事宜订立如下协议：</w:t>
      </w:r>
    </w:p>
    <w:p w14:paraId="288E8B42">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（成员单位名称）为联合体牵头人。</w:t>
      </w:r>
    </w:p>
    <w:p w14:paraId="599E1D8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w:t>
      </w:r>
      <w:r>
        <w:rPr>
          <w:rFonts w:asciiTheme="minorEastAsia" w:hAnsiTheme="minorEastAsia" w:eastAsiaTheme="minorEastAsia"/>
          <w:sz w:val="24"/>
          <w:highlight w:val="none"/>
        </w:rPr>
        <w:t>.</w:t>
      </w:r>
      <w:r>
        <w:rPr>
          <w:rFonts w:hint="eastAsia" w:asciiTheme="minorEastAsia" w:hAnsiTheme="minorEastAsia" w:eastAsiaTheme="minorEastAsia"/>
          <w:sz w:val="24"/>
          <w:highlight w:val="none"/>
        </w:rPr>
        <w:t>在本项目投标阶段，联合体牵头人负责投标项目的一切组织、协调工作，并授权代理人以联合体的名义参加项目的投标，代理人在投标、开标、评标、合同签订过程中所签署的一切文件和处理与本次招标有关的一切事务，联合体各方均予以承认并承担法律责任。联合体中标后，联合体各方共同与采购人签订合同，就本项目对采购人承担连带责任。</w:t>
      </w:r>
    </w:p>
    <w:p w14:paraId="4C27F8BD">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w:t>
      </w:r>
      <w:r>
        <w:rPr>
          <w:rFonts w:asciiTheme="minorEastAsia" w:hAnsiTheme="minorEastAsia" w:eastAsiaTheme="minorEastAsia"/>
          <w:sz w:val="24"/>
          <w:highlight w:val="none"/>
        </w:rPr>
        <w:t>.联合体各成员单位内部的职责分工</w:t>
      </w:r>
      <w:r>
        <w:rPr>
          <w:rFonts w:hint="eastAsia" w:asciiTheme="minorEastAsia" w:hAnsiTheme="minorEastAsia" w:eastAsiaTheme="minorEastAsia"/>
          <w:sz w:val="24"/>
          <w:highlight w:val="none"/>
        </w:rPr>
        <w:t>及各方负责内容的合同金额占总合同金额的百分比</w:t>
      </w:r>
      <w:r>
        <w:rPr>
          <w:rFonts w:asciiTheme="minorEastAsia" w:hAnsiTheme="minorEastAsia" w:eastAsiaTheme="minorEastAsia"/>
          <w:sz w:val="24"/>
          <w:highlight w:val="none"/>
        </w:rPr>
        <w:t>如下：</w:t>
      </w:r>
    </w:p>
    <w:p w14:paraId="4178E291">
      <w:pPr>
        <w:shd w:val="clear"/>
        <w:spacing w:line="360" w:lineRule="auto"/>
        <w:ind w:firstLine="435"/>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联合体成员一名称：</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，承担</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工作，负责内容的合同金额占总合同金额的百分比：</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w:t>
      </w:r>
    </w:p>
    <w:p w14:paraId="6C8D0771">
      <w:pPr>
        <w:shd w:val="clear"/>
        <w:spacing w:line="360" w:lineRule="auto"/>
        <w:ind w:firstLine="435"/>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联合体成员二名称：</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，承担</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工作，负责内容的合同金额占总合同金额的百分比：</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w:t>
      </w:r>
    </w:p>
    <w:p w14:paraId="2542C534">
      <w:pPr>
        <w:shd w:val="clear"/>
        <w:spacing w:line="360" w:lineRule="auto"/>
        <w:ind w:firstLine="435"/>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w:t>
      </w:r>
    </w:p>
    <w:p w14:paraId="023E688D">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4．投标工作和联合体在中标后</w:t>
      </w:r>
      <w:r>
        <w:rPr>
          <w:rFonts w:hint="eastAsia" w:asciiTheme="minorEastAsia" w:hAnsiTheme="minorEastAsia" w:eastAsiaTheme="minorEastAsia"/>
          <w:sz w:val="24"/>
          <w:highlight w:val="none"/>
        </w:rPr>
        <w:t>项目</w:t>
      </w:r>
      <w:r>
        <w:rPr>
          <w:rFonts w:asciiTheme="minorEastAsia" w:hAnsiTheme="minorEastAsia" w:eastAsiaTheme="minorEastAsia"/>
          <w:sz w:val="24"/>
          <w:highlight w:val="none"/>
        </w:rPr>
        <w:t>实施过程中的有关费用按各自承担的工作量分摊。</w:t>
      </w:r>
    </w:p>
    <w:p w14:paraId="52E28DE2">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5．联合体中标后，本联合协议是合同的附件，对联合体各成员单位有合同约束力。</w:t>
      </w:r>
    </w:p>
    <w:p w14:paraId="07909826">
      <w:pPr>
        <w:shd w:val="clear"/>
        <w:spacing w:line="360" w:lineRule="auto"/>
        <w:ind w:firstLine="435"/>
        <w:rPr>
          <w:rFonts w:asciiTheme="minorEastAsia" w:hAnsiTheme="minorEastAsia" w:eastAsiaTheme="minorEastAsia"/>
          <w:sz w:val="24"/>
          <w:highlight w:val="none"/>
        </w:rPr>
      </w:pPr>
      <w:r>
        <w:rPr>
          <w:rFonts w:asciiTheme="minorEastAsia" w:hAnsiTheme="minorEastAsia" w:eastAsiaTheme="minorEastAsia"/>
          <w:sz w:val="24"/>
          <w:highlight w:val="none"/>
        </w:rPr>
        <w:t>6．本协议书自签署之日起生效，联合体未中标或者合同履行完毕后自动失效。</w:t>
      </w:r>
    </w:p>
    <w:p w14:paraId="372B0C3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联合体成员一：</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（公章）</w:t>
      </w:r>
    </w:p>
    <w:p w14:paraId="336DABA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法定代表人：</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（签字或盖章）</w:t>
      </w:r>
    </w:p>
    <w:p w14:paraId="5AA1EC0A">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联合体成员二：</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（公章）</w:t>
      </w:r>
    </w:p>
    <w:p w14:paraId="1520CEFA">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法定代表人：</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（签字或盖章）</w:t>
      </w:r>
    </w:p>
    <w:p w14:paraId="5D4324DC">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w:t>
      </w:r>
    </w:p>
    <w:p w14:paraId="3C482367">
      <w:pPr>
        <w:shd w:val="clear"/>
        <w:spacing w:line="360" w:lineRule="auto"/>
        <w:ind w:right="480" w:firstLine="4680" w:firstLineChars="1950"/>
        <w:rPr>
          <w:rFonts w:asciiTheme="minorEastAsia" w:hAnsiTheme="minorEastAsia" w:eastAsiaTheme="minorEastAsia"/>
          <w:sz w:val="24"/>
          <w:highlight w:val="none"/>
        </w:rPr>
      </w:pPr>
      <w:r>
        <w:rPr>
          <w:rFonts w:hint="eastAsia" w:asciiTheme="minorEastAsia" w:hAnsiTheme="minorEastAsia" w:eastAsiaTheme="minorEastAsia"/>
          <w:sz w:val="24"/>
          <w:highlight w:val="none"/>
        </w:rPr>
        <w:t>签订日期:</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年</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月</w:t>
      </w:r>
      <w:r>
        <w:rPr>
          <w:rFonts w:hint="eastAsia"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rPr>
        <w:t>日</w:t>
      </w:r>
    </w:p>
    <w:p w14:paraId="0D460E8F">
      <w:pPr>
        <w:shd w:val="clear"/>
        <w:rPr>
          <w:rFonts w:asciiTheme="minorEastAsia" w:hAnsiTheme="minorEastAsia" w:eastAsiaTheme="minorEastAsia"/>
          <w:sz w:val="28"/>
          <w:highlight w:val="none"/>
        </w:rPr>
      </w:pPr>
      <w:r>
        <w:rPr>
          <w:rFonts w:asciiTheme="minorEastAsia" w:hAnsiTheme="minorEastAsia" w:eastAsiaTheme="minorEastAsia"/>
          <w:sz w:val="28"/>
          <w:highlight w:val="none"/>
        </w:rPr>
        <w:br w:type="page"/>
      </w:r>
    </w:p>
    <w:p w14:paraId="45CB4A2C">
      <w:pPr>
        <w:widowControl/>
        <w:shd w:val="clear"/>
        <w:jc w:val="left"/>
        <w:rPr>
          <w:rFonts w:asciiTheme="minorEastAsia" w:hAnsiTheme="minorEastAsia" w:eastAsiaTheme="minorEastAsia"/>
          <w:sz w:val="24"/>
          <w:highlight w:val="none"/>
        </w:rPr>
      </w:pPr>
    </w:p>
    <w:p w14:paraId="06F065E8">
      <w:pPr>
        <w:shd w:val="clear"/>
        <w:spacing w:line="360" w:lineRule="auto"/>
        <w:jc w:val="center"/>
        <w:outlineLvl w:val="1"/>
        <w:rPr>
          <w:rFonts w:asciiTheme="minorEastAsia" w:hAnsiTheme="minorEastAsia" w:eastAsiaTheme="minorEastAsia"/>
          <w:b/>
          <w:sz w:val="24"/>
          <w:highlight w:val="none"/>
        </w:rPr>
      </w:pPr>
      <w:bookmarkStart w:id="261" w:name="_Toc9573"/>
      <w:bookmarkStart w:id="262" w:name="_Toc31244"/>
      <w:bookmarkStart w:id="263" w:name="OLE_LINK13"/>
      <w:bookmarkStart w:id="264" w:name="OLE_LINK14"/>
      <w:r>
        <w:rPr>
          <w:rFonts w:hint="eastAsia" w:asciiTheme="minorEastAsia" w:hAnsiTheme="minorEastAsia" w:eastAsiaTheme="minorEastAsia"/>
          <w:b/>
          <w:sz w:val="24"/>
          <w:highlight w:val="none"/>
        </w:rPr>
        <w:t>八、中小企业声明函</w:t>
      </w:r>
      <w:bookmarkEnd w:id="261"/>
      <w:bookmarkEnd w:id="262"/>
    </w:p>
    <w:p w14:paraId="745ACDA4">
      <w:pPr>
        <w:pStyle w:val="8"/>
        <w:shd w:val="clear"/>
        <w:spacing w:line="360" w:lineRule="auto"/>
        <w:jc w:val="center"/>
        <w:rPr>
          <w:rFonts w:ascii="宋体" w:hAnsi="宋体" w:eastAsia="宋体"/>
          <w:i/>
          <w:color w:val="FF0000"/>
          <w:sz w:val="24"/>
          <w:highlight w:val="none"/>
          <w:lang w:val="en-US"/>
        </w:rPr>
      </w:pPr>
      <w:r>
        <w:rPr>
          <w:rFonts w:hint="eastAsia" w:ascii="宋体" w:hAnsi="宋体" w:eastAsia="宋体"/>
          <w:i/>
          <w:color w:val="FF0000"/>
          <w:sz w:val="24"/>
          <w:highlight w:val="none"/>
          <w:lang w:val="en-US"/>
        </w:rPr>
        <w:t>（</w:t>
      </w:r>
      <w:r>
        <w:rPr>
          <w:rFonts w:hint="eastAsia" w:ascii="宋体" w:hAnsi="宋体" w:eastAsia="宋体"/>
          <w:i/>
          <w:color w:val="FF0000"/>
          <w:sz w:val="24"/>
          <w:highlight w:val="none"/>
        </w:rPr>
        <w:t>非中小企业投标</w:t>
      </w:r>
      <w:r>
        <w:rPr>
          <w:rFonts w:hint="eastAsia" w:ascii="宋体" w:hAnsi="宋体" w:eastAsia="宋体"/>
          <w:i/>
          <w:color w:val="FF0000"/>
          <w:sz w:val="24"/>
          <w:highlight w:val="none"/>
          <w:lang w:val="en-US"/>
        </w:rPr>
        <w:t>，不需此件，请删去“中小企业声明函”）</w:t>
      </w:r>
    </w:p>
    <w:p w14:paraId="7313C946">
      <w:pPr>
        <w:shd w:val="clear"/>
        <w:rPr>
          <w:rFonts w:asciiTheme="minorEastAsia" w:hAnsiTheme="minorEastAsia" w:eastAsiaTheme="minorEastAsia"/>
          <w:sz w:val="24"/>
          <w:szCs w:val="24"/>
          <w:highlight w:val="none"/>
        </w:rPr>
      </w:pPr>
    </w:p>
    <w:p w14:paraId="1FAB130D">
      <w:pPr>
        <w:shd w:val="clear"/>
        <w:spacing w:line="360" w:lineRule="auto"/>
        <w:ind w:firstLine="435"/>
        <w:rPr>
          <w:rFonts w:ascii="宋体" w:hAnsi="宋体" w:eastAsia="宋体"/>
          <w:sz w:val="24"/>
          <w:szCs w:val="24"/>
          <w:highlight w:val="none"/>
          <w:lang w:val="zh-CN"/>
        </w:rPr>
      </w:pPr>
      <w:r>
        <w:rPr>
          <w:rFonts w:hint="eastAsia" w:ascii="宋体" w:hAnsi="宋体" w:eastAsia="宋体"/>
          <w:sz w:val="24"/>
          <w:szCs w:val="24"/>
          <w:highlight w:val="none"/>
          <w:lang w:val="zh-CN"/>
        </w:rPr>
        <w:t>本公司（联合体）郑重声明，根据《政府采购促进中小企业发展管理办法》（财库﹝2020﹞46号）的规定，本公司（联合体）参加</w:t>
      </w:r>
      <w:r>
        <w:rPr>
          <w:rFonts w:hint="eastAsia" w:ascii="宋体" w:hAnsi="宋体" w:eastAsia="宋体"/>
          <w:sz w:val="24"/>
          <w:szCs w:val="24"/>
          <w:highlight w:val="none"/>
          <w:u w:val="single"/>
        </w:rPr>
        <w:t>安徽中医药大学第二附属医院</w:t>
      </w:r>
      <w:r>
        <w:rPr>
          <w:rFonts w:hint="eastAsia" w:ascii="宋体" w:hAnsi="宋体" w:eastAsia="宋体"/>
          <w:sz w:val="24"/>
          <w:szCs w:val="24"/>
          <w:highlight w:val="none"/>
          <w:u w:val="single"/>
          <w:lang w:val="zh-CN"/>
        </w:rPr>
        <w:t>（单位</w:t>
      </w:r>
      <w:r>
        <w:rPr>
          <w:rFonts w:hint="eastAsia" w:ascii="宋体" w:hAnsi="宋体" w:eastAsia="宋体"/>
          <w:sz w:val="24"/>
          <w:szCs w:val="24"/>
          <w:highlight w:val="none"/>
          <w:u w:val="single"/>
        </w:rPr>
        <w:t>名称</w:t>
      </w:r>
      <w:r>
        <w:rPr>
          <w:rFonts w:hint="eastAsia" w:ascii="宋体" w:hAnsi="宋体" w:eastAsia="宋体"/>
          <w:sz w:val="24"/>
          <w:szCs w:val="24"/>
          <w:highlight w:val="none"/>
          <w:u w:val="single"/>
          <w:lang w:val="zh-CN"/>
        </w:rPr>
        <w:t>）</w:t>
      </w:r>
      <w:r>
        <w:rPr>
          <w:rFonts w:hint="eastAsia" w:ascii="宋体" w:hAnsi="宋体" w:eastAsia="宋体"/>
          <w:sz w:val="24"/>
          <w:szCs w:val="24"/>
          <w:highlight w:val="none"/>
          <w:lang w:val="zh-CN"/>
        </w:rPr>
        <w:t>的</w:t>
      </w:r>
      <w:r>
        <w:rPr>
          <w:rFonts w:hint="eastAsia" w:ascii="宋体" w:hAnsi="宋体" w:eastAsia="宋体"/>
          <w:sz w:val="24"/>
          <w:szCs w:val="24"/>
          <w:highlight w:val="none"/>
          <w:u w:val="single"/>
          <w:lang w:val="zh-CN"/>
        </w:rPr>
        <w:t>安徽中医药大学第二附属医院智慧中药房建设系统采购项目（项目</w:t>
      </w:r>
      <w:r>
        <w:rPr>
          <w:rFonts w:hint="eastAsia" w:ascii="宋体" w:hAnsi="宋体" w:eastAsia="宋体"/>
          <w:sz w:val="24"/>
          <w:szCs w:val="24"/>
          <w:highlight w:val="none"/>
          <w:u w:val="single"/>
        </w:rPr>
        <w:t>名称</w:t>
      </w:r>
      <w:r>
        <w:rPr>
          <w:rFonts w:hint="eastAsia" w:ascii="宋体" w:hAnsi="宋体" w:eastAsia="宋体"/>
          <w:sz w:val="24"/>
          <w:szCs w:val="24"/>
          <w:highlight w:val="none"/>
          <w:u w:val="single"/>
          <w:lang w:val="zh-CN"/>
        </w:rPr>
        <w:t>）</w:t>
      </w:r>
      <w:r>
        <w:rPr>
          <w:rFonts w:hint="eastAsia" w:ascii="宋体" w:hAnsi="宋体" w:eastAsia="宋体"/>
          <w:sz w:val="24"/>
          <w:szCs w:val="24"/>
          <w:highlight w:val="none"/>
          <w:lang w:val="zh-CN"/>
        </w:rPr>
        <w:t xml:space="preserve">采购活动，提供的货物全部由符合政策要求的中小企业制造。相关企业（含联合体中的中小企业、签订分包意向协议的中小企业）的具体情况如下： </w:t>
      </w:r>
    </w:p>
    <w:p w14:paraId="16ADC880">
      <w:pPr>
        <w:shd w:val="clear"/>
        <w:spacing w:line="360" w:lineRule="auto"/>
        <w:ind w:firstLine="435"/>
        <w:rPr>
          <w:rFonts w:ascii="宋体" w:hAnsi="宋体" w:eastAsia="宋体"/>
          <w:sz w:val="24"/>
          <w:szCs w:val="24"/>
          <w:highlight w:val="none"/>
          <w:lang w:val="zh-CN"/>
        </w:rPr>
      </w:pPr>
      <w:r>
        <w:rPr>
          <w:rFonts w:hint="eastAsia" w:ascii="宋体" w:hAnsi="宋体" w:eastAsia="宋体"/>
          <w:sz w:val="24"/>
          <w:szCs w:val="24"/>
          <w:highlight w:val="none"/>
          <w:lang w:val="zh-CN"/>
        </w:rPr>
        <w:t>1.</w:t>
      </w:r>
      <w:r>
        <w:rPr>
          <w:rFonts w:hint="eastAsia" w:ascii="宋体" w:hAnsi="宋体" w:eastAsia="宋体"/>
          <w:sz w:val="24"/>
          <w:szCs w:val="24"/>
          <w:highlight w:val="none"/>
          <w:u w:val="single"/>
          <w:lang w:val="zh-CN"/>
        </w:rPr>
        <w:t xml:space="preserve"> （标的名称） </w:t>
      </w:r>
      <w:r>
        <w:rPr>
          <w:rFonts w:hint="eastAsia" w:ascii="宋体" w:hAnsi="宋体" w:eastAsia="宋体"/>
          <w:sz w:val="24"/>
          <w:szCs w:val="24"/>
          <w:highlight w:val="none"/>
          <w:lang w:val="zh-CN"/>
        </w:rPr>
        <w:t>，属于</w:t>
      </w:r>
      <w:r>
        <w:rPr>
          <w:rFonts w:hint="eastAsia" w:ascii="宋体" w:hAnsi="宋体" w:eastAsia="宋体"/>
          <w:sz w:val="24"/>
          <w:szCs w:val="24"/>
          <w:highlight w:val="none"/>
          <w:u w:val="single"/>
          <w:lang w:val="zh-CN"/>
        </w:rPr>
        <w:t>（采购文件中明确的所属行业）</w:t>
      </w:r>
      <w:r>
        <w:rPr>
          <w:rFonts w:hint="eastAsia" w:ascii="宋体" w:hAnsi="宋体" w:eastAsia="宋体"/>
          <w:sz w:val="24"/>
          <w:szCs w:val="24"/>
          <w:highlight w:val="none"/>
          <w:lang w:val="zh-CN"/>
        </w:rPr>
        <w:t>行业；制造商为</w:t>
      </w:r>
      <w:r>
        <w:rPr>
          <w:rFonts w:hint="eastAsia" w:ascii="宋体" w:hAnsi="宋体" w:eastAsia="宋体"/>
          <w:sz w:val="24"/>
          <w:szCs w:val="24"/>
          <w:highlight w:val="none"/>
          <w:u w:val="single"/>
          <w:lang w:val="zh-CN"/>
        </w:rPr>
        <w:t>（企业名称）</w:t>
      </w:r>
      <w:r>
        <w:rPr>
          <w:rFonts w:hint="eastAsia" w:ascii="宋体" w:hAnsi="宋体" w:eastAsia="宋体"/>
          <w:sz w:val="24"/>
          <w:szCs w:val="24"/>
          <w:highlight w:val="none"/>
          <w:lang w:val="zh-CN"/>
        </w:rPr>
        <w:t>，从业人员</w:t>
      </w:r>
      <w:r>
        <w:rPr>
          <w:rFonts w:hint="eastAsia" w:ascii="宋体" w:hAnsi="宋体" w:eastAsia="宋体"/>
          <w:sz w:val="24"/>
          <w:szCs w:val="24"/>
          <w:highlight w:val="none"/>
          <w:u w:val="single"/>
          <w:lang w:val="zh-CN"/>
        </w:rPr>
        <w:t xml:space="preserve">     </w:t>
      </w:r>
      <w:r>
        <w:rPr>
          <w:rFonts w:hint="eastAsia" w:ascii="宋体" w:hAnsi="宋体" w:eastAsia="宋体"/>
          <w:sz w:val="24"/>
          <w:szCs w:val="24"/>
          <w:highlight w:val="none"/>
          <w:lang w:val="zh-CN"/>
        </w:rPr>
        <w:t>人，营业收入为</w:t>
      </w:r>
      <w:r>
        <w:rPr>
          <w:rFonts w:hint="eastAsia" w:ascii="宋体" w:hAnsi="宋体" w:eastAsia="宋体"/>
          <w:sz w:val="24"/>
          <w:szCs w:val="24"/>
          <w:highlight w:val="none"/>
          <w:u w:val="single"/>
          <w:lang w:val="zh-CN"/>
        </w:rPr>
        <w:t xml:space="preserve">     </w:t>
      </w:r>
      <w:r>
        <w:rPr>
          <w:rFonts w:hint="eastAsia" w:ascii="宋体" w:hAnsi="宋体" w:eastAsia="宋体"/>
          <w:sz w:val="24"/>
          <w:szCs w:val="24"/>
          <w:highlight w:val="none"/>
          <w:lang w:val="zh-CN"/>
        </w:rPr>
        <w:t>万元，资产总额为</w:t>
      </w:r>
      <w:r>
        <w:rPr>
          <w:rFonts w:hint="eastAsia" w:ascii="宋体" w:hAnsi="宋体" w:eastAsia="宋体"/>
          <w:sz w:val="24"/>
          <w:szCs w:val="24"/>
          <w:highlight w:val="none"/>
          <w:u w:val="single"/>
          <w:lang w:val="zh-CN"/>
        </w:rPr>
        <w:t xml:space="preserve">     </w:t>
      </w:r>
      <w:r>
        <w:rPr>
          <w:rFonts w:hint="eastAsia" w:ascii="宋体" w:hAnsi="宋体" w:eastAsia="宋体"/>
          <w:sz w:val="24"/>
          <w:szCs w:val="24"/>
          <w:highlight w:val="none"/>
          <w:lang w:val="zh-CN"/>
        </w:rPr>
        <w:t>万元，属于</w:t>
      </w:r>
      <w:r>
        <w:rPr>
          <w:rFonts w:hint="eastAsia" w:ascii="宋体" w:hAnsi="宋体" w:eastAsia="宋体"/>
          <w:sz w:val="24"/>
          <w:szCs w:val="24"/>
          <w:highlight w:val="none"/>
          <w:u w:val="single"/>
          <w:lang w:val="zh-CN"/>
        </w:rPr>
        <w:t>（中型企业、小型企业、微型企业）</w:t>
      </w:r>
      <w:r>
        <w:rPr>
          <w:rFonts w:hint="eastAsia" w:ascii="宋体" w:hAnsi="宋体" w:eastAsia="宋体"/>
          <w:sz w:val="24"/>
          <w:szCs w:val="24"/>
          <w:highlight w:val="none"/>
          <w:lang w:val="zh-CN"/>
        </w:rPr>
        <w:t xml:space="preserve">； </w:t>
      </w:r>
    </w:p>
    <w:p w14:paraId="3DB835B6">
      <w:pPr>
        <w:shd w:val="clear"/>
        <w:spacing w:line="360" w:lineRule="auto"/>
        <w:ind w:firstLine="435"/>
        <w:rPr>
          <w:rFonts w:ascii="宋体" w:hAnsi="宋体" w:eastAsia="宋体"/>
          <w:sz w:val="24"/>
          <w:szCs w:val="24"/>
          <w:highlight w:val="none"/>
          <w:lang w:val="zh-CN"/>
        </w:rPr>
      </w:pPr>
      <w:r>
        <w:rPr>
          <w:rFonts w:hint="eastAsia" w:ascii="宋体" w:hAnsi="宋体" w:eastAsia="宋体"/>
          <w:sz w:val="24"/>
          <w:szCs w:val="24"/>
          <w:highlight w:val="none"/>
          <w:lang w:val="zh-CN"/>
        </w:rPr>
        <w:t>2.</w:t>
      </w:r>
      <w:r>
        <w:rPr>
          <w:rFonts w:hint="eastAsia" w:ascii="宋体" w:hAnsi="宋体" w:eastAsia="宋体"/>
          <w:sz w:val="24"/>
          <w:szCs w:val="24"/>
          <w:highlight w:val="none"/>
          <w:u w:val="single"/>
          <w:lang w:val="zh-CN"/>
        </w:rPr>
        <w:t xml:space="preserve"> （标的名称） </w:t>
      </w:r>
      <w:r>
        <w:rPr>
          <w:rFonts w:hint="eastAsia" w:ascii="宋体" w:hAnsi="宋体" w:eastAsia="宋体"/>
          <w:sz w:val="24"/>
          <w:szCs w:val="24"/>
          <w:highlight w:val="none"/>
          <w:lang w:val="zh-CN"/>
        </w:rPr>
        <w:t>，属于</w:t>
      </w:r>
      <w:r>
        <w:rPr>
          <w:rFonts w:hint="eastAsia" w:ascii="宋体" w:hAnsi="宋体" w:eastAsia="宋体"/>
          <w:sz w:val="24"/>
          <w:szCs w:val="24"/>
          <w:highlight w:val="none"/>
          <w:u w:val="single"/>
          <w:lang w:val="zh-CN"/>
        </w:rPr>
        <w:t>（采购文件中明确的所属行业）</w:t>
      </w:r>
      <w:r>
        <w:rPr>
          <w:rFonts w:hint="eastAsia" w:ascii="宋体" w:hAnsi="宋体" w:eastAsia="宋体"/>
          <w:sz w:val="24"/>
          <w:szCs w:val="24"/>
          <w:highlight w:val="none"/>
          <w:lang w:val="zh-CN"/>
        </w:rPr>
        <w:t>行业；制造商为</w:t>
      </w:r>
      <w:r>
        <w:rPr>
          <w:rFonts w:hint="eastAsia" w:ascii="宋体" w:hAnsi="宋体" w:eastAsia="宋体"/>
          <w:sz w:val="24"/>
          <w:szCs w:val="24"/>
          <w:highlight w:val="none"/>
          <w:u w:val="single"/>
          <w:lang w:val="zh-CN"/>
        </w:rPr>
        <w:t>（企业名称）</w:t>
      </w:r>
      <w:r>
        <w:rPr>
          <w:rFonts w:hint="eastAsia" w:ascii="宋体" w:hAnsi="宋体" w:eastAsia="宋体"/>
          <w:sz w:val="24"/>
          <w:szCs w:val="24"/>
          <w:highlight w:val="none"/>
          <w:lang w:val="zh-CN"/>
        </w:rPr>
        <w:t>，从业人员</w:t>
      </w:r>
      <w:r>
        <w:rPr>
          <w:rFonts w:hint="eastAsia" w:ascii="宋体" w:hAnsi="宋体" w:eastAsia="宋体"/>
          <w:sz w:val="24"/>
          <w:szCs w:val="24"/>
          <w:highlight w:val="none"/>
          <w:u w:val="single"/>
          <w:lang w:val="zh-CN"/>
        </w:rPr>
        <w:t xml:space="preserve">     </w:t>
      </w:r>
      <w:r>
        <w:rPr>
          <w:rFonts w:hint="eastAsia" w:ascii="宋体" w:hAnsi="宋体" w:eastAsia="宋体"/>
          <w:sz w:val="24"/>
          <w:szCs w:val="24"/>
          <w:highlight w:val="none"/>
          <w:lang w:val="zh-CN"/>
        </w:rPr>
        <w:t>人，营业收入为</w:t>
      </w:r>
      <w:r>
        <w:rPr>
          <w:rFonts w:hint="eastAsia" w:ascii="宋体" w:hAnsi="宋体" w:eastAsia="宋体"/>
          <w:sz w:val="24"/>
          <w:szCs w:val="24"/>
          <w:highlight w:val="none"/>
          <w:u w:val="single"/>
          <w:lang w:val="zh-CN"/>
        </w:rPr>
        <w:t xml:space="preserve">     </w:t>
      </w:r>
      <w:r>
        <w:rPr>
          <w:rFonts w:hint="eastAsia" w:ascii="宋体" w:hAnsi="宋体" w:eastAsia="宋体"/>
          <w:sz w:val="24"/>
          <w:szCs w:val="24"/>
          <w:highlight w:val="none"/>
          <w:lang w:val="zh-CN"/>
        </w:rPr>
        <w:t>万元，资产总额为</w:t>
      </w:r>
      <w:r>
        <w:rPr>
          <w:rFonts w:hint="eastAsia" w:ascii="宋体" w:hAnsi="宋体" w:eastAsia="宋体"/>
          <w:sz w:val="24"/>
          <w:szCs w:val="24"/>
          <w:highlight w:val="none"/>
          <w:u w:val="single"/>
          <w:lang w:val="zh-CN"/>
        </w:rPr>
        <w:t xml:space="preserve">     </w:t>
      </w:r>
      <w:r>
        <w:rPr>
          <w:rFonts w:hint="eastAsia" w:ascii="宋体" w:hAnsi="宋体" w:eastAsia="宋体"/>
          <w:sz w:val="24"/>
          <w:szCs w:val="24"/>
          <w:highlight w:val="none"/>
          <w:lang w:val="zh-CN"/>
        </w:rPr>
        <w:t>万元，属于</w:t>
      </w:r>
      <w:r>
        <w:rPr>
          <w:rFonts w:hint="eastAsia" w:ascii="宋体" w:hAnsi="宋体" w:eastAsia="宋体"/>
          <w:sz w:val="24"/>
          <w:szCs w:val="24"/>
          <w:highlight w:val="none"/>
          <w:u w:val="single"/>
          <w:lang w:val="zh-CN"/>
        </w:rPr>
        <w:t>（中型企业、小型企业、微型企业）</w:t>
      </w:r>
      <w:r>
        <w:rPr>
          <w:rFonts w:hint="eastAsia" w:ascii="宋体" w:hAnsi="宋体" w:eastAsia="宋体"/>
          <w:sz w:val="24"/>
          <w:szCs w:val="24"/>
          <w:highlight w:val="none"/>
          <w:lang w:val="zh-CN"/>
        </w:rPr>
        <w:t xml:space="preserve">； </w:t>
      </w:r>
    </w:p>
    <w:p w14:paraId="6959F9A2">
      <w:pPr>
        <w:shd w:val="clear"/>
        <w:spacing w:line="360" w:lineRule="auto"/>
        <w:ind w:firstLine="435"/>
        <w:rPr>
          <w:rFonts w:ascii="宋体" w:hAnsi="宋体" w:eastAsia="宋体"/>
          <w:sz w:val="24"/>
          <w:szCs w:val="24"/>
          <w:highlight w:val="none"/>
          <w:lang w:val="zh-CN"/>
        </w:rPr>
      </w:pPr>
      <w:r>
        <w:rPr>
          <w:rFonts w:hint="eastAsia" w:ascii="宋体" w:hAnsi="宋体" w:eastAsia="宋体"/>
          <w:sz w:val="24"/>
          <w:szCs w:val="24"/>
          <w:highlight w:val="none"/>
          <w:lang w:val="zh-CN"/>
        </w:rPr>
        <w:t>……</w:t>
      </w:r>
    </w:p>
    <w:p w14:paraId="7D550789">
      <w:pPr>
        <w:shd w:val="clear"/>
        <w:spacing w:line="360" w:lineRule="auto"/>
        <w:ind w:firstLine="435"/>
        <w:rPr>
          <w:rFonts w:ascii="宋体" w:hAnsi="宋体" w:eastAsia="宋体"/>
          <w:sz w:val="24"/>
          <w:szCs w:val="24"/>
          <w:highlight w:val="none"/>
          <w:lang w:val="zh-CN"/>
        </w:rPr>
      </w:pPr>
      <w:r>
        <w:rPr>
          <w:rFonts w:hint="eastAsia" w:ascii="宋体" w:hAnsi="宋体" w:eastAsia="宋体"/>
          <w:sz w:val="24"/>
          <w:szCs w:val="24"/>
          <w:highlight w:val="none"/>
          <w:lang w:val="zh-CN"/>
        </w:rPr>
        <w:t>以上企业，不属于大企业的分支机构，不存在控股股东为大企业的情形，也不存在与大企业的负责人为同一人的情形。</w:t>
      </w:r>
    </w:p>
    <w:p w14:paraId="43B63DEA">
      <w:pPr>
        <w:shd w:val="clear"/>
        <w:spacing w:line="360" w:lineRule="auto"/>
        <w:ind w:firstLine="435"/>
        <w:rPr>
          <w:rFonts w:ascii="宋体" w:hAnsi="宋体" w:eastAsia="宋体"/>
          <w:sz w:val="24"/>
          <w:szCs w:val="24"/>
          <w:highlight w:val="none"/>
          <w:lang w:val="zh-CN"/>
        </w:rPr>
      </w:pPr>
      <w:r>
        <w:rPr>
          <w:rFonts w:hint="eastAsia" w:ascii="宋体" w:hAnsi="宋体" w:eastAsia="宋体"/>
          <w:sz w:val="24"/>
          <w:szCs w:val="24"/>
          <w:highlight w:val="none"/>
          <w:lang w:val="zh-CN"/>
        </w:rPr>
        <w:t xml:space="preserve">本企业对上述声明内容的真实性负责。如有虚假，将依法承担相应责任。 </w:t>
      </w:r>
    </w:p>
    <w:p w14:paraId="3269841C">
      <w:pPr>
        <w:shd w:val="clear"/>
        <w:spacing w:line="360" w:lineRule="auto"/>
        <w:ind w:firstLine="435"/>
        <w:rPr>
          <w:rFonts w:asciiTheme="minorEastAsia" w:hAnsiTheme="minorEastAsia" w:eastAsiaTheme="minorEastAsia"/>
          <w:sz w:val="24"/>
          <w:szCs w:val="24"/>
          <w:highlight w:val="none"/>
        </w:rPr>
      </w:pPr>
    </w:p>
    <w:p w14:paraId="7E5A3731">
      <w:pPr>
        <w:shd w:val="clear"/>
        <w:spacing w:line="360" w:lineRule="auto"/>
        <w:ind w:firstLine="435"/>
        <w:rPr>
          <w:rFonts w:asciiTheme="minorEastAsia" w:hAnsiTheme="minorEastAsia" w:eastAsiaTheme="minorEastAsia"/>
          <w:sz w:val="24"/>
          <w:szCs w:val="24"/>
          <w:highlight w:val="none"/>
        </w:rPr>
      </w:pPr>
    </w:p>
    <w:p w14:paraId="09DFE9DA">
      <w:pPr>
        <w:shd w:val="clear"/>
        <w:spacing w:line="360" w:lineRule="auto"/>
        <w:ind w:firstLine="4228" w:firstLineChars="1762"/>
        <w:rPr>
          <w:rFonts w:asciiTheme="minorEastAsia" w:hAnsiTheme="minorEastAsia" w:eastAsiaTheme="minorEastAsia"/>
          <w:sz w:val="24"/>
          <w:szCs w:val="24"/>
          <w:highlight w:val="none"/>
          <w:u w:val="single"/>
        </w:rPr>
      </w:pPr>
      <w:r>
        <w:rPr>
          <w:rFonts w:hint="eastAsia" w:asciiTheme="minorEastAsia" w:hAnsiTheme="minorEastAsia" w:eastAsiaTheme="minorEastAsia"/>
          <w:sz w:val="24"/>
          <w:szCs w:val="24"/>
          <w:highlight w:val="none"/>
        </w:rPr>
        <w:t>投标人</w:t>
      </w:r>
      <w:r>
        <w:rPr>
          <w:rFonts w:asciiTheme="minorEastAsia" w:hAnsiTheme="minorEastAsia" w:eastAsiaTheme="minorEastAsia"/>
          <w:sz w:val="24"/>
          <w:szCs w:val="24"/>
          <w:highlight w:val="none"/>
        </w:rPr>
        <w:t>电子签章</w:t>
      </w:r>
      <w:r>
        <w:rPr>
          <w:rFonts w:hint="eastAsia" w:asciiTheme="minorEastAsia" w:hAnsiTheme="minorEastAsia" w:eastAsiaTheme="minorEastAsia"/>
          <w:sz w:val="24"/>
          <w:szCs w:val="24"/>
          <w:highlight w:val="none"/>
        </w:rPr>
        <w:t>：</w:t>
      </w:r>
      <w:r>
        <w:rPr>
          <w:rFonts w:asciiTheme="minorEastAsia" w:hAnsiTheme="minorEastAsia" w:eastAsiaTheme="minorEastAsia"/>
          <w:sz w:val="24"/>
          <w:szCs w:val="24"/>
          <w:highlight w:val="none"/>
          <w:u w:val="single"/>
        </w:rPr>
        <w:t xml:space="preserve">             </w:t>
      </w:r>
    </w:p>
    <w:p w14:paraId="720145CC">
      <w:pPr>
        <w:shd w:val="clear"/>
        <w:tabs>
          <w:tab w:val="left" w:pos="4620"/>
        </w:tabs>
        <w:spacing w:line="360" w:lineRule="auto"/>
        <w:ind w:firstLine="4252" w:firstLineChars="1772"/>
        <w:rPr>
          <w:rFonts w:asciiTheme="minorEastAsia" w:hAnsiTheme="minorEastAsia" w:eastAsiaTheme="minorEastAsia"/>
          <w:sz w:val="24"/>
          <w:szCs w:val="24"/>
          <w:highlight w:val="none"/>
          <w:u w:val="single"/>
        </w:rPr>
      </w:pPr>
      <w:r>
        <w:rPr>
          <w:rFonts w:hint="eastAsia" w:asciiTheme="minorEastAsia" w:hAnsiTheme="minorEastAsia" w:eastAsiaTheme="minorEastAsia"/>
          <w:sz w:val="24"/>
          <w:szCs w:val="24"/>
          <w:highlight w:val="none"/>
        </w:rPr>
        <w:t>日</w:t>
      </w:r>
      <w:r>
        <w:rPr>
          <w:rFonts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rPr>
        <w:t xml:space="preserve">    期：</w:t>
      </w:r>
      <w:r>
        <w:rPr>
          <w:rFonts w:asciiTheme="minorEastAsia" w:hAnsiTheme="minorEastAsia" w:eastAsiaTheme="minorEastAsia"/>
          <w:sz w:val="24"/>
          <w:szCs w:val="24"/>
          <w:highlight w:val="none"/>
          <w:u w:val="single"/>
        </w:rPr>
        <w:t xml:space="preserve">             </w:t>
      </w:r>
    </w:p>
    <w:p w14:paraId="6CAD3A32">
      <w:pPr>
        <w:shd w:val="clear"/>
        <w:tabs>
          <w:tab w:val="left" w:pos="4620"/>
        </w:tabs>
        <w:spacing w:line="360" w:lineRule="auto"/>
        <w:jc w:val="left"/>
        <w:rPr>
          <w:rFonts w:asciiTheme="minorEastAsia" w:hAnsiTheme="minorEastAsia" w:eastAsiaTheme="minorEastAsia"/>
          <w:sz w:val="24"/>
          <w:szCs w:val="24"/>
          <w:highlight w:val="none"/>
        </w:rPr>
      </w:pPr>
    </w:p>
    <w:p w14:paraId="263D840E">
      <w:pPr>
        <w:shd w:val="clear"/>
        <w:tabs>
          <w:tab w:val="left" w:pos="4620"/>
        </w:tabs>
        <w:spacing w:line="360" w:lineRule="auto"/>
        <w:jc w:val="left"/>
        <w:rPr>
          <w:rFonts w:asciiTheme="minorEastAsia" w:hAnsiTheme="minorEastAsia" w:eastAsiaTheme="minorEastAsia"/>
          <w:b/>
          <w:szCs w:val="24"/>
          <w:highlight w:val="none"/>
        </w:rPr>
      </w:pPr>
      <w:r>
        <w:rPr>
          <w:rFonts w:hint="eastAsia" w:asciiTheme="minorEastAsia" w:hAnsiTheme="minorEastAsia" w:eastAsiaTheme="minorEastAsia"/>
          <w:b/>
          <w:szCs w:val="24"/>
          <w:highlight w:val="none"/>
        </w:rPr>
        <w:t>注：</w:t>
      </w:r>
    </w:p>
    <w:p w14:paraId="38031744">
      <w:pPr>
        <w:shd w:val="clear"/>
        <w:tabs>
          <w:tab w:val="left" w:pos="4620"/>
        </w:tabs>
        <w:spacing w:line="360" w:lineRule="auto"/>
        <w:jc w:val="left"/>
        <w:rPr>
          <w:rFonts w:asciiTheme="minorEastAsia" w:hAnsiTheme="minorEastAsia" w:eastAsiaTheme="minorEastAsia"/>
          <w:szCs w:val="24"/>
          <w:highlight w:val="none"/>
        </w:rPr>
      </w:pPr>
      <w:r>
        <w:rPr>
          <w:rFonts w:asciiTheme="minorEastAsia" w:hAnsiTheme="minorEastAsia" w:eastAsiaTheme="minorEastAsia"/>
          <w:szCs w:val="24"/>
          <w:highlight w:val="none"/>
        </w:rPr>
        <w:t>1.从业人员、营业收入、资产总额填报上一年数据，无上一年数据的新成立企业可不填报。</w:t>
      </w:r>
    </w:p>
    <w:p w14:paraId="00109325">
      <w:pPr>
        <w:shd w:val="clear"/>
        <w:tabs>
          <w:tab w:val="left" w:pos="4620"/>
        </w:tabs>
        <w:spacing w:line="360" w:lineRule="auto"/>
        <w:jc w:val="left"/>
        <w:rPr>
          <w:rFonts w:ascii="宋体" w:hAnsi="宋体" w:eastAsia="宋体" w:cs="宋体"/>
          <w:b/>
          <w:bCs/>
          <w:szCs w:val="21"/>
          <w:highlight w:val="none"/>
        </w:rPr>
      </w:pPr>
      <w:r>
        <w:rPr>
          <w:rFonts w:hint="eastAsia" w:ascii="宋体" w:hAnsi="宋体" w:eastAsia="宋体" w:cs="宋体"/>
          <w:b/>
          <w:bCs/>
          <w:szCs w:val="21"/>
          <w:highlight w:val="none"/>
        </w:rPr>
        <w:t>2.投标人应根据《政府采购促进中小企业发展管理办法》（财库﹝2020﹞46号）和《关于印发中小企业划型标准规定的通知》(工信部联企业〔2011〕300号)相关规定，如实填写中小企业声明函。</w:t>
      </w:r>
      <w:r>
        <w:rPr>
          <w:rFonts w:hint="eastAsia" w:ascii="宋体" w:hAnsi="宋体" w:eastAsia="宋体" w:cs="宋体"/>
          <w:b/>
          <w:bCs/>
          <w:szCs w:val="21"/>
          <w:highlight w:val="none"/>
          <w:lang w:val="zh-CN"/>
        </w:rPr>
        <w:t>如有虚假，将依法承担相应责任。</w:t>
      </w:r>
      <w:r>
        <w:rPr>
          <w:rFonts w:hint="eastAsia" w:ascii="宋体" w:hAnsi="宋体" w:eastAsia="宋体" w:cs="宋体"/>
          <w:b/>
          <w:bCs/>
          <w:szCs w:val="21"/>
          <w:highlight w:val="none"/>
        </w:rPr>
        <w:t>投标人自行登录工业和信息化部官网进行中小企业规模类型自测（查询网址https://www.miit.gov.cn/）。</w:t>
      </w:r>
    </w:p>
    <w:p w14:paraId="6555554D">
      <w:pPr>
        <w:shd w:val="clear"/>
        <w:tabs>
          <w:tab w:val="left" w:pos="4620"/>
        </w:tabs>
        <w:spacing w:line="360" w:lineRule="auto"/>
        <w:jc w:val="left"/>
        <w:rPr>
          <w:rFonts w:ascii="宋体" w:hAnsi="宋体" w:eastAsia="宋体" w:cs="宋体"/>
          <w:b/>
          <w:bCs/>
          <w:szCs w:val="21"/>
          <w:highlight w:val="none"/>
        </w:rPr>
      </w:pPr>
      <w:r>
        <w:rPr>
          <w:rFonts w:hint="eastAsia" w:ascii="宋体" w:hAnsi="宋体" w:eastAsia="宋体" w:cs="宋体"/>
          <w:b/>
          <w:bCs/>
          <w:szCs w:val="21"/>
          <w:highlight w:val="none"/>
        </w:rPr>
        <w:t>3.上述“</w:t>
      </w:r>
      <w:r>
        <w:rPr>
          <w:rFonts w:hint="eastAsia" w:ascii="宋体" w:hAnsi="宋体" w:eastAsia="宋体" w:cs="宋体"/>
          <w:b/>
          <w:bCs/>
          <w:szCs w:val="21"/>
          <w:highlight w:val="none"/>
          <w:u w:val="single"/>
          <w:lang w:val="zh-CN"/>
        </w:rPr>
        <w:t>标的名称</w:t>
      </w:r>
      <w:r>
        <w:rPr>
          <w:rFonts w:hint="eastAsia" w:ascii="宋体" w:hAnsi="宋体" w:eastAsia="宋体" w:cs="宋体"/>
          <w:b/>
          <w:bCs/>
          <w:szCs w:val="21"/>
          <w:highlight w:val="none"/>
        </w:rPr>
        <w:t>”，详见第三章采购需求中明确的“货物名称”。</w:t>
      </w:r>
    </w:p>
    <w:p w14:paraId="58B10A9D">
      <w:pPr>
        <w:shd w:val="clear"/>
        <w:tabs>
          <w:tab w:val="left" w:pos="4620"/>
        </w:tabs>
        <w:spacing w:line="360" w:lineRule="auto"/>
        <w:jc w:val="left"/>
        <w:rPr>
          <w:rFonts w:ascii="宋体" w:hAnsi="宋体" w:eastAsia="宋体" w:cs="宋体"/>
          <w:b/>
          <w:bCs/>
          <w:szCs w:val="21"/>
          <w:highlight w:val="none"/>
        </w:rPr>
      </w:pPr>
      <w:r>
        <w:rPr>
          <w:rFonts w:hint="eastAsia" w:ascii="宋体" w:hAnsi="宋体" w:eastAsia="宋体" w:cs="宋体"/>
          <w:b/>
          <w:bCs/>
          <w:szCs w:val="21"/>
          <w:highlight w:val="none"/>
        </w:rPr>
        <w:t>4.上述“</w:t>
      </w:r>
      <w:r>
        <w:rPr>
          <w:rFonts w:hint="eastAsia" w:ascii="宋体" w:hAnsi="宋体" w:eastAsia="宋体" w:cs="宋体"/>
          <w:b/>
          <w:bCs/>
          <w:szCs w:val="21"/>
          <w:highlight w:val="none"/>
          <w:u w:val="single"/>
        </w:rPr>
        <w:t>采购文件中明确的所属行业</w:t>
      </w:r>
      <w:r>
        <w:rPr>
          <w:rFonts w:hint="eastAsia" w:ascii="宋体" w:hAnsi="宋体" w:eastAsia="宋体" w:cs="宋体"/>
          <w:b/>
          <w:bCs/>
          <w:szCs w:val="21"/>
          <w:highlight w:val="none"/>
        </w:rPr>
        <w:t>”，详见第三章采购需求中明确的“所属行业”。</w:t>
      </w:r>
    </w:p>
    <w:p w14:paraId="7798627F">
      <w:pPr>
        <w:shd w:val="clear"/>
        <w:tabs>
          <w:tab w:val="left" w:pos="4620"/>
        </w:tabs>
        <w:spacing w:line="360" w:lineRule="auto"/>
        <w:jc w:val="left"/>
        <w:rPr>
          <w:rFonts w:ascii="宋体" w:hAnsi="宋体" w:eastAsia="宋体" w:cs="宋体"/>
          <w:b/>
          <w:bCs/>
          <w:szCs w:val="21"/>
          <w:highlight w:val="none"/>
        </w:rPr>
      </w:pPr>
      <w:r>
        <w:rPr>
          <w:rFonts w:hint="eastAsia" w:ascii="宋体" w:hAnsi="宋体" w:eastAsia="宋体" w:cs="宋体"/>
          <w:b/>
          <w:bCs/>
          <w:szCs w:val="21"/>
          <w:highlight w:val="none"/>
        </w:rPr>
        <w:t>5．填写示例：</w:t>
      </w:r>
      <w:r>
        <w:rPr>
          <w:rFonts w:hint="eastAsia" w:ascii="宋体" w:hAnsi="宋体" w:eastAsia="宋体" w:cs="宋体"/>
          <w:b/>
          <w:bCs/>
          <w:szCs w:val="21"/>
          <w:highlight w:val="none"/>
          <w:u w:val="single"/>
          <w:lang w:val="zh-CN"/>
        </w:rPr>
        <w:t>某设备</w:t>
      </w:r>
      <w:r>
        <w:rPr>
          <w:rFonts w:hint="eastAsia" w:ascii="宋体" w:hAnsi="宋体" w:eastAsia="宋体" w:cs="宋体"/>
          <w:b/>
          <w:bCs/>
          <w:szCs w:val="21"/>
          <w:highlight w:val="none"/>
        </w:rPr>
        <w:t>，</w:t>
      </w:r>
      <w:r>
        <w:rPr>
          <w:rFonts w:hint="eastAsia" w:ascii="宋体" w:hAnsi="宋体" w:eastAsia="宋体" w:cs="宋体"/>
          <w:b/>
          <w:bCs/>
          <w:szCs w:val="21"/>
          <w:highlight w:val="none"/>
          <w:lang w:val="zh-CN"/>
        </w:rPr>
        <w:t>属于</w:t>
      </w:r>
      <w:r>
        <w:rPr>
          <w:rFonts w:hint="eastAsia" w:ascii="宋体" w:hAnsi="宋体" w:eastAsia="宋体" w:cs="宋体"/>
          <w:b/>
          <w:bCs/>
          <w:szCs w:val="21"/>
          <w:highlight w:val="none"/>
          <w:u w:val="single"/>
        </w:rPr>
        <w:t>（填写第三章采购需求中对应货物的“所属行业”，如工业）</w:t>
      </w:r>
      <w:r>
        <w:rPr>
          <w:rFonts w:hint="eastAsia" w:ascii="宋体" w:hAnsi="宋体" w:eastAsia="宋体" w:cs="宋体"/>
          <w:b/>
          <w:bCs/>
          <w:szCs w:val="21"/>
          <w:highlight w:val="none"/>
          <w:lang w:val="zh-CN"/>
        </w:rPr>
        <w:t>行业</w:t>
      </w:r>
      <w:r>
        <w:rPr>
          <w:rFonts w:hint="eastAsia" w:ascii="宋体" w:hAnsi="宋体" w:eastAsia="宋体" w:cs="宋体"/>
          <w:b/>
          <w:bCs/>
          <w:szCs w:val="21"/>
          <w:highlight w:val="none"/>
        </w:rPr>
        <w:t>；制造</w:t>
      </w:r>
      <w:r>
        <w:rPr>
          <w:rFonts w:hint="eastAsia" w:ascii="宋体" w:hAnsi="宋体" w:eastAsia="宋体" w:cs="宋体"/>
          <w:b/>
          <w:bCs/>
          <w:szCs w:val="21"/>
          <w:highlight w:val="none"/>
          <w:lang w:val="zh-CN"/>
        </w:rPr>
        <w:t>企业为</w:t>
      </w:r>
      <w:r>
        <w:rPr>
          <w:rFonts w:hint="eastAsia" w:ascii="宋体" w:hAnsi="宋体" w:eastAsia="宋体" w:cs="宋体"/>
          <w:b/>
          <w:bCs/>
          <w:szCs w:val="21"/>
          <w:highlight w:val="none"/>
          <w:u w:val="single"/>
          <w:lang w:val="zh-CN"/>
        </w:rPr>
        <w:t>某</w:t>
      </w:r>
      <w:r>
        <w:rPr>
          <w:rFonts w:hint="eastAsia" w:ascii="宋体" w:hAnsi="宋体" w:eastAsia="宋体" w:cs="宋体"/>
          <w:b/>
          <w:bCs/>
          <w:szCs w:val="21"/>
          <w:highlight w:val="none"/>
          <w:u w:val="single"/>
        </w:rPr>
        <w:t>企业</w:t>
      </w:r>
      <w:r>
        <w:rPr>
          <w:rFonts w:hint="eastAsia" w:ascii="宋体" w:hAnsi="宋体" w:eastAsia="宋体" w:cs="宋体"/>
          <w:b/>
          <w:bCs/>
          <w:szCs w:val="21"/>
          <w:highlight w:val="none"/>
        </w:rPr>
        <w:t>，</w:t>
      </w:r>
      <w:r>
        <w:rPr>
          <w:rFonts w:hint="eastAsia" w:ascii="宋体" w:hAnsi="宋体" w:eastAsia="宋体" w:cs="宋体"/>
          <w:b/>
          <w:bCs/>
          <w:szCs w:val="21"/>
          <w:highlight w:val="none"/>
          <w:lang w:val="zh-CN"/>
        </w:rPr>
        <w:t>从业人员</w:t>
      </w:r>
      <w:r>
        <w:rPr>
          <w:rFonts w:hint="eastAsia" w:ascii="宋体" w:hAnsi="宋体" w:eastAsia="宋体" w:cs="宋体"/>
          <w:b/>
          <w:bCs/>
          <w:szCs w:val="21"/>
          <w:highlight w:val="none"/>
          <w:u w:val="single"/>
        </w:rPr>
        <w:t>100</w:t>
      </w:r>
      <w:r>
        <w:rPr>
          <w:rFonts w:hint="eastAsia" w:ascii="宋体" w:hAnsi="宋体" w:eastAsia="宋体" w:cs="宋体"/>
          <w:b/>
          <w:bCs/>
          <w:szCs w:val="21"/>
          <w:highlight w:val="none"/>
          <w:lang w:val="zh-CN"/>
        </w:rPr>
        <w:t>人</w:t>
      </w:r>
      <w:r>
        <w:rPr>
          <w:rFonts w:hint="eastAsia" w:ascii="宋体" w:hAnsi="宋体" w:eastAsia="宋体" w:cs="宋体"/>
          <w:b/>
          <w:bCs/>
          <w:szCs w:val="21"/>
          <w:highlight w:val="none"/>
        </w:rPr>
        <w:t>，</w:t>
      </w:r>
      <w:r>
        <w:rPr>
          <w:rFonts w:hint="eastAsia" w:ascii="宋体" w:hAnsi="宋体" w:eastAsia="宋体" w:cs="宋体"/>
          <w:b/>
          <w:bCs/>
          <w:szCs w:val="21"/>
          <w:highlight w:val="none"/>
          <w:lang w:val="zh-CN"/>
        </w:rPr>
        <w:t>营业收入为</w:t>
      </w:r>
      <w:r>
        <w:rPr>
          <w:rFonts w:hint="eastAsia" w:ascii="宋体" w:hAnsi="宋体" w:eastAsia="宋体" w:cs="宋体"/>
          <w:b/>
          <w:bCs/>
          <w:szCs w:val="21"/>
          <w:highlight w:val="none"/>
          <w:u w:val="single"/>
        </w:rPr>
        <w:t>10000</w:t>
      </w:r>
      <w:r>
        <w:rPr>
          <w:rFonts w:hint="eastAsia" w:ascii="宋体" w:hAnsi="宋体" w:eastAsia="宋体" w:cs="宋体"/>
          <w:b/>
          <w:bCs/>
          <w:szCs w:val="21"/>
          <w:highlight w:val="none"/>
          <w:lang w:val="zh-CN"/>
        </w:rPr>
        <w:t>万元</w:t>
      </w:r>
      <w:r>
        <w:rPr>
          <w:rFonts w:hint="eastAsia" w:ascii="宋体" w:hAnsi="宋体" w:eastAsia="宋体" w:cs="宋体"/>
          <w:b/>
          <w:bCs/>
          <w:szCs w:val="21"/>
          <w:highlight w:val="none"/>
        </w:rPr>
        <w:t>，</w:t>
      </w:r>
      <w:r>
        <w:rPr>
          <w:rFonts w:hint="eastAsia" w:ascii="宋体" w:hAnsi="宋体" w:eastAsia="宋体" w:cs="宋体"/>
          <w:b/>
          <w:bCs/>
          <w:szCs w:val="21"/>
          <w:highlight w:val="none"/>
          <w:lang w:val="zh-CN"/>
        </w:rPr>
        <w:t>资产总额为</w:t>
      </w:r>
      <w:r>
        <w:rPr>
          <w:rFonts w:hint="eastAsia" w:ascii="宋体" w:hAnsi="宋体" w:eastAsia="宋体" w:cs="宋体"/>
          <w:b/>
          <w:bCs/>
          <w:szCs w:val="21"/>
          <w:highlight w:val="none"/>
          <w:u w:val="single"/>
        </w:rPr>
        <w:t>5000</w:t>
      </w:r>
      <w:r>
        <w:rPr>
          <w:rFonts w:hint="eastAsia" w:ascii="宋体" w:hAnsi="宋体" w:eastAsia="宋体" w:cs="宋体"/>
          <w:b/>
          <w:bCs/>
          <w:szCs w:val="21"/>
          <w:highlight w:val="none"/>
          <w:lang w:val="zh-CN"/>
        </w:rPr>
        <w:t>万元</w:t>
      </w:r>
      <w:r>
        <w:rPr>
          <w:rFonts w:hint="eastAsia" w:ascii="宋体" w:hAnsi="宋体" w:eastAsia="宋体" w:cs="宋体"/>
          <w:b/>
          <w:bCs/>
          <w:szCs w:val="21"/>
          <w:highlight w:val="none"/>
        </w:rPr>
        <w:t>，</w:t>
      </w:r>
      <w:r>
        <w:rPr>
          <w:rFonts w:hint="eastAsia" w:ascii="宋体" w:hAnsi="宋体" w:eastAsia="宋体" w:cs="宋体"/>
          <w:b/>
          <w:bCs/>
          <w:szCs w:val="21"/>
          <w:highlight w:val="none"/>
          <w:lang w:val="zh-CN"/>
        </w:rPr>
        <w:t>属于</w:t>
      </w:r>
      <w:r>
        <w:rPr>
          <w:rFonts w:hint="eastAsia" w:ascii="宋体" w:hAnsi="宋体" w:eastAsia="宋体" w:cs="宋体"/>
          <w:b/>
          <w:bCs/>
          <w:szCs w:val="21"/>
          <w:highlight w:val="none"/>
          <w:u w:val="single"/>
          <w:lang w:val="zh-CN"/>
        </w:rPr>
        <w:t>小型</w:t>
      </w:r>
      <w:r>
        <w:rPr>
          <w:rFonts w:hint="eastAsia" w:ascii="宋体" w:hAnsi="宋体" w:eastAsia="宋体" w:cs="宋体"/>
          <w:b/>
          <w:bCs/>
          <w:szCs w:val="21"/>
          <w:highlight w:val="none"/>
          <w:lang w:val="zh-CN"/>
        </w:rPr>
        <w:t>企业</w:t>
      </w:r>
      <w:r>
        <w:rPr>
          <w:rFonts w:hint="eastAsia" w:ascii="宋体" w:hAnsi="宋体" w:eastAsia="宋体" w:cs="宋体"/>
          <w:b/>
          <w:bCs/>
          <w:szCs w:val="21"/>
          <w:highlight w:val="none"/>
        </w:rPr>
        <w:t>[投标人自行登录工业和信息化部官网进行中小企业规模类型自测（查询网址https://www.miit.gov.cn/）]</w:t>
      </w:r>
      <w:r>
        <w:rPr>
          <w:rFonts w:hint="eastAsia" w:ascii="宋体" w:hAnsi="宋体" w:eastAsia="宋体" w:cs="宋体"/>
          <w:b/>
          <w:bCs/>
          <w:szCs w:val="21"/>
          <w:highlight w:val="none"/>
          <w:lang w:val="zh-CN"/>
        </w:rPr>
        <w:t>。</w:t>
      </w:r>
    </w:p>
    <w:p w14:paraId="430C678E">
      <w:pPr>
        <w:shd w:val="clear"/>
        <w:rPr>
          <w:rFonts w:asciiTheme="minorEastAsia" w:hAnsiTheme="minorEastAsia" w:eastAsiaTheme="minorEastAsia"/>
          <w:b/>
          <w:bCs/>
          <w:szCs w:val="24"/>
          <w:highlight w:val="none"/>
        </w:rPr>
      </w:pPr>
      <w:r>
        <w:rPr>
          <w:rFonts w:hint="eastAsia" w:asciiTheme="minorEastAsia" w:hAnsiTheme="minorEastAsia" w:eastAsiaTheme="minorEastAsia"/>
          <w:b/>
          <w:bCs/>
          <w:szCs w:val="24"/>
          <w:highlight w:val="none"/>
        </w:rPr>
        <w:br w:type="page"/>
      </w:r>
      <w:bookmarkEnd w:id="263"/>
      <w:bookmarkEnd w:id="264"/>
    </w:p>
    <w:p w14:paraId="052CBD7E">
      <w:pPr>
        <w:shd w:val="clear"/>
        <w:spacing w:line="360" w:lineRule="auto"/>
        <w:jc w:val="center"/>
        <w:outlineLvl w:val="1"/>
        <w:rPr>
          <w:rFonts w:asciiTheme="minorEastAsia" w:hAnsiTheme="minorEastAsia" w:eastAsiaTheme="minorEastAsia"/>
          <w:b/>
          <w:sz w:val="24"/>
          <w:highlight w:val="none"/>
        </w:rPr>
      </w:pPr>
      <w:bookmarkStart w:id="265" w:name="_Toc16713"/>
      <w:bookmarkStart w:id="266" w:name="_Toc24563"/>
      <w:r>
        <w:rPr>
          <w:rFonts w:hint="eastAsia" w:asciiTheme="minorEastAsia" w:hAnsiTheme="minorEastAsia" w:eastAsiaTheme="minorEastAsia"/>
          <w:b/>
          <w:sz w:val="24"/>
          <w:highlight w:val="none"/>
        </w:rPr>
        <w:t>九、残疾人福利性单位声明函</w:t>
      </w:r>
      <w:bookmarkEnd w:id="265"/>
      <w:bookmarkEnd w:id="266"/>
    </w:p>
    <w:p w14:paraId="1BDECF44">
      <w:pPr>
        <w:pStyle w:val="8"/>
        <w:shd w:val="clear"/>
        <w:spacing w:line="360" w:lineRule="auto"/>
        <w:jc w:val="center"/>
        <w:rPr>
          <w:rFonts w:ascii="宋体" w:hAnsi="宋体" w:eastAsia="宋体"/>
          <w:i/>
          <w:color w:val="FF0000"/>
          <w:sz w:val="24"/>
          <w:highlight w:val="none"/>
          <w:lang w:val="en-US"/>
        </w:rPr>
      </w:pPr>
      <w:r>
        <w:rPr>
          <w:rFonts w:hint="eastAsia" w:ascii="宋体" w:hAnsi="宋体" w:eastAsia="宋体"/>
          <w:i/>
          <w:color w:val="FF0000"/>
          <w:sz w:val="24"/>
          <w:highlight w:val="none"/>
          <w:lang w:val="en-US"/>
        </w:rPr>
        <w:t>（非残疾人福利性单位投标，请删去“残疾人福利性单位声明函”）</w:t>
      </w:r>
    </w:p>
    <w:p w14:paraId="78AE8357">
      <w:pPr>
        <w:shd w:val="clear"/>
        <w:spacing w:line="360" w:lineRule="auto"/>
        <w:ind w:firstLine="435"/>
        <w:rPr>
          <w:rFonts w:asciiTheme="minorEastAsia" w:hAnsiTheme="minorEastAsia" w:eastAsiaTheme="minorEastAsia"/>
          <w:spacing w:val="6"/>
          <w:sz w:val="24"/>
          <w:szCs w:val="24"/>
          <w:highlight w:val="none"/>
        </w:rPr>
      </w:pPr>
      <w:r>
        <w:rPr>
          <w:rFonts w:hint="eastAsia" w:asciiTheme="minorEastAsia" w:hAnsiTheme="minorEastAsia" w:eastAsiaTheme="minorEastAsia"/>
          <w:spacing w:val="6"/>
          <w:sz w:val="24"/>
          <w:szCs w:val="24"/>
          <w:highlight w:val="none"/>
        </w:rPr>
        <w:t>本单位</w:t>
      </w:r>
      <w:r>
        <w:rPr>
          <w:rFonts w:hint="eastAsia" w:asciiTheme="minorEastAsia" w:hAnsiTheme="minorEastAsia" w:eastAsiaTheme="minorEastAsia"/>
          <w:sz w:val="24"/>
          <w:highlight w:val="none"/>
        </w:rPr>
        <w:t>郑重</w:t>
      </w:r>
      <w:r>
        <w:rPr>
          <w:rFonts w:hint="eastAsia" w:asciiTheme="minorEastAsia" w:hAnsiTheme="minorEastAsia" w:eastAsiaTheme="minorEastAsia"/>
          <w:spacing w:val="6"/>
          <w:sz w:val="24"/>
          <w:szCs w:val="24"/>
          <w:highlight w:val="none"/>
        </w:rPr>
        <w:t>声明，根据《财政部 民政部 中国残疾人联合会关于促进残疾人就业政府采购政策的通知》（财库</w:t>
      </w:r>
      <w:r>
        <w:rPr>
          <w:rFonts w:hint="eastAsia" w:asciiTheme="minorEastAsia" w:hAnsiTheme="minorEastAsia" w:eastAsiaTheme="minorEastAsia"/>
          <w:sz w:val="24"/>
          <w:szCs w:val="24"/>
          <w:highlight w:val="none"/>
        </w:rPr>
        <w:t>〔2017〕141</w:t>
      </w:r>
      <w:r>
        <w:rPr>
          <w:rFonts w:hint="eastAsia" w:asciiTheme="minorEastAsia" w:hAnsiTheme="minorEastAsia" w:eastAsiaTheme="minorEastAsia"/>
          <w:spacing w:val="6"/>
          <w:sz w:val="24"/>
          <w:szCs w:val="24"/>
          <w:highlight w:val="none"/>
        </w:rPr>
        <w:t>号）的规定，本单位为</w:t>
      </w:r>
      <w:r>
        <w:rPr>
          <w:rFonts w:hint="eastAsia" w:ascii="宋体" w:hAnsi="宋体" w:eastAsia="宋体" w:cs="宋体"/>
          <w:b/>
          <w:bCs/>
          <w:sz w:val="24"/>
          <w:szCs w:val="24"/>
          <w:highlight w:val="none"/>
        </w:rPr>
        <w:sym w:font="Wingdings" w:char="F0A8"/>
      </w:r>
      <w:r>
        <w:rPr>
          <w:rFonts w:hint="eastAsia" w:asciiTheme="minorEastAsia" w:hAnsiTheme="minorEastAsia" w:eastAsiaTheme="minorEastAsia"/>
          <w:b/>
          <w:bCs/>
          <w:sz w:val="24"/>
          <w:szCs w:val="24"/>
          <w:highlight w:val="none"/>
        </w:rPr>
        <w:t>符合</w:t>
      </w:r>
      <w:r>
        <w:rPr>
          <w:rFonts w:hint="eastAsia" w:asciiTheme="minorEastAsia" w:hAnsiTheme="minorEastAsia" w:eastAsiaTheme="minorEastAsia"/>
          <w:b/>
          <w:bCs/>
          <w:spacing w:val="6"/>
          <w:sz w:val="24"/>
          <w:szCs w:val="24"/>
          <w:highlight w:val="none"/>
        </w:rPr>
        <w:t>条件/</w:t>
      </w:r>
      <w:r>
        <w:rPr>
          <w:rFonts w:hint="eastAsia" w:ascii="宋体" w:hAnsi="宋体" w:eastAsia="宋体" w:cs="宋体"/>
          <w:b/>
          <w:bCs/>
          <w:sz w:val="24"/>
          <w:szCs w:val="24"/>
          <w:highlight w:val="none"/>
        </w:rPr>
        <w:sym w:font="Wingdings" w:char="F0A8"/>
      </w:r>
      <w:r>
        <w:rPr>
          <w:rFonts w:hint="eastAsia" w:ascii="宋体" w:hAnsi="宋体" w:eastAsia="宋体" w:cs="宋体"/>
          <w:b/>
          <w:bCs/>
          <w:sz w:val="24"/>
          <w:szCs w:val="24"/>
          <w:highlight w:val="none"/>
        </w:rPr>
        <w:t>不</w:t>
      </w:r>
      <w:r>
        <w:rPr>
          <w:rFonts w:hint="eastAsia" w:asciiTheme="minorEastAsia" w:hAnsiTheme="minorEastAsia" w:eastAsiaTheme="minorEastAsia"/>
          <w:b/>
          <w:bCs/>
          <w:sz w:val="24"/>
          <w:szCs w:val="24"/>
          <w:highlight w:val="none"/>
        </w:rPr>
        <w:t>符合</w:t>
      </w:r>
      <w:r>
        <w:rPr>
          <w:rFonts w:hint="eastAsia" w:asciiTheme="minorEastAsia" w:hAnsiTheme="minorEastAsia" w:eastAsiaTheme="minorEastAsia"/>
          <w:b/>
          <w:bCs/>
          <w:spacing w:val="6"/>
          <w:sz w:val="24"/>
          <w:szCs w:val="24"/>
          <w:highlight w:val="none"/>
        </w:rPr>
        <w:t>条件（投标人自行勾选）</w:t>
      </w:r>
      <w:r>
        <w:rPr>
          <w:rFonts w:hint="eastAsia" w:asciiTheme="minorEastAsia" w:hAnsiTheme="minorEastAsia" w:eastAsiaTheme="minorEastAsia"/>
          <w:spacing w:val="6"/>
          <w:sz w:val="24"/>
          <w:szCs w:val="24"/>
          <w:highlight w:val="none"/>
        </w:rPr>
        <w:t>的残疾人福利性单位，且本单位参加</w:t>
      </w:r>
      <w:r>
        <w:rPr>
          <w:rFonts w:hint="eastAsia" w:asciiTheme="minorEastAsia" w:hAnsiTheme="minorEastAsia" w:eastAsiaTheme="minorEastAsia"/>
          <w:spacing w:val="6"/>
          <w:sz w:val="24"/>
          <w:szCs w:val="24"/>
          <w:highlight w:val="none"/>
          <w:u w:val="single"/>
        </w:rPr>
        <w:t xml:space="preserve">      </w:t>
      </w:r>
      <w:r>
        <w:rPr>
          <w:rFonts w:hint="eastAsia" w:asciiTheme="minorEastAsia" w:hAnsiTheme="minorEastAsia" w:eastAsiaTheme="minorEastAsia"/>
          <w:spacing w:val="6"/>
          <w:sz w:val="24"/>
          <w:szCs w:val="24"/>
          <w:highlight w:val="none"/>
        </w:rPr>
        <w:t>单位的</w:t>
      </w:r>
      <w:r>
        <w:rPr>
          <w:rFonts w:hint="eastAsia" w:asciiTheme="minorEastAsia" w:hAnsiTheme="minorEastAsia" w:eastAsiaTheme="minorEastAsia"/>
          <w:spacing w:val="6"/>
          <w:sz w:val="24"/>
          <w:szCs w:val="24"/>
          <w:highlight w:val="none"/>
          <w:u w:val="single"/>
        </w:rPr>
        <w:t xml:space="preserve">      </w:t>
      </w:r>
      <w:r>
        <w:rPr>
          <w:rFonts w:hint="eastAsia" w:asciiTheme="minorEastAsia" w:hAnsiTheme="minorEastAsia" w:eastAsiaTheme="minorEastAsia"/>
          <w:spacing w:val="6"/>
          <w:sz w:val="24"/>
          <w:szCs w:val="24"/>
          <w:highlight w:val="none"/>
        </w:rPr>
        <w:t>项目采购活动提供本单位制造的货物，或者提供其他残疾人福利性单位制造的货物（不包括使用非残疾人福利性单位注册商标的货物）。</w:t>
      </w:r>
    </w:p>
    <w:p w14:paraId="4BFFEB57">
      <w:pPr>
        <w:shd w:val="clear"/>
        <w:spacing w:line="360" w:lineRule="auto"/>
        <w:ind w:firstLine="435"/>
        <w:rPr>
          <w:rFonts w:asciiTheme="minorEastAsia" w:hAnsiTheme="minorEastAsia" w:eastAsiaTheme="minorEastAsia"/>
          <w:spacing w:val="6"/>
          <w:sz w:val="24"/>
          <w:szCs w:val="24"/>
          <w:highlight w:val="none"/>
        </w:rPr>
      </w:pPr>
      <w:r>
        <w:rPr>
          <w:rFonts w:hint="eastAsia" w:asciiTheme="minorEastAsia" w:hAnsiTheme="minorEastAsia" w:eastAsiaTheme="minorEastAsia"/>
          <w:spacing w:val="6"/>
          <w:sz w:val="24"/>
          <w:szCs w:val="24"/>
          <w:highlight w:val="none"/>
        </w:rPr>
        <w:t>本单位对上述声明的真实性负责。如有虚假，将依法承担相应责任。</w:t>
      </w:r>
    </w:p>
    <w:p w14:paraId="16DF1435">
      <w:pPr>
        <w:shd w:val="clear"/>
        <w:spacing w:line="360" w:lineRule="auto"/>
        <w:ind w:firstLine="4228" w:firstLineChars="1762"/>
        <w:rPr>
          <w:rFonts w:asciiTheme="minorEastAsia" w:hAnsiTheme="minorEastAsia" w:eastAsiaTheme="minorEastAsia"/>
          <w:sz w:val="24"/>
          <w:szCs w:val="24"/>
          <w:highlight w:val="none"/>
        </w:rPr>
      </w:pPr>
    </w:p>
    <w:p w14:paraId="6F563A8F">
      <w:pPr>
        <w:shd w:val="clear"/>
        <w:spacing w:line="360" w:lineRule="auto"/>
        <w:ind w:firstLine="4228" w:firstLineChars="1762"/>
        <w:rPr>
          <w:rFonts w:asciiTheme="minorEastAsia" w:hAnsiTheme="minorEastAsia" w:eastAsiaTheme="minorEastAsia"/>
          <w:sz w:val="24"/>
          <w:szCs w:val="24"/>
          <w:highlight w:val="none"/>
        </w:rPr>
      </w:pPr>
    </w:p>
    <w:p w14:paraId="67EC27EE">
      <w:pPr>
        <w:shd w:val="clear"/>
        <w:spacing w:line="360" w:lineRule="auto"/>
        <w:ind w:firstLine="4228" w:firstLineChars="1762"/>
        <w:rPr>
          <w:rFonts w:asciiTheme="minorEastAsia" w:hAnsiTheme="minorEastAsia" w:eastAsiaTheme="minorEastAsia"/>
          <w:sz w:val="24"/>
          <w:szCs w:val="24"/>
          <w:highlight w:val="none"/>
          <w:u w:val="single"/>
        </w:rPr>
      </w:pPr>
      <w:r>
        <w:rPr>
          <w:rFonts w:hint="eastAsia" w:asciiTheme="minorEastAsia" w:hAnsiTheme="minorEastAsia" w:eastAsiaTheme="minorEastAsia"/>
          <w:sz w:val="24"/>
          <w:szCs w:val="24"/>
          <w:highlight w:val="none"/>
        </w:rPr>
        <w:t>投标人</w:t>
      </w:r>
      <w:r>
        <w:rPr>
          <w:rFonts w:asciiTheme="minorEastAsia" w:hAnsiTheme="minorEastAsia" w:eastAsiaTheme="minorEastAsia"/>
          <w:sz w:val="24"/>
          <w:szCs w:val="24"/>
          <w:highlight w:val="none"/>
        </w:rPr>
        <w:t>电子签章</w:t>
      </w:r>
      <w:r>
        <w:rPr>
          <w:rFonts w:hint="eastAsia" w:asciiTheme="minorEastAsia" w:hAnsiTheme="minorEastAsia" w:eastAsiaTheme="minorEastAsia"/>
          <w:sz w:val="24"/>
          <w:szCs w:val="24"/>
          <w:highlight w:val="none"/>
        </w:rPr>
        <w:t>：</w:t>
      </w:r>
      <w:r>
        <w:rPr>
          <w:rFonts w:asciiTheme="minorEastAsia" w:hAnsiTheme="minorEastAsia" w:eastAsiaTheme="minorEastAsia"/>
          <w:sz w:val="24"/>
          <w:szCs w:val="24"/>
          <w:highlight w:val="none"/>
          <w:u w:val="single"/>
        </w:rPr>
        <w:t xml:space="preserve">             </w:t>
      </w:r>
    </w:p>
    <w:p w14:paraId="548ACF92">
      <w:pPr>
        <w:shd w:val="clear"/>
        <w:tabs>
          <w:tab w:val="left" w:pos="4620"/>
        </w:tabs>
        <w:spacing w:line="360" w:lineRule="auto"/>
        <w:ind w:firstLine="4252" w:firstLineChars="1772"/>
        <w:rPr>
          <w:rFonts w:asciiTheme="minorEastAsia" w:hAnsiTheme="minorEastAsia" w:eastAsiaTheme="minorEastAsia"/>
          <w:sz w:val="24"/>
          <w:szCs w:val="24"/>
          <w:highlight w:val="none"/>
          <w:u w:val="single"/>
        </w:rPr>
      </w:pPr>
      <w:r>
        <w:rPr>
          <w:rFonts w:hint="eastAsia" w:asciiTheme="minorEastAsia" w:hAnsiTheme="minorEastAsia" w:eastAsiaTheme="minorEastAsia"/>
          <w:sz w:val="24"/>
          <w:szCs w:val="24"/>
          <w:highlight w:val="none"/>
        </w:rPr>
        <w:t>日</w:t>
      </w:r>
      <w:r>
        <w:rPr>
          <w:rFonts w:asciiTheme="minorEastAsia" w:hAnsiTheme="minorEastAsia" w:eastAsiaTheme="minorEastAsia"/>
          <w:sz w:val="24"/>
          <w:szCs w:val="24"/>
          <w:highlight w:val="none"/>
        </w:rPr>
        <w:t xml:space="preserve">      </w:t>
      </w:r>
      <w:r>
        <w:rPr>
          <w:rFonts w:hint="eastAsia" w:asciiTheme="minorEastAsia" w:hAnsiTheme="minorEastAsia" w:eastAsiaTheme="minorEastAsia"/>
          <w:sz w:val="24"/>
          <w:szCs w:val="24"/>
          <w:highlight w:val="none"/>
        </w:rPr>
        <w:t xml:space="preserve">    期：</w:t>
      </w:r>
      <w:r>
        <w:rPr>
          <w:rFonts w:asciiTheme="minorEastAsia" w:hAnsiTheme="minorEastAsia" w:eastAsiaTheme="minorEastAsia"/>
          <w:sz w:val="24"/>
          <w:szCs w:val="24"/>
          <w:highlight w:val="none"/>
          <w:u w:val="single"/>
        </w:rPr>
        <w:t xml:space="preserve">             </w:t>
      </w:r>
    </w:p>
    <w:p w14:paraId="22933CBC">
      <w:pPr>
        <w:widowControl/>
        <w:shd w:val="clear"/>
        <w:jc w:val="left"/>
        <w:rPr>
          <w:rFonts w:asciiTheme="minorEastAsia" w:hAnsiTheme="minorEastAsia" w:eastAsiaTheme="minorEastAsia"/>
          <w:sz w:val="24"/>
          <w:highlight w:val="none"/>
        </w:rPr>
      </w:pPr>
      <w:r>
        <w:rPr>
          <w:rFonts w:asciiTheme="minorEastAsia" w:hAnsiTheme="minorEastAsia" w:eastAsiaTheme="minorEastAsia"/>
          <w:sz w:val="24"/>
          <w:highlight w:val="none"/>
        </w:rPr>
        <w:br w:type="page"/>
      </w:r>
    </w:p>
    <w:p w14:paraId="01FA9ECF">
      <w:pPr>
        <w:shd w:val="clear"/>
        <w:spacing w:line="360" w:lineRule="auto"/>
        <w:jc w:val="center"/>
        <w:outlineLvl w:val="1"/>
        <w:rPr>
          <w:rFonts w:ascii="宋体" w:hAnsi="宋体" w:eastAsia="宋体"/>
          <w:b/>
          <w:sz w:val="24"/>
          <w:highlight w:val="none"/>
        </w:rPr>
      </w:pPr>
      <w:bookmarkStart w:id="267" w:name="_Toc300210382"/>
      <w:bookmarkStart w:id="268" w:name="_Toc457768004"/>
      <w:bookmarkStart w:id="269" w:name="_Toc520299348"/>
      <w:bookmarkStart w:id="270" w:name="_Toc26536"/>
      <w:bookmarkStart w:id="271" w:name="_Toc25813"/>
      <w:bookmarkStart w:id="272" w:name="_Hlk11701496"/>
      <w:r>
        <w:rPr>
          <w:rFonts w:hint="eastAsia" w:asciiTheme="minorEastAsia" w:hAnsiTheme="minorEastAsia" w:eastAsiaTheme="minorEastAsia"/>
          <w:b/>
          <w:sz w:val="24"/>
          <w:highlight w:val="none"/>
        </w:rPr>
        <w:t>十、</w:t>
      </w:r>
      <w:r>
        <w:rPr>
          <w:rFonts w:hint="eastAsia" w:ascii="宋体" w:hAnsi="宋体" w:eastAsia="宋体"/>
          <w:b/>
          <w:sz w:val="24"/>
          <w:highlight w:val="none"/>
        </w:rPr>
        <w:t>关于符合本国产品标准的声明函</w:t>
      </w:r>
    </w:p>
    <w:p w14:paraId="6FA5E4E8">
      <w:pPr>
        <w:shd w:val="clear"/>
        <w:spacing w:line="360" w:lineRule="auto"/>
        <w:jc w:val="center"/>
        <w:rPr>
          <w:rFonts w:ascii="宋体" w:hAnsi="宋体" w:eastAsia="宋体" w:cs="宋体"/>
          <w:color w:val="FF0000"/>
          <w:sz w:val="24"/>
          <w:szCs w:val="24"/>
          <w:highlight w:val="none"/>
          <w:shd w:val="clear" w:color="auto" w:fill="FFFFFF"/>
        </w:rPr>
      </w:pPr>
      <w:r>
        <w:rPr>
          <w:rFonts w:hint="eastAsia" w:ascii="宋体" w:hAnsi="宋体" w:eastAsia="宋体"/>
          <w:i/>
          <w:color w:val="FF0000"/>
          <w:sz w:val="24"/>
          <w:highlight w:val="none"/>
        </w:rPr>
        <w:t>（不符合本国产品扶持政策，不需此件）</w:t>
      </w:r>
    </w:p>
    <w:p w14:paraId="4F4970E2">
      <w:pPr>
        <w:pStyle w:val="20"/>
        <w:widowControl/>
        <w:shd w:val="clear"/>
        <w:spacing w:before="0" w:beforeAutospacing="0" w:after="0" w:afterAutospacing="0" w:line="360" w:lineRule="auto"/>
        <w:ind w:firstLine="420"/>
        <w:textAlignment w:val="baseline"/>
        <w:rPr>
          <w:rFonts w:ascii="宋体" w:hAnsi="宋体" w:eastAsia="宋体" w:cs="宋体"/>
          <w:szCs w:val="24"/>
          <w:highlight w:val="none"/>
        </w:rPr>
      </w:pPr>
      <w:r>
        <w:rPr>
          <w:rFonts w:hint="eastAsia" w:ascii="宋体" w:hAnsi="宋体" w:eastAsia="宋体" w:cs="宋体"/>
          <w:szCs w:val="24"/>
          <w:highlight w:val="none"/>
          <w:shd w:val="clear" w:color="auto" w:fill="FFFFFF"/>
        </w:rPr>
        <w:t>本公司（单位）郑重声明，根据《国务院办公厅关于在政府采购中实施本国产品标准及相关政策的通知》（国办发〔2025〕34号）的规定，本公司（单位）提供的以下产品属于本国产品。具体情况如下：</w:t>
      </w:r>
    </w:p>
    <w:p w14:paraId="48C98507">
      <w:pPr>
        <w:pStyle w:val="20"/>
        <w:widowControl/>
        <w:shd w:val="clear"/>
        <w:spacing w:before="0" w:beforeAutospacing="0" w:after="0" w:afterAutospacing="0" w:line="360" w:lineRule="auto"/>
        <w:ind w:firstLine="420"/>
        <w:textAlignment w:val="baseline"/>
        <w:rPr>
          <w:rFonts w:ascii="宋体" w:hAnsi="宋体" w:eastAsia="宋体" w:cs="宋体"/>
          <w:szCs w:val="24"/>
          <w:highlight w:val="none"/>
        </w:rPr>
      </w:pPr>
      <w:r>
        <w:rPr>
          <w:rFonts w:hint="eastAsia" w:ascii="宋体" w:hAnsi="宋体" w:eastAsia="宋体" w:cs="宋体"/>
          <w:szCs w:val="24"/>
          <w:highlight w:val="none"/>
          <w:shd w:val="clear" w:color="auto" w:fill="FFFFFF"/>
        </w:rPr>
        <w:t>1.</w:t>
      </w:r>
      <w:r>
        <w:rPr>
          <w:rStyle w:val="29"/>
          <w:rFonts w:hint="eastAsia" w:ascii="宋体" w:hAnsi="宋体" w:eastAsia="宋体" w:cs="宋体"/>
          <w:i w:val="0"/>
          <w:szCs w:val="24"/>
          <w:highlight w:val="none"/>
          <w:u w:val="single"/>
          <w:shd w:val="clear" w:color="auto" w:fill="FFFFFF"/>
        </w:rPr>
        <w:t>（产品名称1）</w:t>
      </w:r>
      <w:r>
        <w:rPr>
          <w:rStyle w:val="29"/>
          <w:rFonts w:hint="eastAsia" w:ascii="宋体" w:hAnsi="宋体" w:eastAsia="宋体" w:cs="宋体"/>
          <w:i w:val="0"/>
          <w:szCs w:val="24"/>
          <w:highlight w:val="none"/>
          <w:shd w:val="clear" w:color="auto" w:fill="FFFFFF"/>
          <w:vertAlign w:val="superscript"/>
        </w:rPr>
        <w:t>1</w:t>
      </w:r>
      <w:r>
        <w:rPr>
          <w:rFonts w:hint="eastAsia" w:ascii="宋体" w:hAnsi="宋体" w:eastAsia="宋体" w:cs="宋体"/>
          <w:szCs w:val="24"/>
          <w:highlight w:val="none"/>
          <w:shd w:val="clear" w:color="auto" w:fill="FFFFFF"/>
        </w:rPr>
        <w:t>，生产厂为</w:t>
      </w:r>
      <w:r>
        <w:rPr>
          <w:rStyle w:val="29"/>
          <w:rFonts w:hint="eastAsia" w:ascii="宋体" w:hAnsi="宋体" w:eastAsia="宋体" w:cs="宋体"/>
          <w:i w:val="0"/>
          <w:szCs w:val="24"/>
          <w:highlight w:val="none"/>
          <w:u w:val="single"/>
          <w:shd w:val="clear" w:color="auto" w:fill="FFFFFF"/>
        </w:rPr>
        <w:t>（厂名）</w:t>
      </w:r>
      <w:r>
        <w:rPr>
          <w:rStyle w:val="29"/>
          <w:rFonts w:hint="eastAsia" w:ascii="宋体" w:hAnsi="宋体" w:eastAsia="宋体" w:cs="宋体"/>
          <w:i w:val="0"/>
          <w:szCs w:val="24"/>
          <w:highlight w:val="none"/>
          <w:shd w:val="clear" w:color="auto" w:fill="FFFFFF"/>
          <w:vertAlign w:val="superscript"/>
        </w:rPr>
        <w:t>2</w:t>
      </w:r>
      <w:r>
        <w:rPr>
          <w:rFonts w:hint="eastAsia" w:ascii="宋体" w:hAnsi="宋体" w:eastAsia="宋体" w:cs="宋体"/>
          <w:szCs w:val="24"/>
          <w:highlight w:val="none"/>
          <w:shd w:val="clear" w:color="auto" w:fill="FFFFFF"/>
        </w:rPr>
        <w:t>，厂址为</w:t>
      </w:r>
      <w:r>
        <w:rPr>
          <w:rStyle w:val="29"/>
          <w:rFonts w:hint="eastAsia" w:ascii="宋体" w:hAnsi="宋体" w:eastAsia="宋体" w:cs="宋体"/>
          <w:i w:val="0"/>
          <w:szCs w:val="24"/>
          <w:highlight w:val="none"/>
          <w:u w:val="single"/>
          <w:shd w:val="clear" w:color="auto" w:fill="FFFFFF"/>
        </w:rPr>
        <w:t>（生产厂址）</w:t>
      </w:r>
      <w:r>
        <w:rPr>
          <w:rFonts w:hint="eastAsia" w:ascii="宋体" w:hAnsi="宋体" w:eastAsia="宋体" w:cs="宋体"/>
          <w:szCs w:val="24"/>
          <w:highlight w:val="none"/>
          <w:shd w:val="clear" w:color="auto" w:fill="FFFFFF"/>
        </w:rPr>
        <w:t>。</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的中国境内生产的组件成本占比≥</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的</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在中国境内生产。</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的</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在中国境内完成。</w:t>
      </w:r>
    </w:p>
    <w:p w14:paraId="78D67292">
      <w:pPr>
        <w:pStyle w:val="20"/>
        <w:widowControl/>
        <w:shd w:val="clear"/>
        <w:spacing w:before="0" w:beforeAutospacing="0" w:after="0" w:afterAutospacing="0" w:line="360" w:lineRule="auto"/>
        <w:ind w:firstLine="420"/>
        <w:textAlignment w:val="baseline"/>
        <w:rPr>
          <w:rFonts w:ascii="宋体" w:hAnsi="宋体" w:eastAsia="宋体" w:cs="宋体"/>
          <w:szCs w:val="24"/>
          <w:highlight w:val="none"/>
        </w:rPr>
      </w:pPr>
      <w:r>
        <w:rPr>
          <w:rFonts w:hint="eastAsia" w:ascii="宋体" w:hAnsi="宋体" w:eastAsia="宋体" w:cs="宋体"/>
          <w:szCs w:val="24"/>
          <w:highlight w:val="none"/>
          <w:shd w:val="clear" w:color="auto" w:fill="FFFFFF"/>
        </w:rPr>
        <w:t>2.</w:t>
      </w:r>
      <w:r>
        <w:rPr>
          <w:rStyle w:val="29"/>
          <w:rFonts w:hint="eastAsia" w:ascii="宋体" w:hAnsi="宋体" w:eastAsia="宋体" w:cs="宋体"/>
          <w:i w:val="0"/>
          <w:szCs w:val="24"/>
          <w:highlight w:val="none"/>
          <w:u w:val="single"/>
          <w:shd w:val="clear" w:color="auto" w:fill="FFFFFF"/>
        </w:rPr>
        <w:t>（产品名称2）</w:t>
      </w:r>
      <w:r>
        <w:rPr>
          <w:rFonts w:hint="eastAsia" w:ascii="宋体" w:hAnsi="宋体" w:eastAsia="宋体" w:cs="宋体"/>
          <w:szCs w:val="24"/>
          <w:highlight w:val="none"/>
          <w:shd w:val="clear" w:color="auto" w:fill="FFFFFF"/>
        </w:rPr>
        <w:t>，生产厂为</w:t>
      </w:r>
      <w:r>
        <w:rPr>
          <w:rStyle w:val="29"/>
          <w:rFonts w:hint="eastAsia" w:ascii="宋体" w:hAnsi="宋体" w:eastAsia="宋体" w:cs="宋体"/>
          <w:i w:val="0"/>
          <w:szCs w:val="24"/>
          <w:highlight w:val="none"/>
          <w:u w:val="single"/>
          <w:shd w:val="clear" w:color="auto" w:fill="FFFFFF"/>
        </w:rPr>
        <w:t>（厂名）</w:t>
      </w:r>
      <w:r>
        <w:rPr>
          <w:rFonts w:hint="eastAsia" w:ascii="宋体" w:hAnsi="宋体" w:eastAsia="宋体" w:cs="宋体"/>
          <w:szCs w:val="24"/>
          <w:highlight w:val="none"/>
          <w:shd w:val="clear" w:color="auto" w:fill="FFFFFF"/>
        </w:rPr>
        <w:t>，厂址为</w:t>
      </w:r>
      <w:r>
        <w:rPr>
          <w:rStyle w:val="29"/>
          <w:rFonts w:hint="eastAsia" w:ascii="宋体" w:hAnsi="宋体" w:eastAsia="宋体" w:cs="宋体"/>
          <w:i w:val="0"/>
          <w:szCs w:val="24"/>
          <w:highlight w:val="none"/>
          <w:u w:val="single"/>
          <w:shd w:val="clear" w:color="auto" w:fill="FFFFFF"/>
        </w:rPr>
        <w:t>（生产厂址）</w:t>
      </w:r>
      <w:r>
        <w:rPr>
          <w:rFonts w:hint="eastAsia" w:ascii="宋体" w:hAnsi="宋体" w:eastAsia="宋体" w:cs="宋体"/>
          <w:szCs w:val="24"/>
          <w:highlight w:val="none"/>
          <w:shd w:val="clear" w:color="auto" w:fill="FFFFFF"/>
        </w:rPr>
        <w:t>。</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的中国境内生产的组件成本占比≥</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的</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在中国境内生产。</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的</w:t>
      </w:r>
      <w:r>
        <w:rPr>
          <w:rStyle w:val="29"/>
          <w:rFonts w:hint="eastAsia" w:ascii="宋体" w:hAnsi="宋体" w:eastAsia="宋体" w:cs="宋体"/>
          <w:i w:val="0"/>
          <w:szCs w:val="24"/>
          <w:highlight w:val="none"/>
          <w:u w:val="single"/>
          <w:shd w:val="clear" w:color="auto" w:fill="FFFFFF"/>
        </w:rPr>
        <w:t xml:space="preserve">  /  </w:t>
      </w:r>
      <w:r>
        <w:rPr>
          <w:rFonts w:hint="eastAsia" w:ascii="宋体" w:hAnsi="宋体" w:eastAsia="宋体" w:cs="宋体"/>
          <w:szCs w:val="24"/>
          <w:highlight w:val="none"/>
          <w:shd w:val="clear" w:color="auto" w:fill="FFFFFF"/>
        </w:rPr>
        <w:t>在中国境内完成。</w:t>
      </w:r>
    </w:p>
    <w:p w14:paraId="73D17525">
      <w:pPr>
        <w:pStyle w:val="20"/>
        <w:widowControl/>
        <w:shd w:val="clear"/>
        <w:spacing w:before="0" w:beforeAutospacing="0" w:after="0" w:afterAutospacing="0" w:line="360" w:lineRule="auto"/>
        <w:ind w:firstLine="420"/>
        <w:textAlignment w:val="baseline"/>
        <w:rPr>
          <w:rFonts w:ascii="宋体" w:hAnsi="宋体" w:eastAsia="宋体" w:cs="宋体"/>
          <w:szCs w:val="24"/>
          <w:highlight w:val="none"/>
        </w:rPr>
      </w:pPr>
      <w:r>
        <w:rPr>
          <w:rFonts w:hint="eastAsia" w:ascii="宋体" w:hAnsi="宋体" w:eastAsia="宋体" w:cs="宋体"/>
          <w:szCs w:val="24"/>
          <w:highlight w:val="none"/>
          <w:shd w:val="clear" w:color="auto" w:fill="FFFFFF"/>
        </w:rPr>
        <w:t>……</w:t>
      </w:r>
    </w:p>
    <w:p w14:paraId="30910972">
      <w:pPr>
        <w:pStyle w:val="20"/>
        <w:widowControl/>
        <w:shd w:val="clear"/>
        <w:spacing w:before="0" w:beforeAutospacing="0" w:after="0" w:afterAutospacing="0" w:line="360" w:lineRule="auto"/>
        <w:ind w:firstLine="420"/>
        <w:textAlignment w:val="baseline"/>
        <w:rPr>
          <w:rFonts w:ascii="宋体" w:hAnsi="宋体" w:eastAsia="宋体" w:cs="宋体"/>
          <w:szCs w:val="24"/>
          <w:highlight w:val="none"/>
        </w:rPr>
      </w:pPr>
      <w:r>
        <w:rPr>
          <w:rFonts w:hint="eastAsia" w:ascii="宋体" w:hAnsi="宋体" w:eastAsia="宋体" w:cs="宋体"/>
          <w:szCs w:val="24"/>
          <w:highlight w:val="none"/>
          <w:shd w:val="clear" w:color="auto" w:fill="FFFFFF"/>
        </w:rPr>
        <w:t>本公司（单位）对上述声明内容的真实性负责。如有虚假，愿承担相应法律责任。</w:t>
      </w:r>
    </w:p>
    <w:p w14:paraId="16ED9C98">
      <w:pPr>
        <w:shd w:val="clear"/>
        <w:spacing w:line="360" w:lineRule="auto"/>
        <w:ind w:firstLine="4228" w:firstLineChars="1762"/>
        <w:rPr>
          <w:rFonts w:ascii="宋体" w:hAnsi="宋体" w:eastAsia="宋体"/>
          <w:sz w:val="24"/>
          <w:szCs w:val="24"/>
          <w:highlight w:val="none"/>
          <w:u w:val="single"/>
        </w:rPr>
      </w:pPr>
      <w:r>
        <w:rPr>
          <w:rFonts w:hint="eastAsia" w:ascii="宋体" w:hAnsi="宋体" w:eastAsia="宋体"/>
          <w:sz w:val="24"/>
          <w:szCs w:val="24"/>
          <w:highlight w:val="none"/>
        </w:rPr>
        <w:t>投标人</w:t>
      </w:r>
      <w:r>
        <w:rPr>
          <w:rFonts w:ascii="宋体" w:hAnsi="宋体" w:eastAsia="宋体"/>
          <w:sz w:val="24"/>
          <w:szCs w:val="24"/>
          <w:highlight w:val="none"/>
        </w:rPr>
        <w:t>电子签章</w:t>
      </w:r>
      <w:r>
        <w:rPr>
          <w:rFonts w:hint="eastAsia" w:ascii="宋体" w:hAnsi="宋体" w:eastAsia="宋体"/>
          <w:sz w:val="24"/>
          <w:szCs w:val="24"/>
          <w:highlight w:val="none"/>
        </w:rPr>
        <w:t>：</w:t>
      </w:r>
      <w:r>
        <w:rPr>
          <w:rFonts w:ascii="宋体" w:hAnsi="宋体" w:eastAsia="宋体"/>
          <w:sz w:val="24"/>
          <w:szCs w:val="24"/>
          <w:highlight w:val="none"/>
          <w:u w:val="single"/>
        </w:rPr>
        <w:t xml:space="preserve">             </w:t>
      </w:r>
    </w:p>
    <w:p w14:paraId="2BB3B160">
      <w:pPr>
        <w:shd w:val="clear"/>
        <w:tabs>
          <w:tab w:val="left" w:pos="4620"/>
        </w:tabs>
        <w:spacing w:line="360" w:lineRule="auto"/>
        <w:ind w:firstLine="4252" w:firstLineChars="1772"/>
        <w:rPr>
          <w:rFonts w:ascii="宋体" w:hAnsi="宋体" w:eastAsia="宋体" w:cs="宋体"/>
          <w:sz w:val="24"/>
          <w:szCs w:val="24"/>
          <w:highlight w:val="none"/>
          <w:shd w:val="clear" w:color="auto" w:fill="FFFFFF"/>
        </w:rPr>
      </w:pPr>
      <w:r>
        <w:rPr>
          <w:rFonts w:hint="eastAsia" w:ascii="宋体" w:hAnsi="宋体" w:eastAsia="宋体"/>
          <w:sz w:val="24"/>
          <w:szCs w:val="24"/>
          <w:highlight w:val="none"/>
        </w:rPr>
        <w:t>日</w:t>
      </w:r>
      <w:r>
        <w:rPr>
          <w:rFonts w:ascii="宋体" w:hAnsi="宋体" w:eastAsia="宋体"/>
          <w:sz w:val="24"/>
          <w:szCs w:val="24"/>
          <w:highlight w:val="none"/>
        </w:rPr>
        <w:t xml:space="preserve">      </w:t>
      </w:r>
      <w:r>
        <w:rPr>
          <w:rFonts w:hint="eastAsia" w:ascii="宋体" w:hAnsi="宋体" w:eastAsia="宋体"/>
          <w:sz w:val="24"/>
          <w:szCs w:val="24"/>
          <w:highlight w:val="none"/>
        </w:rPr>
        <w:t xml:space="preserve">    期：</w:t>
      </w:r>
      <w:r>
        <w:rPr>
          <w:rFonts w:ascii="宋体" w:hAnsi="宋体" w:eastAsia="宋体"/>
          <w:sz w:val="24"/>
          <w:szCs w:val="24"/>
          <w:highlight w:val="none"/>
          <w:u w:val="single"/>
        </w:rPr>
        <w:t xml:space="preserve">             </w:t>
      </w:r>
    </w:p>
    <w:p w14:paraId="7911893F">
      <w:pPr>
        <w:shd w:val="clear"/>
        <w:tabs>
          <w:tab w:val="left" w:pos="4620"/>
        </w:tabs>
        <w:spacing w:line="360" w:lineRule="auto"/>
        <w:jc w:val="left"/>
        <w:rPr>
          <w:rFonts w:ascii="宋体" w:hAnsi="宋体" w:eastAsia="宋体"/>
          <w:bCs/>
          <w:szCs w:val="24"/>
          <w:highlight w:val="none"/>
        </w:rPr>
      </w:pPr>
      <w:r>
        <w:rPr>
          <w:rFonts w:hint="eastAsia" w:ascii="宋体" w:hAnsi="宋体" w:eastAsia="宋体" w:cs="Times New Roman"/>
          <w:b/>
          <w:szCs w:val="24"/>
          <w:highlight w:val="none"/>
        </w:rPr>
        <w:t>注：</w:t>
      </w:r>
    </w:p>
    <w:p w14:paraId="5587E5C8">
      <w:pPr>
        <w:shd w:val="clear"/>
        <w:tabs>
          <w:tab w:val="left" w:pos="4620"/>
        </w:tabs>
        <w:spacing w:line="360" w:lineRule="auto"/>
        <w:jc w:val="left"/>
        <w:rPr>
          <w:rFonts w:ascii="宋体" w:hAnsi="宋体" w:eastAsia="宋体"/>
          <w:bCs/>
          <w:szCs w:val="21"/>
          <w:highlight w:val="none"/>
        </w:rPr>
      </w:pPr>
      <w:r>
        <w:rPr>
          <w:rFonts w:hint="eastAsia" w:ascii="宋体" w:hAnsi="宋体" w:eastAsia="宋体"/>
          <w:bCs/>
          <w:szCs w:val="21"/>
          <w:highlight w:val="none"/>
        </w:rPr>
        <w:t>1.产品如有型号，请在“产品名称”栏一并填写。</w:t>
      </w:r>
    </w:p>
    <w:p w14:paraId="3A737B37">
      <w:pPr>
        <w:shd w:val="clear"/>
        <w:tabs>
          <w:tab w:val="left" w:pos="4620"/>
        </w:tabs>
        <w:spacing w:line="360" w:lineRule="auto"/>
        <w:jc w:val="left"/>
        <w:rPr>
          <w:rFonts w:ascii="宋体" w:hAnsi="宋体" w:eastAsia="宋体"/>
          <w:bCs/>
          <w:szCs w:val="21"/>
          <w:highlight w:val="none"/>
        </w:rPr>
      </w:pPr>
      <w:r>
        <w:rPr>
          <w:rFonts w:hint="eastAsia" w:ascii="宋体" w:hAnsi="宋体" w:eastAsia="宋体"/>
          <w:bCs/>
          <w:szCs w:val="21"/>
          <w:highlight w:val="none"/>
        </w:rPr>
        <w:t>2.生产厂名与厂址应与生产厂营业执照载明的相关信息保持一致。</w:t>
      </w:r>
    </w:p>
    <w:p w14:paraId="17016F2A">
      <w:pPr>
        <w:shd w:val="clear"/>
        <w:tabs>
          <w:tab w:val="left" w:pos="4620"/>
        </w:tabs>
        <w:spacing w:line="360" w:lineRule="auto"/>
        <w:jc w:val="left"/>
        <w:rPr>
          <w:rFonts w:ascii="宋体" w:hAnsi="宋体" w:eastAsia="宋体" w:cs="Times New Roman"/>
          <w:bCs/>
          <w:szCs w:val="21"/>
          <w:highlight w:val="none"/>
        </w:rPr>
      </w:pPr>
      <w:r>
        <w:rPr>
          <w:rFonts w:hint="eastAsia" w:ascii="宋体" w:hAnsi="宋体" w:eastAsia="宋体" w:cs="Times New Roman"/>
          <w:bCs/>
          <w:szCs w:val="21"/>
          <w:highlight w:val="none"/>
        </w:rPr>
        <w:t>3.上述声明函中标注</w:t>
      </w:r>
      <w:r>
        <w:rPr>
          <w:rFonts w:hint="eastAsia" w:ascii="宋体" w:hAnsi="宋体" w:eastAsia="宋体" w:cs="Times New Roman"/>
          <w:bCs/>
          <w:szCs w:val="21"/>
          <w:highlight w:val="none"/>
          <w:u w:val="single"/>
        </w:rPr>
        <w:t xml:space="preserve">  /  </w:t>
      </w:r>
      <w:r>
        <w:rPr>
          <w:rFonts w:hint="eastAsia" w:ascii="宋体" w:hAnsi="宋体" w:eastAsia="宋体" w:cs="Times New Roman"/>
          <w:bCs/>
          <w:szCs w:val="21"/>
          <w:highlight w:val="none"/>
        </w:rPr>
        <w:t>的，无需填写。</w:t>
      </w:r>
    </w:p>
    <w:p w14:paraId="228CB750">
      <w:pPr>
        <w:shd w:val="clear"/>
        <w:tabs>
          <w:tab w:val="left" w:pos="4620"/>
        </w:tabs>
        <w:spacing w:line="360" w:lineRule="auto"/>
        <w:jc w:val="left"/>
        <w:rPr>
          <w:rFonts w:ascii="宋体" w:hAnsi="宋体" w:eastAsia="宋体" w:cs="Times New Roman"/>
          <w:bCs/>
          <w:szCs w:val="21"/>
          <w:highlight w:val="none"/>
        </w:rPr>
      </w:pPr>
      <w:r>
        <w:rPr>
          <w:rFonts w:hint="eastAsia" w:ascii="宋体" w:hAnsi="宋体" w:eastAsia="宋体" w:cs="Times New Roman"/>
          <w:bCs/>
          <w:szCs w:val="21"/>
          <w:highlight w:val="none"/>
        </w:rPr>
        <w:t>4.投标人应当结合“五、投标分项报价表”相关信息进行填写。</w:t>
      </w:r>
    </w:p>
    <w:p w14:paraId="1E0836C2">
      <w:pPr>
        <w:shd w:val="clear"/>
        <w:tabs>
          <w:tab w:val="left" w:pos="4620"/>
        </w:tabs>
        <w:spacing w:line="360" w:lineRule="auto"/>
        <w:jc w:val="left"/>
        <w:rPr>
          <w:rFonts w:ascii="宋体" w:hAnsi="宋体" w:eastAsia="宋体" w:cs="Times New Roman"/>
          <w:bCs/>
          <w:szCs w:val="21"/>
          <w:highlight w:val="none"/>
        </w:rPr>
      </w:pPr>
      <w:r>
        <w:rPr>
          <w:rFonts w:hint="eastAsia" w:ascii="宋体" w:hAnsi="宋体" w:eastAsia="宋体" w:cs="Times New Roman"/>
          <w:bCs/>
          <w:szCs w:val="21"/>
          <w:highlight w:val="none"/>
        </w:rPr>
        <w:t>5.根据《国务院办公厅关于在政府采购中实施本国产品标准及相关政策的通知》（国办发〔2025〕34号）和财政部工业和信息化部关于贯彻落实《国务院办公厅关于在政府采购中实施本国产品标准及相关政策的通知》的意见（财库〔2025〕30号），本项目所称的本国产品是指在中国境内生产的产品，即在中华人民共和国关境内实现从原材料、组件到产品的属性改变。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64A2156E">
      <w:pPr>
        <w:shd w:val="clear"/>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br w:type="page"/>
      </w:r>
    </w:p>
    <w:p w14:paraId="1052667C">
      <w:pPr>
        <w:pStyle w:val="23"/>
        <w:shd w:val="clear"/>
        <w:ind w:firstLine="0" w:firstLineChars="0"/>
        <w:rPr>
          <w:rFonts w:asciiTheme="minorEastAsia" w:hAnsiTheme="minorEastAsia" w:eastAsiaTheme="minorEastAsia"/>
          <w:b/>
          <w:sz w:val="24"/>
          <w:highlight w:val="none"/>
          <w:lang w:val="en-US"/>
        </w:rPr>
      </w:pPr>
    </w:p>
    <w:p w14:paraId="40DF3B3A">
      <w:pPr>
        <w:shd w:val="clear"/>
        <w:spacing w:line="360" w:lineRule="auto"/>
        <w:jc w:val="center"/>
        <w:outlineLvl w:val="1"/>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十一、</w:t>
      </w:r>
      <w:bookmarkEnd w:id="267"/>
      <w:bookmarkEnd w:id="268"/>
      <w:bookmarkEnd w:id="269"/>
      <w:r>
        <w:rPr>
          <w:rFonts w:hint="eastAsia" w:asciiTheme="minorEastAsia" w:hAnsiTheme="minorEastAsia" w:eastAsiaTheme="minorEastAsia"/>
          <w:b/>
          <w:sz w:val="24"/>
          <w:highlight w:val="none"/>
        </w:rPr>
        <w:t>诚信履约承诺函</w:t>
      </w:r>
      <w:bookmarkEnd w:id="270"/>
      <w:bookmarkEnd w:id="271"/>
    </w:p>
    <w:p w14:paraId="0E258856">
      <w:pPr>
        <w:shd w:val="clear"/>
        <w:spacing w:line="360" w:lineRule="auto"/>
        <w:rPr>
          <w:rFonts w:asciiTheme="minorEastAsia" w:hAnsiTheme="minorEastAsia" w:eastAsiaTheme="minorEastAsia"/>
          <w:b/>
          <w:bCs/>
          <w:sz w:val="24"/>
          <w:highlight w:val="none"/>
        </w:rPr>
      </w:pPr>
    </w:p>
    <w:p w14:paraId="5D73717C">
      <w:pPr>
        <w:shd w:val="clear"/>
        <w:spacing w:line="360" w:lineRule="auto"/>
        <w:rPr>
          <w:rFonts w:asciiTheme="minorEastAsia" w:hAnsiTheme="minorEastAsia" w:eastAsiaTheme="minorEastAsia"/>
          <w:b/>
          <w:bCs/>
          <w:sz w:val="24"/>
          <w:highlight w:val="none"/>
          <w:u w:val="single"/>
        </w:rPr>
      </w:pPr>
      <w:r>
        <w:rPr>
          <w:rFonts w:hint="eastAsia" w:asciiTheme="minorEastAsia" w:hAnsiTheme="minorEastAsia" w:eastAsiaTheme="minorEastAsia"/>
          <w:b/>
          <w:bCs/>
          <w:sz w:val="24"/>
          <w:highlight w:val="none"/>
        </w:rPr>
        <w:t>致：安徽中医药大学第二附属医院</w:t>
      </w:r>
    </w:p>
    <w:p w14:paraId="27EDFBFB">
      <w:pPr>
        <w:shd w:val="clear"/>
        <w:spacing w:line="360" w:lineRule="auto"/>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如我单位被确定为本项目中标人，我单位承诺在合同签订及履约过程中将严格执行《中华人民共和国政府采购法》、《中华人民共和国政府采购法实施条例》及本项目采购文件中关于合同签订及履约的相关规定，不出现以下情形：</w:t>
      </w:r>
    </w:p>
    <w:p w14:paraId="6E7E46E1">
      <w:pPr>
        <w:shd w:val="clear"/>
        <w:spacing w:line="360" w:lineRule="auto"/>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（1）中标或者成交后无正当理由拒不与采购人签订政府采购合同；</w:t>
      </w:r>
    </w:p>
    <w:p w14:paraId="76248F65">
      <w:pPr>
        <w:shd w:val="clear"/>
        <w:spacing w:line="360" w:lineRule="auto"/>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（2）未按照采购文件确定的事项签订政府采购合同；</w:t>
      </w:r>
    </w:p>
    <w:p w14:paraId="25FEE325">
      <w:pPr>
        <w:shd w:val="clear"/>
        <w:spacing w:line="360" w:lineRule="auto"/>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（3）将政府采购合同转包；</w:t>
      </w:r>
    </w:p>
    <w:p w14:paraId="29A03473">
      <w:pPr>
        <w:shd w:val="clear"/>
        <w:spacing w:line="360" w:lineRule="auto"/>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（4）提供假冒伪劣产品；</w:t>
      </w:r>
    </w:p>
    <w:p w14:paraId="50B24E45">
      <w:pPr>
        <w:shd w:val="clear"/>
        <w:spacing w:line="360" w:lineRule="auto"/>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（5）擅自变更、中止或者终止政府采购合同。</w:t>
      </w:r>
    </w:p>
    <w:p w14:paraId="32AAE4B2">
      <w:pPr>
        <w:shd w:val="clear"/>
        <w:spacing w:line="360" w:lineRule="auto"/>
        <w:ind w:firstLine="480" w:firstLineChars="2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本单位知悉如出现上述情形，将会被依法追究法律责任，可能的处理结果有：处以采购金额千分之五以上千分之十以下的罚款，列入不良行为记录名单，在一至三年内禁止参加政府采购活动，有违法所得的，并处没收违法所得，情节严重的，由工商行政管理机关吊销营业执照；构成犯罪的，依法追究刑事责任。</w:t>
      </w:r>
    </w:p>
    <w:p w14:paraId="030B2D9C">
      <w:pPr>
        <w:shd w:val="clear"/>
        <w:spacing w:line="360" w:lineRule="auto"/>
        <w:rPr>
          <w:rFonts w:asciiTheme="minorEastAsia" w:hAnsiTheme="minorEastAsia" w:eastAsiaTheme="minorEastAsia"/>
          <w:bCs/>
          <w:sz w:val="24"/>
          <w:highlight w:val="none"/>
        </w:rPr>
      </w:pPr>
    </w:p>
    <w:p w14:paraId="3FC54976">
      <w:pPr>
        <w:shd w:val="clear"/>
        <w:spacing w:line="360" w:lineRule="auto"/>
        <w:rPr>
          <w:rFonts w:asciiTheme="minorEastAsia" w:hAnsiTheme="minorEastAsia" w:eastAsiaTheme="minorEastAsia"/>
          <w:bCs/>
          <w:sz w:val="24"/>
          <w:highlight w:val="none"/>
        </w:rPr>
      </w:pPr>
    </w:p>
    <w:p w14:paraId="032B6DC0">
      <w:pPr>
        <w:shd w:val="clear"/>
        <w:spacing w:line="360" w:lineRule="auto"/>
        <w:ind w:firstLine="4320" w:firstLineChars="1800"/>
        <w:rPr>
          <w:rFonts w:asciiTheme="minorEastAsia" w:hAnsiTheme="minorEastAsia" w:eastAsiaTheme="minorEastAsia"/>
          <w:bCs/>
          <w:sz w:val="24"/>
          <w:highlight w:val="none"/>
          <w:u w:val="single"/>
        </w:rPr>
      </w:pPr>
      <w:r>
        <w:rPr>
          <w:rFonts w:hint="eastAsia" w:asciiTheme="minorEastAsia" w:hAnsiTheme="minorEastAsia" w:eastAsiaTheme="minorEastAsia"/>
          <w:bCs/>
          <w:sz w:val="24"/>
          <w:highlight w:val="none"/>
        </w:rPr>
        <w:t>投标人电子签章：</w:t>
      </w:r>
      <w:r>
        <w:rPr>
          <w:rFonts w:hint="eastAsia" w:asciiTheme="minorEastAsia" w:hAnsiTheme="minorEastAsia" w:eastAsiaTheme="minorEastAsia"/>
          <w:bCs/>
          <w:sz w:val="24"/>
          <w:highlight w:val="none"/>
          <w:u w:val="single"/>
        </w:rPr>
        <w:t xml:space="preserve">     </w:t>
      </w:r>
      <w:r>
        <w:rPr>
          <w:rFonts w:asciiTheme="minorEastAsia" w:hAnsiTheme="minorEastAsia" w:eastAsiaTheme="minorEastAsia"/>
          <w:bCs/>
          <w:sz w:val="24"/>
          <w:highlight w:val="none"/>
          <w:u w:val="single"/>
        </w:rPr>
        <w:t xml:space="preserve">    </w:t>
      </w:r>
      <w:r>
        <w:rPr>
          <w:rFonts w:hint="eastAsia" w:asciiTheme="minorEastAsia" w:hAnsiTheme="minorEastAsia" w:eastAsiaTheme="minorEastAsia"/>
          <w:bCs/>
          <w:sz w:val="24"/>
          <w:highlight w:val="none"/>
          <w:u w:val="single"/>
        </w:rPr>
        <w:t xml:space="preserve">    </w:t>
      </w:r>
    </w:p>
    <w:p w14:paraId="219D177E">
      <w:pPr>
        <w:shd w:val="clear"/>
        <w:spacing w:line="360" w:lineRule="auto"/>
        <w:ind w:firstLine="4320" w:firstLineChars="1800"/>
        <w:rPr>
          <w:rFonts w:asciiTheme="minorEastAsia" w:hAnsiTheme="minorEastAsia" w:eastAsiaTheme="minorEastAsia"/>
          <w:bCs/>
          <w:sz w:val="24"/>
          <w:highlight w:val="none"/>
        </w:rPr>
      </w:pPr>
      <w:r>
        <w:rPr>
          <w:rFonts w:hint="eastAsia" w:asciiTheme="minorEastAsia" w:hAnsiTheme="minorEastAsia" w:eastAsiaTheme="minorEastAsia"/>
          <w:bCs/>
          <w:sz w:val="24"/>
          <w:highlight w:val="none"/>
        </w:rPr>
        <w:t>日          期：</w:t>
      </w:r>
      <w:r>
        <w:rPr>
          <w:rFonts w:hint="eastAsia" w:asciiTheme="minorEastAsia" w:hAnsiTheme="minorEastAsia" w:eastAsiaTheme="minorEastAsia"/>
          <w:bCs/>
          <w:sz w:val="24"/>
          <w:highlight w:val="none"/>
          <w:u w:val="single"/>
        </w:rPr>
        <w:t xml:space="preserve">             </w:t>
      </w:r>
    </w:p>
    <w:p w14:paraId="45FE8DAB">
      <w:pPr>
        <w:widowControl/>
        <w:shd w:val="clear"/>
        <w:jc w:val="left"/>
        <w:rPr>
          <w:rFonts w:ascii="宋体" w:hAnsi="宋体" w:eastAsia="宋体" w:cs="Arial"/>
          <w:sz w:val="24"/>
          <w:highlight w:val="none"/>
        </w:rPr>
      </w:pPr>
      <w:r>
        <w:rPr>
          <w:rFonts w:ascii="宋体" w:hAnsi="宋体" w:eastAsia="宋体" w:cs="Arial"/>
          <w:sz w:val="24"/>
          <w:highlight w:val="none"/>
        </w:rPr>
        <w:br w:type="page"/>
      </w:r>
    </w:p>
    <w:bookmarkEnd w:id="272"/>
    <w:p w14:paraId="0E2B6030">
      <w:pPr>
        <w:shd w:val="clear"/>
        <w:spacing w:line="360" w:lineRule="auto"/>
        <w:jc w:val="center"/>
        <w:outlineLvl w:val="1"/>
        <w:rPr>
          <w:rFonts w:asciiTheme="minorEastAsia" w:hAnsiTheme="minorEastAsia" w:eastAsiaTheme="minorEastAsia"/>
          <w:b/>
          <w:sz w:val="24"/>
          <w:highlight w:val="none"/>
        </w:rPr>
      </w:pPr>
      <w:bookmarkStart w:id="273" w:name="_Toc32633"/>
      <w:bookmarkStart w:id="274" w:name="_Toc2683"/>
      <w:r>
        <w:rPr>
          <w:rFonts w:hint="eastAsia" w:asciiTheme="minorEastAsia" w:hAnsiTheme="minorEastAsia" w:eastAsiaTheme="minorEastAsia"/>
          <w:b/>
          <w:sz w:val="24"/>
          <w:highlight w:val="none"/>
        </w:rPr>
        <w:t>十二、其他相关证明材料</w:t>
      </w:r>
      <w:bookmarkEnd w:id="273"/>
      <w:bookmarkEnd w:id="274"/>
    </w:p>
    <w:p w14:paraId="48C537D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提供符合投标邀请、采购需求及评标方法和标准规定的相关证明文件。</w:t>
      </w:r>
    </w:p>
    <w:p w14:paraId="172B5D3A">
      <w:pPr>
        <w:numPr>
          <w:ilvl w:val="0"/>
          <w:numId w:val="20"/>
        </w:numPr>
        <w:shd w:val="clear"/>
        <w:spacing w:line="360" w:lineRule="auto"/>
        <w:jc w:val="center"/>
        <w:outlineLvl w:val="1"/>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承诺函</w:t>
      </w:r>
    </w:p>
    <w:p w14:paraId="3C853BF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根据采购文件要求，提供相关承诺内容。</w:t>
      </w:r>
    </w:p>
    <w:p w14:paraId="0D6DC291">
      <w:pPr>
        <w:shd w:val="clear"/>
        <w:spacing w:line="360" w:lineRule="auto"/>
        <w:ind w:firstLine="480" w:firstLineChars="200"/>
        <w:rPr>
          <w:rFonts w:asciiTheme="minorEastAsia" w:hAnsiTheme="minorEastAsia" w:eastAsiaTheme="minorEastAsia"/>
          <w:sz w:val="24"/>
          <w:highlight w:val="none"/>
        </w:rPr>
      </w:pPr>
    </w:p>
    <w:p w14:paraId="0EF54B81">
      <w:pPr>
        <w:shd w:val="clear"/>
        <w:spacing w:line="360" w:lineRule="auto"/>
        <w:ind w:firstLine="435"/>
        <w:rPr>
          <w:rFonts w:asciiTheme="minorEastAsia" w:hAnsiTheme="minorEastAsia" w:eastAsiaTheme="minorEastAsia"/>
          <w:b/>
          <w:sz w:val="24"/>
          <w:highlight w:val="none"/>
        </w:rPr>
      </w:pPr>
      <w:r>
        <w:rPr>
          <w:rFonts w:hint="eastAsia" w:asciiTheme="minorEastAsia" w:hAnsiTheme="minorEastAsia" w:eastAsiaTheme="minorEastAsia"/>
          <w:b/>
          <w:sz w:val="24"/>
          <w:highlight w:val="none"/>
        </w:rPr>
        <w:t>特别提示：</w:t>
      </w:r>
    </w:p>
    <w:p w14:paraId="6D0C0745">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投标人在投标文件制作时可在此栏内上传</w:t>
      </w:r>
      <w:r>
        <w:rPr>
          <w:rFonts w:asciiTheme="minorEastAsia" w:hAnsiTheme="minorEastAsia" w:eastAsiaTheme="minorEastAsia"/>
          <w:sz w:val="24"/>
          <w:highlight w:val="none"/>
        </w:rPr>
        <w:t>招标文件要求上传的证明资料</w:t>
      </w:r>
      <w:r>
        <w:rPr>
          <w:rFonts w:hint="eastAsia" w:asciiTheme="minorEastAsia" w:hAnsiTheme="minorEastAsia" w:eastAsiaTheme="minorEastAsia"/>
          <w:sz w:val="24"/>
          <w:highlight w:val="none"/>
        </w:rPr>
        <w:t>，如营业执照、证书</w:t>
      </w:r>
      <w:r>
        <w:rPr>
          <w:rFonts w:asciiTheme="minorEastAsia" w:hAnsiTheme="minorEastAsia" w:eastAsiaTheme="minorEastAsia"/>
          <w:sz w:val="24"/>
          <w:highlight w:val="none"/>
        </w:rPr>
        <w:t>等，应将上述证明材料制作成扫描件上传。</w:t>
      </w:r>
    </w:p>
    <w:p w14:paraId="3361FCC0">
      <w:pPr>
        <w:shd w:val="clear"/>
        <w:spacing w:line="360" w:lineRule="auto"/>
        <w:ind w:firstLine="435"/>
        <w:rPr>
          <w:rFonts w:asciiTheme="minorEastAsia" w:hAnsiTheme="minorEastAsia" w:eastAsiaTheme="minorEastAsia"/>
          <w:sz w:val="24"/>
          <w:highlight w:val="none"/>
        </w:rPr>
      </w:pPr>
    </w:p>
    <w:p w14:paraId="1BAB6A4B">
      <w:pPr>
        <w:widowControl/>
        <w:shd w:val="clear"/>
        <w:jc w:val="left"/>
        <w:rPr>
          <w:rFonts w:ascii="宋体" w:hAnsi="宋体" w:eastAsia="宋体"/>
          <w:bCs/>
          <w:sz w:val="24"/>
          <w:highlight w:val="none"/>
        </w:rPr>
      </w:pPr>
      <w:r>
        <w:rPr>
          <w:rFonts w:ascii="宋体" w:hAnsi="宋体" w:eastAsia="宋体"/>
          <w:bCs/>
          <w:sz w:val="24"/>
          <w:highlight w:val="none"/>
        </w:rPr>
        <w:br w:type="page"/>
      </w:r>
    </w:p>
    <w:p w14:paraId="4E44E95B">
      <w:pPr>
        <w:shd w:val="clear"/>
        <w:spacing w:line="360" w:lineRule="auto"/>
        <w:jc w:val="center"/>
        <w:outlineLvl w:val="0"/>
        <w:rPr>
          <w:rFonts w:ascii="宋体" w:hAnsi="宋体" w:eastAsia="宋体"/>
          <w:b/>
          <w:bCs/>
          <w:sz w:val="28"/>
          <w:highlight w:val="none"/>
        </w:rPr>
      </w:pPr>
      <w:bookmarkStart w:id="275" w:name="_Toc6435"/>
      <w:bookmarkStart w:id="276" w:name="_Toc18131"/>
      <w:r>
        <w:rPr>
          <w:rFonts w:hint="eastAsia" w:asciiTheme="minorEastAsia" w:hAnsiTheme="minorEastAsia" w:eastAsiaTheme="minorEastAsia"/>
          <w:b/>
          <w:sz w:val="28"/>
          <w:highlight w:val="none"/>
        </w:rPr>
        <w:t>第七章</w:t>
      </w:r>
      <w:r>
        <w:rPr>
          <w:rFonts w:hint="eastAsia" w:ascii="宋体" w:hAnsi="宋体" w:eastAsia="宋体"/>
          <w:b/>
          <w:bCs/>
          <w:sz w:val="28"/>
          <w:highlight w:val="none"/>
        </w:rPr>
        <w:t xml:space="preserve">  政府采购</w:t>
      </w:r>
      <w:r>
        <w:rPr>
          <w:rFonts w:hint="eastAsia" w:asciiTheme="minorEastAsia" w:hAnsiTheme="minorEastAsia" w:eastAsiaTheme="minorEastAsia"/>
          <w:b/>
          <w:sz w:val="28"/>
          <w:highlight w:val="none"/>
        </w:rPr>
        <w:t>供应</w:t>
      </w:r>
      <w:r>
        <w:rPr>
          <w:rFonts w:hint="eastAsia" w:ascii="宋体" w:hAnsi="宋体" w:eastAsia="宋体"/>
          <w:b/>
          <w:bCs/>
          <w:sz w:val="28"/>
          <w:highlight w:val="none"/>
        </w:rPr>
        <w:t>商询问函和质疑函范本</w:t>
      </w:r>
      <w:bookmarkEnd w:id="275"/>
      <w:bookmarkEnd w:id="276"/>
    </w:p>
    <w:p w14:paraId="7A40B900">
      <w:pPr>
        <w:shd w:val="clear"/>
        <w:spacing w:line="360" w:lineRule="auto"/>
        <w:jc w:val="center"/>
        <w:outlineLvl w:val="1"/>
        <w:rPr>
          <w:rFonts w:ascii="仿宋" w:hAnsi="仿宋" w:eastAsia="仿宋" w:cs="仿宋"/>
          <w:b/>
          <w:bCs/>
          <w:sz w:val="32"/>
          <w:szCs w:val="44"/>
          <w:highlight w:val="none"/>
        </w:rPr>
      </w:pPr>
      <w:bookmarkStart w:id="277" w:name="_Toc27159"/>
      <w:bookmarkStart w:id="278" w:name="_Toc27489"/>
      <w:r>
        <w:rPr>
          <w:rFonts w:hint="eastAsia" w:ascii="仿宋" w:hAnsi="仿宋" w:eastAsia="仿宋" w:cs="仿宋"/>
          <w:b/>
          <w:bCs/>
          <w:sz w:val="32"/>
          <w:szCs w:val="44"/>
          <w:highlight w:val="none"/>
        </w:rPr>
        <w:t>询问函范本</w:t>
      </w:r>
      <w:bookmarkEnd w:id="277"/>
      <w:bookmarkEnd w:id="278"/>
    </w:p>
    <w:p w14:paraId="6CE43A10">
      <w:pPr>
        <w:shd w:val="clear"/>
        <w:adjustRightInd w:val="0"/>
        <w:snapToGrid w:val="0"/>
        <w:spacing w:line="360" w:lineRule="auto"/>
        <w:ind w:firstLine="480" w:firstLineChars="200"/>
        <w:jc w:val="center"/>
        <w:rPr>
          <w:rFonts w:ascii="仿宋" w:hAnsi="仿宋" w:eastAsia="仿宋" w:cs="仿宋"/>
          <w:b/>
          <w:bCs/>
          <w:sz w:val="32"/>
          <w:szCs w:val="44"/>
          <w:highlight w:val="none"/>
        </w:rPr>
      </w:pPr>
      <w:r>
        <w:rPr>
          <w:rFonts w:hint="eastAsia" w:cs="仿宋" w:asciiTheme="minorEastAsia" w:hAnsiTheme="minorEastAsia" w:eastAsiaTheme="minorEastAsia"/>
          <w:i/>
          <w:iCs/>
          <w:sz w:val="24"/>
          <w:szCs w:val="24"/>
          <w:highlight w:val="none"/>
        </w:rPr>
        <w:t>（如为对采购文件或采购程序的询问或疑问，请按询问函范本或电子交易系统中网上询问格式附件进行提交）</w:t>
      </w:r>
    </w:p>
    <w:p w14:paraId="2AF82789">
      <w:pPr>
        <w:shd w:val="clear"/>
        <w:adjustRightInd w:val="0"/>
        <w:snapToGrid w:val="0"/>
        <w:spacing w:line="360" w:lineRule="auto"/>
        <w:rPr>
          <w:rFonts w:cs="仿宋" w:asciiTheme="minorEastAsia" w:hAnsiTheme="minorEastAsia" w:eastAsiaTheme="minorEastAsia"/>
          <w:b/>
          <w:bCs/>
          <w:sz w:val="24"/>
          <w:szCs w:val="24"/>
          <w:highlight w:val="none"/>
          <w:u w:val="single"/>
        </w:rPr>
      </w:pPr>
      <w:r>
        <w:rPr>
          <w:rFonts w:hint="eastAsia" w:cs="仿宋" w:asciiTheme="minorEastAsia" w:hAnsiTheme="minorEastAsia" w:eastAsiaTheme="minorEastAsia"/>
          <w:b/>
          <w:bCs/>
          <w:sz w:val="24"/>
          <w:szCs w:val="24"/>
          <w:highlight w:val="none"/>
        </w:rPr>
        <w:t>致：采购人</w:t>
      </w:r>
    </w:p>
    <w:p w14:paraId="7828A08D">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我单位拟参与</w:t>
      </w:r>
      <w:r>
        <w:rPr>
          <w:rFonts w:hint="eastAsia" w:cs="仿宋" w:asciiTheme="minorEastAsia" w:hAnsiTheme="minorEastAsia" w:eastAsiaTheme="minorEastAsia"/>
          <w:sz w:val="24"/>
          <w:szCs w:val="24"/>
          <w:highlight w:val="none"/>
          <w:u w:val="single"/>
        </w:rPr>
        <w:t xml:space="preserve">           </w:t>
      </w:r>
      <w:r>
        <w:rPr>
          <w:rFonts w:hint="eastAsia" w:cs="仿宋" w:asciiTheme="minorEastAsia" w:hAnsiTheme="minorEastAsia" w:eastAsiaTheme="minorEastAsia"/>
          <w:sz w:val="24"/>
          <w:szCs w:val="24"/>
          <w:highlight w:val="none"/>
        </w:rPr>
        <w:t>（</w:t>
      </w:r>
      <w:r>
        <w:rPr>
          <w:rFonts w:hint="eastAsia" w:cs="仿宋" w:asciiTheme="minorEastAsia" w:hAnsiTheme="minorEastAsia" w:eastAsiaTheme="minorEastAsia"/>
          <w:i/>
          <w:iCs/>
          <w:sz w:val="24"/>
          <w:szCs w:val="24"/>
          <w:highlight w:val="none"/>
        </w:rPr>
        <w:t>项目名称、编号</w:t>
      </w:r>
      <w:r>
        <w:rPr>
          <w:rFonts w:hint="eastAsia" w:cs="仿宋" w:asciiTheme="minorEastAsia" w:hAnsiTheme="minorEastAsia" w:eastAsiaTheme="minorEastAsia"/>
          <w:sz w:val="24"/>
          <w:szCs w:val="24"/>
          <w:highlight w:val="none"/>
        </w:rPr>
        <w:t>）的采购活动，现有以下内容(或条款)存在疑问(或无法理解)，特提出询问。</w:t>
      </w:r>
    </w:p>
    <w:p w14:paraId="23123B7C">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bookmarkStart w:id="279" w:name="_Toc13899"/>
      <w:r>
        <w:rPr>
          <w:rFonts w:hint="eastAsia" w:cs="仿宋" w:asciiTheme="minorEastAsia" w:hAnsiTheme="minorEastAsia" w:eastAsiaTheme="minorEastAsia"/>
          <w:sz w:val="24"/>
          <w:szCs w:val="24"/>
          <w:highlight w:val="none"/>
        </w:rPr>
        <w:t>一、(事项一)</w:t>
      </w:r>
      <w:bookmarkEnd w:id="279"/>
    </w:p>
    <w:p w14:paraId="1819F101">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1、(内容或条款)</w:t>
      </w:r>
    </w:p>
    <w:p w14:paraId="75CF52F2">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2、(说明疑问或无法理解原因)</w:t>
      </w:r>
    </w:p>
    <w:p w14:paraId="71317426">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3、(建议)</w:t>
      </w:r>
    </w:p>
    <w:p w14:paraId="2BFB1D19">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bookmarkStart w:id="280" w:name="_Toc3352"/>
      <w:r>
        <w:rPr>
          <w:rFonts w:hint="eastAsia" w:cs="仿宋" w:asciiTheme="minorEastAsia" w:hAnsiTheme="minorEastAsia" w:eastAsiaTheme="minorEastAsia"/>
          <w:sz w:val="24"/>
          <w:szCs w:val="24"/>
          <w:highlight w:val="none"/>
        </w:rPr>
        <w:t>二、(事项二)</w:t>
      </w:r>
      <w:bookmarkEnd w:id="280"/>
    </w:p>
    <w:p w14:paraId="0B8BB9EC">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w:t>
      </w:r>
    </w:p>
    <w:p w14:paraId="4D5B281D">
      <w:pPr>
        <w:shd w:val="clear"/>
        <w:adjustRightInd w:val="0"/>
        <w:snapToGrid w:val="0"/>
        <w:spacing w:line="360" w:lineRule="auto"/>
        <w:ind w:firstLine="480" w:firstLineChars="200"/>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 xml:space="preserve">随附相关证明材料如下： </w:t>
      </w:r>
    </w:p>
    <w:p w14:paraId="4C1AC0F0">
      <w:pPr>
        <w:shd w:val="clear"/>
        <w:spacing w:line="360" w:lineRule="auto"/>
        <w:ind w:firstLine="4228" w:firstLineChars="1762"/>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联 系 人：</w:t>
      </w:r>
      <w:r>
        <w:rPr>
          <w:rFonts w:hint="eastAsia" w:asciiTheme="minorEastAsia" w:hAnsiTheme="minorEastAsia" w:eastAsiaTheme="minorEastAsia"/>
          <w:sz w:val="24"/>
          <w:highlight w:val="none"/>
          <w:u w:val="single"/>
        </w:rPr>
        <w:t xml:space="preserve">              </w:t>
      </w:r>
    </w:p>
    <w:p w14:paraId="167B9DFB">
      <w:pPr>
        <w:shd w:val="clear"/>
        <w:spacing w:line="360" w:lineRule="auto"/>
        <w:ind w:firstLine="4228" w:firstLineChars="1762"/>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联系电话：</w:t>
      </w:r>
      <w:r>
        <w:rPr>
          <w:rFonts w:hint="eastAsia" w:asciiTheme="minorEastAsia" w:hAnsiTheme="minorEastAsia" w:eastAsiaTheme="minorEastAsia"/>
          <w:sz w:val="24"/>
          <w:highlight w:val="none"/>
          <w:u w:val="single"/>
        </w:rPr>
        <w:t xml:space="preserve">              </w:t>
      </w:r>
    </w:p>
    <w:p w14:paraId="5BE75B5B">
      <w:pPr>
        <w:shd w:val="clear"/>
        <w:tabs>
          <w:tab w:val="left" w:pos="630"/>
        </w:tabs>
        <w:spacing w:line="360" w:lineRule="auto"/>
        <w:ind w:firstLine="4228" w:firstLineChars="1762"/>
        <w:rPr>
          <w:rFonts w:asciiTheme="minorEastAsia" w:hAnsiTheme="minorEastAsia" w:eastAsiaTheme="minorEastAsia"/>
          <w:sz w:val="24"/>
          <w:highlight w:val="none"/>
          <w:u w:val="single"/>
        </w:rPr>
      </w:pPr>
      <w:r>
        <w:rPr>
          <w:rFonts w:hint="eastAsia" w:asciiTheme="minorEastAsia" w:hAnsiTheme="minorEastAsia" w:eastAsiaTheme="minorEastAsia"/>
          <w:sz w:val="24"/>
          <w:highlight w:val="none"/>
        </w:rPr>
        <w:t>日    期：</w:t>
      </w:r>
      <w:r>
        <w:rPr>
          <w:rFonts w:hint="eastAsia" w:asciiTheme="minorEastAsia" w:hAnsiTheme="minorEastAsia" w:eastAsiaTheme="minorEastAsia"/>
          <w:sz w:val="24"/>
          <w:highlight w:val="none"/>
          <w:u w:val="single"/>
        </w:rPr>
        <w:t xml:space="preserve">       </w:t>
      </w:r>
      <w:r>
        <w:rPr>
          <w:rFonts w:asciiTheme="minorEastAsia" w:hAnsiTheme="minorEastAsia" w:eastAsiaTheme="minorEastAsia"/>
          <w:sz w:val="24"/>
          <w:highlight w:val="none"/>
          <w:u w:val="single"/>
        </w:rPr>
        <w:t xml:space="preserve">   </w:t>
      </w:r>
      <w:r>
        <w:rPr>
          <w:rFonts w:hint="eastAsia" w:asciiTheme="minorEastAsia" w:hAnsiTheme="minorEastAsia" w:eastAsiaTheme="minorEastAsia"/>
          <w:sz w:val="24"/>
          <w:highlight w:val="none"/>
          <w:u w:val="single"/>
        </w:rPr>
        <w:t xml:space="preserve">    </w:t>
      </w:r>
    </w:p>
    <w:p w14:paraId="71388629">
      <w:pPr>
        <w:shd w:val="clear"/>
        <w:rPr>
          <w:rFonts w:ascii="仿宋" w:hAnsi="仿宋" w:eastAsia="仿宋" w:cs="仿宋"/>
          <w:b/>
          <w:bCs/>
          <w:sz w:val="32"/>
          <w:szCs w:val="44"/>
          <w:highlight w:val="none"/>
        </w:rPr>
      </w:pPr>
      <w:r>
        <w:rPr>
          <w:rFonts w:hint="eastAsia" w:ascii="仿宋" w:hAnsi="仿宋" w:eastAsia="仿宋" w:cs="仿宋"/>
          <w:b/>
          <w:bCs/>
          <w:sz w:val="32"/>
          <w:szCs w:val="44"/>
          <w:highlight w:val="none"/>
        </w:rPr>
        <w:br w:type="page"/>
      </w:r>
    </w:p>
    <w:p w14:paraId="0199CB6E">
      <w:pPr>
        <w:shd w:val="clear"/>
        <w:jc w:val="center"/>
        <w:outlineLvl w:val="1"/>
        <w:rPr>
          <w:rFonts w:ascii="仿宋" w:hAnsi="仿宋" w:eastAsia="仿宋" w:cs="仿宋"/>
          <w:b/>
          <w:bCs/>
          <w:sz w:val="32"/>
          <w:szCs w:val="44"/>
          <w:highlight w:val="none"/>
        </w:rPr>
      </w:pPr>
      <w:bookmarkStart w:id="281" w:name="_Toc3245"/>
      <w:bookmarkStart w:id="282" w:name="_Toc1575"/>
      <w:r>
        <w:rPr>
          <w:rFonts w:hint="eastAsia" w:ascii="仿宋" w:hAnsi="仿宋" w:eastAsia="仿宋" w:cs="仿宋"/>
          <w:b/>
          <w:bCs/>
          <w:sz w:val="32"/>
          <w:szCs w:val="44"/>
          <w:highlight w:val="none"/>
        </w:rPr>
        <w:t>质疑函范本</w:t>
      </w:r>
      <w:bookmarkEnd w:id="281"/>
      <w:bookmarkEnd w:id="282"/>
    </w:p>
    <w:p w14:paraId="5906BD0D">
      <w:pPr>
        <w:shd w:val="clear"/>
        <w:adjustRightInd w:val="0"/>
        <w:snapToGrid w:val="0"/>
        <w:spacing w:before="312" w:beforeLines="100" w:line="360" w:lineRule="auto"/>
        <w:rPr>
          <w:rFonts w:cs="仿宋" w:asciiTheme="minorEastAsia" w:hAnsiTheme="minorEastAsia" w:eastAsiaTheme="minorEastAsia"/>
          <w:b/>
          <w:bCs/>
          <w:sz w:val="24"/>
          <w:szCs w:val="24"/>
          <w:highlight w:val="none"/>
        </w:rPr>
      </w:pPr>
      <w:bookmarkStart w:id="283" w:name="_Toc21381"/>
      <w:r>
        <w:rPr>
          <w:rFonts w:hint="eastAsia" w:cs="仿宋" w:asciiTheme="minorEastAsia" w:hAnsiTheme="minorEastAsia" w:eastAsiaTheme="minorEastAsia"/>
          <w:b/>
          <w:bCs/>
          <w:sz w:val="24"/>
          <w:szCs w:val="24"/>
          <w:highlight w:val="none"/>
        </w:rPr>
        <w:t>一、质疑供应商基本信息</w:t>
      </w:r>
      <w:bookmarkEnd w:id="283"/>
    </w:p>
    <w:p w14:paraId="68047752">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质疑供应商：</w:t>
      </w:r>
      <w:r>
        <w:rPr>
          <w:rFonts w:hint="eastAsia" w:cs="仿宋" w:asciiTheme="minorEastAsia" w:hAnsiTheme="minorEastAsia" w:eastAsiaTheme="minorEastAsia"/>
          <w:sz w:val="24"/>
          <w:szCs w:val="24"/>
          <w:highlight w:val="none"/>
          <w:u w:val="dotted"/>
        </w:rPr>
        <w:t xml:space="preserve">                                        </w:t>
      </w:r>
    </w:p>
    <w:p w14:paraId="0D9EA64E">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地址：</w:t>
      </w:r>
      <w:r>
        <w:rPr>
          <w:rFonts w:hint="eastAsia" w:cs="仿宋" w:asciiTheme="minorEastAsia" w:hAnsiTheme="minorEastAsia" w:eastAsiaTheme="minorEastAsia"/>
          <w:sz w:val="24"/>
          <w:szCs w:val="24"/>
          <w:highlight w:val="none"/>
          <w:u w:val="dotted"/>
        </w:rPr>
        <w:t xml:space="preserve">                          </w:t>
      </w:r>
      <w:r>
        <w:rPr>
          <w:rFonts w:hint="eastAsia" w:cs="仿宋" w:asciiTheme="minorEastAsia" w:hAnsiTheme="minorEastAsia" w:eastAsiaTheme="minorEastAsia"/>
          <w:sz w:val="24"/>
          <w:szCs w:val="24"/>
          <w:highlight w:val="none"/>
        </w:rPr>
        <w:t>邮编：</w:t>
      </w:r>
      <w:r>
        <w:rPr>
          <w:rFonts w:hint="eastAsia" w:cs="仿宋" w:asciiTheme="minorEastAsia" w:hAnsiTheme="minorEastAsia" w:eastAsiaTheme="minorEastAsia"/>
          <w:sz w:val="24"/>
          <w:szCs w:val="24"/>
          <w:highlight w:val="none"/>
          <w:u w:val="dotted"/>
        </w:rPr>
        <w:t xml:space="preserve">                                 </w:t>
      </w:r>
    </w:p>
    <w:p w14:paraId="1E5CB7F5">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联系人：</w:t>
      </w:r>
      <w:r>
        <w:rPr>
          <w:rFonts w:hint="eastAsia" w:cs="仿宋" w:asciiTheme="minorEastAsia" w:hAnsiTheme="minorEastAsia" w:eastAsiaTheme="minorEastAsia"/>
          <w:sz w:val="24"/>
          <w:szCs w:val="24"/>
          <w:highlight w:val="none"/>
          <w:u w:val="dotted"/>
        </w:rPr>
        <w:t xml:space="preserve">                      </w:t>
      </w:r>
      <w:r>
        <w:rPr>
          <w:rFonts w:hint="eastAsia" w:cs="仿宋" w:asciiTheme="minorEastAsia" w:hAnsiTheme="minorEastAsia" w:eastAsiaTheme="minorEastAsia"/>
          <w:sz w:val="24"/>
          <w:szCs w:val="24"/>
          <w:highlight w:val="none"/>
        </w:rPr>
        <w:t>联系电话：</w:t>
      </w:r>
      <w:r>
        <w:rPr>
          <w:rFonts w:hint="eastAsia" w:cs="仿宋" w:asciiTheme="minorEastAsia" w:hAnsiTheme="minorEastAsia" w:eastAsiaTheme="minorEastAsia"/>
          <w:sz w:val="24"/>
          <w:szCs w:val="24"/>
          <w:highlight w:val="none"/>
          <w:u w:val="dotted"/>
        </w:rPr>
        <w:t xml:space="preserve">                              </w:t>
      </w:r>
    </w:p>
    <w:p w14:paraId="24B15109">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授权代表：</w:t>
      </w:r>
      <w:r>
        <w:rPr>
          <w:rFonts w:hint="eastAsia" w:cs="仿宋" w:asciiTheme="minorEastAsia" w:hAnsiTheme="minorEastAsia" w:eastAsiaTheme="minorEastAsia"/>
          <w:sz w:val="24"/>
          <w:szCs w:val="24"/>
          <w:highlight w:val="none"/>
          <w:u w:val="dotted"/>
        </w:rPr>
        <w:t xml:space="preserve">                                          </w:t>
      </w:r>
    </w:p>
    <w:p w14:paraId="0E96A2A3">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联系电话：</w:t>
      </w:r>
      <w:r>
        <w:rPr>
          <w:rFonts w:hint="eastAsia" w:cs="仿宋" w:asciiTheme="minorEastAsia" w:hAnsiTheme="minorEastAsia" w:eastAsiaTheme="minorEastAsia"/>
          <w:sz w:val="24"/>
          <w:szCs w:val="24"/>
          <w:highlight w:val="none"/>
          <w:u w:val="dotted"/>
        </w:rPr>
        <w:t xml:space="preserve">                                           </w:t>
      </w:r>
      <w:r>
        <w:rPr>
          <w:rFonts w:cs="仿宋" w:asciiTheme="minorEastAsia" w:hAnsiTheme="minorEastAsia" w:eastAsiaTheme="minorEastAsia"/>
          <w:sz w:val="24"/>
          <w:szCs w:val="24"/>
          <w:highlight w:val="none"/>
        </w:rPr>
        <w:t xml:space="preserve"> </w:t>
      </w:r>
    </w:p>
    <w:p w14:paraId="562081D1">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地址：</w:t>
      </w:r>
      <w:r>
        <w:rPr>
          <w:rFonts w:cs="仿宋" w:asciiTheme="minorEastAsia" w:hAnsiTheme="minorEastAsia" w:eastAsiaTheme="minorEastAsia"/>
          <w:sz w:val="24"/>
          <w:szCs w:val="24"/>
          <w:highlight w:val="none"/>
        </w:rPr>
        <w:t xml:space="preserve"> </w:t>
      </w:r>
      <w:r>
        <w:rPr>
          <w:rFonts w:hint="eastAsia" w:cs="仿宋" w:asciiTheme="minorEastAsia" w:hAnsiTheme="minorEastAsia" w:eastAsiaTheme="minorEastAsia"/>
          <w:sz w:val="24"/>
          <w:szCs w:val="24"/>
          <w:highlight w:val="none"/>
          <w:u w:val="dotted"/>
        </w:rPr>
        <w:t xml:space="preserve">                        </w:t>
      </w:r>
      <w:r>
        <w:rPr>
          <w:rFonts w:hint="eastAsia" w:cs="仿宋" w:asciiTheme="minorEastAsia" w:hAnsiTheme="minorEastAsia" w:eastAsiaTheme="minorEastAsia"/>
          <w:sz w:val="24"/>
          <w:szCs w:val="24"/>
          <w:highlight w:val="none"/>
        </w:rPr>
        <w:t>邮编：</w:t>
      </w:r>
      <w:r>
        <w:rPr>
          <w:rFonts w:hint="eastAsia" w:cs="仿宋" w:asciiTheme="minorEastAsia" w:hAnsiTheme="minorEastAsia" w:eastAsiaTheme="minorEastAsia"/>
          <w:sz w:val="24"/>
          <w:szCs w:val="24"/>
          <w:highlight w:val="none"/>
          <w:u w:val="dotted"/>
        </w:rPr>
        <w:t xml:space="preserve">                                   </w:t>
      </w:r>
    </w:p>
    <w:p w14:paraId="4D320F33">
      <w:pPr>
        <w:shd w:val="clear"/>
        <w:adjustRightInd w:val="0"/>
        <w:snapToGrid w:val="0"/>
        <w:spacing w:line="360" w:lineRule="auto"/>
        <w:rPr>
          <w:rFonts w:cs="仿宋" w:asciiTheme="minorEastAsia" w:hAnsiTheme="minorEastAsia" w:eastAsiaTheme="minorEastAsia"/>
          <w:b/>
          <w:bCs/>
          <w:sz w:val="24"/>
          <w:szCs w:val="24"/>
          <w:highlight w:val="none"/>
        </w:rPr>
      </w:pPr>
      <w:bookmarkStart w:id="284" w:name="_Toc28415"/>
      <w:r>
        <w:rPr>
          <w:rFonts w:hint="eastAsia" w:cs="仿宋" w:asciiTheme="minorEastAsia" w:hAnsiTheme="minorEastAsia" w:eastAsiaTheme="minorEastAsia"/>
          <w:b/>
          <w:bCs/>
          <w:sz w:val="24"/>
          <w:szCs w:val="24"/>
          <w:highlight w:val="none"/>
        </w:rPr>
        <w:t>二、质疑项目基本情况</w:t>
      </w:r>
      <w:bookmarkEnd w:id="284"/>
    </w:p>
    <w:p w14:paraId="2860C142">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质疑项目的名称：</w:t>
      </w:r>
      <w:r>
        <w:rPr>
          <w:rFonts w:hint="eastAsia" w:cs="仿宋" w:asciiTheme="minorEastAsia" w:hAnsiTheme="minorEastAsia" w:eastAsiaTheme="minorEastAsia"/>
          <w:sz w:val="24"/>
          <w:szCs w:val="24"/>
          <w:highlight w:val="none"/>
          <w:u w:val="dotted"/>
        </w:rPr>
        <w:t xml:space="preserve">                                      </w:t>
      </w:r>
    </w:p>
    <w:p w14:paraId="502647AD">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质疑项目的编号：</w:t>
      </w:r>
      <w:r>
        <w:rPr>
          <w:rFonts w:hint="eastAsia" w:cs="仿宋" w:asciiTheme="minorEastAsia" w:hAnsiTheme="minorEastAsia" w:eastAsiaTheme="minorEastAsia"/>
          <w:sz w:val="24"/>
          <w:szCs w:val="24"/>
          <w:highlight w:val="none"/>
          <w:u w:val="dotted"/>
        </w:rPr>
        <w:t xml:space="preserve">               </w:t>
      </w:r>
      <w:r>
        <w:rPr>
          <w:rFonts w:hint="eastAsia" w:cs="仿宋" w:asciiTheme="minorEastAsia" w:hAnsiTheme="minorEastAsia" w:eastAsiaTheme="minorEastAsia"/>
          <w:sz w:val="24"/>
          <w:szCs w:val="24"/>
          <w:highlight w:val="none"/>
        </w:rPr>
        <w:t>包号：</w:t>
      </w:r>
      <w:r>
        <w:rPr>
          <w:rFonts w:hint="eastAsia" w:cs="仿宋" w:asciiTheme="minorEastAsia" w:hAnsiTheme="minorEastAsia" w:eastAsiaTheme="minorEastAsia"/>
          <w:sz w:val="24"/>
          <w:szCs w:val="24"/>
          <w:highlight w:val="none"/>
          <w:u w:val="dotted"/>
        </w:rPr>
        <w:t xml:space="preserve">                 </w:t>
      </w:r>
    </w:p>
    <w:p w14:paraId="15DBDEA2">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采购人名称：</w:t>
      </w:r>
      <w:r>
        <w:rPr>
          <w:rFonts w:hint="eastAsia" w:cs="仿宋" w:asciiTheme="minorEastAsia" w:hAnsiTheme="minorEastAsia" w:eastAsiaTheme="minorEastAsia"/>
          <w:sz w:val="24"/>
          <w:szCs w:val="24"/>
          <w:highlight w:val="none"/>
          <w:u w:val="dotted"/>
        </w:rPr>
        <w:t xml:space="preserve">                                         </w:t>
      </w:r>
    </w:p>
    <w:p w14:paraId="2D0895B0">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采购文件获取日期：</w:t>
      </w:r>
      <w:r>
        <w:rPr>
          <w:rFonts w:hint="eastAsia" w:cs="仿宋" w:asciiTheme="minorEastAsia" w:hAnsiTheme="minorEastAsia" w:eastAsiaTheme="minorEastAsia"/>
          <w:sz w:val="24"/>
          <w:szCs w:val="24"/>
          <w:highlight w:val="none"/>
          <w:u w:val="dotted"/>
        </w:rPr>
        <w:t xml:space="preserve">                                           </w:t>
      </w:r>
    </w:p>
    <w:p w14:paraId="50ED8362">
      <w:pPr>
        <w:shd w:val="clear"/>
        <w:adjustRightInd w:val="0"/>
        <w:snapToGrid w:val="0"/>
        <w:spacing w:line="360" w:lineRule="auto"/>
        <w:rPr>
          <w:rFonts w:cs="仿宋" w:asciiTheme="minorEastAsia" w:hAnsiTheme="minorEastAsia" w:eastAsiaTheme="minorEastAsia"/>
          <w:b/>
          <w:bCs/>
          <w:sz w:val="24"/>
          <w:szCs w:val="24"/>
          <w:highlight w:val="none"/>
        </w:rPr>
      </w:pPr>
      <w:bookmarkStart w:id="285" w:name="_Toc19014"/>
      <w:r>
        <w:rPr>
          <w:rFonts w:hint="eastAsia" w:cs="仿宋" w:asciiTheme="minorEastAsia" w:hAnsiTheme="minorEastAsia" w:eastAsiaTheme="minorEastAsia"/>
          <w:b/>
          <w:bCs/>
          <w:sz w:val="24"/>
          <w:szCs w:val="24"/>
          <w:highlight w:val="none"/>
        </w:rPr>
        <w:t>三、质疑事项具体内容</w:t>
      </w:r>
      <w:bookmarkEnd w:id="285"/>
    </w:p>
    <w:p w14:paraId="7A46C700">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质疑事项1：</w:t>
      </w:r>
      <w:r>
        <w:rPr>
          <w:rFonts w:hint="eastAsia" w:cs="仿宋" w:asciiTheme="minorEastAsia" w:hAnsiTheme="minorEastAsia" w:eastAsiaTheme="minorEastAsia"/>
          <w:sz w:val="24"/>
          <w:szCs w:val="24"/>
          <w:highlight w:val="none"/>
          <w:u w:val="dotted"/>
        </w:rPr>
        <w:t xml:space="preserve">                                         </w:t>
      </w:r>
    </w:p>
    <w:p w14:paraId="68D20E32">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事实依据：</w:t>
      </w:r>
      <w:r>
        <w:rPr>
          <w:rFonts w:hint="eastAsia" w:cs="仿宋" w:asciiTheme="minorEastAsia" w:hAnsiTheme="minorEastAsia" w:eastAsiaTheme="minorEastAsia"/>
          <w:sz w:val="24"/>
          <w:szCs w:val="24"/>
          <w:highlight w:val="none"/>
          <w:u w:val="dotted"/>
        </w:rPr>
        <w:t xml:space="preserve">                                          </w:t>
      </w:r>
    </w:p>
    <w:p w14:paraId="00C02678">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u w:val="dotted"/>
        </w:rPr>
        <w:t xml:space="preserve">                                                       </w:t>
      </w:r>
    </w:p>
    <w:p w14:paraId="0E2259F0">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法律依据：</w:t>
      </w:r>
      <w:r>
        <w:rPr>
          <w:rFonts w:hint="eastAsia" w:cs="仿宋" w:asciiTheme="minorEastAsia" w:hAnsiTheme="minorEastAsia" w:eastAsiaTheme="minorEastAsia"/>
          <w:sz w:val="24"/>
          <w:szCs w:val="24"/>
          <w:highlight w:val="none"/>
          <w:u w:val="dotted"/>
        </w:rPr>
        <w:t xml:space="preserve">                                          </w:t>
      </w:r>
    </w:p>
    <w:p w14:paraId="2B034B40">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u w:val="dotted"/>
        </w:rPr>
        <w:t xml:space="preserve">                                                     </w:t>
      </w:r>
    </w:p>
    <w:p w14:paraId="7785DD7F">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质疑事项2</w:t>
      </w:r>
    </w:p>
    <w:p w14:paraId="562F2234">
      <w:pPr>
        <w:shd w:val="clear"/>
        <w:adjustRightInd w:val="0"/>
        <w:snapToGrid w:val="0"/>
        <w:spacing w:line="360" w:lineRule="auto"/>
        <w:rPr>
          <w:rFonts w:cs="仿宋" w:asciiTheme="minorEastAsia" w:hAnsiTheme="minorEastAsia" w:eastAsiaTheme="minorEastAsia"/>
          <w:sz w:val="24"/>
          <w:szCs w:val="24"/>
          <w:highlight w:val="none"/>
        </w:rPr>
      </w:pPr>
      <w:r>
        <w:rPr>
          <w:rFonts w:hint="eastAsia" w:cs="仿宋" w:asciiTheme="minorEastAsia" w:hAnsiTheme="minorEastAsia" w:eastAsiaTheme="minorEastAsia"/>
          <w:sz w:val="24"/>
          <w:szCs w:val="24"/>
          <w:highlight w:val="none"/>
        </w:rPr>
        <w:t>……</w:t>
      </w:r>
    </w:p>
    <w:p w14:paraId="44CD7DF7">
      <w:pPr>
        <w:shd w:val="clear"/>
        <w:adjustRightInd w:val="0"/>
        <w:snapToGrid w:val="0"/>
        <w:spacing w:line="360" w:lineRule="auto"/>
        <w:rPr>
          <w:rFonts w:cs="仿宋" w:asciiTheme="minorEastAsia" w:hAnsiTheme="minorEastAsia" w:eastAsiaTheme="minorEastAsia"/>
          <w:b/>
          <w:bCs/>
          <w:sz w:val="24"/>
          <w:szCs w:val="24"/>
          <w:highlight w:val="none"/>
        </w:rPr>
      </w:pPr>
      <w:bookmarkStart w:id="286" w:name="_Toc17919"/>
      <w:r>
        <w:rPr>
          <w:rFonts w:hint="eastAsia" w:cs="仿宋" w:asciiTheme="minorEastAsia" w:hAnsiTheme="minorEastAsia" w:eastAsiaTheme="minorEastAsia"/>
          <w:b/>
          <w:bCs/>
          <w:sz w:val="24"/>
          <w:szCs w:val="24"/>
          <w:highlight w:val="none"/>
        </w:rPr>
        <w:t>四、与质疑事项相关的质疑请求</w:t>
      </w:r>
      <w:bookmarkEnd w:id="286"/>
    </w:p>
    <w:p w14:paraId="18CD4FCB">
      <w:pPr>
        <w:shd w:val="clear"/>
        <w:adjustRightInd w:val="0"/>
        <w:snapToGrid w:val="0"/>
        <w:spacing w:line="360" w:lineRule="auto"/>
        <w:rPr>
          <w:rFonts w:cs="仿宋" w:asciiTheme="minorEastAsia" w:hAnsiTheme="minorEastAsia" w:eastAsiaTheme="minorEastAsia"/>
          <w:sz w:val="24"/>
          <w:szCs w:val="24"/>
          <w:highlight w:val="none"/>
          <w:u w:val="dotted"/>
        </w:rPr>
      </w:pPr>
      <w:r>
        <w:rPr>
          <w:rFonts w:hint="eastAsia" w:cs="仿宋" w:asciiTheme="minorEastAsia" w:hAnsiTheme="minorEastAsia" w:eastAsiaTheme="minorEastAsia"/>
          <w:sz w:val="24"/>
          <w:szCs w:val="24"/>
          <w:highlight w:val="none"/>
        </w:rPr>
        <w:t>请求：</w:t>
      </w:r>
      <w:r>
        <w:rPr>
          <w:rFonts w:hint="eastAsia" w:cs="仿宋" w:asciiTheme="minorEastAsia" w:hAnsiTheme="minorEastAsia" w:eastAsiaTheme="minorEastAsia"/>
          <w:sz w:val="24"/>
          <w:szCs w:val="24"/>
          <w:highlight w:val="none"/>
          <w:u w:val="dotted"/>
        </w:rPr>
        <w:t xml:space="preserve">                                               </w:t>
      </w:r>
    </w:p>
    <w:p w14:paraId="75373188">
      <w:pPr>
        <w:shd w:val="clear"/>
        <w:spacing w:line="360" w:lineRule="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签字(签章)：                   公章：                      </w:t>
      </w:r>
    </w:p>
    <w:p w14:paraId="066F4DAB">
      <w:pPr>
        <w:shd w:val="clear"/>
        <w:spacing w:line="360" w:lineRule="auto"/>
        <w:rPr>
          <w:rFonts w:asciiTheme="minorEastAsia" w:hAnsiTheme="minorEastAsia" w:eastAsiaTheme="minorEastAsia"/>
          <w:sz w:val="24"/>
          <w:szCs w:val="24"/>
          <w:highlight w:val="none"/>
        </w:rPr>
      </w:pPr>
      <w:r>
        <w:rPr>
          <w:rFonts w:hint="eastAsia" w:asciiTheme="minorEastAsia" w:hAnsiTheme="minorEastAsia" w:eastAsiaTheme="minorEastAsia"/>
          <w:sz w:val="24"/>
          <w:szCs w:val="24"/>
          <w:highlight w:val="none"/>
        </w:rPr>
        <w:t xml:space="preserve">日期：    </w:t>
      </w:r>
    </w:p>
    <w:p w14:paraId="4D174E90">
      <w:pPr>
        <w:widowControl/>
        <w:shd w:val="clear"/>
        <w:jc w:val="left"/>
        <w:rPr>
          <w:rFonts w:ascii="仿宋" w:hAnsi="仿宋" w:eastAsia="仿宋" w:cs="仿宋"/>
          <w:sz w:val="32"/>
          <w:szCs w:val="32"/>
          <w:highlight w:val="none"/>
        </w:rPr>
      </w:pPr>
      <w:r>
        <w:rPr>
          <w:rFonts w:ascii="仿宋" w:hAnsi="仿宋" w:eastAsia="仿宋" w:cs="仿宋"/>
          <w:sz w:val="32"/>
          <w:szCs w:val="32"/>
          <w:highlight w:val="none"/>
        </w:rPr>
        <w:br w:type="page"/>
      </w:r>
    </w:p>
    <w:p w14:paraId="1CC46BFA">
      <w:pPr>
        <w:shd w:val="clear"/>
        <w:outlineLvl w:val="0"/>
        <w:rPr>
          <w:rFonts w:asciiTheme="minorEastAsia" w:hAnsiTheme="minorEastAsia" w:eastAsiaTheme="minorEastAsia"/>
          <w:b/>
          <w:sz w:val="28"/>
          <w:szCs w:val="32"/>
          <w:highlight w:val="none"/>
        </w:rPr>
      </w:pPr>
      <w:bookmarkStart w:id="287" w:name="_Toc26836"/>
      <w:bookmarkStart w:id="288" w:name="_Toc9754"/>
      <w:r>
        <w:rPr>
          <w:rFonts w:hint="eastAsia" w:asciiTheme="minorEastAsia" w:hAnsiTheme="minorEastAsia" w:eastAsiaTheme="minorEastAsia"/>
          <w:b/>
          <w:sz w:val="28"/>
          <w:szCs w:val="32"/>
          <w:highlight w:val="none"/>
        </w:rPr>
        <w:t>质疑函制作说明：</w:t>
      </w:r>
      <w:bookmarkEnd w:id="287"/>
      <w:bookmarkEnd w:id="288"/>
    </w:p>
    <w:p w14:paraId="72184C86">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1.供应商提出质疑时，应提交质疑函和必要的证明材料。</w:t>
      </w:r>
    </w:p>
    <w:p w14:paraId="1FEB5068">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0658EA3F">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3.质疑供应商若对项目的某一分包进行质疑，质疑函中应列明具体分包号。</w:t>
      </w:r>
    </w:p>
    <w:p w14:paraId="33684A63">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4.质疑函的质疑事项应具体、明确，并有必要的事实依据和法律依据。</w:t>
      </w:r>
    </w:p>
    <w:p w14:paraId="42446CC4">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5.质疑函的质疑请求应与质疑事项相关。</w:t>
      </w:r>
    </w:p>
    <w:p w14:paraId="22915F73">
      <w:pPr>
        <w:shd w:val="clear"/>
        <w:spacing w:line="360" w:lineRule="auto"/>
        <w:ind w:firstLine="435"/>
        <w:rPr>
          <w:rFonts w:asciiTheme="minorEastAsia" w:hAnsiTheme="minorEastAsia" w:eastAsiaTheme="minorEastAsia"/>
          <w:sz w:val="24"/>
          <w:highlight w:val="none"/>
        </w:rPr>
      </w:pPr>
      <w:r>
        <w:rPr>
          <w:rFonts w:hint="eastAsia" w:asciiTheme="minorEastAsia" w:hAnsiTheme="minorEastAsia" w:eastAsiaTheme="minorEastAsia"/>
          <w:sz w:val="24"/>
          <w:highlight w:val="none"/>
        </w:rPr>
        <w:t>6.质疑供应商为自然人的，质疑函应由本人签字；质疑供应商为法人或者其他组织的，质疑函应由法定代表人、主要负责人，或者其授权代表签字或者盖章，并加盖公章。</w:t>
      </w:r>
    </w:p>
    <w:sectPr>
      <w:footerReference r:id="rId7" w:type="default"/>
      <w:pgSz w:w="11906" w:h="16838"/>
      <w:pgMar w:top="1440" w:right="1800" w:bottom="1440" w:left="1800" w:header="851" w:footer="992" w:gutter="0"/>
      <w:pgNumType w:start="1"/>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endnote>
  <w:endnote w:type="continuationSeparator"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50"/>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3143B0F4-3A41-4648-B505-7BDA0285201A}"/>
  </w:font>
  <w:font w:name="Arial">
    <w:panose1 w:val="020B0604020202020204"/>
    <w:charset w:val="01"/>
    <w:family w:val="swiss"/>
    <w:pitch w:val="default"/>
    <w:sig w:usb0="E0002EFF" w:usb1="C000785B" w:usb2="00000009" w:usb3="00000000" w:csb0="400001FF" w:csb1="FFFF0000"/>
    <w:embedRegular r:id="rId2" w:fontKey="{D0EB50A0-DA07-440D-B616-48B14D1F7D52}"/>
  </w:font>
  <w:font w:name="黑体">
    <w:panose1 w:val="02010609060101010101"/>
    <w:charset w:val="86"/>
    <w:family w:val="auto"/>
    <w:pitch w:val="default"/>
    <w:sig w:usb0="800002BF" w:usb1="38CF7CFA" w:usb2="00000016" w:usb3="00000000" w:csb0="00040001" w:csb1="00000000"/>
    <w:embedRegular r:id="rId3" w:fontKey="{A68EEDE7-2BB3-4E86-9411-E927BE4D7E87}"/>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embedRegular r:id="rId4" w:fontKey="{3FBFF0A7-099B-44AA-B6B7-B5905ACB6C65}"/>
  </w:font>
  <w:font w:name="@仿宋_GB2312">
    <w:panose1 w:val="02010609030101010101"/>
    <w:charset w:val="86"/>
    <w:family w:val="modern"/>
    <w:pitch w:val="default"/>
    <w:sig w:usb0="00000001" w:usb1="080E0000" w:usb2="00000000" w:usb3="00000000" w:csb0="00040000" w:csb1="00000000"/>
    <w:embedRegular r:id="rId5" w:fontKey="{DB48610F-FFFD-4FA5-ADD4-6E8D8605A4A5}"/>
  </w:font>
  <w:font w:name="@微软简标宋">
    <w:altName w:val="@宋体"/>
    <w:panose1 w:val="00000000000000000000"/>
    <w:charset w:val="86"/>
    <w:family w:val="auto"/>
    <w:pitch w:val="default"/>
    <w:sig w:usb0="00000000" w:usb1="00000000" w:usb2="00000010" w:usb3="00000000" w:csb0="00040000" w:csb1="00000000"/>
  </w:font>
  <w:font w:name="@宋体">
    <w:panose1 w:val="02010600030101010101"/>
    <w:charset w:val="86"/>
    <w:family w:val="auto"/>
    <w:pitch w:val="default"/>
    <w:sig w:usb0="00000003" w:usb1="288F0000" w:usb2="00000006" w:usb3="00000000" w:csb0="00040001" w:csb1="00000000"/>
  </w:font>
  <w:font w:name="Cambria">
    <w:panose1 w:val="02040503050406030204"/>
    <w:charset w:val="00"/>
    <w:family w:val="roman"/>
    <w:pitch w:val="default"/>
    <w:sig w:usb0="E00006FF" w:usb1="420024FF" w:usb2="02000000" w:usb3="00000000" w:csb0="2000019F" w:csb1="00000000"/>
  </w:font>
  <w:font w:name="TimesNewRomanPSMT">
    <w:altName w:val="Times New Roman"/>
    <w:panose1 w:val="00000000000000000000"/>
    <w:charset w:val="00"/>
    <w:family w:val="roman"/>
    <w:pitch w:val="default"/>
    <w:sig w:usb0="00000000" w:usb1="00000000" w:usb2="00000000" w:usb3="00000000" w:csb0="00000000" w:csb1="00000000"/>
  </w:font>
  <w:font w:name="Sylfaen">
    <w:panose1 w:val="010A0502050306030303"/>
    <w:charset w:val="00"/>
    <w:family w:val="roman"/>
    <w:pitch w:val="default"/>
    <w:sig w:usb0="04000687" w:usb1="00000000" w:usb2="00000000" w:usb3="00000000" w:csb0="2000009F" w:csb1="00000000"/>
  </w:font>
  <w:font w:name="MingLiU">
    <w:altName w:val="PMingLiU-ExtB"/>
    <w:panose1 w:val="02010609000101010101"/>
    <w:charset w:val="88"/>
    <w:family w:val="modern"/>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华文楷体">
    <w:panose1 w:val="02010600040101010101"/>
    <w:charset w:val="86"/>
    <w:family w:val="auto"/>
    <w:pitch w:val="default"/>
    <w:sig w:usb0="00000287" w:usb1="080F0000" w:usb2="00000000" w:usb3="00000000" w:csb0="0004009F" w:csb1="DFD70000"/>
  </w:font>
  <w:font w:name="华文中宋">
    <w:panose1 w:val="02010600040101010101"/>
    <w:charset w:val="86"/>
    <w:family w:val="auto"/>
    <w:pitch w:val="default"/>
    <w:sig w:usb0="00000287" w:usb1="080F0000" w:usb2="00000000" w:usb3="00000000" w:csb0="0004009F" w:csb1="DFD70000"/>
    <w:embedRegular r:id="rId6" w:fontKey="{AE1FC858-811A-4EC6-AA68-80315FE6B500}"/>
  </w:font>
  <w:font w:name="仿宋">
    <w:panose1 w:val="02010609060101010101"/>
    <w:charset w:val="86"/>
    <w:family w:val="modern"/>
    <w:pitch w:val="default"/>
    <w:sig w:usb0="800002BF" w:usb1="38CF7CFA" w:usb2="00000016" w:usb3="00000000" w:csb0="00040001" w:csb1="00000000"/>
    <w:embedRegular r:id="rId7" w:fontKey="{96117B53-19F7-40E0-A66F-61E85C6DB9A0}"/>
  </w:font>
  <w:font w:name="Wingdings 2">
    <w:panose1 w:val="05020102010507070707"/>
    <w:charset w:val="02"/>
    <w:family w:val="roman"/>
    <w:pitch w:val="default"/>
    <w:sig w:usb0="00000000" w:usb1="00000000" w:usb2="00000000" w:usb3="00000000" w:csb0="80000000" w:csb1="00000000"/>
    <w:embedRegular r:id="rId8" w:fontKey="{F9B05DCE-4C5A-4FDB-B652-F679D742464A}"/>
  </w:font>
  <w:font w:name="仿宋_GB2312">
    <w:panose1 w:val="02010609030101010101"/>
    <w:charset w:val="86"/>
    <w:family w:val="modern"/>
    <w:pitch w:val="default"/>
    <w:sig w:usb0="00000001" w:usb1="080E0000" w:usb2="00000000" w:usb3="00000000" w:csb0="00040000" w:csb1="00000000"/>
    <w:embedRegular r:id="rId9" w:fontKey="{2C34F6C0-5FA4-42E3-8EE6-EAC6F207DB1B}"/>
  </w:font>
  <w:font w:name="微软雅黑">
    <w:panose1 w:val="020B0503020204020204"/>
    <w:charset w:val="86"/>
    <w:family w:val="auto"/>
    <w:pitch w:val="default"/>
    <w:sig w:usb0="80000287" w:usb1="2ACF3C50" w:usb2="00000016" w:usb3="00000000" w:csb0="0004001F"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E137FE3">
    <w:pPr>
      <w:pStyle w:val="15"/>
      <w:jc w:val="cen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0AB4AF">
    <w:pPr>
      <w:pStyle w:val="15"/>
      <w:jc w:val="both"/>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C393CA3">
                          <w:pPr>
                            <w:pStyle w:val="15"/>
                            <w:rPr>
                              <w:rFonts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9j2DAsAgAAV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PQa5aFrd5ZHqGj&#10;eN6ujgECtrpGUToleq3QbW1l+smI7fznvo16+hssHw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r2PYMCwCAABVBAAADgAAAAAAAAABACAAAAAfAQAAZHJzL2Uyb0RvYy54bWxQSwUGAAAAAAYA&#10;BgBZAQAAvQUAAAAA&#10;">
              <v:fill on="f" focussize="0,0"/>
              <v:stroke on="f" weight="0.5pt"/>
              <v:imagedata o:title=""/>
              <o:lock v:ext="edit" aspectratio="f"/>
              <v:textbox inset="0mm,0mm,0mm,0mm" style="mso-fit-shape-to-text:t;">
                <w:txbxContent>
                  <w:p w14:paraId="5C393CA3">
                    <w:pPr>
                      <w:pStyle w:val="15"/>
                      <w:rPr>
                        <w:rFonts w:ascii="宋体" w:hAnsi="宋体" w:eastAsia="宋体" w:cs="宋体"/>
                        <w:sz w:val="21"/>
                        <w:szCs w:val="21"/>
                      </w:rPr>
                    </w:pPr>
                    <w:r>
                      <w:rPr>
                        <w:rFonts w:hint="eastAsia" w:ascii="宋体" w:hAnsi="宋体" w:eastAsia="宋体" w:cs="宋体"/>
                        <w:sz w:val="21"/>
                        <w:szCs w:val="21"/>
                      </w:rPr>
                      <w:t xml:space="preserve">第 </w:t>
                    </w:r>
                    <w:r>
                      <w:rPr>
                        <w:rFonts w:hint="eastAsia" w:ascii="宋体" w:hAnsi="宋体" w:eastAsia="宋体" w:cs="宋体"/>
                        <w:sz w:val="21"/>
                        <w:szCs w:val="21"/>
                      </w:rPr>
                      <w:fldChar w:fldCharType="begin"/>
                    </w:r>
                    <w:r>
                      <w:rPr>
                        <w:rFonts w:hint="eastAsia" w:ascii="宋体" w:hAnsi="宋体" w:eastAsia="宋体" w:cs="宋体"/>
                        <w:sz w:val="21"/>
                        <w:szCs w:val="21"/>
                      </w:rPr>
                      <w:instrText xml:space="preserve"> PAGE  \* MERGEFORMAT </w:instrText>
                    </w:r>
                    <w:r>
                      <w:rPr>
                        <w:rFonts w:hint="eastAsia" w:ascii="宋体" w:hAnsi="宋体" w:eastAsia="宋体" w:cs="宋体"/>
                        <w:sz w:val="21"/>
                        <w:szCs w:val="21"/>
                      </w:rPr>
                      <w:fldChar w:fldCharType="separate"/>
                    </w:r>
                    <w:r>
                      <w:rPr>
                        <w:rFonts w:hint="eastAsia" w:ascii="宋体" w:hAnsi="宋体" w:eastAsia="宋体" w:cs="宋体"/>
                        <w:sz w:val="21"/>
                        <w:szCs w:val="21"/>
                      </w:rPr>
                      <w:t>1</w:t>
                    </w:r>
                    <w:r>
                      <w:rPr>
                        <w:rFonts w:hint="eastAsia" w:ascii="宋体" w:hAnsi="宋体" w:eastAsia="宋体" w:cs="宋体"/>
                        <w:sz w:val="21"/>
                        <w:szCs w:val="21"/>
                      </w:rPr>
                      <w:fldChar w:fldCharType="end"/>
                    </w:r>
                    <w:r>
                      <w:rPr>
                        <w:rFonts w:hint="eastAsia" w:ascii="宋体" w:hAnsi="宋体" w:eastAsia="宋体" w:cs="宋体"/>
                        <w:sz w:val="21"/>
                        <w:szCs w:val="21"/>
                      </w:rPr>
                      <w:t xml:space="preserve"> 页</w:t>
                    </w: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footnote>
  <w:footnote w:type="continuationSeparator" w:id="1">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E5F213">
    <w:pPr>
      <w:pStyle w:val="16"/>
      <w:jc w:val="left"/>
    </w:pPr>
    <w:r>
      <w:rPr>
        <w:rFonts w:hint="eastAsia" w:asciiTheme="minorEastAsia" w:hAnsiTheme="minorEastAsia" w:eastAsiaTheme="minorEastAsia"/>
      </w:rPr>
      <w:t>安徽省政府采购项目公开招标文件示范文本（货物类）</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E06411"/>
    <w:multiLevelType w:val="singleLevel"/>
    <w:tmpl w:val="81E06411"/>
    <w:lvl w:ilvl="0" w:tentative="0">
      <w:start w:val="1"/>
      <w:numFmt w:val="decimal"/>
      <w:suff w:val="nothing"/>
      <w:lvlText w:val="（%1）"/>
      <w:lvlJc w:val="left"/>
    </w:lvl>
  </w:abstractNum>
  <w:abstractNum w:abstractNumId="1">
    <w:nsid w:val="84589616"/>
    <w:multiLevelType w:val="singleLevel"/>
    <w:tmpl w:val="84589616"/>
    <w:lvl w:ilvl="0" w:tentative="0">
      <w:start w:val="2"/>
      <w:numFmt w:val="decimal"/>
      <w:suff w:val="nothing"/>
      <w:lvlText w:val="（%1）"/>
      <w:lvlJc w:val="left"/>
    </w:lvl>
  </w:abstractNum>
  <w:abstractNum w:abstractNumId="2">
    <w:nsid w:val="92EBC319"/>
    <w:multiLevelType w:val="singleLevel"/>
    <w:tmpl w:val="92EBC319"/>
    <w:lvl w:ilvl="0" w:tentative="0">
      <w:start w:val="1"/>
      <w:numFmt w:val="decimal"/>
      <w:suff w:val="nothing"/>
      <w:lvlText w:val="%1"/>
      <w:lvlJc w:val="left"/>
      <w:pPr>
        <w:tabs>
          <w:tab w:val="left" w:pos="0"/>
        </w:tabs>
        <w:ind w:left="0" w:firstLine="0"/>
      </w:pPr>
      <w:rPr>
        <w:rFonts w:hint="default"/>
      </w:rPr>
    </w:lvl>
  </w:abstractNum>
  <w:abstractNum w:abstractNumId="3">
    <w:nsid w:val="9D179C87"/>
    <w:multiLevelType w:val="singleLevel"/>
    <w:tmpl w:val="9D179C87"/>
    <w:lvl w:ilvl="0" w:tentative="0">
      <w:start w:val="2"/>
      <w:numFmt w:val="chineseCounting"/>
      <w:suff w:val="nothing"/>
      <w:lvlText w:val="（%1）"/>
      <w:lvlJc w:val="left"/>
      <w:rPr>
        <w:rFonts w:hint="eastAsia"/>
      </w:rPr>
    </w:lvl>
  </w:abstractNum>
  <w:abstractNum w:abstractNumId="4">
    <w:nsid w:val="9E86354E"/>
    <w:multiLevelType w:val="multilevel"/>
    <w:tmpl w:val="9E86354E"/>
    <w:lvl w:ilvl="0" w:tentative="0">
      <w:start w:val="1"/>
      <w:numFmt w:val="decimal"/>
      <w:suff w:val="space"/>
      <w:lvlText w:val="6.%1"/>
      <w:lvlJc w:val="left"/>
      <w:pPr>
        <w:ind w:left="0" w:firstLine="0"/>
      </w:pPr>
      <w:rPr>
        <w:rFonts w:hint="default"/>
        <w:color w:val="auto"/>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5">
    <w:nsid w:val="C8FD8488"/>
    <w:multiLevelType w:val="singleLevel"/>
    <w:tmpl w:val="C8FD8488"/>
    <w:lvl w:ilvl="0" w:tentative="0">
      <w:start w:val="3"/>
      <w:numFmt w:val="chineseCounting"/>
      <w:suff w:val="nothing"/>
      <w:lvlText w:val="%1、"/>
      <w:lvlJc w:val="left"/>
      <w:rPr>
        <w:rFonts w:hint="eastAsia"/>
      </w:rPr>
    </w:lvl>
  </w:abstractNum>
  <w:abstractNum w:abstractNumId="6">
    <w:nsid w:val="C9014A11"/>
    <w:multiLevelType w:val="multilevel"/>
    <w:tmpl w:val="C9014A11"/>
    <w:lvl w:ilvl="0" w:tentative="0">
      <w:start w:val="1"/>
      <w:numFmt w:val="decimal"/>
      <w:suff w:val="space"/>
      <w:lvlText w:val="1.%1"/>
      <w:lvlJc w:val="left"/>
      <w:pPr>
        <w:ind w:left="0" w:firstLine="0"/>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7">
    <w:nsid w:val="CA8098BD"/>
    <w:multiLevelType w:val="singleLevel"/>
    <w:tmpl w:val="CA8098BD"/>
    <w:lvl w:ilvl="0" w:tentative="0">
      <w:start w:val="1"/>
      <w:numFmt w:val="decimal"/>
      <w:suff w:val="nothing"/>
      <w:lvlText w:val="（%1）"/>
      <w:lvlJc w:val="left"/>
    </w:lvl>
  </w:abstractNum>
  <w:abstractNum w:abstractNumId="8">
    <w:nsid w:val="CF61BBFF"/>
    <w:multiLevelType w:val="multilevel"/>
    <w:tmpl w:val="CF61BBFF"/>
    <w:lvl w:ilvl="0" w:tentative="0">
      <w:start w:val="1"/>
      <w:numFmt w:val="decimal"/>
      <w:suff w:val="space"/>
      <w:lvlText w:val="2.%1"/>
      <w:lvlJc w:val="left"/>
      <w:pPr>
        <w:ind w:left="0" w:firstLine="0"/>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9">
    <w:nsid w:val="E28A9C05"/>
    <w:multiLevelType w:val="multilevel"/>
    <w:tmpl w:val="E28A9C05"/>
    <w:lvl w:ilvl="0" w:tentative="0">
      <w:start w:val="1"/>
      <w:numFmt w:val="decimal"/>
      <w:lvlText w:val="9.%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0">
    <w:nsid w:val="FBCA40A3"/>
    <w:multiLevelType w:val="multilevel"/>
    <w:tmpl w:val="FBCA40A3"/>
    <w:lvl w:ilvl="0" w:tentative="0">
      <w:start w:val="1"/>
      <w:numFmt w:val="decimal"/>
      <w:suff w:val="space"/>
      <w:lvlText w:val="8.%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1">
    <w:nsid w:val="1AF60A6E"/>
    <w:multiLevelType w:val="multilevel"/>
    <w:tmpl w:val="1AF60A6E"/>
    <w:lvl w:ilvl="0" w:tentative="0">
      <w:start w:val="1"/>
      <w:numFmt w:val="decimal"/>
      <w:suff w:val="space"/>
      <w:lvlText w:val="3.%1"/>
      <w:lvlJc w:val="left"/>
      <w:pPr>
        <w:ind w:left="0" w:firstLine="0"/>
      </w:pPr>
      <w:rPr>
        <w:rFonts w:hint="default" w:ascii="Times New Roman" w:hAnsi="Times New Roman" w:cs="Times New Roman"/>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2">
    <w:nsid w:val="2BB82D2B"/>
    <w:multiLevelType w:val="singleLevel"/>
    <w:tmpl w:val="2BB82D2B"/>
    <w:lvl w:ilvl="0" w:tentative="0">
      <w:start w:val="13"/>
      <w:numFmt w:val="chineseCounting"/>
      <w:suff w:val="nothing"/>
      <w:lvlText w:val="%1、"/>
      <w:lvlJc w:val="left"/>
      <w:rPr>
        <w:rFonts w:hint="eastAsia"/>
      </w:rPr>
    </w:lvl>
  </w:abstractNum>
  <w:abstractNum w:abstractNumId="13">
    <w:nsid w:val="31545CAE"/>
    <w:multiLevelType w:val="multilevel"/>
    <w:tmpl w:val="31545CAE"/>
    <w:lvl w:ilvl="0" w:tentative="0">
      <w:start w:val="1"/>
      <w:numFmt w:val="decimal"/>
      <w:suff w:val="space"/>
      <w:lvlText w:val="4.%1"/>
      <w:lvlJc w:val="left"/>
      <w:pPr>
        <w:ind w:left="0" w:firstLine="0"/>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4">
    <w:nsid w:val="3C66565D"/>
    <w:multiLevelType w:val="singleLevel"/>
    <w:tmpl w:val="3C66565D"/>
    <w:lvl w:ilvl="0" w:tentative="0">
      <w:start w:val="1"/>
      <w:numFmt w:val="decimal"/>
      <w:suff w:val="nothing"/>
      <w:lvlText w:val="（%1）"/>
      <w:lvlJc w:val="left"/>
    </w:lvl>
  </w:abstractNum>
  <w:abstractNum w:abstractNumId="15">
    <w:nsid w:val="3D62B503"/>
    <w:multiLevelType w:val="singleLevel"/>
    <w:tmpl w:val="3D62B503"/>
    <w:lvl w:ilvl="0" w:tentative="0">
      <w:start w:val="1"/>
      <w:numFmt w:val="decimal"/>
      <w:suff w:val="nothing"/>
      <w:lvlText w:val="（%1）"/>
      <w:lvlJc w:val="left"/>
    </w:lvl>
  </w:abstractNum>
  <w:abstractNum w:abstractNumId="16">
    <w:nsid w:val="4D219153"/>
    <w:multiLevelType w:val="singleLevel"/>
    <w:tmpl w:val="4D219153"/>
    <w:lvl w:ilvl="0" w:tentative="0">
      <w:start w:val="1"/>
      <w:numFmt w:val="decimal"/>
      <w:suff w:val="nothing"/>
      <w:lvlText w:val="（%1）"/>
      <w:lvlJc w:val="left"/>
    </w:lvl>
  </w:abstractNum>
  <w:abstractNum w:abstractNumId="17">
    <w:nsid w:val="6A83339F"/>
    <w:multiLevelType w:val="singleLevel"/>
    <w:tmpl w:val="6A83339F"/>
    <w:lvl w:ilvl="0" w:tentative="0">
      <w:start w:val="1"/>
      <w:numFmt w:val="decimal"/>
      <w:suff w:val="nothing"/>
      <w:lvlText w:val="%1"/>
      <w:lvlJc w:val="left"/>
      <w:pPr>
        <w:tabs>
          <w:tab w:val="left" w:pos="0"/>
        </w:tabs>
        <w:ind w:left="0" w:firstLine="0"/>
      </w:pPr>
      <w:rPr>
        <w:rFonts w:hint="default"/>
      </w:rPr>
    </w:lvl>
  </w:abstractNum>
  <w:abstractNum w:abstractNumId="18">
    <w:nsid w:val="71FFBE3D"/>
    <w:multiLevelType w:val="multilevel"/>
    <w:tmpl w:val="71FFBE3D"/>
    <w:lvl w:ilvl="0" w:tentative="0">
      <w:start w:val="1"/>
      <w:numFmt w:val="decimal"/>
      <w:suff w:val="space"/>
      <w:lvlText w:val="10.%1"/>
      <w:lvlJc w:val="left"/>
      <w:pPr>
        <w:ind w:left="0" w:firstLine="0"/>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abstractNum w:abstractNumId="19">
    <w:nsid w:val="7278C7A4"/>
    <w:multiLevelType w:val="multilevel"/>
    <w:tmpl w:val="7278C7A4"/>
    <w:lvl w:ilvl="0" w:tentative="0">
      <w:start w:val="1"/>
      <w:numFmt w:val="decimal"/>
      <w:lvlText w:val="7.%1"/>
      <w:lvlJc w:val="left"/>
      <w:pPr>
        <w:ind w:left="425" w:hanging="425"/>
      </w:pPr>
      <w:rPr>
        <w:rFonts w:hint="default"/>
      </w:rPr>
    </w:lvl>
    <w:lvl w:ilvl="1" w:tentative="0">
      <w:start w:val="1"/>
      <w:numFmt w:val="decimal"/>
      <w:lvlText w:val="%1.%2."/>
      <w:lvlJc w:val="left"/>
      <w:pPr>
        <w:ind w:left="567" w:hanging="567"/>
      </w:pPr>
      <w:rPr>
        <w:rFonts w:hint="default"/>
      </w:rPr>
    </w:lvl>
    <w:lvl w:ilvl="2" w:tentative="0">
      <w:start w:val="1"/>
      <w:numFmt w:val="decimal"/>
      <w:lvlText w:val="%1.%2.%3."/>
      <w:lvlJc w:val="left"/>
      <w:pPr>
        <w:ind w:left="709" w:hanging="709"/>
      </w:pPr>
      <w:rPr>
        <w:rFonts w:hint="default"/>
      </w:rPr>
    </w:lvl>
    <w:lvl w:ilvl="3" w:tentative="0">
      <w:start w:val="1"/>
      <w:numFmt w:val="decimal"/>
      <w:lvlText w:val="%1.%2.%3.%4."/>
      <w:lvlJc w:val="left"/>
      <w:pPr>
        <w:ind w:left="850" w:hanging="850"/>
      </w:pPr>
      <w:rPr>
        <w:rFonts w:hint="default"/>
      </w:rPr>
    </w:lvl>
    <w:lvl w:ilvl="4" w:tentative="0">
      <w:start w:val="1"/>
      <w:numFmt w:val="decimal"/>
      <w:lvlText w:val="%1.%2.%3.%4.%5."/>
      <w:lvlJc w:val="left"/>
      <w:pPr>
        <w:ind w:left="991" w:hanging="991"/>
      </w:pPr>
      <w:rPr>
        <w:rFonts w:hint="default"/>
      </w:rPr>
    </w:lvl>
    <w:lvl w:ilvl="5" w:tentative="0">
      <w:start w:val="1"/>
      <w:numFmt w:val="decimal"/>
      <w:lvlText w:val="%1.%2.%3.%4.%5.%6."/>
      <w:lvlJc w:val="left"/>
      <w:pPr>
        <w:ind w:left="1134" w:hanging="1134"/>
      </w:pPr>
      <w:rPr>
        <w:rFonts w:hint="default"/>
      </w:rPr>
    </w:lvl>
    <w:lvl w:ilvl="6" w:tentative="0">
      <w:start w:val="1"/>
      <w:numFmt w:val="decimal"/>
      <w:lvlText w:val="%1.%2.%3.%4.%5.%6.%7."/>
      <w:lvlJc w:val="left"/>
      <w:pPr>
        <w:ind w:left="1275" w:hanging="1275"/>
      </w:pPr>
      <w:rPr>
        <w:rFonts w:hint="default"/>
      </w:rPr>
    </w:lvl>
    <w:lvl w:ilvl="7" w:tentative="0">
      <w:start w:val="1"/>
      <w:numFmt w:val="decimal"/>
      <w:lvlText w:val="%1.%2.%3.%4.%5.%6.%7.%8."/>
      <w:lvlJc w:val="left"/>
      <w:pPr>
        <w:ind w:left="1418" w:hanging="1418"/>
      </w:pPr>
      <w:rPr>
        <w:rFonts w:hint="default"/>
      </w:rPr>
    </w:lvl>
    <w:lvl w:ilvl="8" w:tentative="0">
      <w:start w:val="1"/>
      <w:numFmt w:val="decimal"/>
      <w:lvlText w:val="%1.%2.%3.%4.%5.%6.%7.%8.%9."/>
      <w:lvlJc w:val="left"/>
      <w:pPr>
        <w:ind w:left="1558" w:hanging="1558"/>
      </w:pPr>
      <w:rPr>
        <w:rFonts w:hint="default"/>
      </w:rPr>
    </w:lvl>
  </w:abstractNum>
  <w:num w:numId="1">
    <w:abstractNumId w:val="6"/>
  </w:num>
  <w:num w:numId="2">
    <w:abstractNumId w:val="8"/>
  </w:num>
  <w:num w:numId="3">
    <w:abstractNumId w:val="11"/>
  </w:num>
  <w:num w:numId="4">
    <w:abstractNumId w:val="13"/>
  </w:num>
  <w:num w:numId="5">
    <w:abstractNumId w:val="4"/>
  </w:num>
  <w:num w:numId="6">
    <w:abstractNumId w:val="19"/>
  </w:num>
  <w:num w:numId="7">
    <w:abstractNumId w:val="3"/>
  </w:num>
  <w:num w:numId="8">
    <w:abstractNumId w:val="10"/>
  </w:num>
  <w:num w:numId="9">
    <w:abstractNumId w:val="9"/>
  </w:num>
  <w:num w:numId="10">
    <w:abstractNumId w:val="18"/>
  </w:num>
  <w:num w:numId="11">
    <w:abstractNumId w:val="5"/>
  </w:num>
  <w:num w:numId="12">
    <w:abstractNumId w:val="2"/>
  </w:num>
  <w:num w:numId="13">
    <w:abstractNumId w:val="17"/>
  </w:num>
  <w:num w:numId="14">
    <w:abstractNumId w:val="16"/>
  </w:num>
  <w:num w:numId="15">
    <w:abstractNumId w:val="15"/>
  </w:num>
  <w:num w:numId="16">
    <w:abstractNumId w:val="0"/>
  </w:num>
  <w:num w:numId="17">
    <w:abstractNumId w:val="14"/>
  </w:num>
  <w:num w:numId="18">
    <w:abstractNumId w:val="7"/>
  </w:num>
  <w:num w:numId="19">
    <w:abstractNumId w:val="1"/>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OTVlYjQzMDhiYzA3NWZlODA5OTkxMDRiNDU3ZjExNjEifQ=="/>
  </w:docVars>
  <w:rsids>
    <w:rsidRoot w:val="00276BA1"/>
    <w:rsid w:val="0000043F"/>
    <w:rsid w:val="00003F56"/>
    <w:rsid w:val="000049DA"/>
    <w:rsid w:val="00004F40"/>
    <w:rsid w:val="000056B7"/>
    <w:rsid w:val="00012A13"/>
    <w:rsid w:val="000131F7"/>
    <w:rsid w:val="00016B6C"/>
    <w:rsid w:val="00017EC7"/>
    <w:rsid w:val="00020B57"/>
    <w:rsid w:val="00033B5B"/>
    <w:rsid w:val="00037DBE"/>
    <w:rsid w:val="00042139"/>
    <w:rsid w:val="00042B14"/>
    <w:rsid w:val="00044347"/>
    <w:rsid w:val="00044F49"/>
    <w:rsid w:val="000450C3"/>
    <w:rsid w:val="00046AFF"/>
    <w:rsid w:val="00050A3F"/>
    <w:rsid w:val="000530EC"/>
    <w:rsid w:val="000544DE"/>
    <w:rsid w:val="000648D2"/>
    <w:rsid w:val="00070E0E"/>
    <w:rsid w:val="00076DB7"/>
    <w:rsid w:val="00080B7B"/>
    <w:rsid w:val="00080FEB"/>
    <w:rsid w:val="00081B81"/>
    <w:rsid w:val="000868D6"/>
    <w:rsid w:val="000942BA"/>
    <w:rsid w:val="00094D41"/>
    <w:rsid w:val="00097CB9"/>
    <w:rsid w:val="000A3569"/>
    <w:rsid w:val="000A4640"/>
    <w:rsid w:val="000A6345"/>
    <w:rsid w:val="000A6693"/>
    <w:rsid w:val="000A6B73"/>
    <w:rsid w:val="000A7D94"/>
    <w:rsid w:val="000B1511"/>
    <w:rsid w:val="000B54F4"/>
    <w:rsid w:val="000C1DB1"/>
    <w:rsid w:val="000D3F37"/>
    <w:rsid w:val="000D431F"/>
    <w:rsid w:val="000E2208"/>
    <w:rsid w:val="000E3C74"/>
    <w:rsid w:val="000E3F9B"/>
    <w:rsid w:val="000E6689"/>
    <w:rsid w:val="000F00A3"/>
    <w:rsid w:val="000F014C"/>
    <w:rsid w:val="000F172B"/>
    <w:rsid w:val="000F1C24"/>
    <w:rsid w:val="000F2198"/>
    <w:rsid w:val="000F39B6"/>
    <w:rsid w:val="000F6B7B"/>
    <w:rsid w:val="00100B0F"/>
    <w:rsid w:val="0010187C"/>
    <w:rsid w:val="001037E3"/>
    <w:rsid w:val="00110911"/>
    <w:rsid w:val="00116A70"/>
    <w:rsid w:val="0012143A"/>
    <w:rsid w:val="001222C6"/>
    <w:rsid w:val="00136D80"/>
    <w:rsid w:val="00137C7C"/>
    <w:rsid w:val="00140687"/>
    <w:rsid w:val="00141707"/>
    <w:rsid w:val="00142AAF"/>
    <w:rsid w:val="00146421"/>
    <w:rsid w:val="001467FF"/>
    <w:rsid w:val="001479CF"/>
    <w:rsid w:val="00150567"/>
    <w:rsid w:val="00155F64"/>
    <w:rsid w:val="00157148"/>
    <w:rsid w:val="00157856"/>
    <w:rsid w:val="00160729"/>
    <w:rsid w:val="00160D83"/>
    <w:rsid w:val="001644D1"/>
    <w:rsid w:val="00164D27"/>
    <w:rsid w:val="00166ED8"/>
    <w:rsid w:val="001714C9"/>
    <w:rsid w:val="001754E2"/>
    <w:rsid w:val="00177DAF"/>
    <w:rsid w:val="0018119B"/>
    <w:rsid w:val="001812B3"/>
    <w:rsid w:val="00181D07"/>
    <w:rsid w:val="001826D0"/>
    <w:rsid w:val="00183344"/>
    <w:rsid w:val="00183897"/>
    <w:rsid w:val="001844AB"/>
    <w:rsid w:val="00190F1F"/>
    <w:rsid w:val="001944B8"/>
    <w:rsid w:val="00195399"/>
    <w:rsid w:val="00196DA3"/>
    <w:rsid w:val="00197AC4"/>
    <w:rsid w:val="001A0DCD"/>
    <w:rsid w:val="001A5D34"/>
    <w:rsid w:val="001A68E5"/>
    <w:rsid w:val="001B21DF"/>
    <w:rsid w:val="001B2A54"/>
    <w:rsid w:val="001B5014"/>
    <w:rsid w:val="001B7327"/>
    <w:rsid w:val="001C1409"/>
    <w:rsid w:val="001C67F2"/>
    <w:rsid w:val="001D53B4"/>
    <w:rsid w:val="001E744D"/>
    <w:rsid w:val="001F28D2"/>
    <w:rsid w:val="001F2F45"/>
    <w:rsid w:val="001F3023"/>
    <w:rsid w:val="001F35F6"/>
    <w:rsid w:val="001F74CA"/>
    <w:rsid w:val="002003B6"/>
    <w:rsid w:val="002020CB"/>
    <w:rsid w:val="002049B4"/>
    <w:rsid w:val="0020520B"/>
    <w:rsid w:val="00213C55"/>
    <w:rsid w:val="002163CF"/>
    <w:rsid w:val="002168C4"/>
    <w:rsid w:val="002178B1"/>
    <w:rsid w:val="00223CF4"/>
    <w:rsid w:val="00224C4A"/>
    <w:rsid w:val="002338E2"/>
    <w:rsid w:val="0023407E"/>
    <w:rsid w:val="00240B40"/>
    <w:rsid w:val="002440D8"/>
    <w:rsid w:val="00244182"/>
    <w:rsid w:val="00245F65"/>
    <w:rsid w:val="00246810"/>
    <w:rsid w:val="00260860"/>
    <w:rsid w:val="00260B94"/>
    <w:rsid w:val="00264F2E"/>
    <w:rsid w:val="00271245"/>
    <w:rsid w:val="00272E6E"/>
    <w:rsid w:val="00274A9E"/>
    <w:rsid w:val="00276292"/>
    <w:rsid w:val="00276BA1"/>
    <w:rsid w:val="00277094"/>
    <w:rsid w:val="00286BB6"/>
    <w:rsid w:val="002A1A1D"/>
    <w:rsid w:val="002A28AD"/>
    <w:rsid w:val="002A3AEE"/>
    <w:rsid w:val="002A400A"/>
    <w:rsid w:val="002B08E7"/>
    <w:rsid w:val="002B0C18"/>
    <w:rsid w:val="002B5318"/>
    <w:rsid w:val="002B5373"/>
    <w:rsid w:val="002B6D27"/>
    <w:rsid w:val="002C3776"/>
    <w:rsid w:val="002C4BA9"/>
    <w:rsid w:val="002D1258"/>
    <w:rsid w:val="002D128A"/>
    <w:rsid w:val="002D2965"/>
    <w:rsid w:val="002D3D02"/>
    <w:rsid w:val="002D4CB5"/>
    <w:rsid w:val="002D684B"/>
    <w:rsid w:val="002E3B26"/>
    <w:rsid w:val="002E4AB8"/>
    <w:rsid w:val="002F092B"/>
    <w:rsid w:val="002F5981"/>
    <w:rsid w:val="002F72EE"/>
    <w:rsid w:val="00310070"/>
    <w:rsid w:val="003110EC"/>
    <w:rsid w:val="00313029"/>
    <w:rsid w:val="00324D38"/>
    <w:rsid w:val="00327C92"/>
    <w:rsid w:val="0033245B"/>
    <w:rsid w:val="00333292"/>
    <w:rsid w:val="003344E7"/>
    <w:rsid w:val="0033580B"/>
    <w:rsid w:val="0033628B"/>
    <w:rsid w:val="003365E7"/>
    <w:rsid w:val="003378D5"/>
    <w:rsid w:val="003419E9"/>
    <w:rsid w:val="003447AE"/>
    <w:rsid w:val="003473D7"/>
    <w:rsid w:val="00350DCD"/>
    <w:rsid w:val="00351AC8"/>
    <w:rsid w:val="00353075"/>
    <w:rsid w:val="00363E02"/>
    <w:rsid w:val="00373A96"/>
    <w:rsid w:val="003826C2"/>
    <w:rsid w:val="00383728"/>
    <w:rsid w:val="00383B8D"/>
    <w:rsid w:val="00391586"/>
    <w:rsid w:val="00394128"/>
    <w:rsid w:val="003947A4"/>
    <w:rsid w:val="00395235"/>
    <w:rsid w:val="0039561A"/>
    <w:rsid w:val="00397C7D"/>
    <w:rsid w:val="003A004F"/>
    <w:rsid w:val="003B4130"/>
    <w:rsid w:val="003B67D3"/>
    <w:rsid w:val="003B6C76"/>
    <w:rsid w:val="003B715B"/>
    <w:rsid w:val="003C0325"/>
    <w:rsid w:val="003C4630"/>
    <w:rsid w:val="003D1D14"/>
    <w:rsid w:val="003D6C7C"/>
    <w:rsid w:val="003D6EFB"/>
    <w:rsid w:val="003D7E52"/>
    <w:rsid w:val="003E25C6"/>
    <w:rsid w:val="003E6BEB"/>
    <w:rsid w:val="003F145B"/>
    <w:rsid w:val="003F2122"/>
    <w:rsid w:val="003F326A"/>
    <w:rsid w:val="004011AA"/>
    <w:rsid w:val="0040202C"/>
    <w:rsid w:val="00406508"/>
    <w:rsid w:val="0041456E"/>
    <w:rsid w:val="00414F7E"/>
    <w:rsid w:val="004164F8"/>
    <w:rsid w:val="00417FD0"/>
    <w:rsid w:val="00420B7F"/>
    <w:rsid w:val="004234BA"/>
    <w:rsid w:val="0042488B"/>
    <w:rsid w:val="004427B7"/>
    <w:rsid w:val="0044349F"/>
    <w:rsid w:val="00445F1F"/>
    <w:rsid w:val="00451F60"/>
    <w:rsid w:val="00452BB2"/>
    <w:rsid w:val="00455467"/>
    <w:rsid w:val="0045656D"/>
    <w:rsid w:val="00462D98"/>
    <w:rsid w:val="00472A44"/>
    <w:rsid w:val="00473A89"/>
    <w:rsid w:val="00474D3B"/>
    <w:rsid w:val="00475899"/>
    <w:rsid w:val="004802A8"/>
    <w:rsid w:val="00482C78"/>
    <w:rsid w:val="004874AE"/>
    <w:rsid w:val="00492E2B"/>
    <w:rsid w:val="00494D24"/>
    <w:rsid w:val="004951D1"/>
    <w:rsid w:val="004A27D0"/>
    <w:rsid w:val="004A4D67"/>
    <w:rsid w:val="004A6FD2"/>
    <w:rsid w:val="004B2D4C"/>
    <w:rsid w:val="004C7378"/>
    <w:rsid w:val="004D1030"/>
    <w:rsid w:val="004D3D4B"/>
    <w:rsid w:val="004D5498"/>
    <w:rsid w:val="004D66A5"/>
    <w:rsid w:val="004D6B00"/>
    <w:rsid w:val="004D7951"/>
    <w:rsid w:val="004E0AE0"/>
    <w:rsid w:val="004E1D50"/>
    <w:rsid w:val="004E502F"/>
    <w:rsid w:val="004F0396"/>
    <w:rsid w:val="00501382"/>
    <w:rsid w:val="00503E2F"/>
    <w:rsid w:val="005054B9"/>
    <w:rsid w:val="00506E4F"/>
    <w:rsid w:val="00510798"/>
    <w:rsid w:val="00514ED8"/>
    <w:rsid w:val="00515F12"/>
    <w:rsid w:val="00522B2E"/>
    <w:rsid w:val="00524A11"/>
    <w:rsid w:val="00527768"/>
    <w:rsid w:val="005327FB"/>
    <w:rsid w:val="00533FCA"/>
    <w:rsid w:val="005416BA"/>
    <w:rsid w:val="00541C0B"/>
    <w:rsid w:val="0054317E"/>
    <w:rsid w:val="00544C2A"/>
    <w:rsid w:val="00546D49"/>
    <w:rsid w:val="00556D4C"/>
    <w:rsid w:val="005614B4"/>
    <w:rsid w:val="005616B5"/>
    <w:rsid w:val="00571315"/>
    <w:rsid w:val="00582075"/>
    <w:rsid w:val="00584A63"/>
    <w:rsid w:val="00585EB3"/>
    <w:rsid w:val="00591688"/>
    <w:rsid w:val="00592509"/>
    <w:rsid w:val="00594986"/>
    <w:rsid w:val="00597B15"/>
    <w:rsid w:val="005A044C"/>
    <w:rsid w:val="005B5C95"/>
    <w:rsid w:val="005B6740"/>
    <w:rsid w:val="005D0200"/>
    <w:rsid w:val="005D44EF"/>
    <w:rsid w:val="005D4814"/>
    <w:rsid w:val="005D5112"/>
    <w:rsid w:val="005F03E3"/>
    <w:rsid w:val="005F3914"/>
    <w:rsid w:val="005F3B5A"/>
    <w:rsid w:val="005F6AB4"/>
    <w:rsid w:val="00610383"/>
    <w:rsid w:val="00610A66"/>
    <w:rsid w:val="00613177"/>
    <w:rsid w:val="00613F7C"/>
    <w:rsid w:val="00614BF2"/>
    <w:rsid w:val="0061618E"/>
    <w:rsid w:val="00620560"/>
    <w:rsid w:val="006208CB"/>
    <w:rsid w:val="00623DE2"/>
    <w:rsid w:val="00627601"/>
    <w:rsid w:val="006300D0"/>
    <w:rsid w:val="00632012"/>
    <w:rsid w:val="00634694"/>
    <w:rsid w:val="00635F9D"/>
    <w:rsid w:val="00636517"/>
    <w:rsid w:val="00637690"/>
    <w:rsid w:val="00640E1E"/>
    <w:rsid w:val="0064389A"/>
    <w:rsid w:val="00645442"/>
    <w:rsid w:val="006525CD"/>
    <w:rsid w:val="00653353"/>
    <w:rsid w:val="00653F7F"/>
    <w:rsid w:val="00662EE8"/>
    <w:rsid w:val="00663813"/>
    <w:rsid w:val="00663C3B"/>
    <w:rsid w:val="00664AFD"/>
    <w:rsid w:val="00667567"/>
    <w:rsid w:val="0067391A"/>
    <w:rsid w:val="00674173"/>
    <w:rsid w:val="00674602"/>
    <w:rsid w:val="0067535A"/>
    <w:rsid w:val="00683CA0"/>
    <w:rsid w:val="00690DB1"/>
    <w:rsid w:val="00693404"/>
    <w:rsid w:val="006953D9"/>
    <w:rsid w:val="00697FE9"/>
    <w:rsid w:val="006A5FEE"/>
    <w:rsid w:val="006B1242"/>
    <w:rsid w:val="006B1DBC"/>
    <w:rsid w:val="006B63B7"/>
    <w:rsid w:val="006B7D9A"/>
    <w:rsid w:val="006C06D9"/>
    <w:rsid w:val="006C464F"/>
    <w:rsid w:val="006C5716"/>
    <w:rsid w:val="006C74A9"/>
    <w:rsid w:val="006D07DE"/>
    <w:rsid w:val="006D394E"/>
    <w:rsid w:val="006E06D9"/>
    <w:rsid w:val="006E1D40"/>
    <w:rsid w:val="006E2E1F"/>
    <w:rsid w:val="006E4BE8"/>
    <w:rsid w:val="006F5FFF"/>
    <w:rsid w:val="006F6E33"/>
    <w:rsid w:val="006F7AF3"/>
    <w:rsid w:val="00702CF1"/>
    <w:rsid w:val="00703635"/>
    <w:rsid w:val="007054AA"/>
    <w:rsid w:val="00706D4B"/>
    <w:rsid w:val="00707B8C"/>
    <w:rsid w:val="00710804"/>
    <w:rsid w:val="00711FC6"/>
    <w:rsid w:val="007130B1"/>
    <w:rsid w:val="00715071"/>
    <w:rsid w:val="0072140F"/>
    <w:rsid w:val="007231E9"/>
    <w:rsid w:val="00727C59"/>
    <w:rsid w:val="00734E5D"/>
    <w:rsid w:val="00735AF1"/>
    <w:rsid w:val="00736013"/>
    <w:rsid w:val="00737661"/>
    <w:rsid w:val="00755D75"/>
    <w:rsid w:val="00756245"/>
    <w:rsid w:val="0076130F"/>
    <w:rsid w:val="00761662"/>
    <w:rsid w:val="00764043"/>
    <w:rsid w:val="007757CF"/>
    <w:rsid w:val="00776FFC"/>
    <w:rsid w:val="0078128F"/>
    <w:rsid w:val="0078683C"/>
    <w:rsid w:val="00790EDB"/>
    <w:rsid w:val="00791538"/>
    <w:rsid w:val="007918F0"/>
    <w:rsid w:val="0079326E"/>
    <w:rsid w:val="00796EDE"/>
    <w:rsid w:val="00797A02"/>
    <w:rsid w:val="007A27A9"/>
    <w:rsid w:val="007A5A58"/>
    <w:rsid w:val="007A6740"/>
    <w:rsid w:val="007B1C56"/>
    <w:rsid w:val="007B4996"/>
    <w:rsid w:val="007C3CD5"/>
    <w:rsid w:val="007C61EF"/>
    <w:rsid w:val="007D1C0D"/>
    <w:rsid w:val="007D2D23"/>
    <w:rsid w:val="007D7644"/>
    <w:rsid w:val="007E27D6"/>
    <w:rsid w:val="007E3921"/>
    <w:rsid w:val="007E5DDE"/>
    <w:rsid w:val="00801028"/>
    <w:rsid w:val="00802CE2"/>
    <w:rsid w:val="00803793"/>
    <w:rsid w:val="0080643F"/>
    <w:rsid w:val="00814052"/>
    <w:rsid w:val="008149FD"/>
    <w:rsid w:val="00817A01"/>
    <w:rsid w:val="00824F21"/>
    <w:rsid w:val="0082500C"/>
    <w:rsid w:val="00825E35"/>
    <w:rsid w:val="008334F8"/>
    <w:rsid w:val="008341AA"/>
    <w:rsid w:val="00835D8E"/>
    <w:rsid w:val="008372F6"/>
    <w:rsid w:val="008377CA"/>
    <w:rsid w:val="00844D03"/>
    <w:rsid w:val="00847B0F"/>
    <w:rsid w:val="00852994"/>
    <w:rsid w:val="00873D89"/>
    <w:rsid w:val="00876659"/>
    <w:rsid w:val="00876677"/>
    <w:rsid w:val="0087734C"/>
    <w:rsid w:val="00882141"/>
    <w:rsid w:val="00887E3B"/>
    <w:rsid w:val="008922A8"/>
    <w:rsid w:val="00895728"/>
    <w:rsid w:val="00895BD5"/>
    <w:rsid w:val="0089742B"/>
    <w:rsid w:val="008A16C4"/>
    <w:rsid w:val="008A6FED"/>
    <w:rsid w:val="008B39C5"/>
    <w:rsid w:val="008B51AA"/>
    <w:rsid w:val="008B7932"/>
    <w:rsid w:val="008C4704"/>
    <w:rsid w:val="008C67F2"/>
    <w:rsid w:val="008D064A"/>
    <w:rsid w:val="008D0FDB"/>
    <w:rsid w:val="008D2B0F"/>
    <w:rsid w:val="008D30BC"/>
    <w:rsid w:val="008D4BC4"/>
    <w:rsid w:val="008E449E"/>
    <w:rsid w:val="008E7062"/>
    <w:rsid w:val="008F187F"/>
    <w:rsid w:val="008F402F"/>
    <w:rsid w:val="008F55FA"/>
    <w:rsid w:val="008F76E8"/>
    <w:rsid w:val="008F7CD0"/>
    <w:rsid w:val="00902902"/>
    <w:rsid w:val="00902A4B"/>
    <w:rsid w:val="009078A1"/>
    <w:rsid w:val="00911E9C"/>
    <w:rsid w:val="00915083"/>
    <w:rsid w:val="00917405"/>
    <w:rsid w:val="00920035"/>
    <w:rsid w:val="00920F7C"/>
    <w:rsid w:val="00934CAE"/>
    <w:rsid w:val="0094257D"/>
    <w:rsid w:val="00942F60"/>
    <w:rsid w:val="0095211B"/>
    <w:rsid w:val="0095467C"/>
    <w:rsid w:val="00954A61"/>
    <w:rsid w:val="00955C6F"/>
    <w:rsid w:val="00966C7B"/>
    <w:rsid w:val="009701DC"/>
    <w:rsid w:val="009715D8"/>
    <w:rsid w:val="00980D0D"/>
    <w:rsid w:val="00985C4B"/>
    <w:rsid w:val="00995BF9"/>
    <w:rsid w:val="00997C3C"/>
    <w:rsid w:val="009A0CAF"/>
    <w:rsid w:val="009A1474"/>
    <w:rsid w:val="009A2207"/>
    <w:rsid w:val="009A5147"/>
    <w:rsid w:val="009A74C4"/>
    <w:rsid w:val="009B02D2"/>
    <w:rsid w:val="009B6C42"/>
    <w:rsid w:val="009D31F7"/>
    <w:rsid w:val="009D32C2"/>
    <w:rsid w:val="009D50DB"/>
    <w:rsid w:val="009E3A0A"/>
    <w:rsid w:val="009F26D4"/>
    <w:rsid w:val="009F3E91"/>
    <w:rsid w:val="009F6CE7"/>
    <w:rsid w:val="009F7D7D"/>
    <w:rsid w:val="00A01670"/>
    <w:rsid w:val="00A1499B"/>
    <w:rsid w:val="00A20879"/>
    <w:rsid w:val="00A20AFC"/>
    <w:rsid w:val="00A23E47"/>
    <w:rsid w:val="00A26036"/>
    <w:rsid w:val="00A314C2"/>
    <w:rsid w:val="00A43B9C"/>
    <w:rsid w:val="00A53155"/>
    <w:rsid w:val="00A56FFA"/>
    <w:rsid w:val="00A63E86"/>
    <w:rsid w:val="00A65A1C"/>
    <w:rsid w:val="00A757C3"/>
    <w:rsid w:val="00A75E5B"/>
    <w:rsid w:val="00A7684A"/>
    <w:rsid w:val="00A82AED"/>
    <w:rsid w:val="00A83B69"/>
    <w:rsid w:val="00A86533"/>
    <w:rsid w:val="00A91176"/>
    <w:rsid w:val="00A9176A"/>
    <w:rsid w:val="00A91CA2"/>
    <w:rsid w:val="00A92FB8"/>
    <w:rsid w:val="00A948F1"/>
    <w:rsid w:val="00AA1D7D"/>
    <w:rsid w:val="00AA7525"/>
    <w:rsid w:val="00AB0EA9"/>
    <w:rsid w:val="00AB139D"/>
    <w:rsid w:val="00AB2C46"/>
    <w:rsid w:val="00AB3EFB"/>
    <w:rsid w:val="00AB5EF7"/>
    <w:rsid w:val="00AC0B05"/>
    <w:rsid w:val="00AC763F"/>
    <w:rsid w:val="00AD079A"/>
    <w:rsid w:val="00AD1890"/>
    <w:rsid w:val="00AE2149"/>
    <w:rsid w:val="00AE33AE"/>
    <w:rsid w:val="00AE3785"/>
    <w:rsid w:val="00AE3F91"/>
    <w:rsid w:val="00AE452F"/>
    <w:rsid w:val="00AE76E6"/>
    <w:rsid w:val="00B00ACC"/>
    <w:rsid w:val="00B039E3"/>
    <w:rsid w:val="00B043C1"/>
    <w:rsid w:val="00B22838"/>
    <w:rsid w:val="00B27D52"/>
    <w:rsid w:val="00B32BC1"/>
    <w:rsid w:val="00B33E95"/>
    <w:rsid w:val="00B34EE1"/>
    <w:rsid w:val="00B35B5E"/>
    <w:rsid w:val="00B3720B"/>
    <w:rsid w:val="00B40EE3"/>
    <w:rsid w:val="00B4535A"/>
    <w:rsid w:val="00B55271"/>
    <w:rsid w:val="00B5558A"/>
    <w:rsid w:val="00B56513"/>
    <w:rsid w:val="00B56B2E"/>
    <w:rsid w:val="00B64376"/>
    <w:rsid w:val="00B71533"/>
    <w:rsid w:val="00B7401F"/>
    <w:rsid w:val="00B806C3"/>
    <w:rsid w:val="00B838F5"/>
    <w:rsid w:val="00B84FCA"/>
    <w:rsid w:val="00B9089F"/>
    <w:rsid w:val="00B91AEE"/>
    <w:rsid w:val="00B94F71"/>
    <w:rsid w:val="00B95F5A"/>
    <w:rsid w:val="00B96EAD"/>
    <w:rsid w:val="00BA22AF"/>
    <w:rsid w:val="00BA4B42"/>
    <w:rsid w:val="00BA79F5"/>
    <w:rsid w:val="00BB02E8"/>
    <w:rsid w:val="00BB3AB6"/>
    <w:rsid w:val="00BB766D"/>
    <w:rsid w:val="00BC007B"/>
    <w:rsid w:val="00BC15E7"/>
    <w:rsid w:val="00BC26BA"/>
    <w:rsid w:val="00BC35F8"/>
    <w:rsid w:val="00BC49BF"/>
    <w:rsid w:val="00BC5043"/>
    <w:rsid w:val="00BC7140"/>
    <w:rsid w:val="00BD1B89"/>
    <w:rsid w:val="00BD3944"/>
    <w:rsid w:val="00BF376F"/>
    <w:rsid w:val="00BF46A6"/>
    <w:rsid w:val="00BF62CF"/>
    <w:rsid w:val="00BF6B98"/>
    <w:rsid w:val="00BF73D6"/>
    <w:rsid w:val="00C06545"/>
    <w:rsid w:val="00C1161C"/>
    <w:rsid w:val="00C17F66"/>
    <w:rsid w:val="00C220FC"/>
    <w:rsid w:val="00C23C86"/>
    <w:rsid w:val="00C24DFA"/>
    <w:rsid w:val="00C35561"/>
    <w:rsid w:val="00C4202A"/>
    <w:rsid w:val="00C4211F"/>
    <w:rsid w:val="00C46A36"/>
    <w:rsid w:val="00C47037"/>
    <w:rsid w:val="00C53625"/>
    <w:rsid w:val="00C602C1"/>
    <w:rsid w:val="00C603FA"/>
    <w:rsid w:val="00C61C98"/>
    <w:rsid w:val="00C63FC0"/>
    <w:rsid w:val="00C66392"/>
    <w:rsid w:val="00C729BF"/>
    <w:rsid w:val="00C74C5E"/>
    <w:rsid w:val="00C77487"/>
    <w:rsid w:val="00C827A2"/>
    <w:rsid w:val="00C82B69"/>
    <w:rsid w:val="00C85394"/>
    <w:rsid w:val="00C8657D"/>
    <w:rsid w:val="00C91B28"/>
    <w:rsid w:val="00C91F3A"/>
    <w:rsid w:val="00C94A6F"/>
    <w:rsid w:val="00CA06E3"/>
    <w:rsid w:val="00CB328B"/>
    <w:rsid w:val="00CB5797"/>
    <w:rsid w:val="00CB6050"/>
    <w:rsid w:val="00CC1202"/>
    <w:rsid w:val="00CC4099"/>
    <w:rsid w:val="00CC45C1"/>
    <w:rsid w:val="00CC7583"/>
    <w:rsid w:val="00CD09E1"/>
    <w:rsid w:val="00CD5078"/>
    <w:rsid w:val="00CD6202"/>
    <w:rsid w:val="00CE2486"/>
    <w:rsid w:val="00CE4913"/>
    <w:rsid w:val="00CE66BD"/>
    <w:rsid w:val="00CF0671"/>
    <w:rsid w:val="00CF44AD"/>
    <w:rsid w:val="00CF4FC0"/>
    <w:rsid w:val="00CF7642"/>
    <w:rsid w:val="00D03909"/>
    <w:rsid w:val="00D1072F"/>
    <w:rsid w:val="00D108A5"/>
    <w:rsid w:val="00D14585"/>
    <w:rsid w:val="00D20EFF"/>
    <w:rsid w:val="00D30F1B"/>
    <w:rsid w:val="00D30FC0"/>
    <w:rsid w:val="00D34F0D"/>
    <w:rsid w:val="00D3516E"/>
    <w:rsid w:val="00D4064C"/>
    <w:rsid w:val="00D47F9F"/>
    <w:rsid w:val="00D53ED8"/>
    <w:rsid w:val="00D56380"/>
    <w:rsid w:val="00D56A47"/>
    <w:rsid w:val="00D64857"/>
    <w:rsid w:val="00D6493A"/>
    <w:rsid w:val="00D64EE2"/>
    <w:rsid w:val="00D67875"/>
    <w:rsid w:val="00D71CBD"/>
    <w:rsid w:val="00D71E86"/>
    <w:rsid w:val="00D731C6"/>
    <w:rsid w:val="00D745C5"/>
    <w:rsid w:val="00D75327"/>
    <w:rsid w:val="00D76473"/>
    <w:rsid w:val="00D80C36"/>
    <w:rsid w:val="00D86779"/>
    <w:rsid w:val="00D86EE1"/>
    <w:rsid w:val="00D9120E"/>
    <w:rsid w:val="00D913B1"/>
    <w:rsid w:val="00D93793"/>
    <w:rsid w:val="00D96126"/>
    <w:rsid w:val="00DB4B1C"/>
    <w:rsid w:val="00DB5085"/>
    <w:rsid w:val="00DB7706"/>
    <w:rsid w:val="00DC1062"/>
    <w:rsid w:val="00DC132C"/>
    <w:rsid w:val="00DC774B"/>
    <w:rsid w:val="00DD43F0"/>
    <w:rsid w:val="00DD44DE"/>
    <w:rsid w:val="00DE09AB"/>
    <w:rsid w:val="00DE4A3F"/>
    <w:rsid w:val="00DE4E53"/>
    <w:rsid w:val="00DE7AE9"/>
    <w:rsid w:val="00DF4367"/>
    <w:rsid w:val="00E0574A"/>
    <w:rsid w:val="00E1243D"/>
    <w:rsid w:val="00E12742"/>
    <w:rsid w:val="00E12E4A"/>
    <w:rsid w:val="00E146D4"/>
    <w:rsid w:val="00E20976"/>
    <w:rsid w:val="00E22079"/>
    <w:rsid w:val="00E22898"/>
    <w:rsid w:val="00E22B44"/>
    <w:rsid w:val="00E236D8"/>
    <w:rsid w:val="00E30ACD"/>
    <w:rsid w:val="00E3184B"/>
    <w:rsid w:val="00E32735"/>
    <w:rsid w:val="00E5391D"/>
    <w:rsid w:val="00E544E5"/>
    <w:rsid w:val="00E66E36"/>
    <w:rsid w:val="00E6781E"/>
    <w:rsid w:val="00E702ED"/>
    <w:rsid w:val="00E705CC"/>
    <w:rsid w:val="00E709A4"/>
    <w:rsid w:val="00E73822"/>
    <w:rsid w:val="00E772DB"/>
    <w:rsid w:val="00E86012"/>
    <w:rsid w:val="00E86BAB"/>
    <w:rsid w:val="00E901A1"/>
    <w:rsid w:val="00E94E10"/>
    <w:rsid w:val="00E954BD"/>
    <w:rsid w:val="00E96743"/>
    <w:rsid w:val="00E96A42"/>
    <w:rsid w:val="00EA0A36"/>
    <w:rsid w:val="00EA49C5"/>
    <w:rsid w:val="00EB1C1C"/>
    <w:rsid w:val="00EB5027"/>
    <w:rsid w:val="00EC1836"/>
    <w:rsid w:val="00EC3990"/>
    <w:rsid w:val="00EC484B"/>
    <w:rsid w:val="00ED15FA"/>
    <w:rsid w:val="00ED1E00"/>
    <w:rsid w:val="00EE228F"/>
    <w:rsid w:val="00EE238D"/>
    <w:rsid w:val="00EE6E9A"/>
    <w:rsid w:val="00EF0BF1"/>
    <w:rsid w:val="00EF27DA"/>
    <w:rsid w:val="00EF2AC4"/>
    <w:rsid w:val="00EF397E"/>
    <w:rsid w:val="00F06F68"/>
    <w:rsid w:val="00F1332D"/>
    <w:rsid w:val="00F1534B"/>
    <w:rsid w:val="00F1713B"/>
    <w:rsid w:val="00F212CB"/>
    <w:rsid w:val="00F23C7D"/>
    <w:rsid w:val="00F243DB"/>
    <w:rsid w:val="00F24C2D"/>
    <w:rsid w:val="00F24F1B"/>
    <w:rsid w:val="00F27356"/>
    <w:rsid w:val="00F32A81"/>
    <w:rsid w:val="00F46998"/>
    <w:rsid w:val="00F47100"/>
    <w:rsid w:val="00F5382D"/>
    <w:rsid w:val="00F53D9C"/>
    <w:rsid w:val="00F5462B"/>
    <w:rsid w:val="00F634AD"/>
    <w:rsid w:val="00F63677"/>
    <w:rsid w:val="00F63ABE"/>
    <w:rsid w:val="00F75B81"/>
    <w:rsid w:val="00F804C4"/>
    <w:rsid w:val="00F82F83"/>
    <w:rsid w:val="00F832E5"/>
    <w:rsid w:val="00F90F40"/>
    <w:rsid w:val="00F92B30"/>
    <w:rsid w:val="00F933B9"/>
    <w:rsid w:val="00F94674"/>
    <w:rsid w:val="00F94919"/>
    <w:rsid w:val="00F94A59"/>
    <w:rsid w:val="00FA25B6"/>
    <w:rsid w:val="00FA2FAF"/>
    <w:rsid w:val="00FA5CCF"/>
    <w:rsid w:val="00FA64B1"/>
    <w:rsid w:val="00FA70F3"/>
    <w:rsid w:val="00FA71CD"/>
    <w:rsid w:val="00FB0453"/>
    <w:rsid w:val="00FB0C07"/>
    <w:rsid w:val="00FB298D"/>
    <w:rsid w:val="00FC1439"/>
    <w:rsid w:val="00FC58BE"/>
    <w:rsid w:val="00FC7225"/>
    <w:rsid w:val="00FC724B"/>
    <w:rsid w:val="00FC767C"/>
    <w:rsid w:val="00FC7910"/>
    <w:rsid w:val="00FD0834"/>
    <w:rsid w:val="00FD6EA4"/>
    <w:rsid w:val="00FE13AD"/>
    <w:rsid w:val="00FE348D"/>
    <w:rsid w:val="00FE51C8"/>
    <w:rsid w:val="00FE53B6"/>
    <w:rsid w:val="00FE72A6"/>
    <w:rsid w:val="00FF0ABF"/>
    <w:rsid w:val="00FF0DA7"/>
    <w:rsid w:val="00FF44E0"/>
    <w:rsid w:val="00FF4CB6"/>
    <w:rsid w:val="00FF5834"/>
    <w:rsid w:val="00FF6C72"/>
    <w:rsid w:val="01600E78"/>
    <w:rsid w:val="017B1BF9"/>
    <w:rsid w:val="01AF690F"/>
    <w:rsid w:val="01B76351"/>
    <w:rsid w:val="01BA07A4"/>
    <w:rsid w:val="01E93A1B"/>
    <w:rsid w:val="01F14948"/>
    <w:rsid w:val="01F86CD9"/>
    <w:rsid w:val="0214602E"/>
    <w:rsid w:val="023477A1"/>
    <w:rsid w:val="0250441F"/>
    <w:rsid w:val="02664218"/>
    <w:rsid w:val="028A3C07"/>
    <w:rsid w:val="02B0310F"/>
    <w:rsid w:val="02EA2C27"/>
    <w:rsid w:val="03200295"/>
    <w:rsid w:val="033E587F"/>
    <w:rsid w:val="034806D0"/>
    <w:rsid w:val="03486B27"/>
    <w:rsid w:val="0371289F"/>
    <w:rsid w:val="03863E70"/>
    <w:rsid w:val="038C592B"/>
    <w:rsid w:val="03AC00B2"/>
    <w:rsid w:val="040A094E"/>
    <w:rsid w:val="04685895"/>
    <w:rsid w:val="04770389"/>
    <w:rsid w:val="04D23811"/>
    <w:rsid w:val="04E35A1E"/>
    <w:rsid w:val="051937ED"/>
    <w:rsid w:val="051F457C"/>
    <w:rsid w:val="05545FD4"/>
    <w:rsid w:val="055661F0"/>
    <w:rsid w:val="056F201D"/>
    <w:rsid w:val="0570657B"/>
    <w:rsid w:val="05817FF7"/>
    <w:rsid w:val="05865622"/>
    <w:rsid w:val="059960DD"/>
    <w:rsid w:val="05AB0F0F"/>
    <w:rsid w:val="05B664D4"/>
    <w:rsid w:val="05B747B5"/>
    <w:rsid w:val="05B922DB"/>
    <w:rsid w:val="05CF00C0"/>
    <w:rsid w:val="060774EA"/>
    <w:rsid w:val="0627193B"/>
    <w:rsid w:val="06293905"/>
    <w:rsid w:val="06461420"/>
    <w:rsid w:val="064B485A"/>
    <w:rsid w:val="068C65C4"/>
    <w:rsid w:val="06CB4B2A"/>
    <w:rsid w:val="07076C01"/>
    <w:rsid w:val="070E02C2"/>
    <w:rsid w:val="07145A92"/>
    <w:rsid w:val="071C12AC"/>
    <w:rsid w:val="07500A1D"/>
    <w:rsid w:val="07930D85"/>
    <w:rsid w:val="0794134C"/>
    <w:rsid w:val="07A934B3"/>
    <w:rsid w:val="07EB6287"/>
    <w:rsid w:val="0806421B"/>
    <w:rsid w:val="08137360"/>
    <w:rsid w:val="08766BA9"/>
    <w:rsid w:val="08E25FED"/>
    <w:rsid w:val="092C2F56"/>
    <w:rsid w:val="09581E0B"/>
    <w:rsid w:val="09757B26"/>
    <w:rsid w:val="0980799C"/>
    <w:rsid w:val="09944B8E"/>
    <w:rsid w:val="099F7A3A"/>
    <w:rsid w:val="09D75243"/>
    <w:rsid w:val="0A636CB9"/>
    <w:rsid w:val="0A670EDD"/>
    <w:rsid w:val="0A6A18DB"/>
    <w:rsid w:val="0A8C7FBE"/>
    <w:rsid w:val="0A975B48"/>
    <w:rsid w:val="0AD977A3"/>
    <w:rsid w:val="0ADD2F10"/>
    <w:rsid w:val="0AEF3828"/>
    <w:rsid w:val="0B3367AA"/>
    <w:rsid w:val="0B386398"/>
    <w:rsid w:val="0B406381"/>
    <w:rsid w:val="0B662F05"/>
    <w:rsid w:val="0BB452AA"/>
    <w:rsid w:val="0BBB665B"/>
    <w:rsid w:val="0BF24799"/>
    <w:rsid w:val="0C112450"/>
    <w:rsid w:val="0C126BE9"/>
    <w:rsid w:val="0C3E79DE"/>
    <w:rsid w:val="0C424338"/>
    <w:rsid w:val="0C873133"/>
    <w:rsid w:val="0C985340"/>
    <w:rsid w:val="0CA75583"/>
    <w:rsid w:val="0CC872A8"/>
    <w:rsid w:val="0CCD48BE"/>
    <w:rsid w:val="0CF15467"/>
    <w:rsid w:val="0D24176F"/>
    <w:rsid w:val="0D6058C3"/>
    <w:rsid w:val="0D6276FC"/>
    <w:rsid w:val="0DA40577"/>
    <w:rsid w:val="0DE325EB"/>
    <w:rsid w:val="0DED5218"/>
    <w:rsid w:val="0DED6FC6"/>
    <w:rsid w:val="0E5C414B"/>
    <w:rsid w:val="0E7D6FD6"/>
    <w:rsid w:val="0EE06B2A"/>
    <w:rsid w:val="0EEA6FC1"/>
    <w:rsid w:val="0F087E2F"/>
    <w:rsid w:val="0F790928"/>
    <w:rsid w:val="0FCE2E27"/>
    <w:rsid w:val="10120F66"/>
    <w:rsid w:val="103435D2"/>
    <w:rsid w:val="106E640A"/>
    <w:rsid w:val="108A71C9"/>
    <w:rsid w:val="10CD72BB"/>
    <w:rsid w:val="10D821AF"/>
    <w:rsid w:val="10EF12A7"/>
    <w:rsid w:val="10FE1BC4"/>
    <w:rsid w:val="11162CD7"/>
    <w:rsid w:val="112503FB"/>
    <w:rsid w:val="118D15E1"/>
    <w:rsid w:val="11902A8A"/>
    <w:rsid w:val="119875D6"/>
    <w:rsid w:val="119D0D03"/>
    <w:rsid w:val="11E8638C"/>
    <w:rsid w:val="12197477"/>
    <w:rsid w:val="124C08BB"/>
    <w:rsid w:val="12791770"/>
    <w:rsid w:val="12843C71"/>
    <w:rsid w:val="128C628C"/>
    <w:rsid w:val="12C335B9"/>
    <w:rsid w:val="12EA4799"/>
    <w:rsid w:val="12F17558"/>
    <w:rsid w:val="1312127D"/>
    <w:rsid w:val="131B5CD3"/>
    <w:rsid w:val="13776448"/>
    <w:rsid w:val="13A4281C"/>
    <w:rsid w:val="13B44A8A"/>
    <w:rsid w:val="1466407E"/>
    <w:rsid w:val="14834E28"/>
    <w:rsid w:val="148E7D65"/>
    <w:rsid w:val="150D619F"/>
    <w:rsid w:val="15145780"/>
    <w:rsid w:val="151A3F56"/>
    <w:rsid w:val="15231BF9"/>
    <w:rsid w:val="15282FD9"/>
    <w:rsid w:val="152B2CD8"/>
    <w:rsid w:val="153E1E76"/>
    <w:rsid w:val="155D0ED5"/>
    <w:rsid w:val="156C2EC6"/>
    <w:rsid w:val="157D1577"/>
    <w:rsid w:val="15991BC6"/>
    <w:rsid w:val="15C4546D"/>
    <w:rsid w:val="15DB158D"/>
    <w:rsid w:val="15E525B9"/>
    <w:rsid w:val="15F765AA"/>
    <w:rsid w:val="164E4CC1"/>
    <w:rsid w:val="16DC407B"/>
    <w:rsid w:val="16EF2C7B"/>
    <w:rsid w:val="1740285C"/>
    <w:rsid w:val="17AC6144"/>
    <w:rsid w:val="17C355BE"/>
    <w:rsid w:val="17C678A0"/>
    <w:rsid w:val="17CE57F8"/>
    <w:rsid w:val="17D449E1"/>
    <w:rsid w:val="18066069"/>
    <w:rsid w:val="185760AF"/>
    <w:rsid w:val="186B1B5B"/>
    <w:rsid w:val="18B00926"/>
    <w:rsid w:val="18BF3C55"/>
    <w:rsid w:val="18CE20EA"/>
    <w:rsid w:val="18CE5C46"/>
    <w:rsid w:val="192F0DDA"/>
    <w:rsid w:val="193C52A5"/>
    <w:rsid w:val="19810A7C"/>
    <w:rsid w:val="199F6268"/>
    <w:rsid w:val="19B1359D"/>
    <w:rsid w:val="19DE1BE9"/>
    <w:rsid w:val="1A064976"/>
    <w:rsid w:val="1A3B68AA"/>
    <w:rsid w:val="1A3E1C1E"/>
    <w:rsid w:val="1AC714F1"/>
    <w:rsid w:val="1AF46464"/>
    <w:rsid w:val="1B495B86"/>
    <w:rsid w:val="1B6F4F40"/>
    <w:rsid w:val="1B75684C"/>
    <w:rsid w:val="1B9E3FF5"/>
    <w:rsid w:val="1BA876E9"/>
    <w:rsid w:val="1C141836"/>
    <w:rsid w:val="1C3B2432"/>
    <w:rsid w:val="1C4526C3"/>
    <w:rsid w:val="1C5E01AD"/>
    <w:rsid w:val="1C76537D"/>
    <w:rsid w:val="1C844F99"/>
    <w:rsid w:val="1C8D7699"/>
    <w:rsid w:val="1CF0262F"/>
    <w:rsid w:val="1CFA16FF"/>
    <w:rsid w:val="1D003CA6"/>
    <w:rsid w:val="1D7F1871"/>
    <w:rsid w:val="1DCC309C"/>
    <w:rsid w:val="1E48649A"/>
    <w:rsid w:val="1E553F4E"/>
    <w:rsid w:val="1E6B6A14"/>
    <w:rsid w:val="1E803E86"/>
    <w:rsid w:val="1EC65D3D"/>
    <w:rsid w:val="1F7C0F0E"/>
    <w:rsid w:val="1F8359DC"/>
    <w:rsid w:val="1F8F4478"/>
    <w:rsid w:val="1FE2353C"/>
    <w:rsid w:val="1FE44638"/>
    <w:rsid w:val="20550D9A"/>
    <w:rsid w:val="20580C17"/>
    <w:rsid w:val="2079293B"/>
    <w:rsid w:val="207B4905"/>
    <w:rsid w:val="20810D5A"/>
    <w:rsid w:val="209D613F"/>
    <w:rsid w:val="20C81854"/>
    <w:rsid w:val="21083497"/>
    <w:rsid w:val="21316F3F"/>
    <w:rsid w:val="218E2416"/>
    <w:rsid w:val="21BB5A88"/>
    <w:rsid w:val="21E97C4B"/>
    <w:rsid w:val="220067DF"/>
    <w:rsid w:val="226915FE"/>
    <w:rsid w:val="228D31C1"/>
    <w:rsid w:val="22925F36"/>
    <w:rsid w:val="229273EC"/>
    <w:rsid w:val="22C07DB6"/>
    <w:rsid w:val="23820EE5"/>
    <w:rsid w:val="23B343B6"/>
    <w:rsid w:val="23BC656D"/>
    <w:rsid w:val="23DF243B"/>
    <w:rsid w:val="23E076C7"/>
    <w:rsid w:val="23F073B8"/>
    <w:rsid w:val="241804A5"/>
    <w:rsid w:val="242D5F16"/>
    <w:rsid w:val="24361C89"/>
    <w:rsid w:val="24390D5F"/>
    <w:rsid w:val="2452597D"/>
    <w:rsid w:val="24535D9D"/>
    <w:rsid w:val="24B97929"/>
    <w:rsid w:val="24D61AF1"/>
    <w:rsid w:val="24D632D7"/>
    <w:rsid w:val="24E40BA2"/>
    <w:rsid w:val="251E2F0B"/>
    <w:rsid w:val="25A62424"/>
    <w:rsid w:val="25CC710E"/>
    <w:rsid w:val="25E971BF"/>
    <w:rsid w:val="265B6B76"/>
    <w:rsid w:val="26965073"/>
    <w:rsid w:val="26B0379B"/>
    <w:rsid w:val="270F18C2"/>
    <w:rsid w:val="273F5F9F"/>
    <w:rsid w:val="274F43F6"/>
    <w:rsid w:val="278720BF"/>
    <w:rsid w:val="27A25F17"/>
    <w:rsid w:val="27B506FD"/>
    <w:rsid w:val="27C82040"/>
    <w:rsid w:val="27D06C46"/>
    <w:rsid w:val="27D65DBA"/>
    <w:rsid w:val="283C0E1E"/>
    <w:rsid w:val="28405395"/>
    <w:rsid w:val="285F40CA"/>
    <w:rsid w:val="28781EDE"/>
    <w:rsid w:val="2887358B"/>
    <w:rsid w:val="289E1AF0"/>
    <w:rsid w:val="28C01ECB"/>
    <w:rsid w:val="28D93D94"/>
    <w:rsid w:val="292F6A67"/>
    <w:rsid w:val="29BB0473"/>
    <w:rsid w:val="29BF71E3"/>
    <w:rsid w:val="29D60DFE"/>
    <w:rsid w:val="29D6387F"/>
    <w:rsid w:val="2A110088"/>
    <w:rsid w:val="2A127B63"/>
    <w:rsid w:val="2A451A6C"/>
    <w:rsid w:val="2A6A363D"/>
    <w:rsid w:val="2A723F79"/>
    <w:rsid w:val="2A9F03A0"/>
    <w:rsid w:val="2AAA4765"/>
    <w:rsid w:val="2AAF1DE2"/>
    <w:rsid w:val="2AC21606"/>
    <w:rsid w:val="2AC375D4"/>
    <w:rsid w:val="2AD63D42"/>
    <w:rsid w:val="2AEA4B61"/>
    <w:rsid w:val="2AEC6B2B"/>
    <w:rsid w:val="2AF84B7E"/>
    <w:rsid w:val="2B006133"/>
    <w:rsid w:val="2B0674C1"/>
    <w:rsid w:val="2B33475A"/>
    <w:rsid w:val="2B7E7608"/>
    <w:rsid w:val="2B7F04E9"/>
    <w:rsid w:val="2B8B554A"/>
    <w:rsid w:val="2BAF21A8"/>
    <w:rsid w:val="2BCE5FBE"/>
    <w:rsid w:val="2BD1187D"/>
    <w:rsid w:val="2BE806A1"/>
    <w:rsid w:val="2C0A4D8F"/>
    <w:rsid w:val="2C400B56"/>
    <w:rsid w:val="2C73502A"/>
    <w:rsid w:val="2C7566AC"/>
    <w:rsid w:val="2D293045"/>
    <w:rsid w:val="2D4652DE"/>
    <w:rsid w:val="2D496D68"/>
    <w:rsid w:val="2D5704A8"/>
    <w:rsid w:val="2D5E35E4"/>
    <w:rsid w:val="2D9C2B77"/>
    <w:rsid w:val="2D9E1C33"/>
    <w:rsid w:val="2DB355AA"/>
    <w:rsid w:val="2DD438A6"/>
    <w:rsid w:val="2DE33AEA"/>
    <w:rsid w:val="2DFC2F3E"/>
    <w:rsid w:val="2E04154E"/>
    <w:rsid w:val="2E094915"/>
    <w:rsid w:val="2E0C38FE"/>
    <w:rsid w:val="2E304F81"/>
    <w:rsid w:val="2E7A48DE"/>
    <w:rsid w:val="2EA17C2D"/>
    <w:rsid w:val="2EBA5177"/>
    <w:rsid w:val="2ED40002"/>
    <w:rsid w:val="2EDC3ED8"/>
    <w:rsid w:val="2F104B00"/>
    <w:rsid w:val="2F1A0980"/>
    <w:rsid w:val="2F6351B4"/>
    <w:rsid w:val="2FAD1FC1"/>
    <w:rsid w:val="2FB1138A"/>
    <w:rsid w:val="2FC86126"/>
    <w:rsid w:val="2FCF199E"/>
    <w:rsid w:val="2FEC137B"/>
    <w:rsid w:val="2FFB511A"/>
    <w:rsid w:val="30182170"/>
    <w:rsid w:val="3018754B"/>
    <w:rsid w:val="302E2703"/>
    <w:rsid w:val="30483E83"/>
    <w:rsid w:val="30662EDC"/>
    <w:rsid w:val="309036F3"/>
    <w:rsid w:val="30BF3991"/>
    <w:rsid w:val="3111619A"/>
    <w:rsid w:val="311C17EC"/>
    <w:rsid w:val="3150593A"/>
    <w:rsid w:val="315A68A9"/>
    <w:rsid w:val="3163566D"/>
    <w:rsid w:val="31816B29"/>
    <w:rsid w:val="319775DB"/>
    <w:rsid w:val="31B139DC"/>
    <w:rsid w:val="32311463"/>
    <w:rsid w:val="32497AF3"/>
    <w:rsid w:val="32851613"/>
    <w:rsid w:val="32917F05"/>
    <w:rsid w:val="32987598"/>
    <w:rsid w:val="32BC5007"/>
    <w:rsid w:val="32BF68D3"/>
    <w:rsid w:val="32C428D3"/>
    <w:rsid w:val="32EB1476"/>
    <w:rsid w:val="33136C1F"/>
    <w:rsid w:val="331533CF"/>
    <w:rsid w:val="335039CF"/>
    <w:rsid w:val="335A0D14"/>
    <w:rsid w:val="335D0B51"/>
    <w:rsid w:val="337376BE"/>
    <w:rsid w:val="339075C4"/>
    <w:rsid w:val="33E365F1"/>
    <w:rsid w:val="33F24D22"/>
    <w:rsid w:val="3410040A"/>
    <w:rsid w:val="343C0775"/>
    <w:rsid w:val="344F1ED9"/>
    <w:rsid w:val="34A920DA"/>
    <w:rsid w:val="34BA37F6"/>
    <w:rsid w:val="34D4418C"/>
    <w:rsid w:val="350031D3"/>
    <w:rsid w:val="356C50EC"/>
    <w:rsid w:val="35D82A9E"/>
    <w:rsid w:val="35D83DA9"/>
    <w:rsid w:val="36137E45"/>
    <w:rsid w:val="36152D3C"/>
    <w:rsid w:val="362E2905"/>
    <w:rsid w:val="36376E0A"/>
    <w:rsid w:val="363C648D"/>
    <w:rsid w:val="366000CF"/>
    <w:rsid w:val="36687282"/>
    <w:rsid w:val="36A04C6E"/>
    <w:rsid w:val="36AF3103"/>
    <w:rsid w:val="36B16968"/>
    <w:rsid w:val="36C85A67"/>
    <w:rsid w:val="36FC2AF0"/>
    <w:rsid w:val="3700166C"/>
    <w:rsid w:val="37104EE9"/>
    <w:rsid w:val="37296A11"/>
    <w:rsid w:val="377E4FAF"/>
    <w:rsid w:val="379A1012"/>
    <w:rsid w:val="37CD3840"/>
    <w:rsid w:val="37FF7772"/>
    <w:rsid w:val="38044A5F"/>
    <w:rsid w:val="381551E7"/>
    <w:rsid w:val="38325D99"/>
    <w:rsid w:val="385454A6"/>
    <w:rsid w:val="38683569"/>
    <w:rsid w:val="38694EE9"/>
    <w:rsid w:val="38976FC6"/>
    <w:rsid w:val="389D536A"/>
    <w:rsid w:val="38CC1D4A"/>
    <w:rsid w:val="38D02EDF"/>
    <w:rsid w:val="38DF7CCF"/>
    <w:rsid w:val="397572F5"/>
    <w:rsid w:val="39826510"/>
    <w:rsid w:val="398D772B"/>
    <w:rsid w:val="39B90520"/>
    <w:rsid w:val="39E15381"/>
    <w:rsid w:val="3A1D449C"/>
    <w:rsid w:val="3A2321ED"/>
    <w:rsid w:val="3A397BBD"/>
    <w:rsid w:val="3A6818FA"/>
    <w:rsid w:val="3A9E377B"/>
    <w:rsid w:val="3AC2225A"/>
    <w:rsid w:val="3B082B96"/>
    <w:rsid w:val="3B2A2D58"/>
    <w:rsid w:val="3B365CC9"/>
    <w:rsid w:val="3B380EFD"/>
    <w:rsid w:val="3B4846C5"/>
    <w:rsid w:val="3B7E6ABC"/>
    <w:rsid w:val="3B9A7B88"/>
    <w:rsid w:val="3BB27F15"/>
    <w:rsid w:val="3BDB07BA"/>
    <w:rsid w:val="3BF43750"/>
    <w:rsid w:val="3C1A644D"/>
    <w:rsid w:val="3C236125"/>
    <w:rsid w:val="3C2D2B00"/>
    <w:rsid w:val="3C447E49"/>
    <w:rsid w:val="3C4B567C"/>
    <w:rsid w:val="3C9014A1"/>
    <w:rsid w:val="3C9155B4"/>
    <w:rsid w:val="3CAA23A2"/>
    <w:rsid w:val="3CBF25B4"/>
    <w:rsid w:val="3CF4186F"/>
    <w:rsid w:val="3D037D04"/>
    <w:rsid w:val="3D145A6E"/>
    <w:rsid w:val="3D2C7AC8"/>
    <w:rsid w:val="3D3D4FC4"/>
    <w:rsid w:val="3D436353"/>
    <w:rsid w:val="3D852FC6"/>
    <w:rsid w:val="3D855D12"/>
    <w:rsid w:val="3D876E0F"/>
    <w:rsid w:val="3D8B42FF"/>
    <w:rsid w:val="3DA04E72"/>
    <w:rsid w:val="3DA36A11"/>
    <w:rsid w:val="3DCB0822"/>
    <w:rsid w:val="3DE86C4C"/>
    <w:rsid w:val="3DF36A6E"/>
    <w:rsid w:val="3DFD29A6"/>
    <w:rsid w:val="3E6C1E03"/>
    <w:rsid w:val="3E895FE7"/>
    <w:rsid w:val="3E9216C6"/>
    <w:rsid w:val="3EBA1EE9"/>
    <w:rsid w:val="3EBC5897"/>
    <w:rsid w:val="3EC27D02"/>
    <w:rsid w:val="3EEF22EE"/>
    <w:rsid w:val="3F792F1E"/>
    <w:rsid w:val="3FA42F82"/>
    <w:rsid w:val="3FCF2A56"/>
    <w:rsid w:val="3FD31C10"/>
    <w:rsid w:val="3FF34060"/>
    <w:rsid w:val="3FFB3DE1"/>
    <w:rsid w:val="40000DA8"/>
    <w:rsid w:val="40167D4F"/>
    <w:rsid w:val="40307062"/>
    <w:rsid w:val="40824826"/>
    <w:rsid w:val="409C6610"/>
    <w:rsid w:val="40A86BF9"/>
    <w:rsid w:val="40E63923"/>
    <w:rsid w:val="41075C99"/>
    <w:rsid w:val="410F6C78"/>
    <w:rsid w:val="41652D3C"/>
    <w:rsid w:val="41B15F81"/>
    <w:rsid w:val="41B17D2F"/>
    <w:rsid w:val="41B873F1"/>
    <w:rsid w:val="41C62AF0"/>
    <w:rsid w:val="41DB4DAC"/>
    <w:rsid w:val="42707E35"/>
    <w:rsid w:val="427C006E"/>
    <w:rsid w:val="42AE24C0"/>
    <w:rsid w:val="42E83C24"/>
    <w:rsid w:val="430D4F10"/>
    <w:rsid w:val="43173B35"/>
    <w:rsid w:val="43567AA0"/>
    <w:rsid w:val="437C611B"/>
    <w:rsid w:val="437F42B7"/>
    <w:rsid w:val="43A91E5B"/>
    <w:rsid w:val="445212F8"/>
    <w:rsid w:val="44703ED1"/>
    <w:rsid w:val="448109D2"/>
    <w:rsid w:val="449E0D39"/>
    <w:rsid w:val="44A21BB1"/>
    <w:rsid w:val="44B71B00"/>
    <w:rsid w:val="451A208F"/>
    <w:rsid w:val="456F5F37"/>
    <w:rsid w:val="45AA02A5"/>
    <w:rsid w:val="45B95404"/>
    <w:rsid w:val="45D0687F"/>
    <w:rsid w:val="45D417B5"/>
    <w:rsid w:val="45E104B7"/>
    <w:rsid w:val="45E32B26"/>
    <w:rsid w:val="45EA636B"/>
    <w:rsid w:val="46080139"/>
    <w:rsid w:val="463A3650"/>
    <w:rsid w:val="46461627"/>
    <w:rsid w:val="466F2D80"/>
    <w:rsid w:val="46717777"/>
    <w:rsid w:val="467910C5"/>
    <w:rsid w:val="468123C6"/>
    <w:rsid w:val="468A3FB7"/>
    <w:rsid w:val="469F0116"/>
    <w:rsid w:val="46C6427C"/>
    <w:rsid w:val="46CF30BA"/>
    <w:rsid w:val="475259B7"/>
    <w:rsid w:val="47685334"/>
    <w:rsid w:val="476A10AC"/>
    <w:rsid w:val="477737C9"/>
    <w:rsid w:val="47B71E17"/>
    <w:rsid w:val="47D82DE8"/>
    <w:rsid w:val="483128C8"/>
    <w:rsid w:val="483330F5"/>
    <w:rsid w:val="488302AE"/>
    <w:rsid w:val="48831CF9"/>
    <w:rsid w:val="4892318A"/>
    <w:rsid w:val="48A91760"/>
    <w:rsid w:val="48E2290D"/>
    <w:rsid w:val="48F155BB"/>
    <w:rsid w:val="49024C9C"/>
    <w:rsid w:val="49234B95"/>
    <w:rsid w:val="49344DB5"/>
    <w:rsid w:val="49373210"/>
    <w:rsid w:val="495E69EE"/>
    <w:rsid w:val="496F62BB"/>
    <w:rsid w:val="497C50C6"/>
    <w:rsid w:val="49A77A5F"/>
    <w:rsid w:val="49B1408D"/>
    <w:rsid w:val="49C01457"/>
    <w:rsid w:val="4A4A6F73"/>
    <w:rsid w:val="4A7D4FD2"/>
    <w:rsid w:val="4A7F4E6E"/>
    <w:rsid w:val="4A913C9A"/>
    <w:rsid w:val="4AC80BA8"/>
    <w:rsid w:val="4B1F70AC"/>
    <w:rsid w:val="4B240F94"/>
    <w:rsid w:val="4B306168"/>
    <w:rsid w:val="4BE960C0"/>
    <w:rsid w:val="4C0832E5"/>
    <w:rsid w:val="4C1A2668"/>
    <w:rsid w:val="4C3C565C"/>
    <w:rsid w:val="4CCC79C7"/>
    <w:rsid w:val="4CCD16FF"/>
    <w:rsid w:val="4CCF19B1"/>
    <w:rsid w:val="4D387556"/>
    <w:rsid w:val="4D560717"/>
    <w:rsid w:val="4D7555C7"/>
    <w:rsid w:val="4D8046B5"/>
    <w:rsid w:val="4DA16EA9"/>
    <w:rsid w:val="4DAB2BC9"/>
    <w:rsid w:val="4DC14ADD"/>
    <w:rsid w:val="4E265FF4"/>
    <w:rsid w:val="4E3917D8"/>
    <w:rsid w:val="4E45017D"/>
    <w:rsid w:val="4EA61166"/>
    <w:rsid w:val="4EA96688"/>
    <w:rsid w:val="4EAE6DA0"/>
    <w:rsid w:val="4EB51F2C"/>
    <w:rsid w:val="4EC106FD"/>
    <w:rsid w:val="4ED54026"/>
    <w:rsid w:val="4EEB0082"/>
    <w:rsid w:val="4EF474AD"/>
    <w:rsid w:val="4F471CD3"/>
    <w:rsid w:val="4FAA3762"/>
    <w:rsid w:val="4FE617D9"/>
    <w:rsid w:val="5016514B"/>
    <w:rsid w:val="50526B81"/>
    <w:rsid w:val="50901457"/>
    <w:rsid w:val="509251CF"/>
    <w:rsid w:val="50B96C00"/>
    <w:rsid w:val="50BC3FFA"/>
    <w:rsid w:val="50BD4DF3"/>
    <w:rsid w:val="50E377D9"/>
    <w:rsid w:val="50F72294"/>
    <w:rsid w:val="50F9524E"/>
    <w:rsid w:val="50FC1A26"/>
    <w:rsid w:val="51086366"/>
    <w:rsid w:val="511C6B0E"/>
    <w:rsid w:val="511E3467"/>
    <w:rsid w:val="5153670D"/>
    <w:rsid w:val="51723664"/>
    <w:rsid w:val="51AD421A"/>
    <w:rsid w:val="51BD4E5F"/>
    <w:rsid w:val="51C25640"/>
    <w:rsid w:val="51CB1C78"/>
    <w:rsid w:val="51F04403"/>
    <w:rsid w:val="51FD6A51"/>
    <w:rsid w:val="52511CDF"/>
    <w:rsid w:val="526B680A"/>
    <w:rsid w:val="52836F71"/>
    <w:rsid w:val="52865843"/>
    <w:rsid w:val="52D26B02"/>
    <w:rsid w:val="52D43851"/>
    <w:rsid w:val="5306697D"/>
    <w:rsid w:val="531E2D4A"/>
    <w:rsid w:val="532E5683"/>
    <w:rsid w:val="538C5F06"/>
    <w:rsid w:val="53924908"/>
    <w:rsid w:val="53CC27A6"/>
    <w:rsid w:val="541A5D30"/>
    <w:rsid w:val="5428129F"/>
    <w:rsid w:val="542E1A8F"/>
    <w:rsid w:val="54375959"/>
    <w:rsid w:val="5473432F"/>
    <w:rsid w:val="54F25A45"/>
    <w:rsid w:val="55143636"/>
    <w:rsid w:val="55C1559C"/>
    <w:rsid w:val="55C23E61"/>
    <w:rsid w:val="55C85B21"/>
    <w:rsid w:val="55F068CD"/>
    <w:rsid w:val="566C3136"/>
    <w:rsid w:val="56811F6E"/>
    <w:rsid w:val="568D04F2"/>
    <w:rsid w:val="569021B1"/>
    <w:rsid w:val="56A143BE"/>
    <w:rsid w:val="56E115BC"/>
    <w:rsid w:val="57435475"/>
    <w:rsid w:val="577E3A1C"/>
    <w:rsid w:val="57AE0B41"/>
    <w:rsid w:val="57C93BCD"/>
    <w:rsid w:val="57CF3875"/>
    <w:rsid w:val="58135684"/>
    <w:rsid w:val="581F16FE"/>
    <w:rsid w:val="582C7CB7"/>
    <w:rsid w:val="582E7EB2"/>
    <w:rsid w:val="58DA44FC"/>
    <w:rsid w:val="58DF4D2A"/>
    <w:rsid w:val="58ED7447"/>
    <w:rsid w:val="59426081"/>
    <w:rsid w:val="599109BB"/>
    <w:rsid w:val="59CF4D9E"/>
    <w:rsid w:val="59D10FBB"/>
    <w:rsid w:val="59E940B2"/>
    <w:rsid w:val="59F474B0"/>
    <w:rsid w:val="5A526582"/>
    <w:rsid w:val="5A5E4C52"/>
    <w:rsid w:val="5A5F5C77"/>
    <w:rsid w:val="5A711A0D"/>
    <w:rsid w:val="5A7A044B"/>
    <w:rsid w:val="5A8019D7"/>
    <w:rsid w:val="5ADD72A9"/>
    <w:rsid w:val="5AF45B3D"/>
    <w:rsid w:val="5B1613E4"/>
    <w:rsid w:val="5B1B7851"/>
    <w:rsid w:val="5B726B59"/>
    <w:rsid w:val="5B78003B"/>
    <w:rsid w:val="5B9900F2"/>
    <w:rsid w:val="5BB157CA"/>
    <w:rsid w:val="5BC006D6"/>
    <w:rsid w:val="5BC11A60"/>
    <w:rsid w:val="5BF52B3D"/>
    <w:rsid w:val="5C2C5832"/>
    <w:rsid w:val="5C471564"/>
    <w:rsid w:val="5C6B495B"/>
    <w:rsid w:val="5C7A4D54"/>
    <w:rsid w:val="5C906302"/>
    <w:rsid w:val="5CD23B73"/>
    <w:rsid w:val="5D235B2D"/>
    <w:rsid w:val="5D465907"/>
    <w:rsid w:val="5D50269A"/>
    <w:rsid w:val="5D663C6C"/>
    <w:rsid w:val="5D6879E4"/>
    <w:rsid w:val="5DB75D2D"/>
    <w:rsid w:val="5E070FAB"/>
    <w:rsid w:val="5EF7640B"/>
    <w:rsid w:val="5F103E8F"/>
    <w:rsid w:val="5F127819"/>
    <w:rsid w:val="5F230066"/>
    <w:rsid w:val="5F795ED8"/>
    <w:rsid w:val="5F8466DC"/>
    <w:rsid w:val="5F93003C"/>
    <w:rsid w:val="5F93686E"/>
    <w:rsid w:val="5FE570CA"/>
    <w:rsid w:val="5FE64998"/>
    <w:rsid w:val="600B265B"/>
    <w:rsid w:val="60193217"/>
    <w:rsid w:val="602E0C4F"/>
    <w:rsid w:val="60350ED3"/>
    <w:rsid w:val="60445C5A"/>
    <w:rsid w:val="605702D9"/>
    <w:rsid w:val="6077540C"/>
    <w:rsid w:val="60B72AEE"/>
    <w:rsid w:val="61025188"/>
    <w:rsid w:val="61057D5F"/>
    <w:rsid w:val="6126068F"/>
    <w:rsid w:val="614D4977"/>
    <w:rsid w:val="616B35FF"/>
    <w:rsid w:val="61750921"/>
    <w:rsid w:val="618D5C6B"/>
    <w:rsid w:val="61AE5BE1"/>
    <w:rsid w:val="621E4B15"/>
    <w:rsid w:val="624C4B4A"/>
    <w:rsid w:val="62B34D53"/>
    <w:rsid w:val="62B62F9F"/>
    <w:rsid w:val="62CE653B"/>
    <w:rsid w:val="62E43940"/>
    <w:rsid w:val="62FB4E56"/>
    <w:rsid w:val="62FD1A73"/>
    <w:rsid w:val="63485CA5"/>
    <w:rsid w:val="63C60FC0"/>
    <w:rsid w:val="63D25BB7"/>
    <w:rsid w:val="64935DDA"/>
    <w:rsid w:val="64BA3D7A"/>
    <w:rsid w:val="64F179BC"/>
    <w:rsid w:val="657467A8"/>
    <w:rsid w:val="659A2704"/>
    <w:rsid w:val="65CD1D0F"/>
    <w:rsid w:val="665704D3"/>
    <w:rsid w:val="66B617C0"/>
    <w:rsid w:val="66D47E98"/>
    <w:rsid w:val="675230A5"/>
    <w:rsid w:val="6759039D"/>
    <w:rsid w:val="67840CA7"/>
    <w:rsid w:val="67A61834"/>
    <w:rsid w:val="67B657F0"/>
    <w:rsid w:val="67BA7F6A"/>
    <w:rsid w:val="67C065A4"/>
    <w:rsid w:val="67D359C9"/>
    <w:rsid w:val="68042537"/>
    <w:rsid w:val="681849AE"/>
    <w:rsid w:val="68356714"/>
    <w:rsid w:val="684150B9"/>
    <w:rsid w:val="689773CF"/>
    <w:rsid w:val="68A815DC"/>
    <w:rsid w:val="68D73C6F"/>
    <w:rsid w:val="68EA74FF"/>
    <w:rsid w:val="68FE36DD"/>
    <w:rsid w:val="69004C92"/>
    <w:rsid w:val="69324B5A"/>
    <w:rsid w:val="694E60FC"/>
    <w:rsid w:val="6979104D"/>
    <w:rsid w:val="69801C11"/>
    <w:rsid w:val="698A2235"/>
    <w:rsid w:val="698F62F8"/>
    <w:rsid w:val="69AC49A5"/>
    <w:rsid w:val="69B66E8A"/>
    <w:rsid w:val="69D1246D"/>
    <w:rsid w:val="69E95A08"/>
    <w:rsid w:val="6A004944"/>
    <w:rsid w:val="6A185702"/>
    <w:rsid w:val="6A1E5E66"/>
    <w:rsid w:val="6A237D65"/>
    <w:rsid w:val="6A256904"/>
    <w:rsid w:val="6A5512F0"/>
    <w:rsid w:val="6A6D7F7B"/>
    <w:rsid w:val="6A8B4D12"/>
    <w:rsid w:val="6B0D5727"/>
    <w:rsid w:val="6B182A49"/>
    <w:rsid w:val="6B203091"/>
    <w:rsid w:val="6B656832"/>
    <w:rsid w:val="6BD914DC"/>
    <w:rsid w:val="6C2063E9"/>
    <w:rsid w:val="6C4A35E0"/>
    <w:rsid w:val="6C675CE6"/>
    <w:rsid w:val="6C7B7C5C"/>
    <w:rsid w:val="6C7D1B5B"/>
    <w:rsid w:val="6C825DCD"/>
    <w:rsid w:val="6CA66B0A"/>
    <w:rsid w:val="6CED41BB"/>
    <w:rsid w:val="6D033D14"/>
    <w:rsid w:val="6D30394E"/>
    <w:rsid w:val="6D325918"/>
    <w:rsid w:val="6D3C724E"/>
    <w:rsid w:val="6D4F4321"/>
    <w:rsid w:val="6D612E22"/>
    <w:rsid w:val="6D886291"/>
    <w:rsid w:val="6D9E4D5C"/>
    <w:rsid w:val="6DA03D7B"/>
    <w:rsid w:val="6DCF206C"/>
    <w:rsid w:val="6DE5298B"/>
    <w:rsid w:val="6DF41B82"/>
    <w:rsid w:val="6DFA4688"/>
    <w:rsid w:val="6DFF7360"/>
    <w:rsid w:val="6E5D69C5"/>
    <w:rsid w:val="6E7A5F73"/>
    <w:rsid w:val="6E873A42"/>
    <w:rsid w:val="6EA463A2"/>
    <w:rsid w:val="6ED8332C"/>
    <w:rsid w:val="6EDF3AD8"/>
    <w:rsid w:val="6EE669BA"/>
    <w:rsid w:val="6EE90F9D"/>
    <w:rsid w:val="6F5B1E37"/>
    <w:rsid w:val="6F9D047A"/>
    <w:rsid w:val="6FD74228"/>
    <w:rsid w:val="70134A49"/>
    <w:rsid w:val="7021106F"/>
    <w:rsid w:val="70231548"/>
    <w:rsid w:val="703419A7"/>
    <w:rsid w:val="703642F5"/>
    <w:rsid w:val="707C46B4"/>
    <w:rsid w:val="7086763A"/>
    <w:rsid w:val="708E10B8"/>
    <w:rsid w:val="709661BE"/>
    <w:rsid w:val="709F1D23"/>
    <w:rsid w:val="70CB5616"/>
    <w:rsid w:val="710F044A"/>
    <w:rsid w:val="71107D1F"/>
    <w:rsid w:val="71250632"/>
    <w:rsid w:val="7137788D"/>
    <w:rsid w:val="71526589"/>
    <w:rsid w:val="71633091"/>
    <w:rsid w:val="718550A0"/>
    <w:rsid w:val="71BB19CF"/>
    <w:rsid w:val="71BB412E"/>
    <w:rsid w:val="71C1726B"/>
    <w:rsid w:val="71E05992"/>
    <w:rsid w:val="71F75304"/>
    <w:rsid w:val="71FD6DE5"/>
    <w:rsid w:val="727128B9"/>
    <w:rsid w:val="72D10564"/>
    <w:rsid w:val="72E94CCB"/>
    <w:rsid w:val="73081CA5"/>
    <w:rsid w:val="736E1DC7"/>
    <w:rsid w:val="73CF5FF9"/>
    <w:rsid w:val="73E06470"/>
    <w:rsid w:val="74101226"/>
    <w:rsid w:val="74201F7D"/>
    <w:rsid w:val="74381F8F"/>
    <w:rsid w:val="745B39A7"/>
    <w:rsid w:val="7487762D"/>
    <w:rsid w:val="74913AB3"/>
    <w:rsid w:val="749E3E60"/>
    <w:rsid w:val="749F7D37"/>
    <w:rsid w:val="74C257D4"/>
    <w:rsid w:val="74C33AA4"/>
    <w:rsid w:val="74DA7532"/>
    <w:rsid w:val="74F44E42"/>
    <w:rsid w:val="75137DDD"/>
    <w:rsid w:val="75210D7A"/>
    <w:rsid w:val="75377F70"/>
    <w:rsid w:val="75385498"/>
    <w:rsid w:val="756A12C2"/>
    <w:rsid w:val="75AC3C3A"/>
    <w:rsid w:val="75C47A28"/>
    <w:rsid w:val="75D6274E"/>
    <w:rsid w:val="75EB48B6"/>
    <w:rsid w:val="75F37776"/>
    <w:rsid w:val="75F43FCB"/>
    <w:rsid w:val="76004806"/>
    <w:rsid w:val="764E462E"/>
    <w:rsid w:val="768E0063"/>
    <w:rsid w:val="76BC207F"/>
    <w:rsid w:val="76EB4904"/>
    <w:rsid w:val="77581B95"/>
    <w:rsid w:val="77645DCD"/>
    <w:rsid w:val="777378F5"/>
    <w:rsid w:val="77760244"/>
    <w:rsid w:val="777A2D3C"/>
    <w:rsid w:val="77B27D81"/>
    <w:rsid w:val="77B37656"/>
    <w:rsid w:val="77CD4BBB"/>
    <w:rsid w:val="78474930"/>
    <w:rsid w:val="788A6608"/>
    <w:rsid w:val="78FE4639"/>
    <w:rsid w:val="79074B81"/>
    <w:rsid w:val="794A7728"/>
    <w:rsid w:val="794F0939"/>
    <w:rsid w:val="79AE4579"/>
    <w:rsid w:val="79AF0FCA"/>
    <w:rsid w:val="79CC49FF"/>
    <w:rsid w:val="79E3533A"/>
    <w:rsid w:val="79E9767B"/>
    <w:rsid w:val="7A1C7734"/>
    <w:rsid w:val="7A3031E0"/>
    <w:rsid w:val="7A353AD2"/>
    <w:rsid w:val="7AE357C7"/>
    <w:rsid w:val="7AF55978"/>
    <w:rsid w:val="7AF9279C"/>
    <w:rsid w:val="7AFB37ED"/>
    <w:rsid w:val="7B38234C"/>
    <w:rsid w:val="7B590514"/>
    <w:rsid w:val="7B641393"/>
    <w:rsid w:val="7B684EBF"/>
    <w:rsid w:val="7B8C2698"/>
    <w:rsid w:val="7BD8369B"/>
    <w:rsid w:val="7BD936BE"/>
    <w:rsid w:val="7C4E23DA"/>
    <w:rsid w:val="7C812685"/>
    <w:rsid w:val="7C865EDA"/>
    <w:rsid w:val="7CB61CD8"/>
    <w:rsid w:val="7CC51958"/>
    <w:rsid w:val="7CD53DF9"/>
    <w:rsid w:val="7D083FA0"/>
    <w:rsid w:val="7D097C86"/>
    <w:rsid w:val="7D19603B"/>
    <w:rsid w:val="7D4A29BA"/>
    <w:rsid w:val="7D8555F0"/>
    <w:rsid w:val="7DBD122E"/>
    <w:rsid w:val="7DBE513D"/>
    <w:rsid w:val="7DFD0E8E"/>
    <w:rsid w:val="7E2936C3"/>
    <w:rsid w:val="7E5359E5"/>
    <w:rsid w:val="7E6411B9"/>
    <w:rsid w:val="7EA1645A"/>
    <w:rsid w:val="7EBE525E"/>
    <w:rsid w:val="7ECE4FDC"/>
    <w:rsid w:val="7F363046"/>
    <w:rsid w:val="7F5A3500"/>
    <w:rsid w:val="7F675C96"/>
    <w:rsid w:val="7F855D7C"/>
    <w:rsid w:val="7FB70A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nhideWhenUsed="0" w:uiPriority="0" w:semiHidden="0"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qFormat="1" w:unhideWhenUsed="0" w:uiPriority="0" w:semiHidden="0"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iPriority="39" w:semiHidden="0" w:name="toc 1"/>
    <w:lsdException w:qFormat="1" w:uiPriority="39" w:semiHidden="0" w:name="toc 2"/>
    <w:lsdException w:qFormat="1" w:uiPriority="39" w:semiHidden="0"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qFormat="1" w:uiPriority="99" w:name="footnote text"/>
    <w:lsdException w:qFormat="1" w:unhideWhenUsed="0" w:uiPriority="0"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qFormat="1" w:unhideWhenUsed="0" w:uiPriority="99" w:semiHidden="0" w:name="envelope return"/>
    <w:lsdException w:qFormat="1"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nhideWhenUsed="0" w:uiPriority="0" w:semiHidden="0" w:name="Date"/>
    <w:lsdException w:qFormat="1" w:uiPriority="99" w:semiHidden="0" w:name="Body Text First Indent"/>
    <w:lsdException w:qFormat="1" w:uiPriority="99"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99"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仿宋_GB2312" w:hAnsi="@仿宋_GB2312" w:eastAsia="@仿宋_GB2312" w:cs="@仿宋_GB2312"/>
      <w:kern w:val="2"/>
      <w:sz w:val="21"/>
      <w:lang w:val="en-US" w:eastAsia="zh-CN" w:bidi="ar-SA"/>
    </w:rPr>
  </w:style>
  <w:style w:type="paragraph" w:styleId="2">
    <w:name w:val="heading 1"/>
    <w:basedOn w:val="1"/>
    <w:next w:val="1"/>
    <w:link w:val="34"/>
    <w:autoRedefine/>
    <w:qFormat/>
    <w:uiPriority w:val="9"/>
    <w:pPr>
      <w:keepNext/>
      <w:keepLines/>
      <w:spacing w:before="340" w:after="330" w:line="578" w:lineRule="auto"/>
      <w:outlineLvl w:val="0"/>
    </w:pPr>
    <w:rPr>
      <w:b/>
      <w:bCs/>
      <w:kern w:val="44"/>
      <w:sz w:val="44"/>
      <w:szCs w:val="44"/>
    </w:rPr>
  </w:style>
  <w:style w:type="paragraph" w:styleId="3">
    <w:name w:val="heading 2"/>
    <w:basedOn w:val="1"/>
    <w:next w:val="1"/>
    <w:autoRedefine/>
    <w:qFormat/>
    <w:uiPriority w:val="0"/>
    <w:pPr>
      <w:keepNext/>
      <w:keepLines/>
      <w:spacing w:before="260" w:after="260" w:line="415" w:lineRule="auto"/>
      <w:outlineLvl w:val="1"/>
    </w:pPr>
    <w:rPr>
      <w:rFonts w:ascii="Arial" w:hAnsi="Arial" w:eastAsia="黑体" w:cs="Arial"/>
      <w:b/>
      <w:bCs/>
      <w:sz w:val="32"/>
      <w:szCs w:val="32"/>
    </w:rPr>
  </w:style>
  <w:style w:type="paragraph" w:styleId="4">
    <w:name w:val="heading 3"/>
    <w:basedOn w:val="1"/>
    <w:next w:val="1"/>
    <w:link w:val="52"/>
    <w:autoRedefine/>
    <w:semiHidden/>
    <w:unhideWhenUsed/>
    <w:qFormat/>
    <w:uiPriority w:val="9"/>
    <w:pPr>
      <w:keepNext/>
      <w:keepLines/>
      <w:spacing w:before="260" w:after="260" w:line="416" w:lineRule="auto"/>
      <w:outlineLvl w:val="2"/>
    </w:pPr>
    <w:rPr>
      <w:b/>
      <w:bCs/>
      <w:sz w:val="32"/>
      <w:szCs w:val="32"/>
    </w:rPr>
  </w:style>
  <w:style w:type="paragraph" w:styleId="5">
    <w:name w:val="heading 4"/>
    <w:basedOn w:val="1"/>
    <w:next w:val="1"/>
    <w:link w:val="57"/>
    <w:autoRedefine/>
    <w:qFormat/>
    <w:uiPriority w:val="0"/>
    <w:pPr>
      <w:keepNext/>
      <w:keepLines/>
      <w:spacing w:before="280" w:after="290" w:line="376" w:lineRule="auto"/>
      <w:outlineLvl w:val="3"/>
    </w:pPr>
    <w:rPr>
      <w:b/>
      <w:bCs/>
      <w:sz w:val="28"/>
      <w:szCs w:val="28"/>
    </w:rPr>
  </w:style>
  <w:style w:type="character" w:default="1" w:styleId="27">
    <w:name w:val="Default Paragraph Font"/>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6">
    <w:name w:val="Normal Indent"/>
    <w:basedOn w:val="1"/>
    <w:autoRedefine/>
    <w:qFormat/>
    <w:uiPriority w:val="0"/>
    <w:pPr>
      <w:autoSpaceDE w:val="0"/>
      <w:autoSpaceDN w:val="0"/>
      <w:adjustRightInd w:val="0"/>
      <w:ind w:firstLine="420"/>
      <w:jc w:val="left"/>
    </w:pPr>
    <w:rPr>
      <w:rFonts w:ascii="宋体" w:hAnsi="Times New Roman" w:eastAsia="宋体" w:cs="Times New Roman"/>
      <w:kern w:val="0"/>
      <w:sz w:val="24"/>
    </w:rPr>
  </w:style>
  <w:style w:type="paragraph" w:styleId="7">
    <w:name w:val="annotation text"/>
    <w:basedOn w:val="1"/>
    <w:link w:val="50"/>
    <w:autoRedefine/>
    <w:qFormat/>
    <w:uiPriority w:val="0"/>
    <w:pPr>
      <w:jc w:val="left"/>
    </w:pPr>
    <w:rPr>
      <w:rFonts w:ascii="Arial" w:hAnsi="Arial" w:eastAsia="黑体" w:cs="Arial"/>
    </w:rPr>
  </w:style>
  <w:style w:type="paragraph" w:styleId="8">
    <w:name w:val="Body Text"/>
    <w:basedOn w:val="1"/>
    <w:autoRedefine/>
    <w:qFormat/>
    <w:uiPriority w:val="0"/>
    <w:pPr>
      <w:spacing w:after="120"/>
    </w:pPr>
    <w:rPr>
      <w:rFonts w:ascii="@微软简标宋" w:hAnsi="@微软简标宋" w:eastAsia="@微软简标宋" w:cs="@微软简标宋"/>
      <w:szCs w:val="24"/>
      <w:lang w:val="zh-CN"/>
    </w:rPr>
  </w:style>
  <w:style w:type="paragraph" w:styleId="9">
    <w:name w:val="Body Text Indent"/>
    <w:basedOn w:val="1"/>
    <w:next w:val="10"/>
    <w:autoRedefine/>
    <w:qFormat/>
    <w:uiPriority w:val="0"/>
    <w:pPr>
      <w:spacing w:after="120"/>
      <w:ind w:left="420" w:leftChars="200"/>
    </w:pPr>
  </w:style>
  <w:style w:type="paragraph" w:styleId="10">
    <w:name w:val="envelope return"/>
    <w:basedOn w:val="1"/>
    <w:qFormat/>
    <w:uiPriority w:val="99"/>
    <w:pPr>
      <w:snapToGrid w:val="0"/>
    </w:pPr>
    <w:rPr>
      <w:rFonts w:ascii="Arial" w:hAnsi="Arial" w:cs="Arial"/>
    </w:rPr>
  </w:style>
  <w:style w:type="paragraph" w:styleId="11">
    <w:name w:val="toc 3"/>
    <w:basedOn w:val="1"/>
    <w:next w:val="1"/>
    <w:autoRedefine/>
    <w:unhideWhenUsed/>
    <w:qFormat/>
    <w:uiPriority w:val="39"/>
    <w:pPr>
      <w:widowControl/>
      <w:spacing w:after="100" w:line="276" w:lineRule="auto"/>
      <w:ind w:left="440"/>
      <w:jc w:val="left"/>
    </w:pPr>
    <w:rPr>
      <w:rFonts w:asciiTheme="minorHAnsi" w:hAnsiTheme="minorHAnsi" w:eastAsiaTheme="minorEastAsia" w:cstheme="minorBidi"/>
      <w:kern w:val="0"/>
      <w:sz w:val="22"/>
      <w:szCs w:val="22"/>
    </w:rPr>
  </w:style>
  <w:style w:type="paragraph" w:styleId="12">
    <w:name w:val="Plain Text"/>
    <w:basedOn w:val="1"/>
    <w:link w:val="33"/>
    <w:autoRedefine/>
    <w:qFormat/>
    <w:uiPriority w:val="99"/>
    <w:rPr>
      <w:rFonts w:ascii="宋体" w:hAnsi="Courier New" w:eastAsiaTheme="minorEastAsia" w:cstheme="minorBidi"/>
      <w:szCs w:val="22"/>
    </w:rPr>
  </w:style>
  <w:style w:type="paragraph" w:styleId="13">
    <w:name w:val="Date"/>
    <w:basedOn w:val="1"/>
    <w:next w:val="1"/>
    <w:link w:val="47"/>
    <w:autoRedefine/>
    <w:qFormat/>
    <w:uiPriority w:val="0"/>
    <w:rPr>
      <w:rFonts w:ascii="Arial" w:hAnsi="Arial" w:eastAsia="宋体" w:cs="Arial"/>
      <w:b/>
      <w:sz w:val="28"/>
    </w:rPr>
  </w:style>
  <w:style w:type="paragraph" w:styleId="14">
    <w:name w:val="Balloon Text"/>
    <w:basedOn w:val="1"/>
    <w:link w:val="35"/>
    <w:autoRedefine/>
    <w:semiHidden/>
    <w:unhideWhenUsed/>
    <w:qFormat/>
    <w:uiPriority w:val="99"/>
    <w:rPr>
      <w:sz w:val="18"/>
      <w:szCs w:val="18"/>
    </w:rPr>
  </w:style>
  <w:style w:type="paragraph" w:styleId="15">
    <w:name w:val="footer"/>
    <w:basedOn w:val="1"/>
    <w:link w:val="40"/>
    <w:autoRedefine/>
    <w:unhideWhenUsed/>
    <w:qFormat/>
    <w:uiPriority w:val="99"/>
    <w:pPr>
      <w:tabs>
        <w:tab w:val="center" w:pos="4153"/>
        <w:tab w:val="right" w:pos="8306"/>
      </w:tabs>
      <w:snapToGrid w:val="0"/>
      <w:jc w:val="left"/>
    </w:pPr>
    <w:rPr>
      <w:sz w:val="18"/>
      <w:szCs w:val="18"/>
    </w:rPr>
  </w:style>
  <w:style w:type="paragraph" w:styleId="16">
    <w:name w:val="header"/>
    <w:basedOn w:val="1"/>
    <w:link w:val="39"/>
    <w:autoRedefine/>
    <w:unhideWhenUsed/>
    <w:qFormat/>
    <w:uiPriority w:val="99"/>
    <w:pPr>
      <w:pBdr>
        <w:bottom w:val="single" w:color="auto" w:sz="6" w:space="1"/>
      </w:pBdr>
      <w:tabs>
        <w:tab w:val="center" w:pos="4153"/>
        <w:tab w:val="right" w:pos="8306"/>
      </w:tabs>
      <w:snapToGrid w:val="0"/>
      <w:jc w:val="center"/>
    </w:pPr>
    <w:rPr>
      <w:sz w:val="18"/>
      <w:szCs w:val="18"/>
    </w:rPr>
  </w:style>
  <w:style w:type="paragraph" w:styleId="17">
    <w:name w:val="toc 1"/>
    <w:basedOn w:val="1"/>
    <w:next w:val="1"/>
    <w:autoRedefine/>
    <w:unhideWhenUsed/>
    <w:qFormat/>
    <w:uiPriority w:val="39"/>
    <w:pPr>
      <w:widowControl/>
      <w:spacing w:after="100" w:line="276" w:lineRule="auto"/>
      <w:jc w:val="left"/>
    </w:pPr>
    <w:rPr>
      <w:rFonts w:asciiTheme="minorHAnsi" w:hAnsiTheme="minorHAnsi" w:eastAsiaTheme="minorEastAsia" w:cstheme="minorBidi"/>
      <w:kern w:val="0"/>
      <w:sz w:val="22"/>
      <w:szCs w:val="22"/>
    </w:rPr>
  </w:style>
  <w:style w:type="paragraph" w:styleId="18">
    <w:name w:val="footnote text"/>
    <w:basedOn w:val="1"/>
    <w:semiHidden/>
    <w:unhideWhenUsed/>
    <w:qFormat/>
    <w:uiPriority w:val="99"/>
    <w:pPr>
      <w:snapToGrid w:val="0"/>
      <w:jc w:val="left"/>
    </w:pPr>
    <w:rPr>
      <w:sz w:val="18"/>
    </w:rPr>
  </w:style>
  <w:style w:type="paragraph" w:styleId="19">
    <w:name w:val="toc 2"/>
    <w:basedOn w:val="1"/>
    <w:next w:val="1"/>
    <w:autoRedefine/>
    <w:unhideWhenUsed/>
    <w:qFormat/>
    <w:uiPriority w:val="39"/>
    <w:pPr>
      <w:widowControl/>
      <w:spacing w:after="100" w:line="276" w:lineRule="auto"/>
      <w:ind w:left="220"/>
      <w:jc w:val="left"/>
    </w:pPr>
    <w:rPr>
      <w:rFonts w:asciiTheme="minorHAnsi" w:hAnsiTheme="minorHAnsi" w:eastAsiaTheme="minorEastAsia" w:cstheme="minorBidi"/>
      <w:kern w:val="0"/>
      <w:sz w:val="22"/>
      <w:szCs w:val="22"/>
    </w:rPr>
  </w:style>
  <w:style w:type="paragraph" w:styleId="20">
    <w:name w:val="Normal (Web)"/>
    <w:basedOn w:val="1"/>
    <w:autoRedefine/>
    <w:qFormat/>
    <w:uiPriority w:val="0"/>
    <w:pPr>
      <w:spacing w:before="100" w:beforeAutospacing="1" w:after="100" w:afterAutospacing="1"/>
      <w:jc w:val="left"/>
    </w:pPr>
    <w:rPr>
      <w:rFonts w:cs="Times New Roman"/>
      <w:kern w:val="0"/>
      <w:sz w:val="24"/>
    </w:rPr>
  </w:style>
  <w:style w:type="paragraph" w:styleId="21">
    <w:name w:val="index 1"/>
    <w:basedOn w:val="1"/>
    <w:next w:val="1"/>
    <w:autoRedefine/>
    <w:qFormat/>
    <w:uiPriority w:val="0"/>
    <w:pPr>
      <w:jc w:val="center"/>
    </w:pPr>
    <w:rPr>
      <w:rFonts w:ascii="Arial" w:hAnsi="Arial" w:eastAsia="Arial" w:cs="Arial"/>
      <w:b/>
      <w:bCs/>
      <w:sz w:val="28"/>
    </w:rPr>
  </w:style>
  <w:style w:type="paragraph" w:styleId="22">
    <w:name w:val="annotation subject"/>
    <w:basedOn w:val="7"/>
    <w:next w:val="7"/>
    <w:link w:val="60"/>
    <w:autoRedefine/>
    <w:semiHidden/>
    <w:unhideWhenUsed/>
    <w:qFormat/>
    <w:uiPriority w:val="99"/>
    <w:rPr>
      <w:rFonts w:ascii="@仿宋_GB2312" w:hAnsi="@仿宋_GB2312" w:eastAsia="@仿宋_GB2312" w:cs="@仿宋_GB2312"/>
      <w:b/>
      <w:bCs/>
    </w:rPr>
  </w:style>
  <w:style w:type="paragraph" w:styleId="23">
    <w:name w:val="Body Text First Indent"/>
    <w:basedOn w:val="8"/>
    <w:autoRedefine/>
    <w:unhideWhenUsed/>
    <w:qFormat/>
    <w:uiPriority w:val="99"/>
    <w:pPr>
      <w:ind w:firstLine="420" w:firstLineChars="100"/>
    </w:pPr>
  </w:style>
  <w:style w:type="paragraph" w:styleId="24">
    <w:name w:val="Body Text First Indent 2"/>
    <w:basedOn w:val="9"/>
    <w:unhideWhenUsed/>
    <w:qFormat/>
    <w:uiPriority w:val="99"/>
    <w:pPr>
      <w:ind w:firstLine="420" w:firstLineChars="200"/>
    </w:pPr>
    <w:rPr>
      <w:rFonts w:ascii="Times New Roman" w:cs="Times New Roman"/>
    </w:rPr>
  </w:style>
  <w:style w:type="table" w:styleId="26">
    <w:name w:val="Table Grid"/>
    <w:basedOn w:val="25"/>
    <w:autoRedefine/>
    <w:unhideWhenUsed/>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8">
    <w:name w:val="Strong"/>
    <w:autoRedefine/>
    <w:qFormat/>
    <w:uiPriority w:val="0"/>
    <w:rPr>
      <w:b/>
      <w:bCs/>
    </w:rPr>
  </w:style>
  <w:style w:type="character" w:styleId="29">
    <w:name w:val="Emphasis"/>
    <w:basedOn w:val="27"/>
    <w:qFormat/>
    <w:uiPriority w:val="0"/>
    <w:rPr>
      <w:i/>
    </w:rPr>
  </w:style>
  <w:style w:type="character" w:styleId="30">
    <w:name w:val="Hyperlink"/>
    <w:basedOn w:val="27"/>
    <w:autoRedefine/>
    <w:unhideWhenUsed/>
    <w:qFormat/>
    <w:uiPriority w:val="99"/>
    <w:rPr>
      <w:color w:val="0000FF" w:themeColor="hyperlink"/>
      <w:u w:val="single"/>
      <w14:textFill>
        <w14:solidFill>
          <w14:schemeClr w14:val="hlink"/>
        </w14:solidFill>
      </w14:textFill>
    </w:rPr>
  </w:style>
  <w:style w:type="character" w:styleId="31">
    <w:name w:val="annotation reference"/>
    <w:basedOn w:val="27"/>
    <w:autoRedefine/>
    <w:semiHidden/>
    <w:unhideWhenUsed/>
    <w:qFormat/>
    <w:uiPriority w:val="99"/>
    <w:rPr>
      <w:sz w:val="21"/>
      <w:szCs w:val="21"/>
    </w:rPr>
  </w:style>
  <w:style w:type="character" w:styleId="32">
    <w:name w:val="footnote reference"/>
    <w:basedOn w:val="27"/>
    <w:semiHidden/>
    <w:unhideWhenUsed/>
    <w:qFormat/>
    <w:uiPriority w:val="99"/>
    <w:rPr>
      <w:vertAlign w:val="superscript"/>
    </w:rPr>
  </w:style>
  <w:style w:type="character" w:customStyle="1" w:styleId="33">
    <w:name w:val="纯文本 字符"/>
    <w:link w:val="12"/>
    <w:autoRedefine/>
    <w:qFormat/>
    <w:uiPriority w:val="0"/>
    <w:rPr>
      <w:rFonts w:ascii="宋体" w:hAnsi="Courier New"/>
    </w:rPr>
  </w:style>
  <w:style w:type="character" w:customStyle="1" w:styleId="34">
    <w:name w:val="标题 1 字符"/>
    <w:basedOn w:val="27"/>
    <w:link w:val="2"/>
    <w:autoRedefine/>
    <w:qFormat/>
    <w:uiPriority w:val="9"/>
    <w:rPr>
      <w:rFonts w:ascii="@仿宋_GB2312" w:hAnsi="@仿宋_GB2312" w:eastAsia="@仿宋_GB2312" w:cs="@仿宋_GB2312"/>
      <w:b/>
      <w:bCs/>
      <w:kern w:val="44"/>
      <w:sz w:val="44"/>
      <w:szCs w:val="44"/>
    </w:rPr>
  </w:style>
  <w:style w:type="character" w:customStyle="1" w:styleId="35">
    <w:name w:val="批注框文本 字符"/>
    <w:basedOn w:val="27"/>
    <w:link w:val="14"/>
    <w:autoRedefine/>
    <w:semiHidden/>
    <w:qFormat/>
    <w:uiPriority w:val="99"/>
    <w:rPr>
      <w:rFonts w:ascii="@仿宋_GB2312" w:hAnsi="@仿宋_GB2312" w:eastAsia="@仿宋_GB2312" w:cs="@仿宋_GB2312"/>
      <w:sz w:val="18"/>
      <w:szCs w:val="18"/>
    </w:rPr>
  </w:style>
  <w:style w:type="paragraph" w:customStyle="1" w:styleId="36">
    <w:name w:val="正文（缩进）"/>
    <w:basedOn w:val="1"/>
    <w:autoRedefine/>
    <w:qFormat/>
    <w:uiPriority w:val="0"/>
    <w:pPr>
      <w:widowControl/>
      <w:spacing w:before="156" w:after="156"/>
      <w:ind w:firstLine="480" w:firstLineChars="200"/>
      <w:jc w:val="left"/>
    </w:pPr>
    <w:rPr>
      <w:kern w:val="0"/>
      <w:sz w:val="24"/>
      <w:szCs w:val="24"/>
    </w:rPr>
  </w:style>
  <w:style w:type="paragraph" w:customStyle="1" w:styleId="37">
    <w:name w:val="xl31"/>
    <w:basedOn w:val="1"/>
    <w:autoRedefine/>
    <w:qFormat/>
    <w:uiPriority w:val="0"/>
    <w:pPr>
      <w:widowControl/>
      <w:spacing w:before="100" w:beforeAutospacing="1" w:after="100" w:afterAutospacing="1"/>
      <w:jc w:val="center"/>
    </w:pPr>
    <w:rPr>
      <w:b/>
      <w:bCs/>
      <w:kern w:val="0"/>
      <w:sz w:val="28"/>
      <w:szCs w:val="28"/>
    </w:rPr>
  </w:style>
  <w:style w:type="paragraph" w:customStyle="1" w:styleId="38">
    <w:name w:val="D&amp;L"/>
    <w:basedOn w:val="16"/>
    <w:autoRedefine/>
    <w:qFormat/>
    <w:uiPriority w:val="0"/>
    <w:pPr>
      <w:pBdr>
        <w:bottom w:val="thinThickSmallGap" w:color="auto" w:sz="18" w:space="1"/>
      </w:pBdr>
      <w:adjustRightInd w:val="0"/>
      <w:snapToGrid/>
      <w:spacing w:line="240" w:lineRule="atLeast"/>
      <w:textAlignment w:val="baseline"/>
    </w:pPr>
    <w:rPr>
      <w:kern w:val="0"/>
      <w:sz w:val="24"/>
      <w:szCs w:val="20"/>
    </w:rPr>
  </w:style>
  <w:style w:type="character" w:customStyle="1" w:styleId="39">
    <w:name w:val="页眉 字符"/>
    <w:basedOn w:val="27"/>
    <w:link w:val="16"/>
    <w:autoRedefine/>
    <w:qFormat/>
    <w:uiPriority w:val="99"/>
    <w:rPr>
      <w:rFonts w:ascii="@仿宋_GB2312" w:hAnsi="@仿宋_GB2312" w:eastAsia="@仿宋_GB2312" w:cs="@仿宋_GB2312"/>
      <w:sz w:val="18"/>
      <w:szCs w:val="18"/>
    </w:rPr>
  </w:style>
  <w:style w:type="character" w:customStyle="1" w:styleId="40">
    <w:name w:val="页脚 字符"/>
    <w:basedOn w:val="27"/>
    <w:link w:val="15"/>
    <w:autoRedefine/>
    <w:qFormat/>
    <w:uiPriority w:val="99"/>
    <w:rPr>
      <w:rFonts w:ascii="@仿宋_GB2312" w:hAnsi="@仿宋_GB2312" w:eastAsia="@仿宋_GB2312" w:cs="@仿宋_GB2312"/>
      <w:sz w:val="18"/>
      <w:szCs w:val="18"/>
    </w:rPr>
  </w:style>
  <w:style w:type="character" w:customStyle="1" w:styleId="41">
    <w:name w:val="纯文本 字符1"/>
    <w:basedOn w:val="27"/>
    <w:autoRedefine/>
    <w:semiHidden/>
    <w:qFormat/>
    <w:uiPriority w:val="99"/>
    <w:rPr>
      <w:rFonts w:hAnsi="Courier New" w:cs="Courier New" w:asciiTheme="minorEastAsia"/>
      <w:szCs w:val="20"/>
    </w:rPr>
  </w:style>
  <w:style w:type="character" w:customStyle="1" w:styleId="42">
    <w:name w:val="未处理的提及1"/>
    <w:basedOn w:val="27"/>
    <w:autoRedefine/>
    <w:semiHidden/>
    <w:unhideWhenUsed/>
    <w:qFormat/>
    <w:uiPriority w:val="99"/>
    <w:rPr>
      <w:color w:val="605E5C"/>
      <w:shd w:val="clear" w:color="auto" w:fill="E1DFDD"/>
    </w:rPr>
  </w:style>
  <w:style w:type="paragraph" w:styleId="43">
    <w:name w:val="List Paragraph"/>
    <w:basedOn w:val="1"/>
    <w:autoRedefine/>
    <w:qFormat/>
    <w:uiPriority w:val="34"/>
    <w:pPr>
      <w:ind w:firstLine="420" w:firstLineChars="200"/>
    </w:pPr>
  </w:style>
  <w:style w:type="paragraph" w:customStyle="1" w:styleId="44">
    <w:name w:val="Char Char Char Char Char Char Char1 Char"/>
    <w:basedOn w:val="1"/>
    <w:autoRedefine/>
    <w:qFormat/>
    <w:uiPriority w:val="0"/>
    <w:rPr>
      <w:rFonts w:ascii="Arial" w:hAnsi="Arial" w:eastAsia="宋体" w:cs="Arial"/>
      <w:sz w:val="24"/>
    </w:rPr>
  </w:style>
  <w:style w:type="table" w:customStyle="1" w:styleId="45">
    <w:name w:val="网格表 1 浅色1"/>
    <w:basedOn w:val="25"/>
    <w:autoRedefine/>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character" w:customStyle="1" w:styleId="46">
    <w:name w:val="日期 字符"/>
    <w:basedOn w:val="27"/>
    <w:autoRedefine/>
    <w:semiHidden/>
    <w:qFormat/>
    <w:uiPriority w:val="99"/>
    <w:rPr>
      <w:rFonts w:ascii="@仿宋_GB2312" w:hAnsi="@仿宋_GB2312" w:eastAsia="@仿宋_GB2312" w:cs="@仿宋_GB2312"/>
      <w:szCs w:val="20"/>
    </w:rPr>
  </w:style>
  <w:style w:type="character" w:customStyle="1" w:styleId="47">
    <w:name w:val="日期 字符1"/>
    <w:link w:val="13"/>
    <w:autoRedefine/>
    <w:qFormat/>
    <w:uiPriority w:val="0"/>
    <w:rPr>
      <w:rFonts w:ascii="Arial" w:hAnsi="Arial" w:eastAsia="宋体" w:cs="Arial"/>
      <w:b/>
      <w:sz w:val="28"/>
      <w:szCs w:val="20"/>
    </w:rPr>
  </w:style>
  <w:style w:type="character" w:customStyle="1" w:styleId="48">
    <w:name w:val="纯文本 Char1"/>
    <w:autoRedefine/>
    <w:qFormat/>
    <w:locked/>
    <w:uiPriority w:val="99"/>
    <w:rPr>
      <w:rFonts w:ascii="Arial" w:hAnsi="Arial" w:eastAsia="Arial"/>
      <w:kern w:val="2"/>
      <w:sz w:val="21"/>
      <w:lang w:val="en-US" w:eastAsia="zh-CN" w:bidi="ar-SA"/>
    </w:rPr>
  </w:style>
  <w:style w:type="character" w:customStyle="1" w:styleId="49">
    <w:name w:val="批注文字 Char"/>
    <w:basedOn w:val="27"/>
    <w:autoRedefine/>
    <w:semiHidden/>
    <w:qFormat/>
    <w:uiPriority w:val="99"/>
    <w:rPr>
      <w:rFonts w:ascii="@仿宋_GB2312" w:hAnsi="@仿宋_GB2312" w:eastAsia="@仿宋_GB2312" w:cs="@仿宋_GB2312"/>
      <w:szCs w:val="20"/>
    </w:rPr>
  </w:style>
  <w:style w:type="character" w:customStyle="1" w:styleId="50">
    <w:name w:val="批注文字 字符"/>
    <w:link w:val="7"/>
    <w:autoRedefine/>
    <w:qFormat/>
    <w:uiPriority w:val="0"/>
    <w:rPr>
      <w:rFonts w:ascii="Arial" w:hAnsi="Arial" w:eastAsia="黑体" w:cs="Arial"/>
      <w:szCs w:val="20"/>
    </w:rPr>
  </w:style>
  <w:style w:type="paragraph" w:customStyle="1" w:styleId="51">
    <w:name w:val="TOC 标题1"/>
    <w:basedOn w:val="2"/>
    <w:next w:val="1"/>
    <w:autoRedefine/>
    <w:semiHidden/>
    <w:unhideWhenUsed/>
    <w:qFormat/>
    <w:uiPriority w:val="39"/>
    <w:pPr>
      <w:widowControl/>
      <w:spacing w:before="480" w:after="0" w:line="276" w:lineRule="auto"/>
      <w:jc w:val="left"/>
      <w:outlineLvl w:val="9"/>
    </w:pPr>
    <w:rPr>
      <w:rFonts w:asciiTheme="majorHAnsi" w:hAnsiTheme="majorHAnsi" w:eastAsiaTheme="majorEastAsia" w:cstheme="majorBidi"/>
      <w:color w:val="376092" w:themeColor="accent1" w:themeShade="BF"/>
      <w:kern w:val="0"/>
      <w:sz w:val="28"/>
      <w:szCs w:val="28"/>
    </w:rPr>
  </w:style>
  <w:style w:type="character" w:customStyle="1" w:styleId="52">
    <w:name w:val="标题 3 字符"/>
    <w:basedOn w:val="27"/>
    <w:link w:val="4"/>
    <w:autoRedefine/>
    <w:semiHidden/>
    <w:qFormat/>
    <w:uiPriority w:val="9"/>
    <w:rPr>
      <w:rFonts w:ascii="@仿宋_GB2312" w:hAnsi="@仿宋_GB2312" w:eastAsia="@仿宋_GB2312" w:cs="@仿宋_GB2312"/>
      <w:b/>
      <w:bCs/>
      <w:sz w:val="32"/>
      <w:szCs w:val="32"/>
    </w:rPr>
  </w:style>
  <w:style w:type="character" w:customStyle="1" w:styleId="53">
    <w:name w:val="fontstyle01"/>
    <w:basedOn w:val="27"/>
    <w:autoRedefine/>
    <w:qFormat/>
    <w:uiPriority w:val="0"/>
    <w:rPr>
      <w:rFonts w:hint="eastAsia" w:ascii="宋体" w:hAnsi="宋体" w:eastAsia="宋体"/>
      <w:color w:val="000000"/>
      <w:sz w:val="22"/>
      <w:szCs w:val="22"/>
    </w:rPr>
  </w:style>
  <w:style w:type="character" w:customStyle="1" w:styleId="54">
    <w:name w:val="fontstyle21"/>
    <w:basedOn w:val="27"/>
    <w:autoRedefine/>
    <w:qFormat/>
    <w:uiPriority w:val="0"/>
    <w:rPr>
      <w:rFonts w:hint="default" w:ascii="TimesNewRomanPSMT" w:hAnsi="TimesNewRomanPSMT"/>
      <w:color w:val="000000"/>
      <w:sz w:val="22"/>
      <w:szCs w:val="22"/>
    </w:rPr>
  </w:style>
  <w:style w:type="character" w:customStyle="1" w:styleId="55">
    <w:name w:val="正文文本 (2) + Sylfaen2"/>
    <w:autoRedefine/>
    <w:qFormat/>
    <w:uiPriority w:val="99"/>
    <w:rPr>
      <w:rFonts w:ascii="Sylfaen" w:hAnsi="Sylfaen" w:eastAsia="MingLiU" w:cs="Sylfaen"/>
      <w:spacing w:val="0"/>
      <w:sz w:val="23"/>
      <w:szCs w:val="23"/>
      <w:shd w:val="clear" w:color="auto" w:fill="FFFFFF"/>
      <w:lang w:val="en-US" w:eastAsia="en-US"/>
    </w:rPr>
  </w:style>
  <w:style w:type="character" w:customStyle="1" w:styleId="56">
    <w:name w:val="标题 4 字符"/>
    <w:basedOn w:val="27"/>
    <w:autoRedefine/>
    <w:semiHidden/>
    <w:qFormat/>
    <w:uiPriority w:val="9"/>
    <w:rPr>
      <w:rFonts w:asciiTheme="majorHAnsi" w:hAnsiTheme="majorHAnsi" w:eastAsiaTheme="majorEastAsia" w:cstheme="majorBidi"/>
      <w:b/>
      <w:bCs/>
      <w:sz w:val="28"/>
      <w:szCs w:val="28"/>
    </w:rPr>
  </w:style>
  <w:style w:type="character" w:customStyle="1" w:styleId="57">
    <w:name w:val="标题 4 字符1"/>
    <w:link w:val="5"/>
    <w:autoRedefine/>
    <w:qFormat/>
    <w:uiPriority w:val="0"/>
    <w:rPr>
      <w:rFonts w:ascii="@仿宋_GB2312" w:hAnsi="@仿宋_GB2312" w:eastAsia="@仿宋_GB2312" w:cs="@仿宋_GB2312"/>
      <w:b/>
      <w:bCs/>
      <w:sz w:val="28"/>
      <w:szCs w:val="28"/>
    </w:rPr>
  </w:style>
  <w:style w:type="character" w:customStyle="1" w:styleId="58">
    <w:name w:val="标题 4 Char"/>
    <w:autoRedefine/>
    <w:qFormat/>
    <w:uiPriority w:val="0"/>
    <w:rPr>
      <w:rFonts w:ascii="Arial" w:hAnsi="Arial" w:eastAsia="Arial"/>
      <w:b/>
      <w:bCs/>
      <w:kern w:val="2"/>
      <w:sz w:val="28"/>
      <w:szCs w:val="28"/>
      <w:lang w:val="en-US" w:eastAsia="zh-CN" w:bidi="ar-SA"/>
    </w:rPr>
  </w:style>
  <w:style w:type="table" w:customStyle="1" w:styleId="59">
    <w:name w:val="网格型1"/>
    <w:basedOn w:val="25"/>
    <w:autoRedefine/>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60">
    <w:name w:val="批注主题 字符"/>
    <w:basedOn w:val="50"/>
    <w:link w:val="22"/>
    <w:autoRedefine/>
    <w:semiHidden/>
    <w:qFormat/>
    <w:uiPriority w:val="99"/>
    <w:rPr>
      <w:rFonts w:ascii="@仿宋_GB2312" w:hAnsi="@仿宋_GB2312" w:eastAsia="@仿宋_GB2312" w:cs="@仿宋_GB2312"/>
      <w:b/>
      <w:bCs/>
      <w:szCs w:val="20"/>
    </w:rPr>
  </w:style>
  <w:style w:type="table" w:customStyle="1" w:styleId="61">
    <w:name w:val="Table Normal"/>
    <w:autoRedefine/>
    <w:semiHidden/>
    <w:unhideWhenUsed/>
    <w:qFormat/>
    <w:uiPriority w:val="0"/>
    <w:tblPr>
      <w:tblCellMar>
        <w:top w:w="0" w:type="dxa"/>
        <w:left w:w="0" w:type="dxa"/>
        <w:bottom w:w="0" w:type="dxa"/>
        <w:right w:w="0" w:type="dxa"/>
      </w:tblCellMar>
    </w:tblPr>
  </w:style>
  <w:style w:type="paragraph" w:customStyle="1" w:styleId="62">
    <w:name w:val="Table Text"/>
    <w:basedOn w:val="1"/>
    <w:autoRedefine/>
    <w:semiHidden/>
    <w:qFormat/>
    <w:uiPriority w:val="0"/>
    <w:rPr>
      <w:rFonts w:ascii="Arial" w:hAnsi="Arial" w:eastAsia="Arial" w:cs="Arial"/>
      <w:szCs w:val="21"/>
      <w:lang w:eastAsia="en-US"/>
    </w:rPr>
  </w:style>
  <w:style w:type="paragraph" w:customStyle="1" w:styleId="63">
    <w:name w:val="AONormal"/>
    <w:autoRedefine/>
    <w:qFormat/>
    <w:uiPriority w:val="0"/>
    <w:pPr>
      <w:autoSpaceDE w:val="0"/>
      <w:autoSpaceDN w:val="0"/>
      <w:adjustRightInd w:val="0"/>
      <w:spacing w:line="400" w:lineRule="exact"/>
      <w:ind w:firstLine="440" w:firstLineChars="200"/>
    </w:pPr>
    <w:rPr>
      <w:rFonts w:ascii="华文楷体" w:hAnsi="华文楷体" w:eastAsia="华文楷体" w:cs="华文楷体"/>
      <w:sz w:val="22"/>
      <w:szCs w:val="21"/>
      <w:lang w:val="en-US" w:eastAsia="zh-CN" w:bidi="ar-SA"/>
    </w:rPr>
  </w:style>
  <w:style w:type="paragraph" w:customStyle="1" w:styleId="64">
    <w:name w:val="列出段落1"/>
    <w:basedOn w:val="1"/>
    <w:autoRedefine/>
    <w:qFormat/>
    <w:uiPriority w:val="0"/>
    <w:pPr>
      <w:ind w:firstLine="420" w:firstLineChars="200"/>
    </w:pPr>
    <w:rPr>
      <w:szCs w:val="21"/>
    </w:rPr>
  </w:style>
  <w:style w:type="paragraph" w:customStyle="1" w:styleId="65">
    <w:name w:val="无间隔1"/>
    <w:next w:val="1"/>
    <w:qFormat/>
    <w:uiPriority w:val="0"/>
    <w:rPr>
      <w:rFonts w:ascii="Times New Roman" w:hAnsi="Times New Roman" w:eastAsia="宋体" w:cs="Times New Roman"/>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1.jpe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51A0F8D-95DD-481B-A11D-054BB05BE8A0}">
  <ds:schemaRefs/>
</ds:datastoreItem>
</file>

<file path=docProps/app.xml><?xml version="1.0" encoding="utf-8"?>
<Properties xmlns="http://schemas.openxmlformats.org/officeDocument/2006/extended-properties" xmlns:vt="http://schemas.openxmlformats.org/officeDocument/2006/docPropsVTypes">
  <Template>Normal.dotm</Template>
  <Company>akoosky</Company>
  <Pages>90</Pages>
  <Words>5923</Words>
  <Characters>6883</Characters>
  <Lines>372</Lines>
  <Paragraphs>104</Paragraphs>
  <TotalTime>123</TotalTime>
  <ScaleCrop>false</ScaleCrop>
  <LinksUpToDate>false</LinksUpToDate>
  <CharactersWithSpaces>7061</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2019-05-06T14:32:00Z</dcterms:created>
  <dc:creator>Anakin</dc:creator>
  <cp:lastModifiedBy>彭鑫雨</cp:lastModifiedBy>
  <cp:lastPrinted>2019-12-07T15:18:00Z</cp:lastPrinted>
  <dcterms:modified xsi:type="dcterms:W3CDTF">2026-08-28T16:09:32Z</dcterms:modified>
  <cp:revision>390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ICV">
    <vt:lpwstr>5563C658D4944C38B5F961D92035CA74_13</vt:lpwstr>
  </property>
  <property fmtid="{D5CDD505-2E9C-101B-9397-08002B2CF9AE}" pid="4" name="KSOTemplateDocerSaveRecord">
    <vt:lpwstr>eyJoZGlkIjoiMjg2NDc2N2UyYWNjNGZjOTg4MzczODZkMTdiZDdmYzkifQ==</vt:lpwstr>
  </property>
</Properties>
</file>