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E013499">
      <w:pPr>
        <w:spacing w:line="360" w:lineRule="auto"/>
        <w:jc w:val="center"/>
        <w:outlineLvl w:val="0"/>
        <w:rPr>
          <w:rFonts w:hint="eastAsia" w:asciiTheme="minorEastAsia" w:hAnsiTheme="minorEastAsia" w:eastAsiaTheme="minorEastAsia"/>
          <w:b/>
          <w:color w:val="auto"/>
          <w:sz w:val="28"/>
          <w:highlight w:val="none"/>
          <w:lang w:eastAsia="zh-CN"/>
        </w:rPr>
      </w:pPr>
      <w:r>
        <w:rPr>
          <w:rFonts w:hint="eastAsia" w:asciiTheme="minorEastAsia" w:hAnsiTheme="minorEastAsia" w:eastAsiaTheme="minorEastAsia"/>
          <w:b/>
          <w:color w:val="auto"/>
          <w:sz w:val="28"/>
          <w:highlight w:val="none"/>
        </w:rPr>
        <w:t>采购需求</w:t>
      </w:r>
    </w:p>
    <w:p w14:paraId="11B2CCBB">
      <w:pPr>
        <w:spacing w:line="360" w:lineRule="auto"/>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前注：</w:t>
      </w:r>
    </w:p>
    <w:p w14:paraId="00B8E65E">
      <w:pPr>
        <w:spacing w:line="360" w:lineRule="auto"/>
        <w:ind w:firstLine="435"/>
        <w:rPr>
          <w:rFonts w:ascii="宋体" w:hAnsi="宋体" w:eastAsia="宋体"/>
          <w:color w:val="auto"/>
          <w:sz w:val="24"/>
          <w:szCs w:val="18"/>
          <w:highlight w:val="none"/>
        </w:rPr>
      </w:pPr>
      <w:r>
        <w:rPr>
          <w:rFonts w:hint="eastAsia" w:asciiTheme="minorEastAsia" w:hAnsiTheme="minorEastAsia" w:eastAsiaTheme="minorEastAsia"/>
          <w:color w:val="auto"/>
          <w:sz w:val="24"/>
          <w:highlight w:val="none"/>
        </w:rPr>
        <w:t>1.</w:t>
      </w:r>
      <w:r>
        <w:rPr>
          <w:rFonts w:ascii="宋体" w:hAnsi="宋体" w:eastAsia="宋体"/>
          <w:color w:val="auto"/>
          <w:sz w:val="24"/>
          <w:szCs w:val="18"/>
          <w:highlight w:val="none"/>
        </w:rPr>
        <w:t>根据《</w:t>
      </w:r>
      <w:r>
        <w:rPr>
          <w:rFonts w:hint="eastAsia" w:ascii="宋体" w:hAnsi="宋体" w:eastAsia="宋体"/>
          <w:color w:val="auto"/>
          <w:sz w:val="24"/>
          <w:szCs w:val="18"/>
          <w:highlight w:val="none"/>
        </w:rPr>
        <w:t>政府采购进口产品管理办法</w:t>
      </w:r>
      <w:r>
        <w:rPr>
          <w:rFonts w:ascii="宋体" w:hAnsi="宋体" w:eastAsia="宋体"/>
          <w:color w:val="auto"/>
          <w:sz w:val="24"/>
          <w:szCs w:val="18"/>
          <w:highlight w:val="none"/>
        </w:rPr>
        <w:t>》及政府采购管理部门的相关规定，下列采购需求中</w:t>
      </w:r>
      <w:r>
        <w:rPr>
          <w:rFonts w:hint="eastAsia" w:ascii="宋体" w:hAnsi="宋体" w:eastAsia="宋体"/>
          <w:color w:val="auto"/>
          <w:sz w:val="24"/>
          <w:szCs w:val="18"/>
          <w:highlight w:val="none"/>
        </w:rPr>
        <w:t>标注进口产品的货物均</w:t>
      </w:r>
      <w:r>
        <w:rPr>
          <w:rFonts w:ascii="宋体" w:hAnsi="宋体" w:eastAsia="宋体"/>
          <w:color w:val="auto"/>
          <w:sz w:val="24"/>
          <w:szCs w:val="18"/>
          <w:highlight w:val="none"/>
        </w:rPr>
        <w:t>已履行相关论证手续，经核准采购进口</w:t>
      </w:r>
      <w:r>
        <w:rPr>
          <w:rFonts w:hint="eastAsia" w:ascii="宋体" w:hAnsi="宋体" w:eastAsia="宋体"/>
          <w:color w:val="auto"/>
          <w:sz w:val="24"/>
          <w:szCs w:val="18"/>
          <w:highlight w:val="none"/>
        </w:rPr>
        <w:t>产品</w:t>
      </w:r>
      <w:r>
        <w:rPr>
          <w:rFonts w:ascii="宋体" w:hAnsi="宋体" w:eastAsia="宋体"/>
          <w:color w:val="auto"/>
          <w:sz w:val="24"/>
          <w:szCs w:val="18"/>
          <w:highlight w:val="none"/>
        </w:rPr>
        <w:t>，但不限制满足招标文件要求的国内产品参与竞争</w:t>
      </w:r>
      <w:r>
        <w:rPr>
          <w:rFonts w:hint="eastAsia" w:ascii="宋体" w:hAnsi="宋体" w:eastAsia="宋体"/>
          <w:color w:val="auto"/>
          <w:sz w:val="24"/>
          <w:szCs w:val="18"/>
          <w:highlight w:val="none"/>
        </w:rPr>
        <w:t>。未标注进口产品的货物均</w:t>
      </w:r>
      <w:r>
        <w:rPr>
          <w:rFonts w:ascii="宋体" w:hAnsi="宋体" w:eastAsia="宋体"/>
          <w:color w:val="auto"/>
          <w:sz w:val="24"/>
          <w:szCs w:val="18"/>
          <w:highlight w:val="none"/>
        </w:rPr>
        <w:t>为拒绝采购进口产品</w:t>
      </w:r>
      <w:r>
        <w:rPr>
          <w:rFonts w:hint="eastAsia" w:ascii="宋体" w:hAnsi="宋体" w:eastAsia="宋体"/>
          <w:color w:val="auto"/>
          <w:sz w:val="24"/>
          <w:szCs w:val="18"/>
          <w:highlight w:val="none"/>
        </w:rPr>
        <w:t>。</w:t>
      </w:r>
    </w:p>
    <w:p w14:paraId="039115C1">
      <w:pPr>
        <w:spacing w:line="360" w:lineRule="auto"/>
        <w:ind w:firstLine="435"/>
        <w:rPr>
          <w:rFonts w:hint="eastAsia" w:ascii="宋体" w:hAnsi="宋体" w:eastAsia="宋体"/>
          <w:color w:val="auto"/>
          <w:sz w:val="24"/>
          <w:szCs w:val="18"/>
          <w:highlight w:val="none"/>
        </w:rPr>
      </w:pPr>
      <w:r>
        <w:rPr>
          <w:rFonts w:hint="eastAsia" w:ascii="宋体" w:hAnsi="宋体" w:eastAsia="宋体"/>
          <w:color w:val="auto"/>
          <w:sz w:val="24"/>
          <w:szCs w:val="18"/>
          <w:highlight w:val="none"/>
        </w:rPr>
        <w:t>2</w:t>
      </w:r>
      <w:r>
        <w:rPr>
          <w:rFonts w:hint="eastAsia" w:ascii="宋体" w:hAnsi="宋体" w:eastAsia="宋体"/>
          <w:color w:val="auto"/>
          <w:sz w:val="24"/>
          <w:szCs w:val="18"/>
          <w:highlight w:val="none"/>
          <w:lang w:eastAsia="zh-CN"/>
        </w:rPr>
        <w:t>.</w:t>
      </w:r>
      <w:r>
        <w:rPr>
          <w:rFonts w:ascii="宋体" w:hAnsi="宋体" w:eastAsia="宋体" w:cs="宋体"/>
          <w:color w:val="auto"/>
          <w:sz w:val="24"/>
          <w:szCs w:val="24"/>
          <w:highlight w:val="none"/>
        </w:rPr>
        <w:t>政府采购政策（包括但不限于下列具体政策要求</w:t>
      </w:r>
      <w:r>
        <w:rPr>
          <w:rFonts w:hint="eastAsia" w:ascii="宋体" w:hAnsi="宋体" w:eastAsia="宋体" w:cs="宋体"/>
          <w:color w:val="auto"/>
          <w:sz w:val="24"/>
          <w:szCs w:val="24"/>
          <w:highlight w:val="none"/>
          <w:lang w:eastAsia="zh-CN"/>
        </w:rPr>
        <w:t>）</w:t>
      </w:r>
      <w:r>
        <w:rPr>
          <w:rFonts w:hint="eastAsia" w:ascii="宋体" w:hAnsi="宋体" w:eastAsia="宋体"/>
          <w:color w:val="auto"/>
          <w:sz w:val="24"/>
          <w:szCs w:val="18"/>
          <w:highlight w:val="none"/>
        </w:rPr>
        <w:t>：</w:t>
      </w:r>
    </w:p>
    <w:p w14:paraId="5CC1461A">
      <w:pPr>
        <w:spacing w:line="360" w:lineRule="auto"/>
        <w:ind w:firstLine="43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如属于《节能产品政府采购品目清单》中政府强制采购的节能产品，则投标人所投产品须具有市场监管总局公布的《参与实施政府采购节能产品认证机构目录》中的认证机构出具的、处于有效期内的节能产品认证证书。</w:t>
      </w:r>
    </w:p>
    <w:p w14:paraId="1BE3A7F7">
      <w:pPr>
        <w:spacing w:line="360" w:lineRule="auto"/>
        <w:ind w:firstLine="43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如涉及商品包装和快递包装，投标人应当执行《关于印发〈商品包装政府采购需求标准（试行）〉、〈快递包装政府采购需求标准（试行）〉的通知》（财办库〔2020〕123号）、《安徽省财政厅关于贯彻落实政府绿色采购有关政策的通知》（皖财购〔2023〕853号）的要求，提供符合需求标准的绿色包装、绿色运输，同时，采购人将对包装材料和运输环节作为履约验收条款进行验收。</w:t>
      </w:r>
    </w:p>
    <w:p w14:paraId="483D997C">
      <w:pPr>
        <w:spacing w:line="360" w:lineRule="auto"/>
        <w:ind w:firstLine="435"/>
        <w:rPr>
          <w:rFonts w:hint="eastAsia" w:ascii="宋体" w:hAnsi="宋体" w:eastAsia="宋体"/>
          <w:color w:val="auto"/>
          <w:sz w:val="24"/>
          <w:szCs w:val="18"/>
          <w:highlight w:val="none"/>
        </w:rPr>
      </w:pPr>
      <w:r>
        <w:rPr>
          <w:rFonts w:hint="eastAsia" w:ascii="宋体" w:hAnsi="宋体" w:eastAsia="宋体" w:cs="宋体"/>
          <w:color w:val="auto"/>
          <w:sz w:val="24"/>
          <w:szCs w:val="24"/>
          <w:highlight w:val="none"/>
          <w:lang w:val="en-US" w:eastAsia="zh-CN"/>
        </w:rPr>
        <w:t>3.</w:t>
      </w:r>
      <w:r>
        <w:rPr>
          <w:rFonts w:hint="eastAsia" w:ascii="宋体" w:hAnsi="宋体" w:eastAsia="宋体"/>
          <w:color w:val="auto"/>
          <w:sz w:val="24"/>
          <w:szCs w:val="18"/>
          <w:highlight w:val="none"/>
        </w:rPr>
        <w:t>如采购人允许采用分包方式履行合同的，应当明确可以分包履行的相关内容。</w:t>
      </w:r>
    </w:p>
    <w:p w14:paraId="3B7B30E5">
      <w:pPr>
        <w:spacing w:line="360" w:lineRule="auto"/>
        <w:ind w:firstLine="435"/>
        <w:rPr>
          <w:rFonts w:hint="default" w:ascii="宋体" w:hAnsi="宋体" w:eastAsia="宋体"/>
          <w:color w:val="auto"/>
          <w:sz w:val="24"/>
          <w:szCs w:val="18"/>
          <w:highlight w:val="none"/>
          <w:lang w:val="en-US" w:eastAsia="zh-CN"/>
        </w:rPr>
      </w:pPr>
      <w:r>
        <w:rPr>
          <w:rFonts w:hint="eastAsia" w:ascii="宋体" w:hAnsi="宋体" w:eastAsia="宋体"/>
          <w:color w:val="auto"/>
          <w:sz w:val="24"/>
          <w:szCs w:val="18"/>
          <w:highlight w:val="none"/>
          <w:lang w:val="en-US" w:eastAsia="zh-CN"/>
        </w:rPr>
        <w:t>4.下列采购需求中：标注▲的产品为核心产品（主要中标标的）。</w:t>
      </w:r>
    </w:p>
    <w:p w14:paraId="04EC3C5A">
      <w:pPr>
        <w:spacing w:line="360" w:lineRule="auto"/>
        <w:ind w:firstLine="437"/>
        <w:outlineLvl w:val="1"/>
        <w:rPr>
          <w:rFonts w:ascii="宋体" w:hAnsi="宋体" w:eastAsia="宋体"/>
          <w:b/>
          <w:color w:val="auto"/>
          <w:sz w:val="24"/>
          <w:szCs w:val="18"/>
          <w:highlight w:val="none"/>
        </w:rPr>
      </w:pPr>
      <w:bookmarkStart w:id="0" w:name="_Toc2158"/>
      <w:bookmarkStart w:id="1" w:name="_Toc2554"/>
      <w:bookmarkStart w:id="2" w:name="_Toc32151"/>
      <w:r>
        <w:rPr>
          <w:rFonts w:hint="eastAsia" w:ascii="宋体" w:hAnsi="宋体" w:eastAsia="宋体"/>
          <w:b/>
          <w:color w:val="auto"/>
          <w:sz w:val="24"/>
          <w:szCs w:val="18"/>
          <w:highlight w:val="none"/>
        </w:rPr>
        <w:t>一、采购需求前附表</w:t>
      </w:r>
      <w:bookmarkEnd w:id="0"/>
      <w:bookmarkEnd w:id="1"/>
      <w:bookmarkEnd w:id="2"/>
    </w:p>
    <w:tbl>
      <w:tblPr>
        <w:tblStyle w:val="4"/>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06"/>
        <w:gridCol w:w="2032"/>
        <w:gridCol w:w="5484"/>
      </w:tblGrid>
      <w:tr w14:paraId="76E367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718919CD">
            <w:pPr>
              <w:pStyle w:val="6"/>
              <w:pBdr>
                <w:bottom w:val="none" w:color="auto" w:sz="0" w:space="0"/>
              </w:pBdr>
              <w:tabs>
                <w:tab w:val="clear" w:pos="4153"/>
                <w:tab w:val="clear" w:pos="8306"/>
              </w:tabs>
              <w:adjustRightInd/>
              <w:spacing w:line="240" w:lineRule="auto"/>
              <w:textAlignment w:val="auto"/>
              <w:rPr>
                <w:rFonts w:ascii="宋体" w:hAnsi="宋体" w:eastAsia="宋体"/>
                <w:b/>
                <w:color w:val="auto"/>
                <w:kern w:val="2"/>
                <w:sz w:val="24"/>
                <w:szCs w:val="24"/>
                <w:highlight w:val="none"/>
              </w:rPr>
            </w:pPr>
            <w:r>
              <w:rPr>
                <w:rFonts w:hint="eastAsia" w:ascii="宋体" w:hAnsi="宋体" w:eastAsia="宋体"/>
                <w:b/>
                <w:color w:val="auto"/>
                <w:kern w:val="2"/>
                <w:sz w:val="24"/>
                <w:szCs w:val="24"/>
                <w:highlight w:val="none"/>
              </w:rPr>
              <w:t>序号</w:t>
            </w:r>
          </w:p>
        </w:tc>
        <w:tc>
          <w:tcPr>
            <w:tcW w:w="1192" w:type="pct"/>
            <w:vAlign w:val="center"/>
          </w:tcPr>
          <w:p w14:paraId="45CAD2A0">
            <w:pPr>
              <w:pStyle w:val="7"/>
              <w:widowControl w:val="0"/>
              <w:spacing w:before="0" w:beforeAutospacing="0" w:after="0" w:afterAutospacing="0" w:line="360" w:lineRule="auto"/>
              <w:rPr>
                <w:rFonts w:ascii="宋体" w:hAnsi="宋体" w:eastAsia="宋体"/>
                <w:bCs w:val="0"/>
                <w:color w:val="auto"/>
                <w:sz w:val="24"/>
                <w:szCs w:val="24"/>
                <w:highlight w:val="none"/>
              </w:rPr>
            </w:pPr>
            <w:r>
              <w:rPr>
                <w:rFonts w:hint="eastAsia" w:ascii="宋体" w:hAnsi="宋体" w:eastAsia="宋体"/>
                <w:bCs w:val="0"/>
                <w:color w:val="auto"/>
                <w:sz w:val="24"/>
                <w:szCs w:val="24"/>
                <w:highlight w:val="none"/>
              </w:rPr>
              <w:t>条款名称</w:t>
            </w:r>
          </w:p>
        </w:tc>
        <w:tc>
          <w:tcPr>
            <w:tcW w:w="3217" w:type="pct"/>
            <w:vAlign w:val="center"/>
          </w:tcPr>
          <w:p w14:paraId="67B7409E">
            <w:pPr>
              <w:pStyle w:val="7"/>
              <w:widowControl w:val="0"/>
              <w:spacing w:before="0" w:beforeAutospacing="0" w:after="0" w:afterAutospacing="0" w:line="360" w:lineRule="auto"/>
              <w:rPr>
                <w:rFonts w:ascii="宋体" w:hAnsi="宋体" w:eastAsia="宋体"/>
                <w:bCs w:val="0"/>
                <w:color w:val="auto"/>
                <w:sz w:val="24"/>
                <w:szCs w:val="24"/>
                <w:highlight w:val="none"/>
              </w:rPr>
            </w:pPr>
            <w:r>
              <w:rPr>
                <w:rFonts w:hint="eastAsia" w:ascii="宋体" w:hAnsi="宋体" w:eastAsia="宋体"/>
                <w:bCs w:val="0"/>
                <w:color w:val="auto"/>
                <w:sz w:val="24"/>
                <w:szCs w:val="24"/>
                <w:highlight w:val="none"/>
              </w:rPr>
              <w:t>内容、说明与要求</w:t>
            </w:r>
          </w:p>
        </w:tc>
      </w:tr>
      <w:tr w14:paraId="44861C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100EF34B">
            <w:pPr>
              <w:pStyle w:val="6"/>
              <w:pBdr>
                <w:bottom w:val="none" w:color="auto" w:sz="0" w:space="0"/>
              </w:pBdr>
              <w:tabs>
                <w:tab w:val="clear" w:pos="4153"/>
                <w:tab w:val="clear" w:pos="8306"/>
              </w:tabs>
              <w:adjustRightInd/>
              <w:spacing w:line="240" w:lineRule="auto"/>
              <w:textAlignment w:val="auto"/>
              <w:rPr>
                <w:rFonts w:ascii="宋体" w:hAnsi="宋体" w:eastAsia="宋体"/>
                <w:bCs/>
                <w:color w:val="auto"/>
                <w:kern w:val="2"/>
                <w:sz w:val="24"/>
                <w:szCs w:val="24"/>
                <w:highlight w:val="none"/>
              </w:rPr>
            </w:pPr>
            <w:r>
              <w:rPr>
                <w:rFonts w:hint="eastAsia" w:ascii="宋体" w:hAnsi="宋体" w:eastAsia="宋体"/>
                <w:bCs/>
                <w:color w:val="auto"/>
                <w:kern w:val="2"/>
                <w:sz w:val="24"/>
                <w:szCs w:val="24"/>
                <w:highlight w:val="none"/>
              </w:rPr>
              <w:t>1</w:t>
            </w:r>
          </w:p>
        </w:tc>
        <w:tc>
          <w:tcPr>
            <w:tcW w:w="1192" w:type="pct"/>
            <w:vAlign w:val="center"/>
          </w:tcPr>
          <w:p w14:paraId="4785E0A9">
            <w:pPr>
              <w:pStyle w:val="7"/>
              <w:widowControl w:val="0"/>
              <w:spacing w:before="0" w:beforeAutospacing="0" w:after="0" w:afterAutospacing="0" w:line="360" w:lineRule="auto"/>
              <w:rPr>
                <w:rFonts w:ascii="宋体" w:hAnsi="宋体" w:eastAsia="宋体"/>
                <w:b w:val="0"/>
                <w:color w:val="auto"/>
                <w:sz w:val="24"/>
                <w:szCs w:val="24"/>
                <w:highlight w:val="none"/>
              </w:rPr>
            </w:pPr>
            <w:r>
              <w:rPr>
                <w:rFonts w:hint="eastAsia" w:ascii="宋体" w:hAnsi="宋体" w:eastAsia="宋体"/>
                <w:b w:val="0"/>
                <w:color w:val="auto"/>
                <w:sz w:val="24"/>
                <w:szCs w:val="24"/>
                <w:highlight w:val="none"/>
              </w:rPr>
              <w:t>付款方式</w:t>
            </w:r>
          </w:p>
        </w:tc>
        <w:tc>
          <w:tcPr>
            <w:tcW w:w="3217" w:type="pct"/>
            <w:vAlign w:val="center"/>
          </w:tcPr>
          <w:p w14:paraId="24410EB5">
            <w:pPr>
              <w:pStyle w:val="7"/>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00" w:lineRule="auto"/>
              <w:ind w:left="0" w:right="0"/>
              <w:jc w:val="both"/>
              <w:textAlignment w:val="auto"/>
              <w:rPr>
                <w:rFonts w:hint="eastAsia" w:ascii="宋体" w:hAnsi="宋体" w:eastAsia="宋体" w:cs="宋体"/>
                <w:b w:val="0"/>
                <w:color w:val="auto"/>
                <w:sz w:val="24"/>
                <w:szCs w:val="24"/>
                <w:highlight w:val="none"/>
                <w:u w:val="none"/>
              </w:rPr>
            </w:pPr>
            <w:r>
              <w:rPr>
                <w:rFonts w:hint="eastAsia" w:ascii="宋体" w:hAnsi="宋体" w:eastAsia="宋体" w:cs="宋体"/>
                <w:b w:val="0"/>
                <w:color w:val="auto"/>
                <w:sz w:val="24"/>
                <w:szCs w:val="24"/>
                <w:highlight w:val="none"/>
                <w:u w:val="none"/>
              </w:rPr>
              <w:t>合同生效后，采购人付至合同价的</w:t>
            </w:r>
            <w:r>
              <w:rPr>
                <w:rFonts w:hint="eastAsia" w:ascii="宋体" w:hAnsi="宋体" w:eastAsia="宋体" w:cs="宋体"/>
                <w:b w:val="0"/>
                <w:color w:val="auto"/>
                <w:sz w:val="24"/>
                <w:szCs w:val="24"/>
                <w:highlight w:val="none"/>
                <w:u w:val="none"/>
                <w:lang w:val="en-US" w:eastAsia="zh-CN"/>
              </w:rPr>
              <w:t>6</w:t>
            </w:r>
            <w:r>
              <w:rPr>
                <w:rFonts w:hint="eastAsia" w:ascii="宋体" w:hAnsi="宋体" w:eastAsia="宋体" w:cs="宋体"/>
                <w:b w:val="0"/>
                <w:color w:val="auto"/>
                <w:sz w:val="24"/>
                <w:szCs w:val="24"/>
                <w:highlight w:val="none"/>
                <w:u w:val="none"/>
              </w:rPr>
              <w:t>0%（中标人须提供等额预付款担保），项目经验收合格且相关资料齐备己移交后，一次性付清合同价款。</w:t>
            </w:r>
          </w:p>
          <w:p w14:paraId="2648CCE3">
            <w:pPr>
              <w:pStyle w:val="7"/>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00" w:lineRule="auto"/>
              <w:ind w:left="0" w:right="0"/>
              <w:jc w:val="both"/>
              <w:textAlignment w:val="auto"/>
              <w:rPr>
                <w:rFonts w:hint="eastAsia" w:ascii="宋体" w:hAnsi="宋体" w:eastAsia="宋体" w:cs="宋体"/>
                <w:b w:val="0"/>
                <w:color w:val="auto"/>
                <w:sz w:val="24"/>
                <w:szCs w:val="24"/>
                <w:highlight w:val="none"/>
                <w:u w:val="none"/>
              </w:rPr>
            </w:pPr>
            <w:r>
              <w:rPr>
                <w:rFonts w:hint="eastAsia" w:ascii="宋体" w:hAnsi="宋体" w:eastAsia="宋体" w:cs="宋体"/>
                <w:b w:val="0"/>
                <w:color w:val="auto"/>
                <w:sz w:val="24"/>
                <w:szCs w:val="24"/>
                <w:highlight w:val="none"/>
                <w:u w:val="none"/>
              </w:rPr>
              <w:t>注：</w:t>
            </w:r>
          </w:p>
          <w:p w14:paraId="001AEEAF">
            <w:pPr>
              <w:pStyle w:val="7"/>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00" w:lineRule="auto"/>
              <w:ind w:left="0" w:right="0"/>
              <w:jc w:val="both"/>
              <w:textAlignment w:val="auto"/>
              <w:rPr>
                <w:rFonts w:hint="eastAsia" w:ascii="宋体" w:hAnsi="宋体" w:eastAsia="宋体" w:cs="宋体"/>
                <w:b w:val="0"/>
                <w:color w:val="auto"/>
                <w:sz w:val="24"/>
                <w:szCs w:val="24"/>
                <w:highlight w:val="none"/>
                <w:u w:val="none"/>
              </w:rPr>
            </w:pPr>
            <w:r>
              <w:rPr>
                <w:rFonts w:hint="eastAsia" w:ascii="宋体" w:hAnsi="宋体" w:eastAsia="宋体" w:cs="宋体"/>
                <w:b w:val="0"/>
                <w:color w:val="auto"/>
                <w:sz w:val="24"/>
                <w:szCs w:val="24"/>
                <w:highlight w:val="none"/>
                <w:u w:val="none"/>
              </w:rPr>
              <w:t>（1）中标人未按规定提供预付款担保的，视为放弃预付款；</w:t>
            </w:r>
          </w:p>
          <w:p w14:paraId="2725AE54">
            <w:pPr>
              <w:pStyle w:val="7"/>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00" w:lineRule="auto"/>
              <w:ind w:left="0" w:leftChars="0" w:right="0" w:rightChars="0"/>
              <w:jc w:val="both"/>
              <w:textAlignment w:val="auto"/>
              <w:rPr>
                <w:rFonts w:ascii="宋体" w:hAnsi="宋体" w:eastAsia="宋体"/>
                <w:b w:val="0"/>
                <w:color w:val="auto"/>
                <w:sz w:val="24"/>
                <w:szCs w:val="24"/>
                <w:highlight w:val="none"/>
                <w:u w:val="none"/>
              </w:rPr>
            </w:pPr>
            <w:r>
              <w:rPr>
                <w:rFonts w:hint="eastAsia" w:ascii="宋体" w:hAnsi="宋体" w:eastAsia="宋体" w:cs="宋体"/>
                <w:b w:val="0"/>
                <w:color w:val="auto"/>
                <w:sz w:val="24"/>
                <w:szCs w:val="24"/>
                <w:highlight w:val="none"/>
                <w:u w:val="none"/>
              </w:rPr>
              <w:t>（2）预付款担保要求：如采用银行保函、担保机构出具的保函（担保机构担保）均须满足无条件见索即付条件。</w:t>
            </w:r>
          </w:p>
        </w:tc>
      </w:tr>
      <w:tr w14:paraId="7D9C22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1C185DB2">
            <w:pPr>
              <w:pStyle w:val="6"/>
              <w:pBdr>
                <w:bottom w:val="none" w:color="auto" w:sz="0" w:space="0"/>
              </w:pBdr>
              <w:tabs>
                <w:tab w:val="clear" w:pos="4153"/>
                <w:tab w:val="clear" w:pos="8306"/>
              </w:tabs>
              <w:adjustRightInd/>
              <w:spacing w:line="240" w:lineRule="auto"/>
              <w:textAlignment w:val="auto"/>
              <w:rPr>
                <w:rFonts w:ascii="宋体" w:hAnsi="宋体" w:eastAsia="宋体"/>
                <w:bCs/>
                <w:color w:val="auto"/>
                <w:kern w:val="2"/>
                <w:sz w:val="24"/>
                <w:szCs w:val="24"/>
                <w:highlight w:val="none"/>
              </w:rPr>
            </w:pPr>
            <w:r>
              <w:rPr>
                <w:rFonts w:hint="eastAsia" w:ascii="宋体" w:hAnsi="宋体" w:eastAsia="宋体"/>
                <w:bCs/>
                <w:color w:val="auto"/>
                <w:kern w:val="2"/>
                <w:sz w:val="24"/>
                <w:szCs w:val="24"/>
                <w:highlight w:val="none"/>
              </w:rPr>
              <w:t>2</w:t>
            </w:r>
          </w:p>
        </w:tc>
        <w:tc>
          <w:tcPr>
            <w:tcW w:w="1192" w:type="pct"/>
            <w:vAlign w:val="center"/>
          </w:tcPr>
          <w:p w14:paraId="033A8FE5">
            <w:pPr>
              <w:pStyle w:val="7"/>
              <w:widowControl w:val="0"/>
              <w:spacing w:before="0" w:beforeAutospacing="0" w:after="0" w:afterAutospacing="0" w:line="360" w:lineRule="auto"/>
              <w:rPr>
                <w:rFonts w:ascii="宋体" w:hAnsi="宋体" w:eastAsia="宋体"/>
                <w:b w:val="0"/>
                <w:color w:val="auto"/>
                <w:sz w:val="24"/>
                <w:szCs w:val="24"/>
                <w:highlight w:val="none"/>
              </w:rPr>
            </w:pPr>
            <w:r>
              <w:rPr>
                <w:rFonts w:hint="eastAsia" w:ascii="宋体" w:hAnsi="宋体" w:eastAsia="宋体"/>
                <w:b w:val="0"/>
                <w:color w:val="auto"/>
                <w:sz w:val="24"/>
                <w:szCs w:val="24"/>
                <w:highlight w:val="none"/>
              </w:rPr>
              <w:t>供货及安装地点</w:t>
            </w:r>
          </w:p>
        </w:tc>
        <w:tc>
          <w:tcPr>
            <w:tcW w:w="3217" w:type="pct"/>
            <w:vAlign w:val="center"/>
          </w:tcPr>
          <w:p w14:paraId="7820B126">
            <w:pPr>
              <w:pStyle w:val="7"/>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00" w:lineRule="auto"/>
              <w:ind w:left="0" w:leftChars="0" w:right="0" w:rightChars="0"/>
              <w:jc w:val="both"/>
              <w:textAlignment w:val="auto"/>
              <w:rPr>
                <w:rFonts w:ascii="宋体" w:hAnsi="宋体" w:eastAsia="宋体"/>
                <w:b w:val="0"/>
                <w:color w:val="auto"/>
                <w:sz w:val="24"/>
                <w:szCs w:val="24"/>
                <w:highlight w:val="none"/>
                <w:u w:val="none"/>
              </w:rPr>
            </w:pPr>
            <w:r>
              <w:rPr>
                <w:rFonts w:hint="eastAsia" w:ascii="宋体" w:hAnsi="宋体" w:eastAsia="宋体" w:cs="宋体"/>
                <w:b w:val="0"/>
                <w:color w:val="auto"/>
                <w:sz w:val="24"/>
                <w:szCs w:val="24"/>
                <w:highlight w:val="none"/>
                <w:u w:val="none"/>
              </w:rPr>
              <w:t>安徽省特种设备检测院，具体按采购人指定地点。</w:t>
            </w:r>
          </w:p>
        </w:tc>
      </w:tr>
      <w:tr w14:paraId="23C634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589F334A">
            <w:pPr>
              <w:pStyle w:val="6"/>
              <w:pBdr>
                <w:bottom w:val="none" w:color="auto" w:sz="0" w:space="0"/>
              </w:pBdr>
              <w:tabs>
                <w:tab w:val="clear" w:pos="4153"/>
                <w:tab w:val="clear" w:pos="8306"/>
              </w:tabs>
              <w:adjustRightInd/>
              <w:spacing w:line="240" w:lineRule="auto"/>
              <w:textAlignment w:val="auto"/>
              <w:rPr>
                <w:rFonts w:ascii="宋体" w:hAnsi="宋体" w:eastAsia="宋体"/>
                <w:bCs/>
                <w:color w:val="auto"/>
                <w:kern w:val="2"/>
                <w:sz w:val="24"/>
                <w:szCs w:val="24"/>
                <w:highlight w:val="none"/>
              </w:rPr>
            </w:pPr>
            <w:r>
              <w:rPr>
                <w:rFonts w:hint="eastAsia" w:ascii="宋体" w:hAnsi="宋体" w:eastAsia="宋体"/>
                <w:bCs/>
                <w:color w:val="auto"/>
                <w:kern w:val="2"/>
                <w:sz w:val="24"/>
                <w:szCs w:val="24"/>
                <w:highlight w:val="none"/>
              </w:rPr>
              <w:t>3</w:t>
            </w:r>
          </w:p>
        </w:tc>
        <w:tc>
          <w:tcPr>
            <w:tcW w:w="1192" w:type="pct"/>
            <w:vAlign w:val="center"/>
          </w:tcPr>
          <w:p w14:paraId="490B67FE">
            <w:pPr>
              <w:pStyle w:val="7"/>
              <w:widowControl w:val="0"/>
              <w:spacing w:before="0" w:beforeAutospacing="0" w:after="0" w:afterAutospacing="0" w:line="360" w:lineRule="auto"/>
              <w:rPr>
                <w:rFonts w:ascii="宋体" w:hAnsi="宋体" w:eastAsia="宋体"/>
                <w:b w:val="0"/>
                <w:color w:val="auto"/>
                <w:sz w:val="24"/>
                <w:szCs w:val="24"/>
                <w:highlight w:val="none"/>
              </w:rPr>
            </w:pPr>
            <w:r>
              <w:rPr>
                <w:rFonts w:hint="eastAsia" w:ascii="宋体" w:hAnsi="宋体" w:eastAsia="宋体"/>
                <w:b w:val="0"/>
                <w:color w:val="auto"/>
                <w:sz w:val="24"/>
                <w:szCs w:val="24"/>
                <w:highlight w:val="none"/>
              </w:rPr>
              <w:t>供货及安装期限</w:t>
            </w:r>
          </w:p>
        </w:tc>
        <w:tc>
          <w:tcPr>
            <w:tcW w:w="3217" w:type="pct"/>
            <w:vAlign w:val="center"/>
          </w:tcPr>
          <w:p w14:paraId="6D8C3319">
            <w:pPr>
              <w:pStyle w:val="7"/>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00" w:lineRule="auto"/>
              <w:ind w:left="0" w:right="0"/>
              <w:jc w:val="both"/>
              <w:textAlignment w:val="auto"/>
              <w:rPr>
                <w:rFonts w:ascii="宋体" w:hAnsi="宋体" w:eastAsia="宋体"/>
                <w:b w:val="0"/>
                <w:color w:val="auto"/>
                <w:sz w:val="24"/>
                <w:szCs w:val="24"/>
                <w:highlight w:val="none"/>
                <w:u w:val="none"/>
              </w:rPr>
            </w:pPr>
            <w:r>
              <w:rPr>
                <w:rFonts w:hint="eastAsia" w:ascii="宋体" w:hAnsi="宋体" w:eastAsia="宋体" w:cs="宋体"/>
                <w:b w:val="0"/>
                <w:color w:val="auto"/>
                <w:sz w:val="24"/>
                <w:szCs w:val="24"/>
                <w:highlight w:val="none"/>
                <w:u w:val="none"/>
                <w:lang w:val="en-US" w:eastAsia="zh-CN"/>
              </w:rPr>
              <w:t>合同生效之日起，60个日历日内完成供货、安装、调试、培训等所有工作内容。</w:t>
            </w:r>
          </w:p>
        </w:tc>
      </w:tr>
      <w:tr w14:paraId="355766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4B1230F1">
            <w:pPr>
              <w:pStyle w:val="6"/>
              <w:pBdr>
                <w:bottom w:val="none" w:color="auto" w:sz="0" w:space="0"/>
              </w:pBdr>
              <w:tabs>
                <w:tab w:val="clear" w:pos="4153"/>
                <w:tab w:val="clear" w:pos="8306"/>
              </w:tabs>
              <w:adjustRightInd/>
              <w:spacing w:line="240" w:lineRule="auto"/>
              <w:textAlignment w:val="auto"/>
              <w:rPr>
                <w:rFonts w:ascii="宋体" w:hAnsi="宋体" w:eastAsia="宋体"/>
                <w:bCs/>
                <w:color w:val="auto"/>
                <w:kern w:val="2"/>
                <w:sz w:val="24"/>
                <w:szCs w:val="24"/>
                <w:highlight w:val="none"/>
              </w:rPr>
            </w:pPr>
            <w:r>
              <w:rPr>
                <w:rFonts w:hint="eastAsia" w:ascii="宋体" w:hAnsi="宋体" w:eastAsia="宋体"/>
                <w:bCs/>
                <w:color w:val="auto"/>
                <w:kern w:val="2"/>
                <w:sz w:val="24"/>
                <w:szCs w:val="24"/>
                <w:highlight w:val="none"/>
              </w:rPr>
              <w:t>4</w:t>
            </w:r>
          </w:p>
        </w:tc>
        <w:tc>
          <w:tcPr>
            <w:tcW w:w="1192" w:type="pct"/>
            <w:vAlign w:val="center"/>
          </w:tcPr>
          <w:p w14:paraId="68D5E9FD">
            <w:pPr>
              <w:pStyle w:val="7"/>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00" w:lineRule="auto"/>
              <w:ind w:left="0" w:leftChars="0" w:right="0" w:rightChars="0"/>
              <w:textAlignment w:val="auto"/>
              <w:rPr>
                <w:rFonts w:ascii="宋体" w:hAnsi="宋体" w:eastAsia="宋体"/>
                <w:b w:val="0"/>
                <w:color w:val="auto"/>
                <w:sz w:val="24"/>
                <w:szCs w:val="24"/>
                <w:highlight w:val="none"/>
              </w:rPr>
            </w:pPr>
            <w:r>
              <w:rPr>
                <w:rFonts w:hint="eastAsia" w:ascii="宋体" w:hAnsi="宋体" w:eastAsia="宋体" w:cs="宋体"/>
                <w:b w:val="0"/>
                <w:color w:val="auto"/>
                <w:sz w:val="24"/>
                <w:szCs w:val="24"/>
                <w:highlight w:val="none"/>
              </w:rPr>
              <w:t>免费质保期</w:t>
            </w:r>
          </w:p>
        </w:tc>
        <w:tc>
          <w:tcPr>
            <w:tcW w:w="3217" w:type="pct"/>
            <w:vAlign w:val="center"/>
          </w:tcPr>
          <w:p w14:paraId="76005334">
            <w:pPr>
              <w:pStyle w:val="7"/>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00" w:lineRule="auto"/>
              <w:ind w:left="0" w:right="0"/>
              <w:jc w:val="both"/>
              <w:textAlignment w:val="auto"/>
              <w:rPr>
                <w:rFonts w:hint="eastAsia" w:ascii="宋体" w:hAnsi="宋体" w:eastAsia="宋体" w:cs="宋体"/>
                <w:b w:val="0"/>
                <w:color w:val="auto"/>
                <w:sz w:val="24"/>
                <w:szCs w:val="24"/>
                <w:highlight w:val="none"/>
                <w:u w:val="none"/>
              </w:rPr>
            </w:pPr>
            <w:r>
              <w:rPr>
                <w:rFonts w:hint="eastAsia" w:ascii="宋体" w:hAnsi="宋体" w:eastAsia="宋体" w:cs="宋体"/>
                <w:b w:val="0"/>
                <w:color w:val="auto"/>
                <w:sz w:val="24"/>
                <w:szCs w:val="24"/>
                <w:highlight w:val="none"/>
                <w:u w:val="none"/>
              </w:rPr>
              <w:t>货物需求清单中未明确的，免费质保期为自验收合格之日起</w:t>
            </w:r>
            <w:r>
              <w:rPr>
                <w:rFonts w:hint="eastAsia" w:ascii="宋体" w:hAnsi="宋体" w:eastAsia="宋体" w:cs="宋体"/>
                <w:b w:val="0"/>
                <w:color w:val="auto"/>
                <w:sz w:val="24"/>
                <w:szCs w:val="24"/>
                <w:highlight w:val="none"/>
                <w:u w:val="none"/>
                <w:lang w:val="en-US" w:eastAsia="zh-CN"/>
              </w:rPr>
              <w:t>2</w:t>
            </w:r>
            <w:r>
              <w:rPr>
                <w:rFonts w:hint="eastAsia" w:ascii="宋体" w:hAnsi="宋体" w:eastAsia="宋体" w:cs="宋体"/>
                <w:b w:val="0"/>
                <w:color w:val="auto"/>
                <w:sz w:val="24"/>
                <w:szCs w:val="24"/>
                <w:highlight w:val="none"/>
                <w:u w:val="none"/>
              </w:rPr>
              <w:t xml:space="preserve">年；货物需求清单中明确的，免费质保期按货物需求清单执行。 </w:t>
            </w:r>
          </w:p>
          <w:p w14:paraId="258FDF98">
            <w:pPr>
              <w:pStyle w:val="7"/>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00" w:lineRule="auto"/>
              <w:ind w:left="0" w:leftChars="0" w:right="0" w:rightChars="0"/>
              <w:jc w:val="both"/>
              <w:textAlignment w:val="auto"/>
              <w:rPr>
                <w:rFonts w:ascii="宋体" w:hAnsi="宋体" w:eastAsia="宋体"/>
                <w:b w:val="0"/>
                <w:color w:val="auto"/>
                <w:sz w:val="24"/>
                <w:szCs w:val="24"/>
                <w:highlight w:val="none"/>
                <w:u w:val="none"/>
              </w:rPr>
            </w:pPr>
            <w:r>
              <w:rPr>
                <w:rFonts w:hint="eastAsia" w:ascii="宋体" w:hAnsi="宋体" w:eastAsia="宋体" w:cs="宋体"/>
                <w:b w:val="0"/>
                <w:color w:val="auto"/>
                <w:sz w:val="24"/>
                <w:szCs w:val="24"/>
                <w:highlight w:val="none"/>
                <w:u w:val="none"/>
                <w:lang w:val="en-US" w:eastAsia="zh-CN"/>
              </w:rPr>
              <w:t>注：</w:t>
            </w:r>
            <w:r>
              <w:rPr>
                <w:rFonts w:hint="eastAsia" w:ascii="宋体" w:hAnsi="宋体" w:eastAsia="宋体" w:cs="宋体"/>
                <w:b w:val="0"/>
                <w:color w:val="auto"/>
                <w:sz w:val="24"/>
                <w:szCs w:val="24"/>
                <w:highlight w:val="none"/>
                <w:u w:val="none"/>
              </w:rPr>
              <w:t xml:space="preserve">质保期内如有零件损坏，自更换该零件起，再对该零件重新计算质保期。     </w:t>
            </w:r>
          </w:p>
        </w:tc>
      </w:tr>
    </w:tbl>
    <w:p w14:paraId="77033819">
      <w:pPr>
        <w:spacing w:line="360" w:lineRule="auto"/>
        <w:ind w:firstLine="437"/>
        <w:outlineLvl w:val="1"/>
        <w:rPr>
          <w:rFonts w:hint="eastAsia" w:ascii="宋体" w:hAnsi="宋体" w:eastAsia="宋体"/>
          <w:b/>
          <w:bCs/>
          <w:color w:val="auto"/>
          <w:sz w:val="24"/>
          <w:szCs w:val="18"/>
          <w:highlight w:val="none"/>
        </w:rPr>
      </w:pPr>
      <w:bookmarkStart w:id="3" w:name="_Toc7671"/>
      <w:bookmarkStart w:id="4" w:name="_Toc5944"/>
    </w:p>
    <w:p w14:paraId="790AB40A">
      <w:pPr>
        <w:spacing w:line="360" w:lineRule="auto"/>
        <w:ind w:firstLine="437"/>
        <w:outlineLvl w:val="1"/>
        <w:rPr>
          <w:rFonts w:hint="eastAsia" w:ascii="宋体" w:hAnsi="宋体" w:eastAsia="宋体"/>
          <w:b/>
          <w:bCs/>
          <w:color w:val="auto"/>
          <w:sz w:val="24"/>
          <w:szCs w:val="18"/>
          <w:highlight w:val="none"/>
        </w:rPr>
      </w:pPr>
      <w:bookmarkStart w:id="5" w:name="_Toc24271"/>
      <w:r>
        <w:rPr>
          <w:rFonts w:hint="eastAsia" w:ascii="宋体" w:hAnsi="宋体" w:eastAsia="宋体"/>
          <w:b/>
          <w:bCs/>
          <w:color w:val="auto"/>
          <w:sz w:val="24"/>
          <w:szCs w:val="18"/>
          <w:highlight w:val="none"/>
        </w:rPr>
        <w:t>二、</w:t>
      </w:r>
      <w:r>
        <w:rPr>
          <w:rFonts w:hint="eastAsia" w:ascii="宋体" w:hAnsi="宋体" w:eastAsia="宋体"/>
          <w:b/>
          <w:color w:val="auto"/>
          <w:sz w:val="24"/>
          <w:szCs w:val="18"/>
          <w:highlight w:val="none"/>
        </w:rPr>
        <w:t>货物</w:t>
      </w:r>
      <w:r>
        <w:rPr>
          <w:rFonts w:hint="eastAsia" w:ascii="宋体" w:hAnsi="宋体" w:eastAsia="宋体"/>
          <w:b/>
          <w:bCs/>
          <w:color w:val="auto"/>
          <w:sz w:val="24"/>
          <w:szCs w:val="18"/>
          <w:highlight w:val="none"/>
        </w:rPr>
        <w:t>需求</w:t>
      </w:r>
      <w:bookmarkEnd w:id="3"/>
      <w:bookmarkEnd w:id="4"/>
      <w:bookmarkEnd w:id="5"/>
    </w:p>
    <w:p w14:paraId="4BB64530">
      <w:pPr>
        <w:widowControl/>
        <w:wordWrap/>
        <w:ind w:firstLine="482" w:firstLineChars="200"/>
        <w:outlineLvl w:val="2"/>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val="en-US" w:eastAsia="zh-CN"/>
        </w:rPr>
        <w:t>（一）</w:t>
      </w:r>
      <w:r>
        <w:rPr>
          <w:rFonts w:hint="eastAsia" w:ascii="宋体" w:hAnsi="宋体" w:eastAsia="宋体" w:cs="宋体"/>
          <w:b/>
          <w:bCs/>
          <w:color w:val="auto"/>
          <w:sz w:val="24"/>
          <w:szCs w:val="24"/>
          <w:highlight w:val="none"/>
        </w:rPr>
        <w:t>标识符号</w:t>
      </w:r>
    </w:p>
    <w:tbl>
      <w:tblPr>
        <w:tblStyle w:val="4"/>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94"/>
        <w:gridCol w:w="1365"/>
        <w:gridCol w:w="5363"/>
      </w:tblGrid>
      <w:tr w14:paraId="688024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94" w:type="dxa"/>
            <w:noWrap w:val="0"/>
            <w:vAlign w:val="center"/>
          </w:tcPr>
          <w:p w14:paraId="16D8CD9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auto"/>
              <w:ind w:left="0" w:right="0" w:firstLine="0"/>
              <w:jc w:val="center"/>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标识类型</w:t>
            </w:r>
          </w:p>
        </w:tc>
        <w:tc>
          <w:tcPr>
            <w:tcW w:w="1365" w:type="dxa"/>
            <w:noWrap w:val="0"/>
            <w:vAlign w:val="center"/>
          </w:tcPr>
          <w:p w14:paraId="1349E5A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auto"/>
              <w:ind w:left="0" w:right="0" w:firstLine="0"/>
              <w:jc w:val="center"/>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标识符号</w:t>
            </w:r>
          </w:p>
        </w:tc>
        <w:tc>
          <w:tcPr>
            <w:tcW w:w="5363" w:type="dxa"/>
            <w:noWrap w:val="0"/>
            <w:vAlign w:val="center"/>
          </w:tcPr>
          <w:p w14:paraId="20EFC9C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auto"/>
              <w:ind w:left="0" w:right="0" w:firstLine="0"/>
              <w:jc w:val="center"/>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标识符号含义</w:t>
            </w:r>
          </w:p>
        </w:tc>
      </w:tr>
      <w:tr w14:paraId="5A4890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jc w:val="center"/>
        </w:trPr>
        <w:tc>
          <w:tcPr>
            <w:tcW w:w="1794" w:type="dxa"/>
            <w:noWrap w:val="0"/>
            <w:vAlign w:val="center"/>
          </w:tcPr>
          <w:p w14:paraId="5B39E32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auto"/>
              <w:ind w:left="0" w:right="0" w:firstLine="0"/>
              <w:jc w:val="center"/>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核心指标</w:t>
            </w:r>
            <w:r>
              <w:rPr>
                <w:rFonts w:hint="eastAsia" w:ascii="宋体" w:hAnsi="宋体" w:eastAsia="宋体" w:cs="宋体"/>
                <w:color w:val="auto"/>
                <w:sz w:val="24"/>
                <w:szCs w:val="24"/>
                <w:highlight w:val="none"/>
              </w:rPr>
              <w:t>项</w:t>
            </w:r>
          </w:p>
        </w:tc>
        <w:tc>
          <w:tcPr>
            <w:tcW w:w="1365" w:type="dxa"/>
            <w:noWrap w:val="0"/>
            <w:vAlign w:val="center"/>
          </w:tcPr>
          <w:p w14:paraId="262E002F">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300" w:lineRule="auto"/>
              <w:ind w:left="0" w:leftChars="0" w:right="0" w:rightChars="0" w:firstLine="0" w:firstLineChars="0"/>
              <w:jc w:val="center"/>
              <w:textAlignment w:val="auto"/>
              <w:rPr>
                <w:rFonts w:hint="eastAsia" w:ascii="宋体" w:hAnsi="宋体" w:eastAsia="宋体" w:cs="宋体"/>
                <w:bCs/>
                <w:color w:val="auto"/>
                <w:sz w:val="24"/>
                <w:szCs w:val="24"/>
                <w:highlight w:val="none"/>
                <w:lang w:val="en-US" w:eastAsia="zh-CN"/>
              </w:rPr>
            </w:pPr>
            <w:r>
              <w:rPr>
                <w:rFonts w:hint="eastAsia" w:ascii="宋体" w:hAnsi="宋体" w:eastAsia="宋体" w:cs="宋体"/>
                <w:color w:val="auto"/>
                <w:sz w:val="24"/>
                <w:szCs w:val="24"/>
                <w:highlight w:val="none"/>
              </w:rPr>
              <w:t>★</w:t>
            </w:r>
          </w:p>
        </w:tc>
        <w:tc>
          <w:tcPr>
            <w:tcW w:w="5363" w:type="dxa"/>
            <w:noWrap w:val="0"/>
            <w:vAlign w:val="center"/>
          </w:tcPr>
          <w:p w14:paraId="60F719B9">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300" w:lineRule="auto"/>
              <w:ind w:left="0" w:leftChars="0" w:right="0" w:rightChars="0" w:firstLine="0" w:firstLineChars="0"/>
              <w:jc w:val="left"/>
              <w:textAlignment w:val="auto"/>
              <w:rPr>
                <w:rFonts w:hint="default"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rPr>
              <w:t>评分项，</w:t>
            </w:r>
            <w:r>
              <w:rPr>
                <w:rFonts w:hint="eastAsia" w:ascii="宋体" w:hAnsi="宋体" w:eastAsia="宋体" w:cs="宋体"/>
                <w:color w:val="auto"/>
                <w:kern w:val="2"/>
                <w:sz w:val="24"/>
                <w:szCs w:val="24"/>
                <w:highlight w:val="none"/>
                <w:lang w:val="en-US" w:eastAsia="zh-CN" w:bidi="ar"/>
              </w:rPr>
              <w:t>详见评标办法和标准。</w:t>
            </w:r>
          </w:p>
        </w:tc>
      </w:tr>
      <w:tr w14:paraId="42341A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jc w:val="center"/>
        </w:trPr>
        <w:tc>
          <w:tcPr>
            <w:tcW w:w="1794" w:type="dxa"/>
            <w:noWrap w:val="0"/>
            <w:vAlign w:val="center"/>
          </w:tcPr>
          <w:p w14:paraId="694DA8A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auto"/>
              <w:ind w:left="0" w:right="0" w:firstLine="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无标识项</w:t>
            </w:r>
          </w:p>
        </w:tc>
        <w:tc>
          <w:tcPr>
            <w:tcW w:w="1365" w:type="dxa"/>
            <w:noWrap w:val="0"/>
            <w:vAlign w:val="center"/>
          </w:tcPr>
          <w:p w14:paraId="0909B167">
            <w:pPr>
              <w:wordWrap w:val="0"/>
              <w:adjustRightInd w:val="0"/>
              <w:snapToGrid w:val="0"/>
              <w:spacing w:line="300" w:lineRule="auto"/>
              <w:jc w:val="center"/>
              <w:rPr>
                <w:rFonts w:hint="eastAsia" w:ascii="宋体" w:hAnsi="宋体" w:eastAsia="宋体" w:cs="宋体"/>
                <w:bCs/>
                <w:color w:val="auto"/>
                <w:sz w:val="24"/>
                <w:szCs w:val="24"/>
                <w:highlight w:val="none"/>
              </w:rPr>
            </w:pPr>
          </w:p>
        </w:tc>
        <w:tc>
          <w:tcPr>
            <w:tcW w:w="5363" w:type="dxa"/>
            <w:noWrap w:val="0"/>
            <w:vAlign w:val="center"/>
          </w:tcPr>
          <w:p w14:paraId="3AC3768E">
            <w:pPr>
              <w:adjustRightInd w:val="0"/>
              <w:snapToGrid w:val="0"/>
              <w:spacing w:line="300" w:lineRule="auto"/>
              <w:jc w:val="left"/>
              <w:rPr>
                <w:rFonts w:hint="default" w:ascii="宋体" w:hAnsi="宋体" w:eastAsia="宋体" w:cs="宋体"/>
                <w:bCs/>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符合性审查项，投标人须在投标文件中提供承诺：</w:t>
            </w:r>
            <w:r>
              <w:rPr>
                <w:rFonts w:hint="eastAsia" w:ascii="宋体" w:hAnsi="宋体" w:eastAsia="宋体" w:cs="宋体"/>
                <w:b/>
                <w:bCs/>
                <w:color w:val="auto"/>
                <w:kern w:val="2"/>
                <w:sz w:val="24"/>
                <w:szCs w:val="24"/>
                <w:highlight w:val="none"/>
                <w:lang w:val="en-US" w:eastAsia="zh-CN" w:bidi="ar-SA"/>
              </w:rPr>
              <w:t>承诺无标识项完全满足采购文件要求，如履约验收期间所投产品不满足采购文件要求，采购人有权解除合同并上报政府采购监督管理部门，中标人承担由此产生的一切后果及责任（承诺函格式详见投标文件/响应文件格式）</w:t>
            </w:r>
            <w:r>
              <w:rPr>
                <w:rFonts w:hint="eastAsia" w:ascii="宋体" w:hAnsi="宋体" w:eastAsia="宋体" w:cs="宋体"/>
                <w:color w:val="auto"/>
                <w:kern w:val="2"/>
                <w:sz w:val="24"/>
                <w:szCs w:val="24"/>
                <w:highlight w:val="none"/>
                <w:lang w:val="en-US" w:eastAsia="zh-CN" w:bidi="ar-SA"/>
              </w:rPr>
              <w:t>。投标文件中未提供相应承诺或承诺的内容不满足要求的，</w:t>
            </w:r>
            <w:r>
              <w:rPr>
                <w:rFonts w:hint="eastAsia" w:ascii="宋体" w:hAnsi="宋体" w:eastAsia="宋体" w:cs="宋体"/>
                <w:b/>
                <w:bCs/>
                <w:color w:val="auto"/>
                <w:kern w:val="2"/>
                <w:sz w:val="24"/>
                <w:szCs w:val="24"/>
                <w:highlight w:val="none"/>
                <w:lang w:val="en-US" w:eastAsia="zh-CN" w:bidi="ar-SA"/>
              </w:rPr>
              <w:t>投标无效。</w:t>
            </w:r>
          </w:p>
        </w:tc>
      </w:tr>
      <w:tr w14:paraId="6E1531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 w:hRule="atLeast"/>
          <w:jc w:val="center"/>
        </w:trPr>
        <w:tc>
          <w:tcPr>
            <w:tcW w:w="8522" w:type="dxa"/>
            <w:gridSpan w:val="3"/>
            <w:noWrap w:val="0"/>
            <w:vAlign w:val="center"/>
          </w:tcPr>
          <w:p w14:paraId="2DC7AD74">
            <w:pPr>
              <w:keepNext w:val="0"/>
              <w:keepLines w:val="0"/>
              <w:pageBreakBefore w:val="0"/>
              <w:widowControl w:val="0"/>
              <w:numPr>
                <w:ilvl w:val="0"/>
                <w:numId w:val="0"/>
              </w:numPr>
              <w:suppressLineNumbers w:val="0"/>
              <w:kinsoku/>
              <w:wordWrap/>
              <w:overflowPunct/>
              <w:topLinePunct w:val="0"/>
              <w:autoSpaceDE/>
              <w:autoSpaceDN/>
              <w:bidi w:val="0"/>
              <w:spacing w:before="0" w:beforeAutospacing="0" w:after="0" w:afterAutospacing="0" w:line="300" w:lineRule="auto"/>
              <w:ind w:left="0" w:leftChars="0" w:right="0" w:rightChars="0" w:firstLine="0" w:firstLineChars="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注：</w:t>
            </w:r>
          </w:p>
          <w:p w14:paraId="5E30D235">
            <w:pPr>
              <w:keepNext w:val="0"/>
              <w:keepLines w:val="0"/>
              <w:pageBreakBefore w:val="0"/>
              <w:widowControl w:val="0"/>
              <w:numPr>
                <w:ilvl w:val="0"/>
                <w:numId w:val="0"/>
              </w:numPr>
              <w:suppressLineNumbers w:val="0"/>
              <w:kinsoku/>
              <w:wordWrap/>
              <w:overflowPunct/>
              <w:topLinePunct w:val="0"/>
              <w:autoSpaceDE/>
              <w:autoSpaceDN/>
              <w:bidi w:val="0"/>
              <w:spacing w:before="0" w:beforeAutospacing="0" w:after="0" w:afterAutospacing="0" w:line="300" w:lineRule="auto"/>
              <w:ind w:left="0" w:leftChars="0" w:right="0" w:rightChars="0" w:firstLine="0" w:firstLineChars="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如某项标识中包含多条技术参数或要求，则该项标识所含内容均需满足或优于</w:t>
            </w:r>
            <w:r>
              <w:rPr>
                <w:rFonts w:hint="eastAsia" w:ascii="宋体" w:hAnsi="宋体" w:eastAsia="宋体" w:cs="宋体"/>
                <w:color w:val="auto"/>
                <w:sz w:val="24"/>
                <w:szCs w:val="24"/>
                <w:highlight w:val="none"/>
                <w:lang w:val="en-US" w:eastAsia="zh-CN"/>
              </w:rPr>
              <w:t>采购</w:t>
            </w:r>
            <w:r>
              <w:rPr>
                <w:rFonts w:hint="eastAsia" w:ascii="宋体" w:hAnsi="宋体" w:eastAsia="宋体" w:cs="宋体"/>
                <w:color w:val="auto"/>
                <w:sz w:val="24"/>
                <w:szCs w:val="24"/>
                <w:highlight w:val="none"/>
              </w:rPr>
              <w:t>文件要求，否则不予认可。</w:t>
            </w:r>
          </w:p>
          <w:p w14:paraId="2F2B2CB7">
            <w:pPr>
              <w:keepNext w:val="0"/>
              <w:keepLines w:val="0"/>
              <w:pageBreakBefore w:val="0"/>
              <w:widowControl w:val="0"/>
              <w:numPr>
                <w:ilvl w:val="0"/>
                <w:numId w:val="0"/>
              </w:numPr>
              <w:suppressLineNumbers w:val="0"/>
              <w:kinsoku/>
              <w:wordWrap/>
              <w:overflowPunct/>
              <w:topLinePunct w:val="0"/>
              <w:autoSpaceDE/>
              <w:autoSpaceDN/>
              <w:bidi w:val="0"/>
              <w:spacing w:before="0" w:beforeAutospacing="0" w:after="0" w:afterAutospacing="0" w:line="300" w:lineRule="auto"/>
              <w:ind w:left="0" w:leftChars="0" w:right="0" w:rightChars="0" w:firstLine="0" w:firstLineChars="0"/>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kern w:val="0"/>
                <w:sz w:val="24"/>
                <w:szCs w:val="24"/>
                <w:highlight w:val="none"/>
              </w:rPr>
              <w:t>下述技术参数所涉及的具体物理尺寸</w:t>
            </w:r>
            <w:r>
              <w:rPr>
                <w:rFonts w:hint="eastAsia" w:ascii="宋体" w:hAnsi="宋体" w:eastAsia="宋体" w:cs="宋体"/>
                <w:color w:val="auto"/>
                <w:kern w:val="0"/>
                <w:sz w:val="24"/>
                <w:szCs w:val="24"/>
                <w:highlight w:val="none"/>
                <w:lang w:eastAsia="zh-CN"/>
              </w:rPr>
              <w:t>：货物需求清单</w:t>
            </w:r>
            <w:r>
              <w:rPr>
                <w:rFonts w:hint="eastAsia" w:ascii="宋体" w:hAnsi="宋体" w:eastAsia="宋体" w:cs="宋体"/>
                <w:color w:val="auto"/>
                <w:kern w:val="0"/>
                <w:sz w:val="24"/>
                <w:szCs w:val="24"/>
                <w:highlight w:val="none"/>
                <w:lang w:val="en-US" w:eastAsia="zh-CN"/>
              </w:rPr>
              <w:t>中明确允许偏离范围的，按货物需求清单</w:t>
            </w:r>
            <w:r>
              <w:rPr>
                <w:rFonts w:hint="eastAsia" w:ascii="宋体" w:hAnsi="宋体" w:eastAsia="宋体" w:cs="宋体"/>
                <w:color w:val="auto"/>
                <w:sz w:val="24"/>
                <w:szCs w:val="24"/>
                <w:highlight w:val="none"/>
                <w:lang w:val="en-US" w:eastAsia="zh-CN"/>
              </w:rPr>
              <w:t>要求</w:t>
            </w:r>
            <w:r>
              <w:rPr>
                <w:rFonts w:hint="eastAsia" w:ascii="宋体" w:hAnsi="宋体" w:eastAsia="宋体" w:cs="宋体"/>
                <w:color w:val="auto"/>
                <w:kern w:val="0"/>
                <w:sz w:val="24"/>
                <w:szCs w:val="24"/>
                <w:highlight w:val="none"/>
                <w:lang w:val="en-US" w:eastAsia="zh-CN"/>
              </w:rPr>
              <w:t>执行；货物需求清单中未明确允许偏离范围的，</w:t>
            </w:r>
            <w:r>
              <w:rPr>
                <w:rFonts w:hint="eastAsia" w:ascii="宋体" w:hAnsi="宋体" w:eastAsia="宋体" w:cs="宋体"/>
                <w:color w:val="auto"/>
                <w:kern w:val="0"/>
                <w:sz w:val="24"/>
                <w:szCs w:val="24"/>
                <w:highlight w:val="none"/>
              </w:rPr>
              <w:t>允许±5%偏离</w:t>
            </w:r>
            <w:r>
              <w:rPr>
                <w:rFonts w:hint="eastAsia" w:ascii="宋体" w:hAnsi="宋体" w:eastAsia="宋体" w:cs="宋体"/>
                <w:color w:val="auto"/>
                <w:sz w:val="24"/>
                <w:szCs w:val="24"/>
                <w:highlight w:val="none"/>
              </w:rPr>
              <w:t>。</w:t>
            </w:r>
          </w:p>
          <w:p w14:paraId="36EC6408">
            <w:pPr>
              <w:keepNext w:val="0"/>
              <w:keepLines w:val="0"/>
              <w:pageBreakBefore w:val="0"/>
              <w:widowControl w:val="0"/>
              <w:numPr>
                <w:ilvl w:val="0"/>
                <w:numId w:val="0"/>
              </w:numPr>
              <w:suppressLineNumbers w:val="0"/>
              <w:kinsoku/>
              <w:wordWrap/>
              <w:overflowPunct/>
              <w:topLinePunct w:val="0"/>
              <w:autoSpaceDE/>
              <w:autoSpaceDN/>
              <w:bidi w:val="0"/>
              <w:spacing w:before="0" w:beforeAutospacing="0" w:after="0" w:afterAutospacing="0" w:line="300" w:lineRule="auto"/>
              <w:ind w:left="0" w:leftChars="0" w:right="0" w:rightChars="0" w:firstLine="0" w:firstLineChars="0"/>
              <w:jc w:val="left"/>
              <w:textAlignment w:val="auto"/>
              <w:rPr>
                <w:rFonts w:hint="eastAsia" w:ascii="宋体" w:hAnsi="宋体" w:eastAsia="宋体" w:cs="宋体"/>
                <w:b w:val="0"/>
                <w:bCs/>
                <w:color w:val="auto"/>
                <w:kern w:val="2"/>
                <w:sz w:val="24"/>
                <w:szCs w:val="24"/>
                <w:highlight w:val="none"/>
                <w:lang w:val="en-US" w:eastAsia="zh-CN" w:bidi="ar"/>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针对</w:t>
            </w:r>
            <w:r>
              <w:rPr>
                <w:rFonts w:hint="eastAsia" w:ascii="宋体" w:hAnsi="宋体" w:eastAsia="宋体" w:cs="宋体"/>
                <w:color w:val="auto"/>
                <w:kern w:val="2"/>
                <w:sz w:val="24"/>
                <w:szCs w:val="24"/>
                <w:highlight w:val="none"/>
                <w:lang w:val="en-US" w:eastAsia="zh-CN" w:bidi="ar"/>
              </w:rPr>
              <w:t>货物需求清单中要求提供证明材料的技术参数及要求：未明确证明材料类型的，</w:t>
            </w:r>
            <w:r>
              <w:rPr>
                <w:rFonts w:hint="eastAsia" w:ascii="宋体" w:hAnsi="宋体" w:eastAsia="宋体" w:cs="宋体"/>
                <w:b/>
                <w:bCs/>
                <w:color w:val="auto"/>
                <w:kern w:val="2"/>
                <w:sz w:val="24"/>
                <w:szCs w:val="24"/>
                <w:highlight w:val="none"/>
                <w:lang w:val="en-US" w:eastAsia="zh-CN" w:bidi="ar"/>
              </w:rPr>
              <w:t>证明材料包括但不限于产品技术白皮书、产品技术说明书、产品彩页、产品（软件）功能截图、实物图片、厂家（制造商）官网截图、第三方机构出具的检测报告等（提供其中之一即可）。</w:t>
            </w:r>
            <w:r>
              <w:rPr>
                <w:rFonts w:hint="eastAsia" w:ascii="宋体" w:hAnsi="宋体" w:eastAsia="宋体" w:cs="宋体"/>
                <w:color w:val="auto"/>
                <w:kern w:val="2"/>
                <w:sz w:val="24"/>
                <w:szCs w:val="24"/>
                <w:highlight w:val="none"/>
                <w:lang w:val="en-US" w:eastAsia="zh-CN" w:bidi="ar"/>
              </w:rPr>
              <w:t>明确证明材料类型的，</w:t>
            </w:r>
            <w:r>
              <w:rPr>
                <w:rFonts w:hint="eastAsia" w:ascii="宋体" w:hAnsi="宋体" w:eastAsia="宋体" w:cs="宋体"/>
                <w:b w:val="0"/>
                <w:color w:val="auto"/>
                <w:sz w:val="24"/>
                <w:szCs w:val="24"/>
                <w:highlight w:val="none"/>
                <w:u w:val="none"/>
              </w:rPr>
              <w:t>按</w:t>
            </w:r>
            <w:r>
              <w:rPr>
                <w:rFonts w:hint="eastAsia" w:ascii="宋体" w:hAnsi="宋体" w:eastAsia="宋体" w:cs="宋体"/>
                <w:b w:val="0"/>
                <w:color w:val="auto"/>
                <w:sz w:val="24"/>
                <w:szCs w:val="24"/>
                <w:highlight w:val="none"/>
                <w:u w:val="none"/>
                <w:lang w:val="en-US" w:eastAsia="zh-CN"/>
              </w:rPr>
              <w:t>货物需求</w:t>
            </w:r>
            <w:r>
              <w:rPr>
                <w:rFonts w:hint="eastAsia" w:ascii="宋体" w:hAnsi="宋体" w:eastAsia="宋体" w:cs="宋体"/>
                <w:b w:val="0"/>
                <w:color w:val="auto"/>
                <w:sz w:val="24"/>
                <w:szCs w:val="24"/>
                <w:highlight w:val="none"/>
                <w:u w:val="none"/>
              </w:rPr>
              <w:t>清单</w:t>
            </w:r>
            <w:r>
              <w:rPr>
                <w:rFonts w:hint="eastAsia" w:ascii="宋体" w:hAnsi="宋体" w:eastAsia="宋体" w:cs="宋体"/>
                <w:b w:val="0"/>
                <w:color w:val="auto"/>
                <w:sz w:val="24"/>
                <w:szCs w:val="24"/>
                <w:highlight w:val="none"/>
                <w:u w:val="none"/>
                <w:lang w:val="en-US" w:eastAsia="zh-CN"/>
              </w:rPr>
              <w:t>中要求提供的证明材料类型执行</w:t>
            </w:r>
            <w:r>
              <w:rPr>
                <w:rFonts w:hint="eastAsia" w:ascii="宋体" w:hAnsi="宋体" w:eastAsia="宋体" w:cs="宋体"/>
                <w:b w:val="0"/>
                <w:color w:val="auto"/>
                <w:sz w:val="24"/>
                <w:szCs w:val="24"/>
                <w:highlight w:val="none"/>
                <w:u w:val="none"/>
                <w:lang w:eastAsia="zh-CN"/>
              </w:rPr>
              <w:t>。</w:t>
            </w:r>
            <w:r>
              <w:rPr>
                <w:rFonts w:hint="eastAsia" w:ascii="宋体" w:hAnsi="宋体" w:eastAsia="宋体" w:cs="宋体"/>
                <w:color w:val="auto"/>
                <w:kern w:val="2"/>
                <w:sz w:val="24"/>
                <w:szCs w:val="24"/>
                <w:highlight w:val="none"/>
                <w:lang w:val="en-US" w:eastAsia="zh-CN" w:bidi="ar"/>
              </w:rPr>
              <w:t>未按以上要求提供证明材料的视为负偏离或未响应</w:t>
            </w:r>
            <w:r>
              <w:rPr>
                <w:rFonts w:hint="eastAsia" w:ascii="宋体" w:hAnsi="宋体" w:eastAsia="宋体" w:cs="宋体"/>
                <w:b/>
                <w:bCs w:val="0"/>
                <w:color w:val="auto"/>
                <w:kern w:val="2"/>
                <w:sz w:val="24"/>
                <w:szCs w:val="24"/>
                <w:highlight w:val="none"/>
                <w:lang w:val="en-US" w:eastAsia="zh-CN" w:bidi="ar"/>
              </w:rPr>
              <w:t>（为便于评审，建议投标人对证明材料中的关键参数进行标注）</w:t>
            </w:r>
            <w:r>
              <w:rPr>
                <w:rFonts w:hint="eastAsia" w:ascii="宋体" w:hAnsi="宋体" w:eastAsia="宋体" w:cs="宋体"/>
                <w:b w:val="0"/>
                <w:bCs/>
                <w:color w:val="auto"/>
                <w:kern w:val="2"/>
                <w:sz w:val="24"/>
                <w:szCs w:val="24"/>
                <w:highlight w:val="none"/>
                <w:lang w:val="en-US" w:eastAsia="zh-CN" w:bidi="ar"/>
              </w:rPr>
              <w:t>。</w:t>
            </w:r>
          </w:p>
          <w:p w14:paraId="04580254">
            <w:pPr>
              <w:keepNext w:val="0"/>
              <w:keepLines w:val="0"/>
              <w:pageBreakBefore w:val="0"/>
              <w:widowControl w:val="0"/>
              <w:numPr>
                <w:ilvl w:val="0"/>
                <w:numId w:val="0"/>
              </w:numPr>
              <w:suppressLineNumbers w:val="0"/>
              <w:kinsoku/>
              <w:wordWrap/>
              <w:overflowPunct/>
              <w:topLinePunct w:val="0"/>
              <w:autoSpaceDE/>
              <w:autoSpaceDN/>
              <w:bidi w:val="0"/>
              <w:spacing w:before="0" w:beforeAutospacing="0" w:after="0" w:afterAutospacing="0" w:line="300" w:lineRule="auto"/>
              <w:ind w:left="0" w:leftChars="0" w:right="0" w:rightChars="0" w:firstLine="0" w:firstLineChars="0"/>
              <w:jc w:val="left"/>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b w:val="0"/>
                <w:bCs/>
                <w:color w:val="auto"/>
                <w:kern w:val="2"/>
                <w:sz w:val="24"/>
                <w:szCs w:val="24"/>
                <w:highlight w:val="none"/>
                <w:lang w:val="en-US" w:eastAsia="zh-CN" w:bidi="ar"/>
              </w:rPr>
              <w:t>（4）</w:t>
            </w:r>
            <w:r>
              <w:rPr>
                <w:rFonts w:hint="eastAsia" w:ascii="宋体" w:hAnsi="宋体" w:eastAsia="宋体" w:cs="宋体"/>
                <w:color w:val="auto"/>
                <w:sz w:val="24"/>
                <w:szCs w:val="24"/>
                <w:highlight w:val="none"/>
                <w:lang w:val="en-US" w:eastAsia="zh-CN"/>
              </w:rPr>
              <w:t>所属行业中标注“/”的品目，无须在《中小企业声明函》中列明。</w:t>
            </w:r>
          </w:p>
        </w:tc>
      </w:tr>
    </w:tbl>
    <w:p w14:paraId="2B9E070D">
      <w:pPr>
        <w:keepNext w:val="0"/>
        <w:keepLines w:val="0"/>
        <w:pageBreakBefore w:val="0"/>
        <w:widowControl/>
        <w:kinsoku/>
        <w:wordWrap/>
        <w:overflowPunct/>
        <w:topLinePunct w:val="0"/>
        <w:autoSpaceDE/>
        <w:autoSpaceDN/>
        <w:bidi w:val="0"/>
        <w:adjustRightInd/>
        <w:snapToGrid w:val="0"/>
        <w:spacing w:line="360" w:lineRule="auto"/>
        <w:ind w:firstLine="482" w:firstLineChars="200"/>
        <w:textAlignment w:val="auto"/>
        <w:outlineLvl w:val="2"/>
        <w:rPr>
          <w:rFonts w:hint="eastAsia" w:ascii="宋体" w:hAnsi="宋体" w:eastAsia="宋体" w:cs="宋体"/>
          <w:b/>
          <w:bCs/>
          <w:color w:val="auto"/>
          <w:sz w:val="24"/>
          <w:szCs w:val="24"/>
          <w:highlight w:val="none"/>
        </w:rPr>
      </w:pPr>
    </w:p>
    <w:p w14:paraId="718D2EC2">
      <w:pPr>
        <w:keepNext w:val="0"/>
        <w:keepLines w:val="0"/>
        <w:pageBreakBefore w:val="0"/>
        <w:widowControl/>
        <w:kinsoku/>
        <w:wordWrap/>
        <w:overflowPunct/>
        <w:topLinePunct w:val="0"/>
        <w:autoSpaceDE/>
        <w:autoSpaceDN/>
        <w:bidi w:val="0"/>
        <w:adjustRightInd/>
        <w:snapToGrid w:val="0"/>
        <w:spacing w:line="360" w:lineRule="auto"/>
        <w:ind w:firstLine="482" w:firstLineChars="200"/>
        <w:textAlignment w:val="auto"/>
        <w:outlineLvl w:val="2"/>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eastAsia="zh-CN"/>
        </w:rPr>
        <w:t>（二）</w:t>
      </w:r>
      <w:r>
        <w:rPr>
          <w:rFonts w:hint="eastAsia" w:ascii="宋体" w:hAnsi="宋体" w:eastAsia="宋体" w:cs="宋体"/>
          <w:b/>
          <w:bCs/>
          <w:color w:val="auto"/>
          <w:sz w:val="24"/>
          <w:szCs w:val="24"/>
          <w:highlight w:val="none"/>
          <w:lang w:val="en-US" w:eastAsia="zh-CN"/>
        </w:rPr>
        <w:t>货物需求</w:t>
      </w:r>
      <w:r>
        <w:rPr>
          <w:rFonts w:hint="eastAsia" w:ascii="宋体" w:hAnsi="宋体" w:eastAsia="宋体" w:cs="宋体"/>
          <w:b/>
          <w:bCs/>
          <w:color w:val="auto"/>
          <w:sz w:val="24"/>
          <w:szCs w:val="24"/>
          <w:highlight w:val="none"/>
        </w:rPr>
        <w:t>清单</w:t>
      </w:r>
    </w:p>
    <w:tbl>
      <w:tblPr>
        <w:tblStyle w:val="4"/>
        <w:tblW w:w="541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72"/>
        <w:gridCol w:w="1429"/>
        <w:gridCol w:w="5334"/>
        <w:gridCol w:w="933"/>
        <w:gridCol w:w="960"/>
      </w:tblGrid>
      <w:tr w14:paraId="0F728D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572" w:type="dxa"/>
            <w:vAlign w:val="center"/>
          </w:tcPr>
          <w:p w14:paraId="11BD7109">
            <w:pPr>
              <w:keepNext w:val="0"/>
              <w:keepLines w:val="0"/>
              <w:pageBreakBefore w:val="0"/>
              <w:widowControl w:val="0"/>
              <w:kinsoku/>
              <w:wordWrap/>
              <w:overflowPunct/>
              <w:topLinePunct w:val="0"/>
              <w:autoSpaceDE/>
              <w:autoSpaceDN/>
              <w:bidi w:val="0"/>
              <w:adjustRightInd/>
              <w:snapToGrid/>
              <w:spacing w:line="300" w:lineRule="auto"/>
              <w:jc w:val="center"/>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序号</w:t>
            </w:r>
          </w:p>
        </w:tc>
        <w:tc>
          <w:tcPr>
            <w:tcW w:w="1429" w:type="dxa"/>
            <w:vAlign w:val="center"/>
          </w:tcPr>
          <w:p w14:paraId="7E2B1293">
            <w:pPr>
              <w:keepNext w:val="0"/>
              <w:keepLines w:val="0"/>
              <w:pageBreakBefore w:val="0"/>
              <w:widowControl w:val="0"/>
              <w:kinsoku/>
              <w:wordWrap/>
              <w:overflowPunct/>
              <w:topLinePunct w:val="0"/>
              <w:autoSpaceDE/>
              <w:autoSpaceDN/>
              <w:bidi w:val="0"/>
              <w:adjustRightInd/>
              <w:snapToGrid/>
              <w:spacing w:line="300" w:lineRule="auto"/>
              <w:jc w:val="center"/>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货物名称</w:t>
            </w:r>
          </w:p>
        </w:tc>
        <w:tc>
          <w:tcPr>
            <w:tcW w:w="5334" w:type="dxa"/>
            <w:vAlign w:val="center"/>
          </w:tcPr>
          <w:p w14:paraId="6296D4DC">
            <w:pPr>
              <w:keepNext w:val="0"/>
              <w:keepLines w:val="0"/>
              <w:pageBreakBefore w:val="0"/>
              <w:widowControl w:val="0"/>
              <w:kinsoku/>
              <w:wordWrap/>
              <w:overflowPunct/>
              <w:topLinePunct w:val="0"/>
              <w:autoSpaceDE/>
              <w:autoSpaceDN/>
              <w:bidi w:val="0"/>
              <w:adjustRightInd/>
              <w:snapToGrid/>
              <w:spacing w:line="300" w:lineRule="auto"/>
              <w:jc w:val="center"/>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技术参数及要求</w:t>
            </w:r>
          </w:p>
        </w:tc>
        <w:tc>
          <w:tcPr>
            <w:tcW w:w="933" w:type="dxa"/>
            <w:vAlign w:val="center"/>
          </w:tcPr>
          <w:p w14:paraId="39031E8F">
            <w:pPr>
              <w:keepNext w:val="0"/>
              <w:keepLines w:val="0"/>
              <w:pageBreakBefore w:val="0"/>
              <w:widowControl w:val="0"/>
              <w:kinsoku/>
              <w:wordWrap/>
              <w:overflowPunct/>
              <w:topLinePunct w:val="0"/>
              <w:autoSpaceDE/>
              <w:autoSpaceDN/>
              <w:bidi w:val="0"/>
              <w:adjustRightInd/>
              <w:snapToGrid/>
              <w:spacing w:line="300" w:lineRule="auto"/>
              <w:jc w:val="center"/>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数量</w:t>
            </w:r>
          </w:p>
          <w:p w14:paraId="4E92164F">
            <w:pPr>
              <w:keepNext w:val="0"/>
              <w:keepLines w:val="0"/>
              <w:pageBreakBefore w:val="0"/>
              <w:widowControl w:val="0"/>
              <w:kinsoku/>
              <w:wordWrap/>
              <w:overflowPunct/>
              <w:topLinePunct w:val="0"/>
              <w:autoSpaceDE/>
              <w:autoSpaceDN/>
              <w:bidi w:val="0"/>
              <w:adjustRightInd/>
              <w:snapToGrid/>
              <w:spacing w:line="300" w:lineRule="auto"/>
              <w:jc w:val="center"/>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w:t>
            </w:r>
            <w:r>
              <w:rPr>
                <w:rFonts w:hint="eastAsia" w:ascii="宋体" w:hAnsi="宋体" w:eastAsia="宋体" w:cs="宋体"/>
                <w:b/>
                <w:bCs/>
                <w:color w:val="auto"/>
                <w:sz w:val="24"/>
                <w:szCs w:val="24"/>
                <w:highlight w:val="none"/>
                <w:lang w:val="en-US" w:eastAsia="zh-CN"/>
              </w:rPr>
              <w:t>台/套</w:t>
            </w:r>
            <w:r>
              <w:rPr>
                <w:rFonts w:hint="eastAsia" w:ascii="宋体" w:hAnsi="宋体" w:eastAsia="宋体" w:cs="宋体"/>
                <w:b/>
                <w:bCs/>
                <w:color w:val="auto"/>
                <w:sz w:val="24"/>
                <w:szCs w:val="24"/>
                <w:highlight w:val="none"/>
              </w:rPr>
              <w:t>）</w:t>
            </w:r>
          </w:p>
        </w:tc>
        <w:tc>
          <w:tcPr>
            <w:tcW w:w="960" w:type="dxa"/>
            <w:vAlign w:val="center"/>
          </w:tcPr>
          <w:p w14:paraId="2942B374">
            <w:pPr>
              <w:keepNext w:val="0"/>
              <w:keepLines w:val="0"/>
              <w:pageBreakBefore w:val="0"/>
              <w:widowControl w:val="0"/>
              <w:kinsoku/>
              <w:wordWrap/>
              <w:overflowPunct/>
              <w:topLinePunct w:val="0"/>
              <w:autoSpaceDE/>
              <w:autoSpaceDN/>
              <w:bidi w:val="0"/>
              <w:adjustRightInd/>
              <w:snapToGrid/>
              <w:spacing w:line="300" w:lineRule="auto"/>
              <w:jc w:val="center"/>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所属</w:t>
            </w:r>
          </w:p>
          <w:p w14:paraId="05E6571E">
            <w:pPr>
              <w:keepNext w:val="0"/>
              <w:keepLines w:val="0"/>
              <w:pageBreakBefore w:val="0"/>
              <w:widowControl w:val="0"/>
              <w:kinsoku/>
              <w:wordWrap/>
              <w:overflowPunct/>
              <w:topLinePunct w:val="0"/>
              <w:autoSpaceDE/>
              <w:autoSpaceDN/>
              <w:bidi w:val="0"/>
              <w:adjustRightInd/>
              <w:snapToGrid/>
              <w:spacing w:line="300" w:lineRule="auto"/>
              <w:jc w:val="center"/>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行业</w:t>
            </w:r>
          </w:p>
        </w:tc>
      </w:tr>
      <w:tr w14:paraId="06032F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572" w:type="dxa"/>
            <w:vAlign w:val="center"/>
          </w:tcPr>
          <w:p w14:paraId="1BC9DF46">
            <w:pPr>
              <w:keepNext w:val="0"/>
              <w:keepLines w:val="0"/>
              <w:pageBreakBefore w:val="0"/>
              <w:widowControl w:val="0"/>
              <w:numPr>
                <w:ilvl w:val="0"/>
                <w:numId w:val="1"/>
              </w:numPr>
              <w:kinsoku/>
              <w:wordWrap/>
              <w:overflowPunct/>
              <w:topLinePunct w:val="0"/>
              <w:autoSpaceDE/>
              <w:autoSpaceDN/>
              <w:bidi w:val="0"/>
              <w:adjustRightInd/>
              <w:snapToGrid/>
              <w:spacing w:line="300" w:lineRule="auto"/>
              <w:ind w:left="425" w:leftChars="0" w:hanging="425" w:firstLineChars="0"/>
              <w:jc w:val="center"/>
              <w:textAlignment w:val="auto"/>
              <w:rPr>
                <w:rFonts w:hint="eastAsia" w:ascii="宋体" w:hAnsi="宋体" w:eastAsia="宋体" w:cs="宋体"/>
                <w:color w:val="auto"/>
                <w:sz w:val="24"/>
                <w:szCs w:val="24"/>
                <w:highlight w:val="none"/>
              </w:rPr>
            </w:pPr>
            <w:bookmarkStart w:id="6" w:name="OLE_LINK4" w:colFirst="0" w:colLast="4"/>
            <w:bookmarkStart w:id="7" w:name="_Toc7421"/>
            <w:bookmarkStart w:id="8" w:name="_Toc4843"/>
            <w:bookmarkStart w:id="9" w:name="_Toc15854"/>
          </w:p>
        </w:tc>
        <w:tc>
          <w:tcPr>
            <w:tcW w:w="1429" w:type="dxa"/>
            <w:shd w:val="clear" w:color="auto" w:fill="auto"/>
            <w:vAlign w:val="center"/>
          </w:tcPr>
          <w:p w14:paraId="1F83B078">
            <w:pPr>
              <w:keepNext w:val="0"/>
              <w:keepLines w:val="0"/>
              <w:pageBreakBefore w:val="0"/>
              <w:kinsoku/>
              <w:wordWrap/>
              <w:overflowPunct/>
              <w:topLinePunct w:val="0"/>
              <w:bidi w:val="0"/>
              <w:spacing w:line="300" w:lineRule="auto"/>
              <w:jc w:val="center"/>
              <w:rPr>
                <w:rFonts w:hint="eastAsia" w:ascii="宋体" w:hAnsi="宋体" w:eastAsia="宋体" w:cs="宋体"/>
                <w:b w:val="0"/>
                <w:bCs w:val="0"/>
                <w:color w:val="auto"/>
                <w:kern w:val="2"/>
                <w:sz w:val="24"/>
                <w:szCs w:val="24"/>
                <w:highlight w:val="none"/>
                <w:lang w:val="en-US" w:eastAsia="zh-CN" w:bidi="ar-SA"/>
              </w:rPr>
            </w:pPr>
            <w:r>
              <w:rPr>
                <w:rFonts w:hint="eastAsia" w:ascii="宋体" w:hAnsi="宋体" w:eastAsia="宋体" w:cs="宋体"/>
                <w:color w:val="auto"/>
                <w:sz w:val="24"/>
                <w:szCs w:val="24"/>
                <w:highlight w:val="none"/>
                <w:lang w:val="en-US" w:eastAsia="zh-CN"/>
              </w:rPr>
              <w:t>电火花检测仪</w:t>
            </w:r>
          </w:p>
        </w:tc>
        <w:tc>
          <w:tcPr>
            <w:tcW w:w="5334" w:type="dxa"/>
            <w:shd w:val="clear" w:color="auto" w:fill="auto"/>
            <w:vAlign w:val="top"/>
          </w:tcPr>
          <w:p w14:paraId="15C498D5">
            <w:pPr>
              <w:pStyle w:val="2"/>
              <w:keepNext w:val="0"/>
              <w:keepLines w:val="0"/>
              <w:pageBreakBefore w:val="0"/>
              <w:numPr>
                <w:ilvl w:val="0"/>
                <w:numId w:val="0"/>
              </w:numPr>
              <w:kinsoku/>
              <w:wordWrap/>
              <w:overflowPunct/>
              <w:topLinePunct w:val="0"/>
              <w:bidi w:val="0"/>
              <w:spacing w:after="0" w:line="300" w:lineRule="auto"/>
              <w:rPr>
                <w:rFonts w:hint="eastAsia" w:ascii="宋体" w:hAnsi="宋体" w:eastAsia="宋体" w:cs="宋体"/>
                <w:b/>
                <w:bCs/>
                <w:color w:val="auto"/>
                <w:kern w:val="2"/>
                <w:sz w:val="24"/>
                <w:szCs w:val="24"/>
                <w:highlight w:val="none"/>
                <w:lang w:val="en-US" w:eastAsia="zh-CN" w:bidi="ar-SA"/>
              </w:rPr>
            </w:pPr>
            <w:r>
              <w:rPr>
                <w:rFonts w:hint="eastAsia" w:ascii="宋体" w:hAnsi="宋体" w:eastAsia="宋体" w:cs="宋体"/>
                <w:b/>
                <w:bCs/>
                <w:color w:val="auto"/>
                <w:kern w:val="2"/>
                <w:sz w:val="24"/>
                <w:szCs w:val="24"/>
                <w:highlight w:val="none"/>
                <w:lang w:val="en-US" w:eastAsia="zh-CN" w:bidi="ar-SA"/>
              </w:rPr>
              <w:t>一、技术参数要求</w:t>
            </w:r>
          </w:p>
          <w:p w14:paraId="30DDD26F">
            <w:pPr>
              <w:keepNext w:val="0"/>
              <w:keepLines w:val="0"/>
              <w:pageBreakBefore w:val="0"/>
              <w:numPr>
                <w:ilvl w:val="0"/>
                <w:numId w:val="0"/>
              </w:numPr>
              <w:kinsoku/>
              <w:wordWrap/>
              <w:overflowPunct/>
              <w:topLinePunct w:val="0"/>
              <w:bidi w:val="0"/>
              <w:spacing w:line="30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1、可以根据防腐涂层的材料和厚度自动输出合适的测量电压</w:t>
            </w:r>
          </w:p>
          <w:p w14:paraId="013673B1">
            <w:pPr>
              <w:keepNext w:val="0"/>
              <w:keepLines w:val="0"/>
              <w:pageBreakBefore w:val="0"/>
              <w:kinsoku/>
              <w:wordWrap/>
              <w:overflowPunct/>
              <w:topLinePunct w:val="0"/>
              <w:bidi w:val="0"/>
              <w:spacing w:line="30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2、高压启动时有明亮的LED报警提示和屏幕上的图标显示；</w:t>
            </w:r>
          </w:p>
          <w:p w14:paraId="5B664BDA">
            <w:pPr>
              <w:keepNext w:val="0"/>
              <w:keepLines w:val="0"/>
              <w:pageBreakBefore w:val="0"/>
              <w:kinsoku/>
              <w:wordWrap/>
              <w:overflowPunct/>
              <w:topLinePunct w:val="0"/>
              <w:bidi w:val="0"/>
              <w:spacing w:line="30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3、检测到孔隙时，除电火花外，仪器发出声光报警信号，并精准记录下漏点数；</w:t>
            </w:r>
          </w:p>
          <w:p w14:paraId="6764139B">
            <w:pPr>
              <w:keepNext w:val="0"/>
              <w:keepLines w:val="0"/>
              <w:pageBreakBefore w:val="0"/>
              <w:kinsoku/>
              <w:wordWrap/>
              <w:overflowPunct/>
              <w:topLinePunct w:val="0"/>
              <w:bidi w:val="0"/>
              <w:spacing w:line="300" w:lineRule="auto"/>
              <w:rPr>
                <w:rFonts w:hint="eastAsia" w:ascii="宋体" w:hAnsi="宋体" w:eastAsia="宋体" w:cs="宋体"/>
                <w:color w:val="auto"/>
                <w:sz w:val="24"/>
                <w:szCs w:val="24"/>
                <w:highlight w:val="none"/>
                <w:lang w:val="en-GB" w:eastAsia="zh-CN"/>
              </w:rPr>
            </w:pPr>
            <w:r>
              <w:rPr>
                <w:rFonts w:hint="eastAsia" w:ascii="宋体" w:hAnsi="宋体" w:eastAsia="宋体" w:cs="宋体"/>
                <w:color w:val="auto"/>
                <w:sz w:val="24"/>
                <w:szCs w:val="24"/>
                <w:highlight w:val="none"/>
                <w:lang w:val="en-US" w:eastAsia="zh-CN"/>
              </w:rPr>
              <w:t>4、液晶带背光显示屏，至少显示测量电压、漏点数量、电池电量指示、菜单等仪器数据信息；</w:t>
            </w:r>
          </w:p>
          <w:p w14:paraId="3CA4A0AE">
            <w:pPr>
              <w:keepNext w:val="0"/>
              <w:keepLines w:val="0"/>
              <w:pageBreakBefore w:val="0"/>
              <w:kinsoku/>
              <w:wordWrap/>
              <w:overflowPunct/>
              <w:topLinePunct w:val="0"/>
              <w:bidi w:val="0"/>
              <w:spacing w:line="30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5、工作高压输出采用脉冲式放电，可防止对防腐涂层的二次伤害；</w:t>
            </w:r>
          </w:p>
          <w:p w14:paraId="7B20419A">
            <w:pPr>
              <w:keepNext w:val="0"/>
              <w:keepLines w:val="0"/>
              <w:pageBreakBefore w:val="0"/>
              <w:kinsoku/>
              <w:wordWrap/>
              <w:overflowPunct/>
              <w:topLinePunct w:val="0"/>
              <w:bidi w:val="0"/>
              <w:spacing w:line="30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6、检测厚度覆盖0.2mm～10mm；</w:t>
            </w:r>
          </w:p>
          <w:p w14:paraId="522AB9C1">
            <w:pPr>
              <w:keepNext w:val="0"/>
              <w:keepLines w:val="0"/>
              <w:pageBreakBefore w:val="0"/>
              <w:kinsoku/>
              <w:wordWrap/>
              <w:overflowPunct/>
              <w:topLinePunct w:val="0"/>
              <w:bidi w:val="0"/>
              <w:spacing w:line="30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7、测试电压范围：不小于 0~30kV；</w:t>
            </w:r>
          </w:p>
          <w:p w14:paraId="5DF567EC">
            <w:pPr>
              <w:keepNext w:val="0"/>
              <w:keepLines w:val="0"/>
              <w:pageBreakBefore w:val="0"/>
              <w:kinsoku/>
              <w:wordWrap/>
              <w:overflowPunct/>
              <w:topLinePunct w:val="0"/>
              <w:bidi w:val="0"/>
              <w:spacing w:line="30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8、精确度：±0.1kV＋3%度数；</w:t>
            </w:r>
          </w:p>
          <w:p w14:paraId="58B09294">
            <w:pPr>
              <w:keepNext w:val="0"/>
              <w:keepLines w:val="0"/>
              <w:pageBreakBefore w:val="0"/>
              <w:kinsoku/>
              <w:wordWrap/>
              <w:overflowPunct/>
              <w:topLinePunct w:val="0"/>
              <w:bidi w:val="0"/>
              <w:spacing w:line="30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9、显示分辨率：0.1kV，短路电流：0.1mA；</w:t>
            </w:r>
          </w:p>
          <w:p w14:paraId="0C8D6E9A">
            <w:pPr>
              <w:keepNext w:val="0"/>
              <w:keepLines w:val="0"/>
              <w:pageBreakBefore w:val="0"/>
              <w:kinsoku/>
              <w:wordWrap/>
              <w:overflowPunct/>
              <w:topLinePunct w:val="0"/>
              <w:bidi w:val="0"/>
              <w:spacing w:line="300" w:lineRule="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10、报警：发光+蜂鸣器组合双报警；</w:t>
            </w:r>
          </w:p>
          <w:p w14:paraId="2DFD71F1">
            <w:pPr>
              <w:keepNext w:val="0"/>
              <w:keepLines w:val="0"/>
              <w:pageBreakBefore w:val="0"/>
              <w:kinsoku/>
              <w:wordWrap/>
              <w:overflowPunct/>
              <w:topLinePunct w:val="0"/>
              <w:bidi w:val="0"/>
              <w:spacing w:line="30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11、电池：可充电锂电池。</w:t>
            </w:r>
          </w:p>
          <w:p w14:paraId="60F33163">
            <w:pPr>
              <w:keepNext w:val="0"/>
              <w:keepLines w:val="0"/>
              <w:pageBreakBefore w:val="0"/>
              <w:kinsoku/>
              <w:wordWrap/>
              <w:overflowPunct/>
              <w:topLinePunct w:val="0"/>
              <w:bidi w:val="0"/>
              <w:spacing w:line="300" w:lineRule="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三、配置要求</w:t>
            </w:r>
          </w:p>
          <w:p w14:paraId="3612E83E">
            <w:pPr>
              <w:keepNext w:val="0"/>
              <w:keepLines w:val="0"/>
              <w:pageBreakBefore w:val="0"/>
              <w:kinsoku/>
              <w:wordWrap/>
              <w:overflowPunct/>
              <w:topLinePunct w:val="0"/>
              <w:bidi w:val="0"/>
              <w:spacing w:line="300" w:lineRule="auto"/>
              <w:rPr>
                <w:rFonts w:hint="eastAsia" w:ascii="宋体" w:hAnsi="宋体" w:eastAsia="宋体" w:cs="宋体"/>
                <w:b/>
                <w:bCs/>
                <w:color w:val="auto"/>
                <w:kern w:val="2"/>
                <w:sz w:val="24"/>
                <w:szCs w:val="24"/>
                <w:highlight w:val="none"/>
                <w:lang w:val="en-US" w:eastAsia="zh-CN" w:bidi="ar-SA"/>
              </w:rPr>
            </w:pPr>
            <w:r>
              <w:rPr>
                <w:rFonts w:hint="eastAsia" w:ascii="宋体" w:hAnsi="宋体" w:eastAsia="宋体" w:cs="宋体"/>
                <w:color w:val="auto"/>
                <w:sz w:val="24"/>
                <w:szCs w:val="24"/>
                <w:highlight w:val="none"/>
                <w:lang w:val="en-US" w:eastAsia="zh-CN"/>
              </w:rPr>
              <w:t>主机一台、高压探棒一个、探棒连接线一根、扇形探刷，排刷各一个、接地线一套、充电器一只、背带根、磁性接地柱一个、ABS包装箱一个、说明书、合格证、保修卡一套、保险丝2只</w:t>
            </w:r>
          </w:p>
        </w:tc>
        <w:tc>
          <w:tcPr>
            <w:tcW w:w="933" w:type="dxa"/>
            <w:shd w:val="clear" w:color="auto" w:fill="auto"/>
            <w:vAlign w:val="center"/>
          </w:tcPr>
          <w:p w14:paraId="5BB1FCA7">
            <w:pPr>
              <w:keepNext w:val="0"/>
              <w:keepLines w:val="0"/>
              <w:pageBreakBefore w:val="0"/>
              <w:kinsoku/>
              <w:wordWrap/>
              <w:overflowPunct/>
              <w:topLinePunct w:val="0"/>
              <w:bidi w:val="0"/>
              <w:spacing w:line="300" w:lineRule="auto"/>
              <w:jc w:val="center"/>
              <w:rPr>
                <w:rFonts w:hint="eastAsia" w:ascii="宋体" w:hAnsi="宋体" w:eastAsia="宋体" w:cs="宋体"/>
                <w:b w:val="0"/>
                <w:bCs w:val="0"/>
                <w:color w:val="auto"/>
                <w:kern w:val="2"/>
                <w:sz w:val="24"/>
                <w:szCs w:val="24"/>
                <w:highlight w:val="none"/>
                <w:lang w:val="en-US" w:eastAsia="zh-CN" w:bidi="ar-SA"/>
              </w:rPr>
            </w:pPr>
            <w:r>
              <w:rPr>
                <w:rFonts w:hint="eastAsia" w:ascii="宋体" w:hAnsi="宋体" w:eastAsia="宋体" w:cs="宋体"/>
                <w:color w:val="auto"/>
                <w:sz w:val="24"/>
                <w:szCs w:val="24"/>
                <w:highlight w:val="none"/>
                <w:lang w:val="en-US" w:eastAsia="zh-CN"/>
              </w:rPr>
              <w:t>3</w:t>
            </w:r>
          </w:p>
        </w:tc>
        <w:tc>
          <w:tcPr>
            <w:tcW w:w="960" w:type="dxa"/>
            <w:vAlign w:val="center"/>
          </w:tcPr>
          <w:p w14:paraId="38E0B884">
            <w:pPr>
              <w:keepNext w:val="0"/>
              <w:keepLines w:val="0"/>
              <w:pageBreakBefore w:val="0"/>
              <w:widowControl w:val="0"/>
              <w:kinsoku/>
              <w:wordWrap/>
              <w:overflowPunct/>
              <w:topLinePunct w:val="0"/>
              <w:autoSpaceDE/>
              <w:autoSpaceDN/>
              <w:bidi w:val="0"/>
              <w:adjustRightInd/>
              <w:snapToGrid/>
              <w:spacing w:line="300" w:lineRule="auto"/>
              <w:jc w:val="center"/>
              <w:textAlignment w:val="auto"/>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工业</w:t>
            </w:r>
          </w:p>
        </w:tc>
      </w:tr>
      <w:bookmarkEnd w:id="6"/>
      <w:tr w14:paraId="73BCEB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572" w:type="dxa"/>
            <w:vAlign w:val="center"/>
          </w:tcPr>
          <w:p w14:paraId="3892EF47">
            <w:pPr>
              <w:keepNext w:val="0"/>
              <w:keepLines w:val="0"/>
              <w:pageBreakBefore w:val="0"/>
              <w:widowControl w:val="0"/>
              <w:numPr>
                <w:ilvl w:val="0"/>
                <w:numId w:val="1"/>
              </w:numPr>
              <w:kinsoku/>
              <w:wordWrap/>
              <w:overflowPunct/>
              <w:topLinePunct w:val="0"/>
              <w:autoSpaceDE/>
              <w:autoSpaceDN/>
              <w:bidi w:val="0"/>
              <w:adjustRightInd/>
              <w:snapToGrid/>
              <w:spacing w:line="300" w:lineRule="auto"/>
              <w:ind w:left="425" w:leftChars="0" w:hanging="425" w:firstLineChars="0"/>
              <w:jc w:val="center"/>
              <w:textAlignment w:val="auto"/>
              <w:rPr>
                <w:rFonts w:hint="eastAsia" w:ascii="宋体" w:hAnsi="宋体" w:eastAsia="宋体" w:cs="宋体"/>
                <w:color w:val="auto"/>
                <w:sz w:val="24"/>
                <w:szCs w:val="24"/>
                <w:highlight w:val="none"/>
              </w:rPr>
            </w:pPr>
          </w:p>
        </w:tc>
        <w:tc>
          <w:tcPr>
            <w:tcW w:w="1429" w:type="dxa"/>
            <w:shd w:val="clear" w:color="auto" w:fill="auto"/>
            <w:vAlign w:val="center"/>
          </w:tcPr>
          <w:p w14:paraId="5CF6B893">
            <w:pPr>
              <w:keepNext w:val="0"/>
              <w:keepLines w:val="0"/>
              <w:pageBreakBefore w:val="0"/>
              <w:kinsoku/>
              <w:wordWrap/>
              <w:overflowPunct/>
              <w:topLinePunct w:val="0"/>
              <w:bidi w:val="0"/>
              <w:spacing w:line="300" w:lineRule="auto"/>
              <w:jc w:val="center"/>
              <w:rPr>
                <w:rFonts w:hint="eastAsia" w:ascii="宋体" w:hAnsi="宋体" w:eastAsia="宋体" w:cs="宋体"/>
                <w:b w:val="0"/>
                <w:bCs w:val="0"/>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杂散电流检测仪</w:t>
            </w:r>
          </w:p>
        </w:tc>
        <w:tc>
          <w:tcPr>
            <w:tcW w:w="5334" w:type="dxa"/>
            <w:shd w:val="clear" w:color="auto" w:fill="auto"/>
            <w:vAlign w:val="top"/>
          </w:tcPr>
          <w:p w14:paraId="2EAFE1D4">
            <w:pPr>
              <w:keepNext w:val="0"/>
              <w:keepLines w:val="0"/>
              <w:pageBreakBefore w:val="0"/>
              <w:numPr>
                <w:ilvl w:val="0"/>
                <w:numId w:val="0"/>
              </w:numPr>
              <w:kinsoku/>
              <w:wordWrap/>
              <w:overflowPunct/>
              <w:topLinePunct w:val="0"/>
              <w:bidi w:val="0"/>
              <w:spacing w:line="300" w:lineRule="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一、技术参数要求：</w:t>
            </w:r>
          </w:p>
          <w:p w14:paraId="45F3DA55">
            <w:pPr>
              <w:keepNext w:val="0"/>
              <w:keepLines w:val="0"/>
              <w:pageBreakBefore w:val="0"/>
              <w:numPr>
                <w:ilvl w:val="0"/>
                <w:numId w:val="0"/>
              </w:numPr>
              <w:kinsoku/>
              <w:wordWrap/>
              <w:overflowPunct/>
              <w:topLinePunct w:val="0"/>
              <w:bidi w:val="0"/>
              <w:spacing w:line="30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1、设备参数：</w:t>
            </w:r>
          </w:p>
          <w:p w14:paraId="2EA4FDCE">
            <w:pPr>
              <w:keepNext w:val="0"/>
              <w:keepLines w:val="0"/>
              <w:pageBreakBefore w:val="0"/>
              <w:numPr>
                <w:ilvl w:val="0"/>
                <w:numId w:val="0"/>
              </w:numPr>
              <w:kinsoku/>
              <w:wordWrap/>
              <w:overflowPunct/>
              <w:topLinePunct w:val="0"/>
              <w:bidi w:val="0"/>
              <w:spacing w:line="30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★（1）检测功能：可以同时检测记录管地电位、交流电压、横/纵地电位梯度等四组数据</w:t>
            </w:r>
            <w:r>
              <w:rPr>
                <w:rFonts w:hint="eastAsia" w:ascii="宋体" w:hAnsi="宋体" w:eastAsia="宋体" w:cs="宋体"/>
                <w:b/>
                <w:bCs/>
                <w:color w:val="auto"/>
                <w:sz w:val="24"/>
                <w:szCs w:val="24"/>
                <w:highlight w:val="none"/>
                <w:lang w:val="en-US" w:eastAsia="zh-CN"/>
              </w:rPr>
              <w:t>（投标文件中提供</w:t>
            </w:r>
            <w:r>
              <w:rPr>
                <w:rFonts w:hint="eastAsia" w:ascii="宋体" w:hAnsi="宋体" w:eastAsia="宋体" w:cs="宋体"/>
                <w:b/>
                <w:bCs/>
                <w:color w:val="auto"/>
                <w:kern w:val="2"/>
                <w:sz w:val="24"/>
                <w:szCs w:val="24"/>
                <w:highlight w:val="none"/>
                <w:lang w:val="en-US" w:eastAsia="zh-CN"/>
              </w:rPr>
              <w:t>功能</w:t>
            </w:r>
            <w:r>
              <w:rPr>
                <w:rFonts w:hint="eastAsia" w:ascii="宋体" w:hAnsi="宋体" w:eastAsia="宋体" w:cs="宋体"/>
                <w:b/>
                <w:bCs/>
                <w:color w:val="auto"/>
                <w:sz w:val="24"/>
                <w:szCs w:val="24"/>
                <w:highlight w:val="none"/>
                <w:lang w:val="en-US" w:eastAsia="zh-CN"/>
              </w:rPr>
              <w:t>实拍图佐证）</w:t>
            </w:r>
            <w:r>
              <w:rPr>
                <w:rFonts w:hint="eastAsia" w:ascii="宋体" w:hAnsi="宋体" w:eastAsia="宋体" w:cs="宋体"/>
                <w:color w:val="auto"/>
                <w:sz w:val="24"/>
                <w:szCs w:val="24"/>
                <w:highlight w:val="none"/>
                <w:lang w:val="en-US" w:eastAsia="zh-CN"/>
              </w:rPr>
              <w:t>；</w:t>
            </w:r>
          </w:p>
          <w:p w14:paraId="19E07761">
            <w:pPr>
              <w:keepNext w:val="0"/>
              <w:keepLines w:val="0"/>
              <w:pageBreakBefore w:val="0"/>
              <w:numPr>
                <w:ilvl w:val="0"/>
                <w:numId w:val="0"/>
              </w:numPr>
              <w:kinsoku/>
              <w:wordWrap/>
              <w:overflowPunct/>
              <w:topLinePunct w:val="0"/>
              <w:bidi w:val="0"/>
              <w:spacing w:line="30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（2）检测量程：管地电位：-10V～+10V、电位梯度：-10V～+10V、交流电压：0～200V（Rms）；</w:t>
            </w:r>
          </w:p>
          <w:p w14:paraId="1A7733D0">
            <w:pPr>
              <w:keepNext w:val="0"/>
              <w:keepLines w:val="0"/>
              <w:pageBreakBefore w:val="0"/>
              <w:numPr>
                <w:ilvl w:val="0"/>
                <w:numId w:val="0"/>
              </w:numPr>
              <w:kinsoku/>
              <w:wordWrap/>
              <w:overflowPunct/>
              <w:topLinePunct w:val="0"/>
              <w:bidi w:val="0"/>
              <w:spacing w:line="30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（3）记录精度：管地电位：1mV、电位梯度：0.1mV、交流电压：20mV（RMS）；</w:t>
            </w:r>
          </w:p>
          <w:p w14:paraId="1508DC35">
            <w:pPr>
              <w:keepNext w:val="0"/>
              <w:keepLines w:val="0"/>
              <w:pageBreakBefore w:val="0"/>
              <w:numPr>
                <w:ilvl w:val="0"/>
                <w:numId w:val="0"/>
              </w:numPr>
              <w:kinsoku/>
              <w:wordWrap/>
              <w:overflowPunct/>
              <w:topLinePunct w:val="0"/>
              <w:bidi w:val="0"/>
              <w:spacing w:line="30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★（4）数据显示：LED屏幕实时数据显示四个通道数据；</w:t>
            </w:r>
            <w:r>
              <w:rPr>
                <w:rFonts w:hint="eastAsia" w:ascii="宋体" w:hAnsi="宋体" w:eastAsia="宋体" w:cs="宋体"/>
                <w:b/>
                <w:bCs/>
                <w:color w:val="auto"/>
                <w:sz w:val="24"/>
                <w:szCs w:val="24"/>
                <w:highlight w:val="none"/>
                <w:lang w:val="en-US" w:eastAsia="zh-CN"/>
              </w:rPr>
              <w:t>（投标文件</w:t>
            </w:r>
            <w:r>
              <w:rPr>
                <w:rFonts w:hint="eastAsia" w:ascii="宋体" w:hAnsi="宋体" w:eastAsia="宋体" w:cs="宋体"/>
                <w:b/>
                <w:bCs/>
                <w:color w:val="auto"/>
                <w:kern w:val="2"/>
                <w:sz w:val="24"/>
                <w:szCs w:val="24"/>
                <w:highlight w:val="none"/>
                <w:lang w:val="en-US" w:eastAsia="zh-CN"/>
              </w:rPr>
              <w:t>提供功能界面截图或功能界面实拍照片佐证</w:t>
            </w:r>
            <w:r>
              <w:rPr>
                <w:rFonts w:hint="eastAsia" w:ascii="宋体" w:hAnsi="宋体" w:eastAsia="宋体" w:cs="宋体"/>
                <w:b/>
                <w:bCs/>
                <w:color w:val="auto"/>
                <w:sz w:val="24"/>
                <w:szCs w:val="24"/>
                <w:highlight w:val="none"/>
                <w:lang w:val="en-US" w:eastAsia="zh-CN"/>
              </w:rPr>
              <w:t>）</w:t>
            </w:r>
            <w:r>
              <w:rPr>
                <w:rFonts w:hint="eastAsia" w:ascii="宋体" w:hAnsi="宋体" w:eastAsia="宋体" w:cs="宋体"/>
                <w:color w:val="auto"/>
                <w:sz w:val="24"/>
                <w:szCs w:val="24"/>
                <w:highlight w:val="none"/>
                <w:lang w:val="en-US" w:eastAsia="zh-CN"/>
              </w:rPr>
              <w:t>；</w:t>
            </w:r>
          </w:p>
          <w:p w14:paraId="5D02D121">
            <w:pPr>
              <w:keepNext w:val="0"/>
              <w:keepLines w:val="0"/>
              <w:pageBreakBefore w:val="0"/>
              <w:numPr>
                <w:ilvl w:val="0"/>
                <w:numId w:val="0"/>
              </w:numPr>
              <w:kinsoku/>
              <w:wordWrap/>
              <w:overflowPunct/>
              <w:topLinePunct w:val="0"/>
              <w:bidi w:val="0"/>
              <w:spacing w:line="30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★（5）通讯方式：无线蓝牙信号；</w:t>
            </w:r>
            <w:r>
              <w:rPr>
                <w:rFonts w:hint="eastAsia" w:ascii="宋体" w:hAnsi="宋体" w:eastAsia="宋体" w:cs="宋体"/>
                <w:b/>
                <w:bCs/>
                <w:color w:val="auto"/>
                <w:sz w:val="24"/>
                <w:szCs w:val="24"/>
                <w:highlight w:val="none"/>
                <w:lang w:val="en-US" w:eastAsia="zh-CN"/>
              </w:rPr>
              <w:t>（投标文件</w:t>
            </w:r>
            <w:r>
              <w:rPr>
                <w:rFonts w:hint="eastAsia" w:ascii="宋体" w:hAnsi="宋体" w:eastAsia="宋体" w:cs="宋体"/>
                <w:b/>
                <w:bCs/>
                <w:color w:val="auto"/>
                <w:kern w:val="2"/>
                <w:sz w:val="24"/>
                <w:szCs w:val="24"/>
                <w:highlight w:val="none"/>
                <w:lang w:val="en-US" w:eastAsia="zh-CN"/>
              </w:rPr>
              <w:t>提供功能界面截图或功能界面实拍照片佐证</w:t>
            </w:r>
            <w:r>
              <w:rPr>
                <w:rFonts w:hint="eastAsia" w:ascii="宋体" w:hAnsi="宋体" w:eastAsia="宋体" w:cs="宋体"/>
                <w:b/>
                <w:bCs/>
                <w:color w:val="auto"/>
                <w:sz w:val="24"/>
                <w:szCs w:val="24"/>
                <w:highlight w:val="none"/>
                <w:lang w:val="en-US" w:eastAsia="zh-CN"/>
              </w:rPr>
              <w:t>）</w:t>
            </w:r>
            <w:r>
              <w:rPr>
                <w:rFonts w:hint="eastAsia" w:ascii="宋体" w:hAnsi="宋体" w:eastAsia="宋体" w:cs="宋体"/>
                <w:color w:val="auto"/>
                <w:sz w:val="24"/>
                <w:szCs w:val="24"/>
                <w:highlight w:val="none"/>
                <w:lang w:val="en-US" w:eastAsia="zh-CN"/>
              </w:rPr>
              <w:t>；</w:t>
            </w:r>
          </w:p>
          <w:p w14:paraId="17A693F2">
            <w:pPr>
              <w:keepNext w:val="0"/>
              <w:keepLines w:val="0"/>
              <w:pageBreakBefore w:val="0"/>
              <w:numPr>
                <w:ilvl w:val="0"/>
                <w:numId w:val="0"/>
              </w:numPr>
              <w:kinsoku/>
              <w:wordWrap/>
              <w:overflowPunct/>
              <w:topLinePunct w:val="0"/>
              <w:bidi w:val="0"/>
              <w:spacing w:line="30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（6）操作系统：专业数据分析显示及控制软件；</w:t>
            </w:r>
          </w:p>
          <w:p w14:paraId="665BD224">
            <w:pPr>
              <w:keepNext w:val="0"/>
              <w:keepLines w:val="0"/>
              <w:pageBreakBefore w:val="0"/>
              <w:numPr>
                <w:ilvl w:val="0"/>
                <w:numId w:val="0"/>
              </w:numPr>
              <w:kinsoku/>
              <w:wordWrap/>
              <w:overflowPunct/>
              <w:topLinePunct w:val="0"/>
              <w:bidi w:val="0"/>
              <w:spacing w:line="30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（7）记录媒介：≥通用8G容量U盘或SD卡； </w:t>
            </w:r>
          </w:p>
          <w:p w14:paraId="3D53999C">
            <w:pPr>
              <w:keepNext w:val="0"/>
              <w:keepLines w:val="0"/>
              <w:pageBreakBefore w:val="0"/>
              <w:numPr>
                <w:ilvl w:val="0"/>
                <w:numId w:val="0"/>
              </w:numPr>
              <w:kinsoku/>
              <w:wordWrap/>
              <w:overflowPunct/>
              <w:topLinePunct w:val="0"/>
              <w:bidi w:val="0"/>
              <w:spacing w:line="300" w:lineRule="auto"/>
              <w:rPr>
                <w:rFonts w:hint="eastAsia" w:ascii="宋体" w:hAnsi="宋体" w:eastAsia="宋体" w:cs="宋体"/>
                <w:b/>
                <w:bCs/>
                <w:color w:val="auto"/>
                <w:sz w:val="24"/>
                <w:szCs w:val="24"/>
                <w:highlight w:val="none"/>
                <w:lang w:val="en-US" w:eastAsia="zh-CN"/>
              </w:rPr>
            </w:pPr>
            <w:r>
              <w:rPr>
                <w:rFonts w:hint="eastAsia" w:ascii="宋体" w:hAnsi="宋体" w:eastAsia="宋体" w:cs="宋体"/>
                <w:color w:val="auto"/>
                <w:sz w:val="24"/>
                <w:szCs w:val="24"/>
                <w:highlight w:val="none"/>
                <w:lang w:val="en-US" w:eastAsia="zh-CN"/>
              </w:rPr>
              <w:t>★（8）采样频率：采样频率≥40Hz</w:t>
            </w:r>
            <w:r>
              <w:rPr>
                <w:rFonts w:hint="eastAsia" w:ascii="宋体" w:hAnsi="宋体" w:eastAsia="宋体" w:cs="宋体"/>
                <w:b/>
                <w:bCs/>
                <w:color w:val="auto"/>
                <w:sz w:val="24"/>
                <w:szCs w:val="24"/>
                <w:highlight w:val="none"/>
                <w:lang w:val="en-US" w:eastAsia="zh-CN"/>
              </w:rPr>
              <w:t>（投标文件</w:t>
            </w:r>
            <w:r>
              <w:rPr>
                <w:rFonts w:hint="eastAsia" w:ascii="宋体" w:hAnsi="宋体" w:eastAsia="宋体" w:cs="宋体"/>
                <w:b/>
                <w:bCs/>
                <w:color w:val="auto"/>
                <w:kern w:val="2"/>
                <w:sz w:val="24"/>
                <w:szCs w:val="24"/>
                <w:highlight w:val="none"/>
                <w:lang w:val="en-US" w:eastAsia="zh-CN"/>
              </w:rPr>
              <w:t>提供功能界面截图或功能界面实拍照片佐证</w:t>
            </w:r>
            <w:r>
              <w:rPr>
                <w:rFonts w:hint="eastAsia" w:ascii="宋体" w:hAnsi="宋体" w:eastAsia="宋体" w:cs="宋体"/>
                <w:b/>
                <w:bCs/>
                <w:color w:val="auto"/>
                <w:sz w:val="24"/>
                <w:szCs w:val="24"/>
                <w:highlight w:val="none"/>
                <w:lang w:val="en-US" w:eastAsia="zh-CN"/>
              </w:rPr>
              <w:t>）</w:t>
            </w:r>
            <w:r>
              <w:rPr>
                <w:rFonts w:hint="eastAsia" w:ascii="宋体" w:hAnsi="宋体" w:eastAsia="宋体" w:cs="宋体"/>
                <w:color w:val="auto"/>
                <w:sz w:val="24"/>
                <w:szCs w:val="24"/>
                <w:highlight w:val="none"/>
                <w:lang w:val="en-US" w:eastAsia="zh-CN"/>
              </w:rPr>
              <w:t>；</w:t>
            </w:r>
          </w:p>
          <w:p w14:paraId="47512225">
            <w:pPr>
              <w:keepNext w:val="0"/>
              <w:keepLines w:val="0"/>
              <w:pageBreakBefore w:val="0"/>
              <w:numPr>
                <w:ilvl w:val="0"/>
                <w:numId w:val="0"/>
              </w:numPr>
              <w:kinsoku/>
              <w:wordWrap/>
              <w:overflowPunct/>
              <w:topLinePunct w:val="0"/>
              <w:bidi w:val="0"/>
              <w:spacing w:line="30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（9）电池：可充电锂电池； </w:t>
            </w:r>
          </w:p>
          <w:p w14:paraId="43917C6B">
            <w:pPr>
              <w:keepNext w:val="0"/>
              <w:keepLines w:val="0"/>
              <w:pageBreakBefore w:val="0"/>
              <w:numPr>
                <w:ilvl w:val="0"/>
                <w:numId w:val="0"/>
              </w:numPr>
              <w:kinsoku/>
              <w:wordWrap/>
              <w:overflowPunct/>
              <w:topLinePunct w:val="0"/>
              <w:bidi w:val="0"/>
              <w:spacing w:line="30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（10）记录时间：≥48小时数据记录；</w:t>
            </w:r>
          </w:p>
          <w:p w14:paraId="7C128832">
            <w:pPr>
              <w:keepNext w:val="0"/>
              <w:keepLines w:val="0"/>
              <w:pageBreakBefore w:val="0"/>
              <w:numPr>
                <w:ilvl w:val="0"/>
                <w:numId w:val="0"/>
              </w:numPr>
              <w:kinsoku/>
              <w:wordWrap/>
              <w:overflowPunct/>
              <w:topLinePunct w:val="0"/>
              <w:bidi w:val="0"/>
              <w:spacing w:line="30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（11）工作温度：覆盖-20℃～50℃；</w:t>
            </w:r>
          </w:p>
          <w:p w14:paraId="71F3FE98">
            <w:pPr>
              <w:keepNext w:val="0"/>
              <w:keepLines w:val="0"/>
              <w:pageBreakBefore w:val="0"/>
              <w:numPr>
                <w:ilvl w:val="0"/>
                <w:numId w:val="0"/>
              </w:numPr>
              <w:kinsoku/>
              <w:wordWrap/>
              <w:overflowPunct/>
              <w:topLinePunct w:val="0"/>
              <w:bidi w:val="0"/>
              <w:spacing w:line="30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2、控制器技术要求</w:t>
            </w:r>
          </w:p>
          <w:p w14:paraId="7BECC5D4">
            <w:pPr>
              <w:keepNext w:val="0"/>
              <w:keepLines w:val="0"/>
              <w:widowControl/>
              <w:suppressLineNumbers w:val="0"/>
              <w:jc w:val="left"/>
              <w:rPr>
                <w:rFonts w:hint="eastAsia" w:ascii="宋体" w:hAnsi="宋体" w:eastAsia="宋体" w:cs="宋体"/>
                <w:b/>
                <w:bCs/>
                <w:color w:val="000000"/>
                <w:kern w:val="0"/>
                <w:sz w:val="24"/>
                <w:szCs w:val="24"/>
                <w:highlight w:val="none"/>
                <w:lang w:val="en-US" w:eastAsia="zh-CN" w:bidi="ar"/>
              </w:rPr>
            </w:pPr>
            <w:r>
              <w:rPr>
                <w:rFonts w:hint="eastAsia" w:ascii="宋体" w:hAnsi="宋体" w:eastAsia="宋体" w:cs="宋体"/>
                <w:color w:val="auto"/>
                <w:sz w:val="24"/>
                <w:szCs w:val="24"/>
                <w:highlight w:val="none"/>
                <w:lang w:val="en-US" w:eastAsia="zh-CN"/>
              </w:rPr>
              <w:t>★采集参数设置：</w:t>
            </w:r>
            <w:r>
              <w:rPr>
                <w:rFonts w:hint="eastAsia" w:ascii="宋体" w:hAnsi="宋体" w:eastAsia="宋体" w:cs="宋体"/>
                <w:color w:val="000000"/>
                <w:kern w:val="0"/>
                <w:sz w:val="24"/>
                <w:szCs w:val="24"/>
                <w:highlight w:val="none"/>
                <w:lang w:val="en-US" w:eastAsia="zh-CN" w:bidi="ar"/>
              </w:rPr>
              <w:t>采集参数设置至少包括 SCL 和 IPL 两种，可对设备进行采集时长、开始记录时间等方面的设置，观察管道上的信号波形并查看采集数据等操作。</w:t>
            </w:r>
            <w:r>
              <w:rPr>
                <w:rFonts w:hint="eastAsia" w:ascii="宋体" w:hAnsi="宋体" w:eastAsia="宋体" w:cs="宋体"/>
                <w:b/>
                <w:bCs/>
                <w:color w:val="000000"/>
                <w:kern w:val="0"/>
                <w:sz w:val="24"/>
                <w:szCs w:val="24"/>
                <w:highlight w:val="none"/>
                <w:lang w:val="en-US" w:eastAsia="zh-CN" w:bidi="ar"/>
              </w:rPr>
              <w:t xml:space="preserve">（投标文件需出具软件界面截图予以佐证） </w:t>
            </w:r>
          </w:p>
          <w:p w14:paraId="57677E6C">
            <w:pPr>
              <w:keepNext w:val="0"/>
              <w:keepLines w:val="0"/>
              <w:pageBreakBefore w:val="0"/>
              <w:numPr>
                <w:ilvl w:val="0"/>
                <w:numId w:val="0"/>
              </w:numPr>
              <w:kinsoku/>
              <w:wordWrap/>
              <w:overflowPunct/>
              <w:topLinePunct w:val="0"/>
              <w:bidi w:val="0"/>
              <w:spacing w:line="30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3、杂散电流检测数据分析软件：</w:t>
            </w:r>
          </w:p>
          <w:p w14:paraId="34C6AA9C">
            <w:pPr>
              <w:keepNext w:val="0"/>
              <w:keepLines w:val="0"/>
              <w:pageBreakBefore w:val="0"/>
              <w:numPr>
                <w:ilvl w:val="0"/>
                <w:numId w:val="0"/>
              </w:numPr>
              <w:kinsoku/>
              <w:wordWrap/>
              <w:overflowPunct/>
              <w:topLinePunct w:val="0"/>
              <w:bidi w:val="0"/>
              <w:spacing w:line="30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（1）可对管地电位、交流电位等进行分析计算；</w:t>
            </w:r>
          </w:p>
          <w:p w14:paraId="64A494AA">
            <w:pPr>
              <w:keepNext w:val="0"/>
              <w:keepLines w:val="0"/>
              <w:pageBreakBefore w:val="0"/>
              <w:numPr>
                <w:ilvl w:val="0"/>
                <w:numId w:val="0"/>
              </w:numPr>
              <w:kinsoku/>
              <w:wordWrap/>
              <w:overflowPunct/>
              <w:topLinePunct w:val="0"/>
              <w:bidi w:val="0"/>
              <w:spacing w:line="300" w:lineRule="auto"/>
              <w:rPr>
                <w:rFonts w:hint="eastAsia" w:ascii="宋体" w:hAnsi="宋体" w:eastAsia="宋体" w:cs="宋体"/>
                <w:b/>
                <w:bCs/>
                <w:color w:val="auto"/>
                <w:sz w:val="24"/>
                <w:szCs w:val="24"/>
                <w:highlight w:val="none"/>
                <w:lang w:val="en-US" w:eastAsia="zh-CN"/>
              </w:rPr>
            </w:pPr>
            <w:r>
              <w:rPr>
                <w:rFonts w:hint="eastAsia" w:ascii="宋体" w:hAnsi="宋体" w:eastAsia="宋体" w:cs="宋体"/>
                <w:color w:val="auto"/>
                <w:sz w:val="24"/>
                <w:szCs w:val="24"/>
                <w:highlight w:val="none"/>
                <w:lang w:val="en-US" w:eastAsia="zh-CN"/>
              </w:rPr>
              <w:t>★（2）支持多数据曲线相关系数，衰减率等综合计算</w:t>
            </w:r>
            <w:r>
              <w:rPr>
                <w:rFonts w:hint="eastAsia" w:ascii="宋体" w:hAnsi="宋体" w:eastAsia="宋体" w:cs="宋体"/>
                <w:b/>
                <w:bCs/>
                <w:color w:val="auto"/>
                <w:sz w:val="24"/>
                <w:szCs w:val="24"/>
                <w:highlight w:val="none"/>
                <w:lang w:val="en-US" w:eastAsia="zh-CN"/>
              </w:rPr>
              <w:t>（投标文件中提供软件截图佐证）</w:t>
            </w:r>
            <w:r>
              <w:rPr>
                <w:rFonts w:hint="eastAsia" w:ascii="宋体" w:hAnsi="宋体" w:eastAsia="宋体" w:cs="宋体"/>
                <w:color w:val="auto"/>
                <w:sz w:val="24"/>
                <w:szCs w:val="24"/>
                <w:highlight w:val="none"/>
                <w:lang w:val="en-US" w:eastAsia="zh-CN"/>
              </w:rPr>
              <w:t>；</w:t>
            </w:r>
          </w:p>
          <w:p w14:paraId="3F369BDB">
            <w:pPr>
              <w:keepNext w:val="0"/>
              <w:keepLines w:val="0"/>
              <w:pageBreakBefore w:val="0"/>
              <w:numPr>
                <w:ilvl w:val="0"/>
                <w:numId w:val="0"/>
              </w:numPr>
              <w:kinsoku/>
              <w:wordWrap/>
              <w:overflowPunct/>
              <w:topLinePunct w:val="0"/>
              <w:bidi w:val="0"/>
              <w:spacing w:line="30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（3）至少包括曲线形式显示数据；</w:t>
            </w:r>
          </w:p>
          <w:p w14:paraId="3B3D8DC3">
            <w:pPr>
              <w:keepNext w:val="0"/>
              <w:keepLines w:val="0"/>
              <w:pageBreakBefore w:val="0"/>
              <w:numPr>
                <w:ilvl w:val="0"/>
                <w:numId w:val="0"/>
              </w:numPr>
              <w:kinsoku/>
              <w:wordWrap/>
              <w:overflowPunct/>
              <w:topLinePunct w:val="0"/>
              <w:bidi w:val="0"/>
              <w:spacing w:line="30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（4）支持导出excel等格式的数据文件；</w:t>
            </w:r>
          </w:p>
          <w:p w14:paraId="7C822CF3">
            <w:pPr>
              <w:keepNext w:val="0"/>
              <w:keepLines w:val="0"/>
              <w:pageBreakBefore w:val="0"/>
              <w:numPr>
                <w:ilvl w:val="0"/>
                <w:numId w:val="0"/>
              </w:numPr>
              <w:kinsoku/>
              <w:wordWrap/>
              <w:overflowPunct/>
              <w:topLinePunct w:val="0"/>
              <w:bidi w:val="0"/>
              <w:spacing w:line="300" w:lineRule="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二、配置清单</w:t>
            </w:r>
          </w:p>
          <w:p w14:paraId="2427F931">
            <w:pPr>
              <w:keepNext w:val="0"/>
              <w:keepLines w:val="0"/>
              <w:pageBreakBefore w:val="0"/>
              <w:numPr>
                <w:ilvl w:val="0"/>
                <w:numId w:val="0"/>
              </w:numPr>
              <w:kinsoku/>
              <w:wordWrap/>
              <w:overflowPunct/>
              <w:topLinePunct w:val="0"/>
              <w:bidi w:val="0"/>
              <w:spacing w:line="300" w:lineRule="auto"/>
              <w:ind w:left="0" w:leftChars="0" w:firstLine="0" w:firstLineChars="0"/>
              <w:rPr>
                <w:rFonts w:hint="eastAsia" w:ascii="宋体" w:hAnsi="宋体" w:eastAsia="宋体" w:cs="宋体"/>
                <w:b/>
                <w:bCs/>
                <w:color w:val="auto"/>
                <w:kern w:val="2"/>
                <w:sz w:val="24"/>
                <w:szCs w:val="24"/>
                <w:highlight w:val="none"/>
                <w:lang w:val="en-US" w:eastAsia="zh-CN" w:bidi="ar-SA"/>
              </w:rPr>
            </w:pPr>
            <w:r>
              <w:rPr>
                <w:rFonts w:hint="eastAsia" w:ascii="宋体" w:hAnsi="宋体" w:eastAsia="宋体" w:cs="宋体"/>
                <w:color w:val="auto"/>
                <w:sz w:val="24"/>
                <w:szCs w:val="24"/>
                <w:highlight w:val="none"/>
                <w:lang w:val="en-US" w:eastAsia="zh-CN"/>
              </w:rPr>
              <w:t>测量主机一台、PAD智能控制器一台、电位测量线一套、横纵电位梯度测量线一套、交流电压测量线一套、硫酸铜参比电极4支、杂散电流检测及数据分析软件1套、超级加密狗1个、软件说明书1本，U盘或SD卡≥8G。</w:t>
            </w:r>
          </w:p>
        </w:tc>
        <w:tc>
          <w:tcPr>
            <w:tcW w:w="933" w:type="dxa"/>
            <w:shd w:val="clear" w:color="auto" w:fill="auto"/>
            <w:vAlign w:val="center"/>
          </w:tcPr>
          <w:p w14:paraId="2AF21707">
            <w:pPr>
              <w:keepNext w:val="0"/>
              <w:keepLines w:val="0"/>
              <w:pageBreakBefore w:val="0"/>
              <w:kinsoku/>
              <w:wordWrap/>
              <w:overflowPunct/>
              <w:topLinePunct w:val="0"/>
              <w:bidi w:val="0"/>
              <w:spacing w:line="300" w:lineRule="auto"/>
              <w:jc w:val="center"/>
              <w:rPr>
                <w:rFonts w:hint="eastAsia" w:ascii="宋体" w:hAnsi="宋体" w:eastAsia="宋体" w:cs="宋体"/>
                <w:b w:val="0"/>
                <w:bCs w:val="0"/>
                <w:color w:val="auto"/>
                <w:kern w:val="2"/>
                <w:sz w:val="24"/>
                <w:szCs w:val="24"/>
                <w:highlight w:val="none"/>
                <w:lang w:val="en-US" w:eastAsia="zh-CN" w:bidi="ar-SA"/>
              </w:rPr>
            </w:pPr>
            <w:r>
              <w:rPr>
                <w:rFonts w:hint="eastAsia" w:ascii="宋体" w:hAnsi="宋体" w:eastAsia="宋体" w:cs="宋体"/>
                <w:color w:val="auto"/>
                <w:sz w:val="24"/>
                <w:szCs w:val="24"/>
                <w:highlight w:val="none"/>
                <w:lang w:val="en-US" w:eastAsia="zh-CN"/>
              </w:rPr>
              <w:t>2</w:t>
            </w:r>
          </w:p>
        </w:tc>
        <w:tc>
          <w:tcPr>
            <w:tcW w:w="960" w:type="dxa"/>
            <w:vAlign w:val="center"/>
          </w:tcPr>
          <w:p w14:paraId="351717C9">
            <w:pPr>
              <w:keepNext w:val="0"/>
              <w:keepLines w:val="0"/>
              <w:pageBreakBefore w:val="0"/>
              <w:widowControl w:val="0"/>
              <w:kinsoku/>
              <w:wordWrap/>
              <w:overflowPunct/>
              <w:topLinePunct w:val="0"/>
              <w:autoSpaceDE/>
              <w:autoSpaceDN/>
              <w:bidi w:val="0"/>
              <w:adjustRightInd/>
              <w:snapToGrid/>
              <w:spacing w:line="300" w:lineRule="auto"/>
              <w:jc w:val="center"/>
              <w:textAlignment w:val="auto"/>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工业</w:t>
            </w:r>
          </w:p>
        </w:tc>
      </w:tr>
      <w:tr w14:paraId="43E530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572" w:type="dxa"/>
            <w:vAlign w:val="center"/>
          </w:tcPr>
          <w:p w14:paraId="2C0BD46E">
            <w:pPr>
              <w:keepNext w:val="0"/>
              <w:keepLines w:val="0"/>
              <w:pageBreakBefore w:val="0"/>
              <w:widowControl w:val="0"/>
              <w:numPr>
                <w:ilvl w:val="0"/>
                <w:numId w:val="1"/>
              </w:numPr>
              <w:kinsoku/>
              <w:wordWrap/>
              <w:overflowPunct/>
              <w:topLinePunct w:val="0"/>
              <w:autoSpaceDE/>
              <w:autoSpaceDN/>
              <w:bidi w:val="0"/>
              <w:adjustRightInd/>
              <w:snapToGrid/>
              <w:spacing w:line="300" w:lineRule="auto"/>
              <w:ind w:left="425" w:leftChars="0" w:hanging="425" w:firstLineChars="0"/>
              <w:jc w:val="center"/>
              <w:textAlignment w:val="auto"/>
              <w:rPr>
                <w:rFonts w:hint="eastAsia" w:ascii="宋体" w:hAnsi="宋体" w:eastAsia="宋体" w:cs="宋体"/>
                <w:color w:val="auto"/>
                <w:sz w:val="24"/>
                <w:szCs w:val="24"/>
                <w:highlight w:val="none"/>
              </w:rPr>
            </w:pPr>
          </w:p>
        </w:tc>
        <w:tc>
          <w:tcPr>
            <w:tcW w:w="1429" w:type="dxa"/>
            <w:shd w:val="clear" w:color="auto" w:fill="auto"/>
            <w:vAlign w:val="center"/>
          </w:tcPr>
          <w:p w14:paraId="3D67E9DA">
            <w:pPr>
              <w:keepNext w:val="0"/>
              <w:keepLines w:val="0"/>
              <w:pageBreakBefore w:val="0"/>
              <w:kinsoku/>
              <w:wordWrap/>
              <w:overflowPunct/>
              <w:topLinePunct w:val="0"/>
              <w:bidi w:val="0"/>
              <w:spacing w:line="300" w:lineRule="auto"/>
              <w:jc w:val="center"/>
              <w:rPr>
                <w:rFonts w:hint="eastAsia" w:ascii="宋体" w:hAnsi="宋体" w:eastAsia="宋体" w:cs="宋体"/>
                <w:b w:val="0"/>
                <w:bCs w:val="0"/>
                <w:color w:val="auto"/>
                <w:kern w:val="2"/>
                <w:sz w:val="24"/>
                <w:szCs w:val="24"/>
                <w:highlight w:val="none"/>
                <w:lang w:val="en-US" w:eastAsia="zh-CN" w:bidi="ar-SA"/>
              </w:rPr>
            </w:pPr>
            <w:r>
              <w:rPr>
                <w:rFonts w:hint="eastAsia" w:ascii="宋体" w:hAnsi="宋体" w:eastAsia="宋体"/>
                <w:color w:val="auto"/>
                <w:sz w:val="24"/>
                <w:szCs w:val="18"/>
                <w:highlight w:val="none"/>
                <w:lang w:val="en-US" w:eastAsia="zh-CN"/>
              </w:rPr>
              <w:t>▲</w:t>
            </w:r>
            <w:r>
              <w:rPr>
                <w:rFonts w:hint="eastAsia" w:ascii="宋体" w:hAnsi="宋体" w:eastAsia="宋体" w:cs="宋体"/>
                <w:color w:val="auto"/>
                <w:kern w:val="2"/>
                <w:sz w:val="24"/>
                <w:szCs w:val="24"/>
                <w:highlight w:val="none"/>
                <w:lang w:val="en-US" w:eastAsia="zh-CN" w:bidi="ar-SA"/>
              </w:rPr>
              <w:t>直流电压梯度检测系统和密间隔管地电位检测仪</w:t>
            </w:r>
          </w:p>
        </w:tc>
        <w:tc>
          <w:tcPr>
            <w:tcW w:w="5334" w:type="dxa"/>
            <w:shd w:val="clear" w:color="auto" w:fill="auto"/>
            <w:vAlign w:val="top"/>
          </w:tcPr>
          <w:p w14:paraId="5BBE588E">
            <w:pPr>
              <w:keepNext w:val="0"/>
              <w:keepLines w:val="0"/>
              <w:pageBreakBefore w:val="0"/>
              <w:numPr>
                <w:ilvl w:val="0"/>
                <w:numId w:val="0"/>
              </w:numPr>
              <w:kinsoku/>
              <w:wordWrap/>
              <w:overflowPunct/>
              <w:topLinePunct w:val="0"/>
              <w:bidi w:val="0"/>
              <w:spacing w:line="300" w:lineRule="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一、技术参数要求：</w:t>
            </w:r>
          </w:p>
          <w:p w14:paraId="61A6BA42">
            <w:pPr>
              <w:keepNext w:val="0"/>
              <w:keepLines w:val="0"/>
              <w:pageBreakBefore w:val="0"/>
              <w:numPr>
                <w:ilvl w:val="0"/>
                <w:numId w:val="0"/>
              </w:numPr>
              <w:kinsoku/>
              <w:wordWrap/>
              <w:overflowPunct/>
              <w:topLinePunct w:val="0"/>
              <w:bidi w:val="0"/>
              <w:spacing w:line="300" w:lineRule="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1、检测主机：</w:t>
            </w:r>
          </w:p>
          <w:p w14:paraId="2AE75934">
            <w:pPr>
              <w:keepNext w:val="0"/>
              <w:keepLines w:val="0"/>
              <w:pageBreakBefore w:val="0"/>
              <w:numPr>
                <w:ilvl w:val="0"/>
                <w:numId w:val="0"/>
              </w:numPr>
              <w:kinsoku/>
              <w:wordWrap/>
              <w:overflowPunct/>
              <w:topLinePunct w:val="0"/>
              <w:bidi w:val="0"/>
              <w:spacing w:line="30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1）检测功能：至少包括通/断电位、通/断电位梯度；</w:t>
            </w:r>
          </w:p>
          <w:p w14:paraId="67556AA0">
            <w:pPr>
              <w:keepNext w:val="0"/>
              <w:keepLines w:val="0"/>
              <w:pageBreakBefore w:val="0"/>
              <w:numPr>
                <w:ilvl w:val="0"/>
                <w:numId w:val="0"/>
              </w:numPr>
              <w:kinsoku/>
              <w:wordWrap/>
              <w:overflowPunct/>
              <w:topLinePunct w:val="0"/>
              <w:bidi w:val="0"/>
              <w:spacing w:line="30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2）检测精度：管地电位：不低于1mV；</w:t>
            </w:r>
          </w:p>
          <w:p w14:paraId="6C007E2D">
            <w:pPr>
              <w:keepNext w:val="0"/>
              <w:keepLines w:val="0"/>
              <w:pageBreakBefore w:val="0"/>
              <w:numPr>
                <w:ilvl w:val="0"/>
                <w:numId w:val="0"/>
              </w:numPr>
              <w:kinsoku/>
              <w:wordWrap/>
              <w:overflowPunct/>
              <w:topLinePunct w:val="0"/>
              <w:bidi w:val="0"/>
              <w:spacing w:line="30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3）电位梯度：≥0.1mV；</w:t>
            </w:r>
          </w:p>
          <w:p w14:paraId="6204EF7A">
            <w:pPr>
              <w:keepNext w:val="0"/>
              <w:keepLines w:val="0"/>
              <w:pageBreakBefore w:val="0"/>
              <w:numPr>
                <w:ilvl w:val="0"/>
                <w:numId w:val="0"/>
              </w:numPr>
              <w:kinsoku/>
              <w:wordWrap/>
              <w:overflowPunct/>
              <w:topLinePunct w:val="0"/>
              <w:bidi w:val="0"/>
              <w:spacing w:line="30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4）量程范围：管地电位：覆盖范围-30V～+30V；   </w:t>
            </w:r>
          </w:p>
          <w:p w14:paraId="0464853A">
            <w:pPr>
              <w:keepNext w:val="0"/>
              <w:keepLines w:val="0"/>
              <w:pageBreakBefore w:val="0"/>
              <w:numPr>
                <w:ilvl w:val="0"/>
                <w:numId w:val="0"/>
              </w:numPr>
              <w:kinsoku/>
              <w:wordWrap/>
              <w:overflowPunct/>
              <w:topLinePunct w:val="0"/>
              <w:bidi w:val="0"/>
              <w:spacing w:line="30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5）电位梯度：覆盖范围-10V～+10V；</w:t>
            </w:r>
          </w:p>
          <w:p w14:paraId="6DF6AAD9">
            <w:pPr>
              <w:keepNext w:val="0"/>
              <w:keepLines w:val="0"/>
              <w:pageBreakBefore w:val="0"/>
              <w:numPr>
                <w:ilvl w:val="0"/>
                <w:numId w:val="0"/>
              </w:numPr>
              <w:kinsoku/>
              <w:wordWrap/>
              <w:overflowPunct/>
              <w:topLinePunct w:val="0"/>
              <w:bidi w:val="0"/>
              <w:spacing w:line="30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6）检测埋深：≥5m；</w:t>
            </w:r>
          </w:p>
          <w:p w14:paraId="79DD6A0E">
            <w:pPr>
              <w:keepNext w:val="0"/>
              <w:keepLines w:val="0"/>
              <w:pageBreakBefore w:val="0"/>
              <w:numPr>
                <w:ilvl w:val="0"/>
                <w:numId w:val="0"/>
              </w:numPr>
              <w:kinsoku/>
              <w:wordWrap/>
              <w:overflowPunct/>
              <w:topLinePunct w:val="0"/>
              <w:bidi w:val="0"/>
              <w:spacing w:line="30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★7）输入阻抗：≥20兆欧；</w:t>
            </w:r>
          </w:p>
          <w:p w14:paraId="5B1601EE">
            <w:pPr>
              <w:keepNext w:val="0"/>
              <w:keepLines w:val="0"/>
              <w:pageBreakBefore w:val="0"/>
              <w:numPr>
                <w:ilvl w:val="0"/>
                <w:numId w:val="0"/>
              </w:numPr>
              <w:kinsoku/>
              <w:wordWrap/>
              <w:overflowPunct/>
              <w:topLinePunct w:val="0"/>
              <w:bidi w:val="0"/>
              <w:spacing w:line="30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8）软件：至少包括专业中文数据分析软件；</w:t>
            </w:r>
          </w:p>
          <w:p w14:paraId="0CF1A6A1">
            <w:pPr>
              <w:keepNext w:val="0"/>
              <w:keepLines w:val="0"/>
              <w:pageBreakBefore w:val="0"/>
              <w:numPr>
                <w:ilvl w:val="0"/>
                <w:numId w:val="0"/>
              </w:numPr>
              <w:kinsoku/>
              <w:wordWrap/>
              <w:overflowPunct/>
              <w:topLinePunct w:val="0"/>
              <w:bidi w:val="0"/>
              <w:spacing w:line="30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9）测量原理：至少包括电位梯度法、密间隔电位测量法；</w:t>
            </w:r>
          </w:p>
          <w:p w14:paraId="2DFFCA00">
            <w:pPr>
              <w:keepNext w:val="0"/>
              <w:keepLines w:val="0"/>
              <w:pageBreakBefore w:val="0"/>
              <w:numPr>
                <w:ilvl w:val="0"/>
                <w:numId w:val="0"/>
              </w:numPr>
              <w:kinsoku/>
              <w:wordWrap/>
              <w:overflowPunct/>
              <w:topLinePunct w:val="0"/>
              <w:bidi w:val="0"/>
              <w:spacing w:line="30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10）通断周期：≥10个；</w:t>
            </w:r>
          </w:p>
          <w:p w14:paraId="62632926">
            <w:pPr>
              <w:keepNext w:val="0"/>
              <w:keepLines w:val="0"/>
              <w:pageBreakBefore w:val="0"/>
              <w:numPr>
                <w:ilvl w:val="0"/>
                <w:numId w:val="0"/>
              </w:numPr>
              <w:kinsoku/>
              <w:wordWrap/>
              <w:overflowPunct/>
              <w:topLinePunct w:val="0"/>
              <w:bidi w:val="0"/>
              <w:spacing w:line="30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★11）数据显示：彩色LED屏幕</w:t>
            </w:r>
            <w:r>
              <w:rPr>
                <w:rFonts w:hint="eastAsia" w:ascii="宋体" w:hAnsi="宋体" w:eastAsia="宋体" w:cs="宋体"/>
                <w:b/>
                <w:bCs/>
                <w:color w:val="auto"/>
                <w:sz w:val="24"/>
                <w:szCs w:val="24"/>
                <w:highlight w:val="none"/>
                <w:lang w:val="en-US" w:eastAsia="zh-CN"/>
              </w:rPr>
              <w:t>（投标文件中提供实拍图佐证）；</w:t>
            </w:r>
          </w:p>
          <w:p w14:paraId="6C812FAF">
            <w:pPr>
              <w:keepNext w:val="0"/>
              <w:keepLines w:val="0"/>
              <w:pageBreakBefore w:val="0"/>
              <w:numPr>
                <w:ilvl w:val="0"/>
                <w:numId w:val="0"/>
              </w:numPr>
              <w:kinsoku/>
              <w:wordWrap/>
              <w:overflowPunct/>
              <w:topLinePunct w:val="0"/>
              <w:bidi w:val="0"/>
              <w:spacing w:line="30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★12）延时(采集)设置：至少支持100ms、200ms、400ms自动设置、支持1-999ms延时采集手动设置</w:t>
            </w:r>
            <w:r>
              <w:rPr>
                <w:rFonts w:hint="eastAsia" w:ascii="宋体" w:hAnsi="宋体" w:eastAsia="宋体" w:cs="宋体"/>
                <w:b/>
                <w:bCs/>
                <w:color w:val="auto"/>
                <w:sz w:val="24"/>
                <w:szCs w:val="24"/>
                <w:highlight w:val="none"/>
                <w:lang w:val="en-US" w:eastAsia="zh-CN"/>
              </w:rPr>
              <w:t>（投标文件中提供实拍图佐证）</w:t>
            </w:r>
            <w:r>
              <w:rPr>
                <w:rFonts w:hint="eastAsia" w:ascii="宋体" w:hAnsi="宋体" w:eastAsia="宋体" w:cs="宋体"/>
                <w:color w:val="auto"/>
                <w:sz w:val="24"/>
                <w:szCs w:val="24"/>
                <w:highlight w:val="none"/>
                <w:lang w:val="en-US" w:eastAsia="zh-CN"/>
              </w:rPr>
              <w:t>；</w:t>
            </w:r>
          </w:p>
          <w:p w14:paraId="64969FAE">
            <w:pPr>
              <w:keepNext w:val="0"/>
              <w:keepLines w:val="0"/>
              <w:pageBreakBefore w:val="0"/>
              <w:numPr>
                <w:ilvl w:val="0"/>
                <w:numId w:val="0"/>
              </w:numPr>
              <w:kinsoku/>
              <w:wordWrap/>
              <w:overflowPunct/>
              <w:topLinePunct w:val="0"/>
              <w:bidi w:val="0"/>
              <w:spacing w:line="30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13）外部存储：≥通用16G U盘/SD卡；</w:t>
            </w:r>
          </w:p>
          <w:p w14:paraId="56E50259">
            <w:pPr>
              <w:keepNext w:val="0"/>
              <w:keepLines w:val="0"/>
              <w:pageBreakBefore w:val="0"/>
              <w:numPr>
                <w:ilvl w:val="0"/>
                <w:numId w:val="0"/>
              </w:numPr>
              <w:kinsoku/>
              <w:wordWrap/>
              <w:overflowPunct/>
              <w:topLinePunct w:val="0"/>
              <w:bidi w:val="0"/>
              <w:spacing w:line="30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14）同步方式：至少包括卫星同步、脉冲信号自动识别同步；</w:t>
            </w:r>
          </w:p>
          <w:p w14:paraId="40C1CE6F">
            <w:pPr>
              <w:keepNext w:val="0"/>
              <w:keepLines w:val="0"/>
              <w:pageBreakBefore w:val="0"/>
              <w:numPr>
                <w:ilvl w:val="0"/>
                <w:numId w:val="0"/>
              </w:numPr>
              <w:kinsoku/>
              <w:wordWrap/>
              <w:overflowPunct/>
              <w:topLinePunct w:val="0"/>
              <w:bidi w:val="0"/>
              <w:spacing w:line="30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15）定位功能：≥亚米级卫星引擎；</w:t>
            </w:r>
          </w:p>
          <w:p w14:paraId="6C3E0B0A">
            <w:pPr>
              <w:keepNext w:val="0"/>
              <w:keepLines w:val="0"/>
              <w:pageBreakBefore w:val="0"/>
              <w:numPr>
                <w:ilvl w:val="0"/>
                <w:numId w:val="0"/>
              </w:numPr>
              <w:kinsoku/>
              <w:wordWrap/>
              <w:overflowPunct/>
              <w:topLinePunct w:val="0"/>
              <w:bidi w:val="0"/>
              <w:spacing w:line="30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16）记录方式：支持手动及自动，≥40000组/文件；</w:t>
            </w:r>
          </w:p>
          <w:p w14:paraId="72E97009">
            <w:pPr>
              <w:keepNext w:val="0"/>
              <w:keepLines w:val="0"/>
              <w:widowControl/>
              <w:suppressLineNumbers w:val="0"/>
              <w:jc w:val="left"/>
              <w:rPr>
                <w:rFonts w:hint="eastAsia" w:ascii="宋体" w:hAnsi="宋体" w:eastAsia="宋体" w:cs="宋体"/>
                <w:b/>
                <w:bCs/>
                <w:color w:val="auto"/>
                <w:sz w:val="24"/>
                <w:szCs w:val="24"/>
                <w:highlight w:val="none"/>
                <w:lang w:val="en-US" w:eastAsia="zh-CN"/>
              </w:rPr>
            </w:pPr>
            <w:r>
              <w:rPr>
                <w:rFonts w:hint="eastAsia" w:ascii="宋体" w:hAnsi="宋体" w:eastAsia="宋体" w:cs="宋体"/>
                <w:color w:val="auto"/>
                <w:sz w:val="24"/>
                <w:szCs w:val="24"/>
                <w:highlight w:val="none"/>
                <w:lang w:val="en-US" w:eastAsia="zh-CN"/>
              </w:rPr>
              <w:t>★17）报警设置：至少包括尾线故障报</w:t>
            </w:r>
            <w:r>
              <w:rPr>
                <w:rFonts w:hint="eastAsia" w:ascii="宋体" w:hAnsi="宋体" w:eastAsia="宋体" w:cs="宋体"/>
                <w:color w:val="000000"/>
                <w:kern w:val="0"/>
                <w:sz w:val="24"/>
                <w:szCs w:val="24"/>
                <w:highlight w:val="none"/>
                <w:lang w:val="en-US" w:eastAsia="zh-CN" w:bidi="ar"/>
              </w:rPr>
              <w:t>警、电位异常报警</w:t>
            </w:r>
            <w:r>
              <w:rPr>
                <w:rFonts w:hint="eastAsia" w:ascii="宋体" w:hAnsi="宋体" w:eastAsia="宋体" w:cs="宋体"/>
                <w:b/>
                <w:bCs/>
                <w:color w:val="auto"/>
                <w:sz w:val="24"/>
                <w:szCs w:val="24"/>
                <w:highlight w:val="none"/>
                <w:lang w:val="en-US" w:eastAsia="zh-CN"/>
              </w:rPr>
              <w:t>（投标文件中提供操作功能界面截图予以证明）；</w:t>
            </w:r>
          </w:p>
          <w:p w14:paraId="388FD466">
            <w:pPr>
              <w:keepNext w:val="0"/>
              <w:keepLines w:val="0"/>
              <w:pageBreakBefore w:val="0"/>
              <w:numPr>
                <w:ilvl w:val="0"/>
                <w:numId w:val="0"/>
              </w:numPr>
              <w:kinsoku/>
              <w:wordWrap/>
              <w:overflowPunct/>
              <w:topLinePunct w:val="0"/>
              <w:bidi w:val="0"/>
              <w:spacing w:line="30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18）输入距离：至少包括卫星自动距离计算/背架计距轮计距；</w:t>
            </w:r>
          </w:p>
          <w:p w14:paraId="7B672713">
            <w:pPr>
              <w:keepNext w:val="0"/>
              <w:keepLines w:val="0"/>
              <w:pageBreakBefore w:val="0"/>
              <w:numPr>
                <w:ilvl w:val="0"/>
                <w:numId w:val="0"/>
              </w:numPr>
              <w:kinsoku/>
              <w:wordWrap/>
              <w:overflowPunct/>
              <w:topLinePunct w:val="0"/>
              <w:bidi w:val="0"/>
              <w:spacing w:line="30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19）仪器键盘：至少包括数字/字母混合按式键盘</w:t>
            </w:r>
          </w:p>
          <w:p w14:paraId="0D194EC7">
            <w:pPr>
              <w:keepNext w:val="0"/>
              <w:keepLines w:val="0"/>
              <w:pageBreakBefore w:val="0"/>
              <w:numPr>
                <w:ilvl w:val="0"/>
                <w:numId w:val="0"/>
              </w:numPr>
              <w:kinsoku/>
              <w:wordWrap/>
              <w:overflowPunct/>
              <w:topLinePunct w:val="0"/>
              <w:bidi w:val="0"/>
              <w:spacing w:line="30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20）电源：至少包括可充电式锂电，工作时间≥16小时；</w:t>
            </w:r>
          </w:p>
          <w:p w14:paraId="392B4A17">
            <w:pPr>
              <w:keepNext w:val="0"/>
              <w:keepLines w:val="0"/>
              <w:pageBreakBefore w:val="0"/>
              <w:numPr>
                <w:ilvl w:val="0"/>
                <w:numId w:val="0"/>
              </w:numPr>
              <w:kinsoku/>
              <w:wordWrap/>
              <w:overflowPunct/>
              <w:topLinePunct w:val="0"/>
              <w:bidi w:val="0"/>
              <w:spacing w:line="30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★21）记录触发：按钮控制（手动）距离/时间触发（自动）</w:t>
            </w:r>
            <w:r>
              <w:rPr>
                <w:rFonts w:hint="eastAsia" w:ascii="宋体" w:hAnsi="宋体" w:eastAsia="宋体" w:cs="宋体"/>
                <w:b/>
                <w:bCs/>
                <w:color w:val="auto"/>
                <w:sz w:val="24"/>
                <w:szCs w:val="24"/>
                <w:highlight w:val="none"/>
                <w:lang w:val="en-US" w:eastAsia="zh-CN"/>
              </w:rPr>
              <w:t>（投标文件需提供操作界面截图证明）；</w:t>
            </w:r>
          </w:p>
          <w:p w14:paraId="37FDF942">
            <w:pPr>
              <w:keepNext w:val="0"/>
              <w:keepLines w:val="0"/>
              <w:pageBreakBefore w:val="0"/>
              <w:numPr>
                <w:ilvl w:val="0"/>
                <w:numId w:val="0"/>
              </w:numPr>
              <w:kinsoku/>
              <w:wordWrap/>
              <w:overflowPunct/>
              <w:topLinePunct w:val="0"/>
              <w:bidi w:val="0"/>
              <w:spacing w:line="300" w:lineRule="auto"/>
              <w:rPr>
                <w:rFonts w:hint="eastAsia" w:ascii="宋体" w:hAnsi="宋体" w:eastAsia="宋体" w:cs="宋体"/>
                <w:b/>
                <w:bCs/>
                <w:color w:val="auto"/>
                <w:sz w:val="24"/>
                <w:szCs w:val="24"/>
                <w:highlight w:val="none"/>
                <w:lang w:val="en-US" w:eastAsia="zh-CN"/>
              </w:rPr>
            </w:pPr>
            <w:r>
              <w:rPr>
                <w:rFonts w:hint="eastAsia" w:ascii="宋体" w:hAnsi="宋体" w:eastAsia="宋体" w:cs="宋体"/>
                <w:color w:val="auto"/>
                <w:sz w:val="24"/>
                <w:szCs w:val="24"/>
                <w:highlight w:val="none"/>
                <w:lang w:val="en-US" w:eastAsia="zh-CN"/>
              </w:rPr>
              <w:t>★22）破损点识别：至少包括自动识别是否存在破损点及方向</w:t>
            </w:r>
            <w:r>
              <w:rPr>
                <w:rFonts w:hint="eastAsia" w:ascii="宋体" w:hAnsi="宋体" w:eastAsia="宋体" w:cs="宋体"/>
                <w:b/>
                <w:bCs/>
                <w:color w:val="auto"/>
                <w:sz w:val="24"/>
                <w:szCs w:val="24"/>
                <w:highlight w:val="none"/>
                <w:lang w:val="en-US" w:eastAsia="zh-CN"/>
              </w:rPr>
              <w:t>（投标文件中提供功能界面实拍图佐证）；</w:t>
            </w:r>
          </w:p>
          <w:p w14:paraId="3FAB342E">
            <w:pPr>
              <w:keepNext w:val="0"/>
              <w:keepLines w:val="0"/>
              <w:pageBreakBefore w:val="0"/>
              <w:numPr>
                <w:ilvl w:val="0"/>
                <w:numId w:val="0"/>
              </w:numPr>
              <w:kinsoku/>
              <w:wordWrap/>
              <w:overflowPunct/>
              <w:topLinePunct w:val="0"/>
              <w:bidi w:val="0"/>
              <w:spacing w:line="30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★23）智能计算：至少包括破损严重程度IR%自动计算、腐蚀活性智能分析</w:t>
            </w:r>
            <w:r>
              <w:rPr>
                <w:rFonts w:hint="eastAsia" w:ascii="宋体" w:hAnsi="宋体" w:eastAsia="宋体" w:cs="宋体"/>
                <w:b/>
                <w:bCs/>
                <w:color w:val="auto"/>
                <w:sz w:val="24"/>
                <w:szCs w:val="24"/>
                <w:highlight w:val="none"/>
                <w:lang w:val="en-US" w:eastAsia="zh-CN"/>
              </w:rPr>
              <w:t>（投标文件中提供功能界面实拍图佐证）；</w:t>
            </w:r>
          </w:p>
          <w:p w14:paraId="7D786A8F">
            <w:pPr>
              <w:keepNext w:val="0"/>
              <w:keepLines w:val="0"/>
              <w:pageBreakBefore w:val="0"/>
              <w:numPr>
                <w:ilvl w:val="0"/>
                <w:numId w:val="0"/>
              </w:numPr>
              <w:kinsoku/>
              <w:wordWrap/>
              <w:overflowPunct/>
              <w:topLinePunct w:val="0"/>
              <w:bidi w:val="0"/>
              <w:spacing w:line="30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24）探杖类型：CIPS&amp;DCVG一体通用型探杖；</w:t>
            </w:r>
          </w:p>
          <w:p w14:paraId="4B2DF659">
            <w:pPr>
              <w:keepNext w:val="0"/>
              <w:keepLines w:val="0"/>
              <w:pageBreakBefore w:val="0"/>
              <w:numPr>
                <w:ilvl w:val="0"/>
                <w:numId w:val="0"/>
              </w:numPr>
              <w:kinsoku/>
              <w:wordWrap/>
              <w:overflowPunct/>
              <w:topLinePunct w:val="0"/>
              <w:bidi w:val="0"/>
              <w:spacing w:line="30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25）工作温度：覆盖范围-20℃～+50℃；</w:t>
            </w:r>
          </w:p>
          <w:p w14:paraId="64E58D3B">
            <w:pPr>
              <w:keepNext w:val="0"/>
              <w:keepLines w:val="0"/>
              <w:pageBreakBefore w:val="0"/>
              <w:numPr>
                <w:ilvl w:val="0"/>
                <w:numId w:val="0"/>
              </w:numPr>
              <w:kinsoku/>
              <w:wordWrap/>
              <w:overflowPunct/>
              <w:topLinePunct w:val="0"/>
              <w:bidi w:val="0"/>
              <w:spacing w:line="30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26）尺寸：≤300×300×100mm；</w:t>
            </w:r>
          </w:p>
          <w:p w14:paraId="5B2CC8BF">
            <w:pPr>
              <w:keepNext w:val="0"/>
              <w:keepLines w:val="0"/>
              <w:pageBreakBefore w:val="0"/>
              <w:numPr>
                <w:ilvl w:val="0"/>
                <w:numId w:val="0"/>
              </w:numPr>
              <w:kinsoku/>
              <w:wordWrap/>
              <w:overflowPunct/>
              <w:topLinePunct w:val="0"/>
              <w:bidi w:val="0"/>
              <w:spacing w:line="30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27）重量：≤2kg。</w:t>
            </w:r>
          </w:p>
          <w:p w14:paraId="5072C5D1">
            <w:pPr>
              <w:keepNext w:val="0"/>
              <w:keepLines w:val="0"/>
              <w:pageBreakBefore w:val="0"/>
              <w:numPr>
                <w:ilvl w:val="0"/>
                <w:numId w:val="0"/>
              </w:numPr>
              <w:kinsoku/>
              <w:wordWrap/>
              <w:overflowPunct/>
              <w:topLinePunct w:val="0"/>
              <w:bidi w:val="0"/>
              <w:spacing w:line="300" w:lineRule="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2.外加电流型卫星同步断流器要求：</w:t>
            </w:r>
          </w:p>
          <w:p w14:paraId="028CE358">
            <w:pPr>
              <w:keepNext w:val="0"/>
              <w:keepLines w:val="0"/>
              <w:pageBreakBefore w:val="0"/>
              <w:numPr>
                <w:ilvl w:val="0"/>
                <w:numId w:val="0"/>
              </w:numPr>
              <w:kinsoku/>
              <w:wordWrap/>
              <w:overflowPunct/>
              <w:topLinePunct w:val="0"/>
              <w:bidi w:val="0"/>
              <w:spacing w:line="30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1）中断电流：≥50A，可承受180A峰值电流；</w:t>
            </w:r>
          </w:p>
          <w:p w14:paraId="78F0BA5D">
            <w:pPr>
              <w:keepNext w:val="0"/>
              <w:keepLines w:val="0"/>
              <w:pageBreakBefore w:val="0"/>
              <w:numPr>
                <w:ilvl w:val="0"/>
                <w:numId w:val="0"/>
              </w:numPr>
              <w:kinsoku/>
              <w:wordWrap/>
              <w:overflowPunct/>
              <w:topLinePunct w:val="0"/>
              <w:bidi w:val="0"/>
              <w:spacing w:line="30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2）中断电压：≤200V；</w:t>
            </w:r>
          </w:p>
          <w:p w14:paraId="3CFC78B6">
            <w:pPr>
              <w:keepNext w:val="0"/>
              <w:keepLines w:val="0"/>
              <w:pageBreakBefore w:val="0"/>
              <w:numPr>
                <w:ilvl w:val="0"/>
                <w:numId w:val="0"/>
              </w:numPr>
              <w:kinsoku/>
              <w:wordWrap/>
              <w:overflowPunct/>
              <w:topLinePunct w:val="0"/>
              <w:bidi w:val="0"/>
              <w:spacing w:line="30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3）同步能力：≥10</w:t>
            </w:r>
            <w:r>
              <w:rPr>
                <w:rFonts w:hint="eastAsia" w:ascii="宋体" w:hAnsi="宋体" w:eastAsia="宋体" w:cs="宋体"/>
                <w:color w:val="auto"/>
                <w:sz w:val="24"/>
                <w:szCs w:val="24"/>
                <w:highlight w:val="none"/>
                <w:vertAlign w:val="superscript"/>
                <w:lang w:val="en-US" w:eastAsia="zh-CN"/>
              </w:rPr>
              <w:t>-5</w:t>
            </w:r>
            <w:r>
              <w:rPr>
                <w:rFonts w:hint="eastAsia" w:ascii="宋体" w:hAnsi="宋体" w:eastAsia="宋体" w:cs="宋体"/>
                <w:color w:val="auto"/>
                <w:sz w:val="24"/>
                <w:szCs w:val="24"/>
                <w:highlight w:val="none"/>
                <w:lang w:val="en-US" w:eastAsia="zh-CN"/>
              </w:rPr>
              <w:t>秒超高精度同步；</w:t>
            </w:r>
          </w:p>
          <w:p w14:paraId="2B497C72">
            <w:pPr>
              <w:keepNext w:val="0"/>
              <w:keepLines w:val="0"/>
              <w:pageBreakBefore w:val="0"/>
              <w:numPr>
                <w:ilvl w:val="0"/>
                <w:numId w:val="0"/>
              </w:numPr>
              <w:kinsoku/>
              <w:wordWrap/>
              <w:overflowPunct/>
              <w:topLinePunct w:val="0"/>
              <w:bidi w:val="0"/>
              <w:spacing w:line="300" w:lineRule="auto"/>
              <w:rPr>
                <w:color w:val="auto"/>
                <w:highlight w:val="none"/>
              </w:rPr>
            </w:pPr>
            <w:r>
              <w:rPr>
                <w:rFonts w:hint="eastAsia" w:ascii="宋体" w:hAnsi="宋体" w:eastAsia="宋体" w:cs="宋体"/>
                <w:color w:val="auto"/>
                <w:sz w:val="24"/>
                <w:szCs w:val="24"/>
                <w:highlight w:val="none"/>
                <w:lang w:val="en-US" w:eastAsia="zh-CN"/>
              </w:rPr>
              <w:t>4）中断模式：至少包括</w:t>
            </w:r>
          </w:p>
          <w:p w14:paraId="7AD1B98A">
            <w:pPr>
              <w:keepNext w:val="0"/>
              <w:keepLines w:val="0"/>
              <w:pageBreakBefore w:val="0"/>
              <w:numPr>
                <w:ilvl w:val="0"/>
                <w:numId w:val="0"/>
              </w:numPr>
              <w:kinsoku/>
              <w:wordWrap/>
              <w:overflowPunct/>
              <w:topLinePunct w:val="0"/>
              <w:bidi w:val="0"/>
              <w:spacing w:line="300" w:lineRule="auto"/>
              <w:ind w:firstLine="960" w:firstLineChars="4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【模式1】0.45秒通电，0.8秒断电；</w:t>
            </w:r>
          </w:p>
          <w:p w14:paraId="0CE4F577">
            <w:pPr>
              <w:keepNext w:val="0"/>
              <w:keepLines w:val="0"/>
              <w:pageBreakBefore w:val="0"/>
              <w:numPr>
                <w:ilvl w:val="0"/>
                <w:numId w:val="0"/>
              </w:numPr>
              <w:kinsoku/>
              <w:wordWrap/>
              <w:overflowPunct/>
              <w:topLinePunct w:val="0"/>
              <w:bidi w:val="0"/>
              <w:spacing w:line="30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         【模式2】1.6秒通电，0.9秒断电；</w:t>
            </w:r>
          </w:p>
          <w:p w14:paraId="4687AD9D">
            <w:pPr>
              <w:keepNext w:val="0"/>
              <w:keepLines w:val="0"/>
              <w:pageBreakBefore w:val="0"/>
              <w:numPr>
                <w:ilvl w:val="0"/>
                <w:numId w:val="0"/>
              </w:numPr>
              <w:kinsoku/>
              <w:wordWrap/>
              <w:overflowPunct/>
              <w:topLinePunct w:val="0"/>
              <w:bidi w:val="0"/>
              <w:spacing w:line="30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         【模式3】0.8秒通电，0.45秒断电；</w:t>
            </w:r>
          </w:p>
          <w:p w14:paraId="1554E31E">
            <w:pPr>
              <w:keepNext w:val="0"/>
              <w:keepLines w:val="0"/>
              <w:pageBreakBefore w:val="0"/>
              <w:numPr>
                <w:ilvl w:val="0"/>
                <w:numId w:val="0"/>
              </w:numPr>
              <w:kinsoku/>
              <w:wordWrap/>
              <w:overflowPunct/>
              <w:topLinePunct w:val="0"/>
              <w:bidi w:val="0"/>
              <w:spacing w:line="30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         【模式4】3.0秒通电，2.0秒断电；</w:t>
            </w:r>
          </w:p>
          <w:p w14:paraId="332A9008">
            <w:pPr>
              <w:keepNext w:val="0"/>
              <w:keepLines w:val="0"/>
              <w:pageBreakBefore w:val="0"/>
              <w:numPr>
                <w:ilvl w:val="0"/>
                <w:numId w:val="0"/>
              </w:numPr>
              <w:kinsoku/>
              <w:wordWrap/>
              <w:overflowPunct/>
              <w:topLinePunct w:val="0"/>
              <w:bidi w:val="0"/>
              <w:spacing w:line="30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         【模式5】4.0秒通电，1.0秒断电；</w:t>
            </w:r>
          </w:p>
          <w:p w14:paraId="64DC19A4">
            <w:pPr>
              <w:keepNext w:val="0"/>
              <w:keepLines w:val="0"/>
              <w:pageBreakBefore w:val="0"/>
              <w:numPr>
                <w:ilvl w:val="0"/>
                <w:numId w:val="0"/>
              </w:numPr>
              <w:kinsoku/>
              <w:wordWrap/>
              <w:overflowPunct/>
              <w:topLinePunct w:val="0"/>
              <w:bidi w:val="0"/>
              <w:spacing w:line="30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5）电池：内置可充电锂电池，工作时间≥48小时；</w:t>
            </w:r>
          </w:p>
          <w:p w14:paraId="31C27C00">
            <w:pPr>
              <w:keepNext w:val="0"/>
              <w:keepLines w:val="0"/>
              <w:pageBreakBefore w:val="0"/>
              <w:numPr>
                <w:ilvl w:val="0"/>
                <w:numId w:val="0"/>
              </w:numPr>
              <w:kinsoku/>
              <w:wordWrap/>
              <w:overflowPunct/>
              <w:topLinePunct w:val="0"/>
              <w:bidi w:val="0"/>
              <w:spacing w:line="30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6）使用温度：覆盖-20℃～50℃温度范围。</w:t>
            </w:r>
          </w:p>
          <w:p w14:paraId="3C5684A0">
            <w:pPr>
              <w:keepNext w:val="0"/>
              <w:keepLines w:val="0"/>
              <w:pageBreakBefore w:val="0"/>
              <w:numPr>
                <w:ilvl w:val="0"/>
                <w:numId w:val="0"/>
              </w:numPr>
              <w:kinsoku/>
              <w:wordWrap/>
              <w:overflowPunct/>
              <w:topLinePunct w:val="0"/>
              <w:bidi w:val="0"/>
              <w:spacing w:line="300" w:lineRule="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3.牺牲阳极型卫星同步断流器要求：</w:t>
            </w:r>
          </w:p>
          <w:p w14:paraId="561C0347">
            <w:pPr>
              <w:keepNext w:val="0"/>
              <w:keepLines w:val="0"/>
              <w:pageBreakBefore w:val="0"/>
              <w:numPr>
                <w:ilvl w:val="0"/>
                <w:numId w:val="0"/>
              </w:numPr>
              <w:kinsoku/>
              <w:wordWrap/>
              <w:overflowPunct/>
              <w:topLinePunct w:val="0"/>
              <w:bidi w:val="0"/>
              <w:spacing w:line="30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1）中断电流：≥毫安级电流，最高可承受10A峰值电流；</w:t>
            </w:r>
          </w:p>
          <w:p w14:paraId="4728E477">
            <w:pPr>
              <w:keepNext w:val="0"/>
              <w:keepLines w:val="0"/>
              <w:pageBreakBefore w:val="0"/>
              <w:numPr>
                <w:ilvl w:val="0"/>
                <w:numId w:val="0"/>
              </w:numPr>
              <w:kinsoku/>
              <w:wordWrap/>
              <w:overflowPunct/>
              <w:topLinePunct w:val="0"/>
              <w:bidi w:val="0"/>
              <w:spacing w:line="30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2）同步能力：至少包括10通道卫星接收同步。</w:t>
            </w:r>
          </w:p>
          <w:p w14:paraId="50631DDF">
            <w:pPr>
              <w:keepNext w:val="0"/>
              <w:keepLines w:val="0"/>
              <w:pageBreakBefore w:val="0"/>
              <w:numPr>
                <w:ilvl w:val="0"/>
                <w:numId w:val="0"/>
              </w:numPr>
              <w:kinsoku/>
              <w:wordWrap/>
              <w:overflowPunct/>
              <w:topLinePunct w:val="0"/>
              <w:bidi w:val="0"/>
              <w:spacing w:line="30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3）电    池：内置可充电锂电池，工作时间≥48小时；</w:t>
            </w:r>
          </w:p>
          <w:p w14:paraId="2368F977">
            <w:pPr>
              <w:keepNext w:val="0"/>
              <w:keepLines w:val="0"/>
              <w:pageBreakBefore w:val="0"/>
              <w:numPr>
                <w:ilvl w:val="0"/>
                <w:numId w:val="0"/>
              </w:numPr>
              <w:kinsoku/>
              <w:wordWrap/>
              <w:overflowPunct/>
              <w:topLinePunct w:val="0"/>
              <w:bidi w:val="0"/>
              <w:spacing w:line="30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4）断流器件：电磁继电器；</w:t>
            </w:r>
          </w:p>
          <w:p w14:paraId="2B8B499C">
            <w:pPr>
              <w:keepNext w:val="0"/>
              <w:keepLines w:val="0"/>
              <w:pageBreakBefore w:val="0"/>
              <w:numPr>
                <w:ilvl w:val="0"/>
                <w:numId w:val="0"/>
              </w:numPr>
              <w:kinsoku/>
              <w:wordWrap/>
              <w:overflowPunct/>
              <w:topLinePunct w:val="0"/>
              <w:bidi w:val="0"/>
              <w:spacing w:line="300" w:lineRule="auto"/>
              <w:rPr>
                <w:rFonts w:hint="eastAsia" w:ascii="宋体" w:hAnsi="宋体" w:eastAsia="宋体" w:cs="宋体"/>
                <w:b/>
                <w:bCs/>
                <w:color w:val="auto"/>
                <w:sz w:val="24"/>
                <w:szCs w:val="24"/>
                <w:highlight w:val="none"/>
                <w:lang w:val="en-US" w:eastAsia="zh-CN"/>
              </w:rPr>
            </w:pPr>
            <w:r>
              <w:rPr>
                <w:rFonts w:hint="eastAsia" w:ascii="宋体" w:hAnsi="宋体" w:eastAsia="宋体" w:cs="宋体"/>
                <w:color w:val="auto"/>
                <w:sz w:val="24"/>
                <w:szCs w:val="24"/>
                <w:highlight w:val="none"/>
                <w:lang w:val="en-US" w:eastAsia="zh-CN"/>
              </w:rPr>
              <w:t>★5）延时通断：0～999分钟自主设定（</w:t>
            </w:r>
            <w:r>
              <w:rPr>
                <w:rFonts w:hint="eastAsia" w:ascii="宋体" w:hAnsi="宋体" w:eastAsia="宋体" w:cs="宋体"/>
                <w:b/>
                <w:bCs/>
                <w:color w:val="auto"/>
                <w:sz w:val="24"/>
                <w:szCs w:val="24"/>
                <w:highlight w:val="none"/>
                <w:lang w:val="en-US" w:eastAsia="zh-CN"/>
              </w:rPr>
              <w:t>投标文件中</w:t>
            </w:r>
            <w:r>
              <w:rPr>
                <w:rFonts w:hint="eastAsia" w:ascii="宋体" w:hAnsi="宋体" w:eastAsia="宋体" w:cs="宋体"/>
                <w:b/>
                <w:bCs/>
                <w:color w:val="auto"/>
                <w:kern w:val="2"/>
                <w:sz w:val="24"/>
                <w:szCs w:val="24"/>
                <w:highlight w:val="none"/>
                <w:lang w:val="en-US" w:eastAsia="zh-CN"/>
              </w:rPr>
              <w:t>提供功能界面截图或功能界面实拍照片佐证</w:t>
            </w:r>
            <w:r>
              <w:rPr>
                <w:rFonts w:hint="eastAsia" w:ascii="宋体" w:hAnsi="宋体" w:eastAsia="宋体" w:cs="宋体"/>
                <w:b/>
                <w:bCs/>
                <w:color w:val="auto"/>
                <w:sz w:val="24"/>
                <w:szCs w:val="24"/>
                <w:highlight w:val="none"/>
                <w:lang w:val="en-US" w:eastAsia="zh-CN"/>
              </w:rPr>
              <w:t>）；</w:t>
            </w:r>
          </w:p>
          <w:p w14:paraId="66C239DE">
            <w:pPr>
              <w:keepNext w:val="0"/>
              <w:keepLines w:val="0"/>
              <w:pageBreakBefore w:val="0"/>
              <w:numPr>
                <w:ilvl w:val="0"/>
                <w:numId w:val="0"/>
              </w:numPr>
              <w:kinsoku/>
              <w:wordWrap/>
              <w:overflowPunct/>
              <w:topLinePunct w:val="0"/>
              <w:bidi w:val="0"/>
              <w:spacing w:line="30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6）使用温度：覆盖-20℃～50℃温度范围。</w:t>
            </w:r>
          </w:p>
          <w:p w14:paraId="45D2AB49">
            <w:pPr>
              <w:keepNext w:val="0"/>
              <w:keepLines w:val="0"/>
              <w:pageBreakBefore w:val="0"/>
              <w:numPr>
                <w:ilvl w:val="0"/>
                <w:numId w:val="0"/>
              </w:numPr>
              <w:kinsoku/>
              <w:wordWrap/>
              <w:overflowPunct/>
              <w:topLinePunct w:val="0"/>
              <w:bidi w:val="0"/>
              <w:spacing w:line="300" w:lineRule="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4.配备中文数据处理软件系统</w:t>
            </w:r>
          </w:p>
          <w:p w14:paraId="35078F48">
            <w:pPr>
              <w:keepNext w:val="0"/>
              <w:keepLines w:val="0"/>
              <w:pageBreakBefore w:val="0"/>
              <w:numPr>
                <w:ilvl w:val="0"/>
                <w:numId w:val="0"/>
              </w:numPr>
              <w:kinsoku/>
              <w:wordWrap/>
              <w:overflowPunct/>
              <w:topLinePunct w:val="0"/>
              <w:bidi w:val="0"/>
              <w:spacing w:line="30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1)中文数据分析软件，支持数据的导入/分析；</w:t>
            </w:r>
          </w:p>
          <w:p w14:paraId="609DBB8E">
            <w:pPr>
              <w:keepNext w:val="0"/>
              <w:keepLines w:val="0"/>
              <w:pageBreakBefore w:val="0"/>
              <w:numPr>
                <w:ilvl w:val="0"/>
                <w:numId w:val="0"/>
              </w:numPr>
              <w:kinsoku/>
              <w:wordWrap/>
              <w:overflowPunct/>
              <w:topLinePunct w:val="0"/>
              <w:bidi w:val="0"/>
              <w:spacing w:line="30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2)自动生成DCVG电位梯度曲线图、防腐层破损点严重程度（%IR）计算</w:t>
            </w:r>
          </w:p>
          <w:p w14:paraId="2240CD27">
            <w:pPr>
              <w:keepNext w:val="0"/>
              <w:keepLines w:val="0"/>
              <w:pageBreakBefore w:val="0"/>
              <w:numPr>
                <w:ilvl w:val="0"/>
                <w:numId w:val="0"/>
              </w:numPr>
              <w:kinsoku/>
              <w:wordWrap/>
              <w:overflowPunct/>
              <w:topLinePunct w:val="0"/>
              <w:bidi w:val="0"/>
              <w:spacing w:line="30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3)至少支持EXCEL/CSV格式结果输出。</w:t>
            </w:r>
          </w:p>
          <w:p w14:paraId="67EE3D86">
            <w:pPr>
              <w:keepNext w:val="0"/>
              <w:keepLines w:val="0"/>
              <w:pageBreakBefore w:val="0"/>
              <w:numPr>
                <w:ilvl w:val="0"/>
                <w:numId w:val="0"/>
              </w:numPr>
              <w:kinsoku/>
              <w:wordWrap/>
              <w:overflowPunct/>
              <w:topLinePunct w:val="0"/>
              <w:bidi w:val="0"/>
              <w:spacing w:line="300" w:lineRule="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5.密间距静态数据记录仪要求：</w:t>
            </w:r>
          </w:p>
          <w:p w14:paraId="21DC5E66">
            <w:pPr>
              <w:keepNext w:val="0"/>
              <w:keepLines w:val="0"/>
              <w:pageBreakBefore w:val="0"/>
              <w:numPr>
                <w:ilvl w:val="0"/>
                <w:numId w:val="0"/>
              </w:numPr>
              <w:kinsoku/>
              <w:wordWrap/>
              <w:overflowPunct/>
              <w:topLinePunct w:val="0"/>
              <w:bidi w:val="0"/>
              <w:spacing w:line="300" w:lineRule="auto"/>
              <w:rPr>
                <w:rFonts w:hint="eastAsia" w:ascii="宋体" w:hAnsi="宋体" w:eastAsia="宋体" w:cs="宋体"/>
                <w:b/>
                <w:bCs/>
                <w:color w:val="auto"/>
                <w:sz w:val="24"/>
                <w:szCs w:val="24"/>
                <w:highlight w:val="none"/>
                <w:lang w:val="en-US" w:eastAsia="zh-CN"/>
              </w:rPr>
            </w:pPr>
            <w:r>
              <w:rPr>
                <w:rFonts w:hint="eastAsia" w:ascii="宋体" w:hAnsi="宋体" w:eastAsia="宋体" w:cs="宋体"/>
                <w:color w:val="auto"/>
                <w:sz w:val="24"/>
                <w:szCs w:val="24"/>
                <w:highlight w:val="none"/>
                <w:lang w:val="en-US" w:eastAsia="zh-CN"/>
              </w:rPr>
              <w:t>★1）检测功能：至少包括管地电位、试片电位</w:t>
            </w:r>
            <w:r>
              <w:rPr>
                <w:rFonts w:hint="eastAsia" w:ascii="宋体" w:hAnsi="宋体" w:eastAsia="宋体" w:cs="宋体"/>
                <w:b/>
                <w:bCs/>
                <w:color w:val="auto"/>
                <w:sz w:val="24"/>
                <w:szCs w:val="24"/>
                <w:highlight w:val="none"/>
                <w:lang w:val="en-US" w:eastAsia="zh-CN"/>
              </w:rPr>
              <w:t>（投标文件中提供功能界面截图或功能界面实拍照片佐证）；</w:t>
            </w:r>
          </w:p>
          <w:p w14:paraId="02AA967B">
            <w:pPr>
              <w:keepNext w:val="0"/>
              <w:keepLines w:val="0"/>
              <w:pageBreakBefore w:val="0"/>
              <w:numPr>
                <w:ilvl w:val="0"/>
                <w:numId w:val="0"/>
              </w:numPr>
              <w:kinsoku/>
              <w:wordWrap/>
              <w:overflowPunct/>
              <w:topLinePunct w:val="0"/>
              <w:bidi w:val="0"/>
              <w:spacing w:line="30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2）量程范围：覆盖范围管地电位通道:-20V~+20V；</w:t>
            </w:r>
          </w:p>
          <w:p w14:paraId="4FC58C92">
            <w:pPr>
              <w:keepNext w:val="0"/>
              <w:keepLines w:val="0"/>
              <w:pageBreakBefore w:val="0"/>
              <w:numPr>
                <w:ilvl w:val="0"/>
                <w:numId w:val="0"/>
              </w:numPr>
              <w:kinsoku/>
              <w:wordWrap/>
              <w:overflowPunct/>
              <w:topLinePunct w:val="0"/>
              <w:bidi w:val="0"/>
              <w:spacing w:line="30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3）记录精度：不低于1mV(管地电位)  1mV(试片电位)；</w:t>
            </w:r>
          </w:p>
          <w:p w14:paraId="5649BDBF">
            <w:pPr>
              <w:keepNext w:val="0"/>
              <w:keepLines w:val="0"/>
              <w:pageBreakBefore w:val="0"/>
              <w:numPr>
                <w:ilvl w:val="0"/>
                <w:numId w:val="0"/>
              </w:numPr>
              <w:kinsoku/>
              <w:wordWrap/>
              <w:overflowPunct/>
              <w:topLinePunct w:val="0"/>
              <w:bidi w:val="0"/>
              <w:spacing w:line="300" w:lineRule="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4）记录媒介：≥16G存储；</w:t>
            </w:r>
          </w:p>
          <w:p w14:paraId="01AA906B">
            <w:pPr>
              <w:keepNext w:val="0"/>
              <w:keepLines w:val="0"/>
              <w:pageBreakBefore w:val="0"/>
              <w:numPr>
                <w:ilvl w:val="0"/>
                <w:numId w:val="0"/>
              </w:numPr>
              <w:kinsoku/>
              <w:wordWrap/>
              <w:overflowPunct/>
              <w:topLinePunct w:val="0"/>
              <w:bidi w:val="0"/>
              <w:spacing w:line="30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5）同步方式：卫星同步，具备≥5个通断周期；</w:t>
            </w:r>
          </w:p>
          <w:p w14:paraId="723A2048">
            <w:pPr>
              <w:keepNext w:val="0"/>
              <w:keepLines w:val="0"/>
              <w:pageBreakBefore w:val="0"/>
              <w:numPr>
                <w:ilvl w:val="0"/>
                <w:numId w:val="0"/>
              </w:numPr>
              <w:kinsoku/>
              <w:wordWrap/>
              <w:overflowPunct/>
              <w:topLinePunct w:val="0"/>
              <w:bidi w:val="0"/>
              <w:spacing w:line="30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6）电源性能：可充电锂电池；</w:t>
            </w:r>
          </w:p>
          <w:p w14:paraId="4386268C">
            <w:pPr>
              <w:keepNext w:val="0"/>
              <w:keepLines w:val="0"/>
              <w:pageBreakBefore w:val="0"/>
              <w:numPr>
                <w:ilvl w:val="0"/>
                <w:numId w:val="0"/>
              </w:numPr>
              <w:kinsoku/>
              <w:wordWrap/>
              <w:overflowPunct/>
              <w:topLinePunct w:val="0"/>
              <w:bidi w:val="0"/>
              <w:spacing w:line="30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7）工作温度：覆盖-20℃～50℃温度范围；</w:t>
            </w:r>
          </w:p>
          <w:p w14:paraId="3BA5DA0F">
            <w:pPr>
              <w:keepNext w:val="0"/>
              <w:keepLines w:val="0"/>
              <w:pageBreakBefore w:val="0"/>
              <w:numPr>
                <w:ilvl w:val="0"/>
                <w:numId w:val="0"/>
              </w:numPr>
              <w:kinsoku/>
              <w:wordWrap/>
              <w:overflowPunct/>
              <w:topLinePunct w:val="0"/>
              <w:bidi w:val="0"/>
              <w:spacing w:line="30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8）数据显示：LED 触摸屏；</w:t>
            </w:r>
          </w:p>
          <w:p w14:paraId="7F08FDF9">
            <w:pPr>
              <w:keepNext w:val="0"/>
              <w:keepLines w:val="0"/>
              <w:pageBreakBefore w:val="0"/>
              <w:numPr>
                <w:ilvl w:val="0"/>
                <w:numId w:val="0"/>
              </w:numPr>
              <w:kinsoku/>
              <w:wordWrap/>
              <w:overflowPunct/>
              <w:topLinePunct w:val="0"/>
              <w:bidi w:val="0"/>
              <w:spacing w:line="300" w:lineRule="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9）重量：≤6kg；</w:t>
            </w:r>
          </w:p>
          <w:p w14:paraId="615B3B33">
            <w:pPr>
              <w:keepNext w:val="0"/>
              <w:keepLines w:val="0"/>
              <w:pageBreakBefore w:val="0"/>
              <w:numPr>
                <w:ilvl w:val="0"/>
                <w:numId w:val="0"/>
              </w:numPr>
              <w:kinsoku/>
              <w:wordWrap/>
              <w:overflowPunct/>
              <w:topLinePunct w:val="0"/>
              <w:bidi w:val="0"/>
              <w:spacing w:line="300" w:lineRule="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10）尺寸：≤L500×W500×H350mm。</w:t>
            </w:r>
          </w:p>
          <w:p w14:paraId="54FB5415">
            <w:pPr>
              <w:keepNext w:val="0"/>
              <w:keepLines w:val="0"/>
              <w:pageBreakBefore w:val="0"/>
              <w:numPr>
                <w:ilvl w:val="0"/>
                <w:numId w:val="0"/>
              </w:numPr>
              <w:kinsoku/>
              <w:wordWrap/>
              <w:overflowPunct/>
              <w:topLinePunct w:val="0"/>
              <w:bidi w:val="0"/>
              <w:spacing w:line="300" w:lineRule="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三、单套配置要求</w:t>
            </w:r>
          </w:p>
          <w:p w14:paraId="7784B4A2">
            <w:pPr>
              <w:keepNext w:val="0"/>
              <w:keepLines w:val="0"/>
              <w:pageBreakBefore w:val="0"/>
              <w:numPr>
                <w:ilvl w:val="0"/>
                <w:numId w:val="0"/>
              </w:numPr>
              <w:kinsoku/>
              <w:wordWrap/>
              <w:overflowPunct/>
              <w:topLinePunct w:val="0"/>
              <w:bidi w:val="0"/>
              <w:spacing w:line="300" w:lineRule="auto"/>
              <w:ind w:left="0" w:leftChars="0" w:firstLine="0" w:firstLineChars="0"/>
              <w:rPr>
                <w:rFonts w:hint="eastAsia" w:ascii="宋体" w:hAnsi="宋体" w:eastAsia="宋体" w:cs="宋体"/>
                <w:b/>
                <w:bCs/>
                <w:color w:val="auto"/>
                <w:kern w:val="2"/>
                <w:sz w:val="24"/>
                <w:szCs w:val="24"/>
                <w:highlight w:val="none"/>
                <w:lang w:val="en-US" w:eastAsia="zh-CN" w:bidi="ar-SA"/>
              </w:rPr>
            </w:pPr>
            <w:r>
              <w:rPr>
                <w:rFonts w:hint="eastAsia" w:ascii="宋体" w:hAnsi="宋体" w:eastAsia="宋体" w:cs="宋体"/>
                <w:color w:val="auto"/>
                <w:sz w:val="24"/>
                <w:szCs w:val="24"/>
                <w:highlight w:val="none"/>
                <w:lang w:val="en-US" w:eastAsia="zh-CN"/>
              </w:rPr>
              <w:t>DCVG/CIPS一体机1台、强制电流卫星同步断流器2台、牺牲阳极卫星同步断流器2台、密间距静态数据记录仪1套、专业中文检测数据分析处理软件系统1个、超级加密狗1个、通用按钮探杖手柄2个、探杖2个、探杖连接线2根、一体机充电器1个、卫星天线（2断流器/1个一体机）3个、卫星连线1根、断流器连线2根、断流器充电器1个、背架1套、探杖电极头固定器2个、电极头垫圈2个、木质电极头2个、PTFE密封带1卷、电极罐装瓶1个、硫酸铜结晶1瓶、12.5cm 空线轴4个、设备箱1个、探杖包1个、一体机说明书1本，U盘或SD卡1个≥16G。</w:t>
            </w:r>
          </w:p>
        </w:tc>
        <w:tc>
          <w:tcPr>
            <w:tcW w:w="933" w:type="dxa"/>
            <w:shd w:val="clear" w:color="auto" w:fill="auto"/>
            <w:vAlign w:val="center"/>
          </w:tcPr>
          <w:p w14:paraId="21439057">
            <w:pPr>
              <w:keepNext w:val="0"/>
              <w:keepLines w:val="0"/>
              <w:pageBreakBefore w:val="0"/>
              <w:kinsoku/>
              <w:wordWrap/>
              <w:overflowPunct/>
              <w:topLinePunct w:val="0"/>
              <w:bidi w:val="0"/>
              <w:spacing w:line="300" w:lineRule="auto"/>
              <w:jc w:val="center"/>
              <w:rPr>
                <w:rFonts w:hint="eastAsia" w:ascii="宋体" w:hAnsi="宋体" w:eastAsia="宋体" w:cs="宋体"/>
                <w:b w:val="0"/>
                <w:bCs w:val="0"/>
                <w:color w:val="auto"/>
                <w:kern w:val="2"/>
                <w:sz w:val="24"/>
                <w:szCs w:val="24"/>
                <w:highlight w:val="none"/>
                <w:lang w:val="en-US" w:eastAsia="zh-CN" w:bidi="ar-SA"/>
              </w:rPr>
            </w:pPr>
            <w:r>
              <w:rPr>
                <w:rFonts w:hint="eastAsia" w:ascii="宋体" w:hAnsi="宋体" w:eastAsia="宋体" w:cs="宋体"/>
                <w:color w:val="auto"/>
                <w:sz w:val="24"/>
                <w:szCs w:val="24"/>
                <w:highlight w:val="none"/>
                <w:lang w:val="en-US" w:eastAsia="zh-CN"/>
              </w:rPr>
              <w:t>3</w:t>
            </w:r>
          </w:p>
        </w:tc>
        <w:tc>
          <w:tcPr>
            <w:tcW w:w="960" w:type="dxa"/>
            <w:vAlign w:val="center"/>
          </w:tcPr>
          <w:p w14:paraId="5A36E27E">
            <w:pPr>
              <w:keepNext w:val="0"/>
              <w:keepLines w:val="0"/>
              <w:pageBreakBefore w:val="0"/>
              <w:widowControl w:val="0"/>
              <w:kinsoku/>
              <w:wordWrap/>
              <w:overflowPunct/>
              <w:topLinePunct w:val="0"/>
              <w:autoSpaceDE/>
              <w:autoSpaceDN/>
              <w:bidi w:val="0"/>
              <w:adjustRightInd/>
              <w:snapToGrid/>
              <w:spacing w:line="300" w:lineRule="auto"/>
              <w:jc w:val="center"/>
              <w:textAlignment w:val="auto"/>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工业</w:t>
            </w:r>
          </w:p>
        </w:tc>
      </w:tr>
    </w:tbl>
    <w:p w14:paraId="1A0FD987">
      <w:pPr>
        <w:spacing w:line="360" w:lineRule="auto"/>
        <w:ind w:firstLine="437"/>
        <w:outlineLvl w:val="1"/>
        <w:rPr>
          <w:rFonts w:ascii="宋体" w:hAnsi="宋体" w:eastAsia="宋体"/>
          <w:b/>
          <w:bCs/>
          <w:color w:val="auto"/>
          <w:sz w:val="24"/>
          <w:szCs w:val="18"/>
          <w:highlight w:val="none"/>
        </w:rPr>
      </w:pPr>
      <w:r>
        <w:rPr>
          <w:rFonts w:hint="eastAsia" w:ascii="宋体" w:hAnsi="宋体" w:eastAsia="宋体"/>
          <w:b/>
          <w:bCs/>
          <w:color w:val="auto"/>
          <w:sz w:val="24"/>
          <w:szCs w:val="18"/>
          <w:highlight w:val="none"/>
        </w:rPr>
        <w:t>三、报价要求</w:t>
      </w:r>
      <w:bookmarkEnd w:id="7"/>
      <w:bookmarkEnd w:id="8"/>
      <w:bookmarkEnd w:id="9"/>
    </w:p>
    <w:p w14:paraId="2AF706C6">
      <w:pPr>
        <w:spacing w:line="360" w:lineRule="auto"/>
        <w:ind w:firstLine="437"/>
        <w:rPr>
          <w:rFonts w:ascii="宋体" w:hAnsi="宋体" w:eastAsia="宋体"/>
          <w:bCs/>
          <w:color w:val="auto"/>
          <w:sz w:val="24"/>
          <w:szCs w:val="18"/>
          <w:highlight w:val="none"/>
        </w:rPr>
      </w:pPr>
      <w:r>
        <w:rPr>
          <w:rFonts w:hint="eastAsia" w:ascii="宋体" w:hAnsi="宋体" w:eastAsia="宋体"/>
          <w:bCs/>
          <w:color w:val="auto"/>
          <w:sz w:val="24"/>
          <w:szCs w:val="18"/>
          <w:highlight w:val="none"/>
        </w:rPr>
        <w:t>本项目报总价，投标报价</w:t>
      </w:r>
      <w:r>
        <w:rPr>
          <w:rFonts w:ascii="宋体" w:hAnsi="宋体" w:eastAsia="宋体"/>
          <w:bCs/>
          <w:color w:val="auto"/>
          <w:sz w:val="24"/>
          <w:szCs w:val="18"/>
          <w:highlight w:val="none"/>
        </w:rPr>
        <w:t>包括</w:t>
      </w:r>
      <w:r>
        <w:rPr>
          <w:rFonts w:hint="eastAsia" w:ascii="宋体" w:hAnsi="宋体" w:eastAsia="宋体"/>
          <w:bCs/>
          <w:color w:val="auto"/>
          <w:sz w:val="24"/>
          <w:szCs w:val="18"/>
          <w:highlight w:val="none"/>
        </w:rPr>
        <w:t>本项目需求的全部货物及所需附件购置费、包装费、运输费、人工费、安装调试费、各种税费、资料费、售后服务费及完成项目应有的全部费用。</w:t>
      </w:r>
    </w:p>
    <w:p w14:paraId="6363A02E">
      <w:pPr>
        <w:spacing w:line="360" w:lineRule="auto"/>
        <w:ind w:firstLine="437"/>
        <w:outlineLvl w:val="1"/>
        <w:rPr>
          <w:rFonts w:hint="eastAsia" w:ascii="宋体" w:hAnsi="宋体" w:eastAsia="宋体"/>
          <w:b/>
          <w:bCs/>
          <w:color w:val="auto"/>
          <w:sz w:val="24"/>
          <w:szCs w:val="18"/>
          <w:highlight w:val="none"/>
        </w:rPr>
      </w:pPr>
      <w:bookmarkStart w:id="10" w:name="_Toc21880"/>
      <w:r>
        <w:rPr>
          <w:rFonts w:hint="eastAsia" w:ascii="宋体" w:hAnsi="宋体" w:eastAsia="宋体"/>
          <w:b/>
          <w:bCs/>
          <w:color w:val="auto"/>
          <w:sz w:val="24"/>
          <w:szCs w:val="18"/>
          <w:highlight w:val="none"/>
        </w:rPr>
        <w:t>四、备品备件及专用工具</w:t>
      </w:r>
      <w:bookmarkEnd w:id="10"/>
    </w:p>
    <w:p w14:paraId="132E87E5">
      <w:pPr>
        <w:spacing w:line="360" w:lineRule="auto"/>
        <w:ind w:firstLine="437"/>
        <w:outlineLvl w:val="1"/>
        <w:rPr>
          <w:rFonts w:ascii="宋体" w:hAnsi="宋体" w:eastAsia="宋体"/>
          <w:bCs/>
          <w:color w:val="auto"/>
          <w:sz w:val="24"/>
          <w:szCs w:val="18"/>
          <w:highlight w:val="none"/>
        </w:rPr>
      </w:pPr>
      <w:bookmarkStart w:id="11" w:name="_Toc7446"/>
      <w:bookmarkStart w:id="12" w:name="_Toc455587093"/>
      <w:bookmarkStart w:id="13" w:name="_Toc455587277"/>
      <w:bookmarkStart w:id="14" w:name="_Toc445554752"/>
      <w:r>
        <w:rPr>
          <w:rFonts w:ascii="宋体" w:hAnsi="宋体" w:eastAsia="宋体"/>
          <w:bCs/>
          <w:color w:val="auto"/>
          <w:sz w:val="24"/>
          <w:szCs w:val="18"/>
          <w:highlight w:val="none"/>
        </w:rPr>
        <w:t>1、备品备件：中标人提供能够满足质量保证期内的设备维修要求的备品备件，备品备件应是新品。</w:t>
      </w:r>
      <w:bookmarkEnd w:id="11"/>
    </w:p>
    <w:p w14:paraId="4F0BE24E">
      <w:pPr>
        <w:spacing w:line="360" w:lineRule="auto"/>
        <w:ind w:firstLine="437"/>
        <w:outlineLvl w:val="1"/>
        <w:rPr>
          <w:rFonts w:ascii="宋体" w:hAnsi="宋体" w:eastAsia="宋体"/>
          <w:bCs/>
          <w:color w:val="auto"/>
          <w:sz w:val="24"/>
          <w:szCs w:val="18"/>
          <w:highlight w:val="none"/>
        </w:rPr>
      </w:pPr>
      <w:bookmarkStart w:id="15" w:name="_Toc21688"/>
      <w:r>
        <w:rPr>
          <w:rFonts w:ascii="宋体" w:hAnsi="宋体" w:eastAsia="宋体"/>
          <w:bCs/>
          <w:color w:val="auto"/>
          <w:sz w:val="24"/>
          <w:szCs w:val="18"/>
          <w:highlight w:val="none"/>
        </w:rPr>
        <w:t>2、专用工具：中标人提供设备安装、调试、维修、保养所必要的专用工具、仪器、仪表等工具。</w:t>
      </w:r>
      <w:bookmarkEnd w:id="15"/>
    </w:p>
    <w:bookmarkEnd w:id="12"/>
    <w:bookmarkEnd w:id="13"/>
    <w:bookmarkEnd w:id="14"/>
    <w:p w14:paraId="65C20F6C">
      <w:pPr>
        <w:spacing w:line="360" w:lineRule="auto"/>
        <w:ind w:firstLine="437"/>
        <w:outlineLvl w:val="1"/>
        <w:rPr>
          <w:rFonts w:hint="eastAsia" w:ascii="宋体" w:hAnsi="宋体" w:eastAsia="宋体"/>
          <w:b/>
          <w:bCs/>
          <w:color w:val="auto"/>
          <w:sz w:val="24"/>
          <w:szCs w:val="18"/>
          <w:highlight w:val="none"/>
        </w:rPr>
      </w:pPr>
      <w:bookmarkStart w:id="16" w:name="_Toc6195"/>
      <w:bookmarkStart w:id="17" w:name="_Toc532199625"/>
      <w:bookmarkStart w:id="18" w:name="_Toc455587278"/>
      <w:bookmarkStart w:id="19" w:name="_Toc455587094"/>
      <w:bookmarkStart w:id="20" w:name="_Toc445554753"/>
      <w:r>
        <w:rPr>
          <w:rFonts w:hint="eastAsia" w:ascii="宋体" w:hAnsi="宋体" w:eastAsia="宋体"/>
          <w:b/>
          <w:bCs/>
          <w:color w:val="auto"/>
          <w:sz w:val="24"/>
          <w:szCs w:val="18"/>
          <w:highlight w:val="none"/>
          <w:lang w:eastAsia="zh-CN"/>
        </w:rPr>
        <w:t>五</w:t>
      </w:r>
      <w:r>
        <w:rPr>
          <w:rFonts w:hint="eastAsia" w:ascii="宋体" w:hAnsi="宋体" w:eastAsia="宋体"/>
          <w:b/>
          <w:bCs/>
          <w:color w:val="auto"/>
          <w:sz w:val="24"/>
          <w:szCs w:val="18"/>
          <w:highlight w:val="none"/>
        </w:rPr>
        <w:t>、安装调试、验收试验及质量保证</w:t>
      </w:r>
      <w:bookmarkEnd w:id="16"/>
      <w:bookmarkEnd w:id="17"/>
    </w:p>
    <w:p w14:paraId="0BACC088">
      <w:pPr>
        <w:spacing w:line="360" w:lineRule="auto"/>
        <w:ind w:firstLine="437"/>
        <w:outlineLvl w:val="1"/>
        <w:rPr>
          <w:rFonts w:ascii="宋体" w:hAnsi="宋体" w:eastAsia="宋体"/>
          <w:bCs/>
          <w:color w:val="auto"/>
          <w:sz w:val="24"/>
          <w:szCs w:val="18"/>
          <w:highlight w:val="none"/>
        </w:rPr>
      </w:pPr>
      <w:bookmarkStart w:id="21" w:name="_Toc29943"/>
      <w:r>
        <w:rPr>
          <w:rFonts w:ascii="宋体" w:hAnsi="宋体" w:eastAsia="宋体"/>
          <w:bCs/>
          <w:color w:val="auto"/>
          <w:sz w:val="24"/>
          <w:szCs w:val="18"/>
          <w:highlight w:val="none"/>
        </w:rPr>
        <w:t>1、中标人在设备安装地点负责安装、调试。</w:t>
      </w:r>
      <w:bookmarkEnd w:id="21"/>
    </w:p>
    <w:p w14:paraId="6642DD6F">
      <w:pPr>
        <w:spacing w:line="360" w:lineRule="auto"/>
        <w:ind w:firstLine="437"/>
        <w:outlineLvl w:val="1"/>
        <w:rPr>
          <w:rFonts w:ascii="宋体" w:hAnsi="宋体" w:eastAsia="宋体"/>
          <w:bCs/>
          <w:color w:val="auto"/>
          <w:sz w:val="24"/>
          <w:szCs w:val="18"/>
          <w:highlight w:val="none"/>
        </w:rPr>
      </w:pPr>
      <w:bookmarkStart w:id="22" w:name="_Toc21540"/>
      <w:r>
        <w:rPr>
          <w:rFonts w:ascii="宋体" w:hAnsi="宋体" w:eastAsia="宋体"/>
          <w:bCs/>
          <w:color w:val="auto"/>
          <w:sz w:val="24"/>
          <w:szCs w:val="18"/>
          <w:highlight w:val="none"/>
        </w:rPr>
        <w:t>2、具体设备验收标准和程序按采购人要求执行，下列验收程序可参照执行：</w:t>
      </w:r>
      <w:bookmarkEnd w:id="22"/>
    </w:p>
    <w:p w14:paraId="4AFD7C2B">
      <w:pPr>
        <w:spacing w:line="360" w:lineRule="auto"/>
        <w:ind w:firstLine="437"/>
        <w:outlineLvl w:val="1"/>
        <w:rPr>
          <w:rFonts w:ascii="宋体" w:hAnsi="宋体" w:eastAsia="宋体"/>
          <w:bCs/>
          <w:color w:val="auto"/>
          <w:sz w:val="24"/>
          <w:szCs w:val="18"/>
          <w:highlight w:val="none"/>
        </w:rPr>
      </w:pPr>
      <w:bookmarkStart w:id="23" w:name="_Toc19879"/>
      <w:r>
        <w:rPr>
          <w:rFonts w:ascii="宋体" w:hAnsi="宋体" w:eastAsia="宋体"/>
          <w:bCs/>
          <w:color w:val="auto"/>
          <w:sz w:val="24"/>
          <w:szCs w:val="18"/>
          <w:highlight w:val="none"/>
        </w:rPr>
        <w:t>2.1 采购人和相关部门按照招标文件和投标文件承诺进行验收。招标文件没有规定和投标文件没有相应承诺的，按照下列原则进行验收：有国家标准的按照国家标准验收，没有国家标准的按行业标准验收，无行业标准的按地方或企业标准验收，中标人予以配合。</w:t>
      </w:r>
      <w:bookmarkEnd w:id="23"/>
    </w:p>
    <w:p w14:paraId="1662680F">
      <w:pPr>
        <w:spacing w:line="360" w:lineRule="auto"/>
        <w:ind w:firstLine="437"/>
        <w:outlineLvl w:val="1"/>
        <w:rPr>
          <w:rFonts w:ascii="宋体" w:hAnsi="宋体" w:eastAsia="宋体"/>
          <w:bCs/>
          <w:color w:val="auto"/>
          <w:sz w:val="24"/>
          <w:szCs w:val="18"/>
          <w:highlight w:val="none"/>
        </w:rPr>
      </w:pPr>
      <w:bookmarkStart w:id="24" w:name="_Toc30124"/>
      <w:r>
        <w:rPr>
          <w:rFonts w:ascii="宋体" w:hAnsi="宋体" w:eastAsia="宋体"/>
          <w:bCs/>
          <w:color w:val="auto"/>
          <w:sz w:val="24"/>
          <w:szCs w:val="18"/>
          <w:highlight w:val="none"/>
        </w:rPr>
        <w:t>2.2货物在验收时，中标人应提供发票、制造厂家出具的产品合格证书、装箱清单等,涉及进口的部件须提供中国海关进口货物报关单、完税证明及商检证明等材料；提供有关货物的保养修理所需的各种随机工具及全部有关技术文件（外文应提供中文翻译资料，下同）、操作使用说明书、质保书、保修证明、维护手册及技术性指导资料以及根据中国相关法律规定制造、销售报价货物（包括主要部件和材料）所必备的各种证书 (如产品质量检验报告、国家相关检测机构出具的检验报告等）等文件汇集成册交付采购人和应由中标人提供的必要文件。</w:t>
      </w:r>
      <w:bookmarkEnd w:id="24"/>
    </w:p>
    <w:p w14:paraId="69DF6A94">
      <w:pPr>
        <w:spacing w:line="360" w:lineRule="auto"/>
        <w:ind w:firstLine="437"/>
        <w:outlineLvl w:val="1"/>
        <w:rPr>
          <w:rFonts w:ascii="宋体" w:hAnsi="宋体" w:eastAsia="宋体"/>
          <w:bCs/>
          <w:color w:val="auto"/>
          <w:sz w:val="24"/>
          <w:szCs w:val="18"/>
          <w:highlight w:val="none"/>
        </w:rPr>
      </w:pPr>
      <w:bookmarkStart w:id="25" w:name="_Toc29404"/>
      <w:r>
        <w:rPr>
          <w:rFonts w:ascii="宋体" w:hAnsi="宋体" w:eastAsia="宋体"/>
          <w:bCs/>
          <w:color w:val="auto"/>
          <w:sz w:val="24"/>
          <w:szCs w:val="18"/>
          <w:highlight w:val="none"/>
        </w:rPr>
        <w:t>2.3 中标人应根据采购人使用单位的技术要求提供相应的产品。由中标人所提供的设备部件间的连线和插接件均应视为设备内部器件，包含在相应的设备之中。</w:t>
      </w:r>
      <w:bookmarkEnd w:id="25"/>
    </w:p>
    <w:p w14:paraId="27F87E56">
      <w:pPr>
        <w:spacing w:line="360" w:lineRule="auto"/>
        <w:ind w:firstLine="437"/>
        <w:outlineLvl w:val="1"/>
        <w:rPr>
          <w:rFonts w:ascii="宋体" w:hAnsi="宋体" w:eastAsia="宋体"/>
          <w:bCs/>
          <w:color w:val="auto"/>
          <w:sz w:val="24"/>
          <w:szCs w:val="18"/>
          <w:highlight w:val="none"/>
        </w:rPr>
      </w:pPr>
      <w:bookmarkStart w:id="26" w:name="_Toc17084"/>
      <w:r>
        <w:rPr>
          <w:rFonts w:ascii="宋体" w:hAnsi="宋体" w:eastAsia="宋体"/>
          <w:bCs/>
          <w:color w:val="auto"/>
          <w:sz w:val="24"/>
          <w:szCs w:val="18"/>
          <w:highlight w:val="none"/>
        </w:rPr>
        <w:t>2.4 运行测试及最终验收。在系统安装、调试结束后，采购人对其进行全面的测试，对测试中暴露出来的问题，中标人应及时进行整改，系统最终测试完毕经验收合格后，采购人应向中标人签发最终验收证明。</w:t>
      </w:r>
      <w:bookmarkEnd w:id="26"/>
    </w:p>
    <w:p w14:paraId="5994DAAB">
      <w:pPr>
        <w:spacing w:line="360" w:lineRule="auto"/>
        <w:ind w:firstLine="437"/>
        <w:outlineLvl w:val="1"/>
        <w:rPr>
          <w:rFonts w:ascii="宋体" w:hAnsi="宋体" w:eastAsia="宋体"/>
          <w:bCs/>
          <w:color w:val="auto"/>
          <w:sz w:val="24"/>
          <w:szCs w:val="18"/>
          <w:highlight w:val="none"/>
        </w:rPr>
      </w:pPr>
      <w:bookmarkStart w:id="27" w:name="_Toc18237"/>
      <w:r>
        <w:rPr>
          <w:rFonts w:ascii="宋体" w:hAnsi="宋体" w:eastAsia="宋体"/>
          <w:bCs/>
          <w:color w:val="auto"/>
          <w:sz w:val="24"/>
          <w:szCs w:val="18"/>
          <w:highlight w:val="none"/>
        </w:rPr>
        <w:t>2.5 中标人应向采购人提供安装调试过程中的各种文档资料,以便采购人今后能掌握操作和维护方法。</w:t>
      </w:r>
      <w:bookmarkEnd w:id="27"/>
    </w:p>
    <w:p w14:paraId="29CB8A39">
      <w:pPr>
        <w:spacing w:line="360" w:lineRule="auto"/>
        <w:ind w:firstLine="437"/>
        <w:outlineLvl w:val="1"/>
        <w:rPr>
          <w:rFonts w:ascii="宋体" w:hAnsi="宋体" w:eastAsia="宋体"/>
          <w:bCs/>
          <w:color w:val="auto"/>
          <w:sz w:val="24"/>
          <w:szCs w:val="18"/>
          <w:highlight w:val="none"/>
        </w:rPr>
      </w:pPr>
      <w:bookmarkStart w:id="28" w:name="_Toc15881"/>
      <w:r>
        <w:rPr>
          <w:rFonts w:ascii="宋体" w:hAnsi="宋体" w:eastAsia="宋体"/>
          <w:bCs/>
          <w:color w:val="auto"/>
          <w:sz w:val="24"/>
          <w:szCs w:val="18"/>
          <w:highlight w:val="none"/>
        </w:rPr>
        <w:t>3、如设备在验收时有一个或多个指标未能达到要求而属于中标人责任时，则中标人自费采取有效措施，在</w:t>
      </w:r>
      <w:r>
        <w:rPr>
          <w:rFonts w:hint="eastAsia" w:ascii="宋体" w:hAnsi="宋体" w:eastAsia="宋体"/>
          <w:bCs/>
          <w:color w:val="auto"/>
          <w:sz w:val="24"/>
          <w:szCs w:val="18"/>
          <w:highlight w:val="none"/>
          <w:lang w:val="en-US" w:eastAsia="zh-CN"/>
        </w:rPr>
        <w:t>采购人</w:t>
      </w:r>
      <w:r>
        <w:rPr>
          <w:rFonts w:ascii="宋体" w:hAnsi="宋体" w:eastAsia="宋体"/>
          <w:bCs/>
          <w:color w:val="auto"/>
          <w:sz w:val="24"/>
          <w:szCs w:val="18"/>
          <w:highlight w:val="none"/>
        </w:rPr>
        <w:t>规定时间内使之达到保证指标。如在</w:t>
      </w:r>
      <w:r>
        <w:rPr>
          <w:rFonts w:hint="eastAsia" w:ascii="宋体" w:hAnsi="宋体" w:eastAsia="宋体"/>
          <w:bCs/>
          <w:color w:val="auto"/>
          <w:sz w:val="24"/>
          <w:szCs w:val="18"/>
          <w:highlight w:val="none"/>
          <w:lang w:val="en-US" w:eastAsia="zh-CN"/>
        </w:rPr>
        <w:t>采购人</w:t>
      </w:r>
      <w:r>
        <w:rPr>
          <w:rFonts w:ascii="宋体" w:hAnsi="宋体" w:eastAsia="宋体"/>
          <w:bCs/>
          <w:color w:val="auto"/>
          <w:sz w:val="24"/>
          <w:szCs w:val="18"/>
          <w:highlight w:val="none"/>
        </w:rPr>
        <w:t>规定的时间内仍达不到合格标准时，则中标人应向采购人赔偿。</w:t>
      </w:r>
      <w:bookmarkEnd w:id="28"/>
    </w:p>
    <w:p w14:paraId="42742729">
      <w:pPr>
        <w:spacing w:line="360" w:lineRule="auto"/>
        <w:ind w:firstLine="437"/>
        <w:outlineLvl w:val="1"/>
        <w:rPr>
          <w:rFonts w:hint="eastAsia" w:ascii="宋体" w:hAnsi="宋体" w:eastAsia="宋体"/>
          <w:b/>
          <w:bCs/>
          <w:color w:val="auto"/>
          <w:sz w:val="24"/>
          <w:szCs w:val="18"/>
          <w:highlight w:val="none"/>
        </w:rPr>
      </w:pPr>
      <w:bookmarkStart w:id="29" w:name="_Toc27305"/>
      <w:bookmarkStart w:id="30" w:name="_Toc532199626"/>
      <w:r>
        <w:rPr>
          <w:rFonts w:hint="eastAsia" w:ascii="宋体" w:hAnsi="宋体" w:eastAsia="宋体"/>
          <w:b/>
          <w:bCs/>
          <w:color w:val="auto"/>
          <w:sz w:val="24"/>
          <w:szCs w:val="18"/>
          <w:highlight w:val="none"/>
        </w:rPr>
        <w:t>六、包装运输</w:t>
      </w:r>
      <w:bookmarkEnd w:id="18"/>
      <w:bookmarkEnd w:id="19"/>
      <w:bookmarkEnd w:id="20"/>
      <w:bookmarkEnd w:id="29"/>
      <w:bookmarkEnd w:id="30"/>
    </w:p>
    <w:p w14:paraId="12559BCF">
      <w:pPr>
        <w:spacing w:line="360" w:lineRule="auto"/>
        <w:ind w:firstLine="437"/>
        <w:outlineLvl w:val="1"/>
        <w:rPr>
          <w:rFonts w:ascii="宋体" w:hAnsi="宋体" w:eastAsia="宋体"/>
          <w:bCs/>
          <w:color w:val="auto"/>
          <w:sz w:val="24"/>
          <w:szCs w:val="18"/>
          <w:highlight w:val="none"/>
        </w:rPr>
      </w:pPr>
      <w:bookmarkStart w:id="31" w:name="_Toc6126"/>
      <w:bookmarkStart w:id="32" w:name="_Toc455587095"/>
      <w:bookmarkStart w:id="33" w:name="_Toc455587279"/>
      <w:bookmarkStart w:id="34" w:name="_Toc445554754"/>
      <w:r>
        <w:rPr>
          <w:rFonts w:ascii="宋体" w:hAnsi="宋体" w:eastAsia="宋体"/>
          <w:bCs/>
          <w:color w:val="auto"/>
          <w:sz w:val="24"/>
          <w:szCs w:val="18"/>
          <w:highlight w:val="none"/>
        </w:rPr>
        <w:t>1、中标人负责设备包装、办理运输和保险，将设备安全运抵交货地点。</w:t>
      </w:r>
      <w:bookmarkEnd w:id="31"/>
    </w:p>
    <w:p w14:paraId="15C6EF88">
      <w:pPr>
        <w:spacing w:line="360" w:lineRule="auto"/>
        <w:ind w:firstLine="437"/>
        <w:outlineLvl w:val="1"/>
        <w:rPr>
          <w:rFonts w:ascii="宋体" w:hAnsi="宋体" w:eastAsia="宋体"/>
          <w:bCs/>
          <w:color w:val="auto"/>
          <w:sz w:val="24"/>
          <w:szCs w:val="18"/>
          <w:highlight w:val="none"/>
        </w:rPr>
      </w:pPr>
      <w:bookmarkStart w:id="35" w:name="_Toc1057"/>
      <w:r>
        <w:rPr>
          <w:rFonts w:ascii="宋体" w:hAnsi="宋体" w:eastAsia="宋体"/>
          <w:bCs/>
          <w:color w:val="auto"/>
          <w:sz w:val="24"/>
          <w:szCs w:val="18"/>
          <w:highlight w:val="none"/>
        </w:rPr>
        <w:t>2、设备制造完成并通过试验后应及时包装，否则应得到切实的保护，确保其不受污损。</w:t>
      </w:r>
      <w:bookmarkEnd w:id="35"/>
    </w:p>
    <w:p w14:paraId="4F5A0894">
      <w:pPr>
        <w:spacing w:line="360" w:lineRule="auto"/>
        <w:ind w:firstLine="437"/>
        <w:outlineLvl w:val="1"/>
        <w:rPr>
          <w:rFonts w:ascii="宋体" w:hAnsi="宋体" w:eastAsia="宋体"/>
          <w:bCs/>
          <w:color w:val="auto"/>
          <w:sz w:val="24"/>
          <w:szCs w:val="18"/>
          <w:highlight w:val="none"/>
        </w:rPr>
      </w:pPr>
      <w:bookmarkStart w:id="36" w:name="_Toc31536"/>
      <w:r>
        <w:rPr>
          <w:rFonts w:ascii="宋体" w:hAnsi="宋体" w:eastAsia="宋体"/>
          <w:bCs/>
          <w:color w:val="auto"/>
          <w:sz w:val="24"/>
          <w:szCs w:val="18"/>
          <w:highlight w:val="none"/>
        </w:rPr>
        <w:t>3、在包装箱外应标明采购人的订货号、发货号。</w:t>
      </w:r>
      <w:bookmarkEnd w:id="36"/>
    </w:p>
    <w:p w14:paraId="476B938F">
      <w:pPr>
        <w:spacing w:line="360" w:lineRule="auto"/>
        <w:ind w:firstLine="437"/>
        <w:outlineLvl w:val="1"/>
        <w:rPr>
          <w:rFonts w:ascii="宋体" w:hAnsi="宋体" w:eastAsia="宋体"/>
          <w:bCs/>
          <w:color w:val="auto"/>
          <w:sz w:val="24"/>
          <w:szCs w:val="18"/>
          <w:highlight w:val="none"/>
        </w:rPr>
      </w:pPr>
      <w:bookmarkStart w:id="37" w:name="_Toc23543"/>
      <w:r>
        <w:rPr>
          <w:rFonts w:ascii="宋体" w:hAnsi="宋体" w:eastAsia="宋体"/>
          <w:bCs/>
          <w:color w:val="auto"/>
          <w:sz w:val="24"/>
          <w:szCs w:val="18"/>
          <w:highlight w:val="none"/>
        </w:rPr>
        <w:t>4、各种包装应能确保各零部件在运输过程中不致遭到损坏、丢失、变形、受潮和腐蚀。</w:t>
      </w:r>
      <w:bookmarkEnd w:id="37"/>
    </w:p>
    <w:p w14:paraId="5900C5C6">
      <w:pPr>
        <w:spacing w:line="360" w:lineRule="auto"/>
        <w:ind w:firstLine="437"/>
        <w:outlineLvl w:val="1"/>
        <w:rPr>
          <w:rFonts w:ascii="宋体" w:hAnsi="宋体" w:eastAsia="宋体"/>
          <w:bCs/>
          <w:color w:val="auto"/>
          <w:sz w:val="24"/>
          <w:szCs w:val="18"/>
          <w:highlight w:val="none"/>
        </w:rPr>
      </w:pPr>
      <w:bookmarkStart w:id="38" w:name="_Toc15608"/>
      <w:r>
        <w:rPr>
          <w:rFonts w:ascii="宋体" w:hAnsi="宋体" w:eastAsia="宋体"/>
          <w:bCs/>
          <w:color w:val="auto"/>
          <w:sz w:val="24"/>
          <w:szCs w:val="18"/>
          <w:highlight w:val="none"/>
        </w:rPr>
        <w:t>5、包装箱上应有明显的包装储运图示标志。</w:t>
      </w:r>
      <w:bookmarkEnd w:id="38"/>
    </w:p>
    <w:p w14:paraId="1EF3BC93">
      <w:pPr>
        <w:spacing w:line="360" w:lineRule="auto"/>
        <w:ind w:firstLine="437"/>
        <w:outlineLvl w:val="1"/>
        <w:rPr>
          <w:rFonts w:ascii="宋体" w:hAnsi="宋体" w:eastAsia="宋体"/>
          <w:bCs/>
          <w:color w:val="auto"/>
          <w:sz w:val="24"/>
          <w:szCs w:val="18"/>
          <w:highlight w:val="none"/>
        </w:rPr>
      </w:pPr>
      <w:bookmarkStart w:id="39" w:name="_Toc20581"/>
      <w:r>
        <w:rPr>
          <w:rFonts w:ascii="宋体" w:hAnsi="宋体" w:eastAsia="宋体"/>
          <w:bCs/>
          <w:color w:val="auto"/>
          <w:sz w:val="24"/>
          <w:szCs w:val="18"/>
          <w:highlight w:val="none"/>
        </w:rPr>
        <w:t>6、整体产品或分别运输的部件都要适应运输和装载的要求。</w:t>
      </w:r>
      <w:bookmarkEnd w:id="39"/>
    </w:p>
    <w:p w14:paraId="237000E9">
      <w:pPr>
        <w:spacing w:line="360" w:lineRule="auto"/>
        <w:ind w:firstLine="437"/>
        <w:outlineLvl w:val="1"/>
        <w:rPr>
          <w:rFonts w:ascii="宋体" w:hAnsi="宋体" w:eastAsia="宋体"/>
          <w:bCs/>
          <w:color w:val="auto"/>
          <w:sz w:val="24"/>
          <w:szCs w:val="18"/>
          <w:highlight w:val="none"/>
        </w:rPr>
      </w:pPr>
      <w:bookmarkStart w:id="40" w:name="_Toc29056"/>
      <w:r>
        <w:rPr>
          <w:rFonts w:ascii="宋体" w:hAnsi="宋体" w:eastAsia="宋体"/>
          <w:bCs/>
          <w:color w:val="auto"/>
          <w:sz w:val="24"/>
          <w:szCs w:val="18"/>
          <w:highlight w:val="none"/>
        </w:rPr>
        <w:t>7、随产品提供的技术资料应完整无缺。</w:t>
      </w:r>
      <w:bookmarkEnd w:id="40"/>
    </w:p>
    <w:p w14:paraId="4B4C8C70">
      <w:pPr>
        <w:spacing w:line="360" w:lineRule="auto"/>
        <w:ind w:firstLine="437"/>
        <w:outlineLvl w:val="1"/>
        <w:rPr>
          <w:rFonts w:hint="eastAsia" w:ascii="宋体" w:hAnsi="宋体" w:eastAsia="宋体"/>
          <w:b/>
          <w:bCs/>
          <w:color w:val="auto"/>
          <w:sz w:val="24"/>
          <w:szCs w:val="18"/>
          <w:highlight w:val="none"/>
        </w:rPr>
      </w:pPr>
      <w:bookmarkStart w:id="41" w:name="_Toc532199627"/>
      <w:bookmarkStart w:id="42" w:name="_Toc16383"/>
      <w:r>
        <w:rPr>
          <w:rFonts w:hint="eastAsia" w:ascii="宋体" w:hAnsi="宋体" w:eastAsia="宋体"/>
          <w:b/>
          <w:bCs/>
          <w:color w:val="auto"/>
          <w:sz w:val="24"/>
          <w:szCs w:val="18"/>
          <w:highlight w:val="none"/>
          <w:lang w:eastAsia="zh-CN"/>
        </w:rPr>
        <w:t>七</w:t>
      </w:r>
      <w:r>
        <w:rPr>
          <w:rFonts w:hint="eastAsia" w:ascii="宋体" w:hAnsi="宋体" w:eastAsia="宋体"/>
          <w:b/>
          <w:bCs/>
          <w:color w:val="auto"/>
          <w:sz w:val="24"/>
          <w:szCs w:val="18"/>
          <w:highlight w:val="none"/>
        </w:rPr>
        <w:t>、技术培训</w:t>
      </w:r>
      <w:bookmarkEnd w:id="32"/>
      <w:bookmarkEnd w:id="33"/>
      <w:bookmarkEnd w:id="34"/>
      <w:bookmarkEnd w:id="41"/>
      <w:bookmarkEnd w:id="42"/>
    </w:p>
    <w:p w14:paraId="5D2B4669">
      <w:pPr>
        <w:spacing w:line="360" w:lineRule="auto"/>
        <w:ind w:firstLine="437"/>
        <w:outlineLvl w:val="1"/>
        <w:rPr>
          <w:rFonts w:ascii="宋体" w:hAnsi="宋体" w:eastAsia="宋体"/>
          <w:bCs/>
          <w:color w:val="auto"/>
          <w:sz w:val="24"/>
          <w:szCs w:val="18"/>
          <w:highlight w:val="none"/>
        </w:rPr>
      </w:pPr>
      <w:bookmarkStart w:id="43" w:name="_Toc13123"/>
      <w:r>
        <w:rPr>
          <w:rFonts w:ascii="宋体" w:hAnsi="宋体" w:eastAsia="宋体"/>
          <w:bCs/>
          <w:color w:val="auto"/>
          <w:sz w:val="24"/>
          <w:szCs w:val="18"/>
          <w:highlight w:val="none"/>
        </w:rPr>
        <w:t>1、为使合同设备能正常安装和运行，由中标人提供相应的技术培训</w:t>
      </w:r>
      <w:r>
        <w:rPr>
          <w:rFonts w:hint="eastAsia" w:ascii="宋体" w:hAnsi="宋体" w:eastAsia="宋体"/>
          <w:bCs/>
          <w:color w:val="auto"/>
          <w:sz w:val="24"/>
          <w:szCs w:val="18"/>
          <w:highlight w:val="none"/>
          <w:lang w:eastAsia="zh-CN"/>
        </w:rPr>
        <w:t>，</w:t>
      </w:r>
      <w:r>
        <w:rPr>
          <w:rFonts w:ascii="宋体" w:hAnsi="宋体" w:eastAsia="宋体"/>
          <w:bCs/>
          <w:color w:val="auto"/>
          <w:sz w:val="24"/>
          <w:szCs w:val="18"/>
          <w:highlight w:val="none"/>
        </w:rPr>
        <w:t>培训费用</w:t>
      </w:r>
      <w:r>
        <w:rPr>
          <w:rFonts w:hint="eastAsia" w:ascii="宋体" w:hAnsi="宋体" w:eastAsia="宋体"/>
          <w:bCs/>
          <w:color w:val="auto"/>
          <w:sz w:val="24"/>
          <w:szCs w:val="18"/>
          <w:highlight w:val="none"/>
          <w:lang w:val="en-US" w:eastAsia="zh-CN"/>
        </w:rPr>
        <w:t>包含在投标报价内</w:t>
      </w:r>
      <w:r>
        <w:rPr>
          <w:rFonts w:ascii="宋体" w:hAnsi="宋体" w:eastAsia="宋体"/>
          <w:bCs/>
          <w:color w:val="auto"/>
          <w:sz w:val="24"/>
          <w:szCs w:val="18"/>
          <w:highlight w:val="none"/>
        </w:rPr>
        <w:t>。</w:t>
      </w:r>
      <w:bookmarkEnd w:id="43"/>
    </w:p>
    <w:p w14:paraId="41A74093">
      <w:pPr>
        <w:spacing w:line="360" w:lineRule="auto"/>
        <w:ind w:firstLine="437"/>
        <w:outlineLvl w:val="1"/>
        <w:rPr>
          <w:rFonts w:ascii="宋体" w:hAnsi="宋体" w:eastAsia="宋体"/>
          <w:bCs/>
          <w:color w:val="auto"/>
          <w:sz w:val="24"/>
          <w:szCs w:val="18"/>
          <w:highlight w:val="none"/>
        </w:rPr>
      </w:pPr>
      <w:bookmarkStart w:id="44" w:name="_Toc8351"/>
      <w:r>
        <w:rPr>
          <w:rFonts w:ascii="宋体" w:hAnsi="宋体" w:eastAsia="宋体"/>
          <w:bCs/>
          <w:color w:val="auto"/>
          <w:sz w:val="24"/>
          <w:szCs w:val="18"/>
          <w:highlight w:val="none"/>
        </w:rPr>
        <w:t>2、培训的时间、人数、地点等具体内容由买卖双方商定，内容至少包括：设备原理、使用、维护、运行操作、常见故障处理等。</w:t>
      </w:r>
      <w:bookmarkEnd w:id="44"/>
    </w:p>
    <w:p w14:paraId="42A1F07A">
      <w:pPr>
        <w:spacing w:line="360" w:lineRule="auto"/>
        <w:ind w:firstLine="437"/>
        <w:outlineLvl w:val="1"/>
        <w:rPr>
          <w:rFonts w:hint="eastAsia" w:ascii="宋体" w:hAnsi="宋体" w:eastAsia="宋体"/>
          <w:b/>
          <w:bCs/>
          <w:color w:val="auto"/>
          <w:sz w:val="24"/>
          <w:szCs w:val="18"/>
          <w:highlight w:val="none"/>
        </w:rPr>
      </w:pPr>
      <w:bookmarkStart w:id="45" w:name="_Toc6334"/>
      <w:bookmarkStart w:id="46" w:name="_Toc532199628"/>
      <w:r>
        <w:rPr>
          <w:rFonts w:hint="eastAsia" w:ascii="宋体" w:hAnsi="宋体" w:eastAsia="宋体"/>
          <w:b/>
          <w:bCs/>
          <w:color w:val="auto"/>
          <w:sz w:val="24"/>
          <w:szCs w:val="18"/>
          <w:highlight w:val="none"/>
          <w:lang w:eastAsia="zh-CN"/>
        </w:rPr>
        <w:t>八</w:t>
      </w:r>
      <w:r>
        <w:rPr>
          <w:rFonts w:hint="eastAsia" w:ascii="宋体" w:hAnsi="宋体" w:eastAsia="宋体"/>
          <w:b/>
          <w:bCs/>
          <w:color w:val="auto"/>
          <w:sz w:val="24"/>
          <w:szCs w:val="18"/>
          <w:highlight w:val="none"/>
        </w:rPr>
        <w:t>、质保及售后服务</w:t>
      </w:r>
      <w:bookmarkEnd w:id="45"/>
    </w:p>
    <w:p w14:paraId="29307B19">
      <w:pPr>
        <w:spacing w:line="360" w:lineRule="auto"/>
        <w:ind w:firstLine="437"/>
        <w:outlineLvl w:val="1"/>
        <w:rPr>
          <w:rFonts w:ascii="宋体" w:hAnsi="宋体" w:eastAsia="宋体"/>
          <w:bCs/>
          <w:color w:val="auto"/>
          <w:sz w:val="24"/>
          <w:szCs w:val="18"/>
          <w:highlight w:val="none"/>
        </w:rPr>
      </w:pPr>
      <w:bookmarkStart w:id="47" w:name="_Toc28345"/>
      <w:r>
        <w:rPr>
          <w:rFonts w:ascii="宋体" w:hAnsi="宋体" w:eastAsia="宋体"/>
          <w:bCs/>
          <w:color w:val="auto"/>
          <w:sz w:val="24"/>
          <w:szCs w:val="18"/>
          <w:highlight w:val="none"/>
        </w:rPr>
        <w:t>1、自双方签订《验收报告》起进入质保期。</w:t>
      </w:r>
      <w:bookmarkEnd w:id="47"/>
    </w:p>
    <w:p w14:paraId="0A39B8B9">
      <w:pPr>
        <w:spacing w:line="360" w:lineRule="auto"/>
        <w:ind w:firstLine="437"/>
        <w:outlineLvl w:val="1"/>
        <w:rPr>
          <w:rFonts w:ascii="宋体" w:hAnsi="宋体" w:eastAsia="宋体"/>
          <w:bCs/>
          <w:color w:val="auto"/>
          <w:sz w:val="24"/>
          <w:szCs w:val="18"/>
          <w:highlight w:val="none"/>
        </w:rPr>
      </w:pPr>
      <w:bookmarkStart w:id="48" w:name="_Toc29939"/>
      <w:r>
        <w:rPr>
          <w:rFonts w:ascii="宋体" w:hAnsi="宋体" w:eastAsia="宋体"/>
          <w:bCs/>
          <w:color w:val="auto"/>
          <w:sz w:val="24"/>
          <w:szCs w:val="18"/>
          <w:highlight w:val="none"/>
        </w:rPr>
        <w:t>2、在质保期间内，非采购人过失和故意并且在正常使用的情况下发现商品有缺陷，中标人</w:t>
      </w:r>
      <w:r>
        <w:rPr>
          <w:rFonts w:hint="eastAsia" w:ascii="宋体" w:hAnsi="宋体" w:eastAsia="宋体"/>
          <w:bCs/>
          <w:color w:val="auto"/>
          <w:sz w:val="24"/>
          <w:szCs w:val="18"/>
          <w:highlight w:val="none"/>
          <w:lang w:val="en-US" w:eastAsia="zh-CN"/>
        </w:rPr>
        <w:t>应</w:t>
      </w:r>
      <w:r>
        <w:rPr>
          <w:rFonts w:ascii="宋体" w:hAnsi="宋体" w:eastAsia="宋体"/>
          <w:bCs/>
          <w:color w:val="auto"/>
          <w:sz w:val="24"/>
          <w:szCs w:val="18"/>
          <w:highlight w:val="none"/>
        </w:rPr>
        <w:t>修理或替换该设备；在质保期间内，非采购人过失和故意并且在正常使用的情况下设备发生故障，中标人应及时提供服务。</w:t>
      </w:r>
      <w:bookmarkEnd w:id="46"/>
      <w:bookmarkEnd w:id="48"/>
    </w:p>
    <w:p w14:paraId="71601CB0">
      <w:bookmarkStart w:id="49" w:name="_GoBack"/>
      <w:bookmarkEnd w:id="49"/>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微软简标宋">
    <w:altName w:val="宋体"/>
    <w:panose1 w:val="00000000000000000000"/>
    <w:charset w:val="86"/>
    <w:family w:val="auto"/>
    <w:pitch w:val="default"/>
    <w:sig w:usb0="00000000" w:usb1="00000000" w:usb2="0000001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051F071"/>
    <w:multiLevelType w:val="singleLevel"/>
    <w:tmpl w:val="6051F071"/>
    <w:lvl w:ilvl="0" w:tentative="0">
      <w:start w:val="1"/>
      <w:numFmt w:val="decimal"/>
      <w:suff w:val="nothing"/>
      <w:lvlText w:val="%1"/>
      <w:lvlJc w:val="left"/>
      <w:pPr>
        <w:ind w:left="425" w:leftChars="0" w:hanging="425" w:firstLineChars="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4A4231D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仿宋_GB2312" w:hAnsi="@仿宋_GB2312" w:eastAsia="@仿宋_GB2312" w:cs="@仿宋_GB2312"/>
      <w:kern w:val="2"/>
      <w:sz w:val="21"/>
      <w:lang w:val="en-US" w:eastAsia="zh-CN" w:bidi="ar-SA"/>
    </w:rPr>
  </w:style>
  <w:style w:type="character" w:default="1" w:styleId="5">
    <w:name w:val="Default Paragraph Font"/>
    <w:semiHidden/>
    <w:qFormat/>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Body Text"/>
    <w:basedOn w:val="1"/>
    <w:qFormat/>
    <w:uiPriority w:val="0"/>
    <w:pPr>
      <w:spacing w:after="120"/>
    </w:pPr>
    <w:rPr>
      <w:rFonts w:ascii="@微软简标宋" w:hAnsi="@微软简标宋" w:eastAsia="@微软简标宋" w:cs="@微软简标宋"/>
      <w:szCs w:val="24"/>
      <w:lang w:val="zh-CN"/>
    </w:rPr>
  </w:style>
  <w:style w:type="paragraph" w:styleId="3">
    <w:name w:val="header"/>
    <w:basedOn w:val="1"/>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6">
    <w:name w:val="D&amp;L"/>
    <w:basedOn w:val="3"/>
    <w:qFormat/>
    <w:uiPriority w:val="0"/>
    <w:pPr>
      <w:pBdr>
        <w:bottom w:val="thinThickSmallGap" w:color="auto" w:sz="18" w:space="1"/>
      </w:pBdr>
      <w:adjustRightInd w:val="0"/>
      <w:snapToGrid/>
      <w:spacing w:line="240" w:lineRule="atLeast"/>
      <w:textAlignment w:val="baseline"/>
    </w:pPr>
    <w:rPr>
      <w:kern w:val="0"/>
      <w:sz w:val="24"/>
      <w:szCs w:val="20"/>
    </w:rPr>
  </w:style>
  <w:style w:type="paragraph" w:customStyle="1" w:styleId="7">
    <w:name w:val="xl31"/>
    <w:basedOn w:val="1"/>
    <w:qFormat/>
    <w:uiPriority w:val="0"/>
    <w:pPr>
      <w:widowControl/>
      <w:spacing w:before="100" w:beforeAutospacing="1" w:after="100" w:afterAutospacing="1"/>
      <w:jc w:val="center"/>
    </w:pPr>
    <w:rPr>
      <w:b/>
      <w:bCs/>
      <w:kern w:val="0"/>
      <w:sz w:val="28"/>
      <w:szCs w:val="2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0</Words>
  <Characters>0</Characters>
  <Lines>0</Lines>
  <Paragraphs>0</Paragraphs>
  <TotalTime>0</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2026-08-26T10:59:07Z</dcterms:created>
  <dc:creator>Lenovo</dc:creator>
  <cp:lastModifiedBy>省招</cp:lastModifiedBy>
  <dcterms:modified xsi:type="dcterms:W3CDTF">2026-08-26T10:59:45Z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eyJoZGlkIjoiMmM2MTA4NWRhZjRiYWU5NDgyMzc3NDQyMDk2Y2ZlODgiLCJ1c2VySWQiOiI4ODgyMDUxMzUifQ==</vt:lpwstr>
  </property>
  <property fmtid="{D5CDD505-2E9C-101B-9397-08002B2CF9AE}" pid="4" name="ICV">
    <vt:lpwstr>10D3B2EDA8DB40F0B6FECF8763DBAB6E_12</vt:lpwstr>
  </property>
</Properties>
</file>