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5B406">
      <w:pPr>
        <w:spacing w:line="360" w:lineRule="auto"/>
        <w:jc w:val="center"/>
        <w:outlineLvl w:val="0"/>
        <w:rPr>
          <w:rFonts w:hint="eastAsia" w:asciiTheme="minorEastAsia" w:hAnsiTheme="minorEastAsia" w:eastAsiaTheme="minorEastAsia"/>
          <w:b/>
          <w:sz w:val="28"/>
          <w:highlight w:val="none"/>
        </w:rPr>
      </w:pPr>
      <w:bookmarkStart w:id="2" w:name="_GoBack"/>
      <w:bookmarkEnd w:id="2"/>
      <w:bookmarkStart w:id="0" w:name="_Toc30873"/>
      <w:r>
        <w:rPr>
          <w:rFonts w:hint="eastAsia" w:asciiTheme="minorEastAsia" w:hAnsiTheme="minorEastAsia" w:eastAsiaTheme="minorEastAsia"/>
          <w:b/>
          <w:sz w:val="28"/>
          <w:highlight w:val="none"/>
        </w:rPr>
        <w:t>采购需求</w:t>
      </w:r>
      <w:bookmarkEnd w:id="0"/>
    </w:p>
    <w:p w14:paraId="22B83AF3">
      <w:pPr>
        <w:spacing w:line="360" w:lineRule="auto"/>
        <w:rPr>
          <w:rFonts w:hint="eastAsia" w:cs="@仿宋_GB2312"/>
          <w:b/>
          <w:bCs/>
          <w:kern w:val="2"/>
          <w:sz w:val="24"/>
          <w:szCs w:val="22"/>
          <w:highlight w:val="none"/>
        </w:rPr>
      </w:pPr>
      <w:r>
        <w:rPr>
          <w:rFonts w:hint="eastAsia" w:cs="@仿宋_GB2312"/>
          <w:b/>
          <w:bCs/>
          <w:kern w:val="2"/>
          <w:sz w:val="24"/>
          <w:szCs w:val="22"/>
          <w:highlight w:val="none"/>
        </w:rPr>
        <w:t>一、采购需求前附表</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1277"/>
        <w:gridCol w:w="6287"/>
      </w:tblGrid>
      <w:tr w14:paraId="7689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10BA3DEB">
            <w:pPr>
              <w:spacing w:line="360" w:lineRule="auto"/>
              <w:jc w:val="center"/>
              <w:rPr>
                <w:rFonts w:hint="eastAsia" w:cs="@仿宋_GB2312" w:asciiTheme="minorEastAsia" w:hAnsiTheme="minorEastAsia" w:eastAsiaTheme="minorEastAsia"/>
                <w:b/>
                <w:kern w:val="2"/>
                <w:sz w:val="24"/>
                <w:szCs w:val="22"/>
                <w:highlight w:val="none"/>
              </w:rPr>
            </w:pPr>
            <w:r>
              <w:rPr>
                <w:rFonts w:hint="eastAsia" w:cs="@仿宋_GB2312" w:asciiTheme="minorEastAsia" w:hAnsiTheme="minorEastAsia" w:eastAsiaTheme="minorEastAsia"/>
                <w:b/>
                <w:kern w:val="2"/>
                <w:sz w:val="24"/>
                <w:szCs w:val="22"/>
                <w:highlight w:val="none"/>
              </w:rPr>
              <w:t>序号</w:t>
            </w:r>
          </w:p>
        </w:tc>
        <w:tc>
          <w:tcPr>
            <w:tcW w:w="749" w:type="pct"/>
            <w:vAlign w:val="center"/>
          </w:tcPr>
          <w:p w14:paraId="53E61857">
            <w:pPr>
              <w:spacing w:line="360" w:lineRule="auto"/>
              <w:ind w:firstLine="435"/>
              <w:jc w:val="center"/>
              <w:rPr>
                <w:rFonts w:hint="eastAsia" w:cs="@仿宋_GB2312" w:asciiTheme="minorEastAsia" w:hAnsiTheme="minorEastAsia" w:eastAsiaTheme="minorEastAsia"/>
                <w:b/>
                <w:kern w:val="2"/>
                <w:sz w:val="24"/>
                <w:szCs w:val="22"/>
                <w:highlight w:val="none"/>
              </w:rPr>
            </w:pPr>
            <w:r>
              <w:rPr>
                <w:rFonts w:hint="eastAsia" w:cs="@仿宋_GB2312" w:asciiTheme="minorEastAsia" w:hAnsiTheme="minorEastAsia" w:eastAsiaTheme="minorEastAsia"/>
                <w:b/>
                <w:kern w:val="2"/>
                <w:sz w:val="24"/>
                <w:szCs w:val="22"/>
                <w:highlight w:val="none"/>
              </w:rPr>
              <w:t>内容</w:t>
            </w:r>
          </w:p>
        </w:tc>
        <w:tc>
          <w:tcPr>
            <w:tcW w:w="3688" w:type="pct"/>
            <w:vAlign w:val="center"/>
          </w:tcPr>
          <w:p w14:paraId="3D40B5BF">
            <w:pPr>
              <w:spacing w:line="360" w:lineRule="auto"/>
              <w:ind w:firstLine="435"/>
              <w:jc w:val="center"/>
              <w:rPr>
                <w:rFonts w:hint="eastAsia" w:cs="@仿宋_GB2312" w:asciiTheme="minorEastAsia" w:hAnsiTheme="minorEastAsia" w:eastAsiaTheme="minorEastAsia"/>
                <w:b/>
                <w:kern w:val="2"/>
                <w:sz w:val="24"/>
                <w:szCs w:val="22"/>
                <w:highlight w:val="none"/>
              </w:rPr>
            </w:pPr>
            <w:r>
              <w:rPr>
                <w:rFonts w:hint="eastAsia" w:cs="@仿宋_GB2312" w:asciiTheme="minorEastAsia" w:hAnsiTheme="minorEastAsia" w:eastAsiaTheme="minorEastAsia"/>
                <w:b/>
                <w:kern w:val="2"/>
                <w:sz w:val="24"/>
                <w:szCs w:val="22"/>
                <w:highlight w:val="none"/>
              </w:rPr>
              <w:t>说明和要求</w:t>
            </w:r>
          </w:p>
        </w:tc>
      </w:tr>
      <w:tr w14:paraId="16AE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06EAF302">
            <w:pPr>
              <w:spacing w:line="360" w:lineRule="auto"/>
              <w:jc w:val="center"/>
              <w:rPr>
                <w:rFonts w:hint="eastAsia" w:cs="@仿宋_GB2312" w:eastAsiaTheme="minorEastAsia"/>
                <w:kern w:val="2"/>
                <w:sz w:val="24"/>
                <w:szCs w:val="22"/>
                <w:highlight w:val="none"/>
              </w:rPr>
            </w:pPr>
            <w:r>
              <w:rPr>
                <w:rFonts w:hint="eastAsia" w:cs="@仿宋_GB2312" w:eastAsiaTheme="minorEastAsia"/>
                <w:kern w:val="2"/>
                <w:sz w:val="24"/>
                <w:szCs w:val="22"/>
                <w:highlight w:val="none"/>
              </w:rPr>
              <w:t>1</w:t>
            </w:r>
          </w:p>
        </w:tc>
        <w:tc>
          <w:tcPr>
            <w:tcW w:w="749" w:type="pct"/>
            <w:vAlign w:val="center"/>
          </w:tcPr>
          <w:p w14:paraId="7E794BFF">
            <w:pPr>
              <w:spacing w:line="360" w:lineRule="auto"/>
              <w:rPr>
                <w:rFonts w:hint="eastAsia" w:cs="@仿宋_GB2312" w:eastAsiaTheme="minorEastAsia"/>
                <w:kern w:val="2"/>
                <w:sz w:val="24"/>
                <w:szCs w:val="22"/>
                <w:highlight w:val="none"/>
              </w:rPr>
            </w:pPr>
            <w:r>
              <w:rPr>
                <w:rFonts w:hint="eastAsia" w:cs="@仿宋_GB2312" w:eastAsiaTheme="minorEastAsia"/>
                <w:kern w:val="2"/>
                <w:sz w:val="24"/>
                <w:szCs w:val="22"/>
                <w:highlight w:val="none"/>
              </w:rPr>
              <w:t>付款方式</w:t>
            </w:r>
          </w:p>
        </w:tc>
        <w:tc>
          <w:tcPr>
            <w:tcW w:w="3688" w:type="pct"/>
            <w:vAlign w:val="center"/>
          </w:tcPr>
          <w:p w14:paraId="19532366">
            <w:pPr>
              <w:spacing w:line="360" w:lineRule="auto"/>
              <w:rPr>
                <w:rFonts w:hint="eastAsia" w:cs="@仿宋_GB2312" w:eastAsiaTheme="minorEastAsia"/>
                <w:kern w:val="2"/>
                <w:sz w:val="24"/>
                <w:szCs w:val="22"/>
                <w:highlight w:val="none"/>
                <w:lang w:val="en-US" w:eastAsia="zh-CN"/>
              </w:rPr>
            </w:pPr>
            <w:r>
              <w:rPr>
                <w:rFonts w:hint="eastAsia" w:cs="@仿宋_GB2312" w:eastAsiaTheme="minorEastAsia"/>
                <w:kern w:val="2"/>
                <w:sz w:val="24"/>
                <w:szCs w:val="22"/>
                <w:highlight w:val="none"/>
                <w:lang w:val="en-US" w:eastAsia="zh-CN"/>
              </w:rPr>
              <w:t>本项目无预付款。项目施工过程中，根据现场实际完成合格工程量支付进度款。供应商按施工进度（不低于40%）报送已完成工程量清单及付款申请资料，经采购人审核确认合格后，支付当期审定合格工程量价款。</w:t>
            </w:r>
          </w:p>
          <w:p w14:paraId="5B1FFF3E">
            <w:pPr>
              <w:spacing w:line="360" w:lineRule="auto"/>
              <w:rPr>
                <w:rFonts w:hint="eastAsia" w:cs="@仿宋_GB2312" w:eastAsiaTheme="minorEastAsia"/>
                <w:kern w:val="2"/>
                <w:sz w:val="24"/>
                <w:szCs w:val="22"/>
                <w:highlight w:val="none"/>
                <w:lang w:val="en-US" w:eastAsia="zh-CN"/>
              </w:rPr>
            </w:pPr>
            <w:r>
              <w:rPr>
                <w:rFonts w:hint="eastAsia" w:cs="@仿宋_GB2312" w:eastAsiaTheme="minorEastAsia"/>
                <w:kern w:val="2"/>
                <w:sz w:val="24"/>
                <w:szCs w:val="22"/>
                <w:highlight w:val="none"/>
                <w:lang w:val="en-US" w:eastAsia="zh-CN"/>
              </w:rPr>
              <w:t>余款支付方式为：项目验收合格经工程决算审计后支付至决算审核价款的100%。</w:t>
            </w:r>
          </w:p>
          <w:p w14:paraId="4A2585EA">
            <w:pPr>
              <w:spacing w:line="360" w:lineRule="auto"/>
              <w:rPr>
                <w:rFonts w:hint="eastAsia" w:cs="@仿宋_GB2312" w:eastAsiaTheme="minorEastAsia"/>
                <w:kern w:val="2"/>
                <w:sz w:val="24"/>
                <w:szCs w:val="22"/>
                <w:highlight w:val="none"/>
                <w:lang w:val="en-US" w:eastAsia="zh-CN"/>
              </w:rPr>
            </w:pPr>
            <w:r>
              <w:rPr>
                <w:rFonts w:hint="eastAsia" w:cs="@仿宋_GB2312" w:eastAsiaTheme="minorEastAsia"/>
                <w:kern w:val="2"/>
                <w:sz w:val="24"/>
                <w:szCs w:val="22"/>
                <w:highlight w:val="none"/>
                <w:lang w:val="en-US" w:eastAsia="zh-CN"/>
              </w:rPr>
              <w:t>备注：</w:t>
            </w:r>
          </w:p>
          <w:p w14:paraId="08314660">
            <w:pPr>
              <w:spacing w:line="360" w:lineRule="auto"/>
              <w:rPr>
                <w:rFonts w:hint="eastAsia" w:cs="@仿宋_GB2312" w:eastAsiaTheme="minorEastAsia"/>
                <w:kern w:val="2"/>
                <w:sz w:val="24"/>
                <w:szCs w:val="22"/>
                <w:highlight w:val="none"/>
                <w:lang w:val="en-US" w:eastAsia="zh-CN"/>
              </w:rPr>
            </w:pPr>
            <w:r>
              <w:rPr>
                <w:rFonts w:hint="eastAsia" w:cs="@仿宋_GB2312" w:eastAsiaTheme="minorEastAsia"/>
                <w:kern w:val="2"/>
                <w:sz w:val="24"/>
                <w:szCs w:val="22"/>
                <w:highlight w:val="none"/>
                <w:lang w:val="en-US" w:eastAsia="zh-CN"/>
              </w:rPr>
              <w:t>（1）安全生产费用采用现场计量的，据实支付。采用现场计量的，计量凭证应当包括安全生产费用投入清单、合法票据、现场照片等；采用总额包干的，应当提供使用人签字、收据、影像等佐证材料。</w:t>
            </w:r>
          </w:p>
          <w:p w14:paraId="6AA1B117">
            <w:pPr>
              <w:spacing w:line="360" w:lineRule="auto"/>
              <w:rPr>
                <w:rFonts w:hint="eastAsia" w:cs="@仿宋_GB2312" w:eastAsiaTheme="minorEastAsia"/>
                <w:kern w:val="2"/>
                <w:sz w:val="24"/>
                <w:szCs w:val="22"/>
                <w:highlight w:val="none"/>
                <w:lang w:val="en-US" w:eastAsia="zh-CN"/>
              </w:rPr>
            </w:pPr>
            <w:r>
              <w:rPr>
                <w:rFonts w:hint="eastAsia" w:cs="@仿宋_GB2312" w:eastAsiaTheme="minorEastAsia"/>
                <w:kern w:val="2"/>
                <w:sz w:val="24"/>
                <w:szCs w:val="22"/>
                <w:highlight w:val="none"/>
                <w:lang w:val="en-US" w:eastAsia="zh-CN"/>
              </w:rPr>
              <w:t>（2）供应商应在开工前编制安全生产措施方案和安全生产费用使用计划（含措施费用明细清单），安全生产费用由采购人根据供应商实施过程中措施落实情况据实支付。具体支付方式：由采购人根据供应商实施过程中安全措施落实情况据实支付，由现场管理单位审核确认、采购人审批后进行计量与支付。供应商根据工程实际需要采取安全措施超支部分的费用自负，结余部分归采购人所有。安全生产责任险费用在安全生产费用中列支。</w:t>
            </w:r>
          </w:p>
          <w:p w14:paraId="1CB1101F">
            <w:pPr>
              <w:spacing w:line="360" w:lineRule="auto"/>
              <w:rPr>
                <w:rFonts w:hint="eastAsia" w:cs="@仿宋_GB2312" w:eastAsiaTheme="minorEastAsia"/>
                <w:kern w:val="2"/>
                <w:sz w:val="24"/>
                <w:szCs w:val="22"/>
                <w:highlight w:val="none"/>
                <w:lang w:val="en-US" w:eastAsia="zh-CN"/>
              </w:rPr>
            </w:pPr>
            <w:r>
              <w:rPr>
                <w:rFonts w:hint="eastAsia" w:cs="@仿宋_GB2312" w:eastAsiaTheme="minorEastAsia"/>
                <w:kern w:val="2"/>
                <w:sz w:val="24"/>
                <w:szCs w:val="22"/>
                <w:highlight w:val="none"/>
                <w:lang w:val="en-US" w:eastAsia="zh-CN"/>
              </w:rPr>
              <w:t>（3）所有付款须提供合法、有效、合规的增值税发票，未按要求提供发票的，采购人有权顺延付款，不承担任何违约责任。</w:t>
            </w:r>
          </w:p>
          <w:p w14:paraId="41E34D89">
            <w:pPr>
              <w:spacing w:line="360" w:lineRule="auto"/>
              <w:rPr>
                <w:rFonts w:hint="eastAsia" w:cs="@仿宋_GB2312" w:eastAsiaTheme="minorEastAsia"/>
                <w:kern w:val="2"/>
                <w:sz w:val="24"/>
                <w:szCs w:val="22"/>
                <w:highlight w:val="none"/>
                <w:lang w:val="en-US" w:eastAsia="zh-CN"/>
              </w:rPr>
            </w:pPr>
            <w:r>
              <w:rPr>
                <w:rFonts w:hint="eastAsia" w:cs="@仿宋_GB2312" w:eastAsiaTheme="minorEastAsia"/>
                <w:kern w:val="2"/>
                <w:sz w:val="24"/>
                <w:szCs w:val="22"/>
                <w:highlight w:val="none"/>
                <w:lang w:val="en-US" w:eastAsia="zh-CN"/>
              </w:rPr>
              <w:t>（4）施工过程中如出现质量不合格、进度滞后、安全违规、违约整改未完成等情况，采购人有权暂停支付当期工程款，直至问题整改到位。</w:t>
            </w:r>
          </w:p>
          <w:p w14:paraId="7057DF4D">
            <w:pPr>
              <w:spacing w:line="360" w:lineRule="auto"/>
              <w:rPr>
                <w:rFonts w:hint="eastAsia" w:cs="@仿宋_GB2312" w:eastAsiaTheme="minorEastAsia"/>
                <w:kern w:val="2"/>
                <w:sz w:val="24"/>
                <w:szCs w:val="22"/>
                <w:highlight w:val="none"/>
              </w:rPr>
            </w:pPr>
            <w:r>
              <w:rPr>
                <w:rFonts w:hint="eastAsia" w:cs="@仿宋_GB2312" w:eastAsiaTheme="minorEastAsia"/>
                <w:kern w:val="2"/>
                <w:sz w:val="24"/>
                <w:szCs w:val="22"/>
                <w:highlight w:val="none"/>
              </w:rPr>
              <w:t>2.质保金：决算审核价款的</w:t>
            </w:r>
            <w:r>
              <w:rPr>
                <w:rFonts w:hint="eastAsia" w:cs="@仿宋_GB2312" w:eastAsiaTheme="minorEastAsia"/>
                <w:kern w:val="2"/>
                <w:sz w:val="24"/>
                <w:szCs w:val="22"/>
                <w:highlight w:val="none"/>
                <w:u w:val="single"/>
              </w:rPr>
              <w:t xml:space="preserve">  3  </w:t>
            </w:r>
            <w:r>
              <w:rPr>
                <w:rFonts w:hint="eastAsia" w:cs="@仿宋_GB2312" w:eastAsiaTheme="minorEastAsia"/>
                <w:kern w:val="2"/>
                <w:sz w:val="24"/>
                <w:szCs w:val="22"/>
                <w:highlight w:val="none"/>
              </w:rPr>
              <w:t>%。</w:t>
            </w:r>
            <w:r>
              <w:rPr>
                <w:rFonts w:hint="eastAsia" w:cs="@仿宋_GB2312" w:eastAsiaTheme="minorEastAsia"/>
                <w:kern w:val="2"/>
                <w:sz w:val="24"/>
                <w:szCs w:val="22"/>
                <w:highlight w:val="none"/>
              </w:rPr>
              <w:br w:type="textWrapping"/>
            </w:r>
            <w:r>
              <w:rPr>
                <w:rFonts w:hint="eastAsia" w:cs="@仿宋_GB2312" w:eastAsiaTheme="minorEastAsia"/>
                <w:kern w:val="2"/>
                <w:sz w:val="24"/>
                <w:szCs w:val="22"/>
                <w:highlight w:val="none"/>
              </w:rPr>
              <w:t>注：</w:t>
            </w:r>
          </w:p>
          <w:p w14:paraId="761E8BD3">
            <w:pPr>
              <w:spacing w:line="360" w:lineRule="auto"/>
              <w:rPr>
                <w:rFonts w:hint="eastAsia" w:cs="@仿宋_GB2312" w:eastAsiaTheme="minorEastAsia"/>
                <w:kern w:val="2"/>
                <w:sz w:val="24"/>
                <w:szCs w:val="22"/>
                <w:highlight w:val="none"/>
              </w:rPr>
            </w:pPr>
            <w:r>
              <w:rPr>
                <w:rFonts w:hint="eastAsia" w:cs="@仿宋_GB2312" w:eastAsiaTheme="minorEastAsia"/>
                <w:kern w:val="2"/>
                <w:sz w:val="24"/>
                <w:szCs w:val="22"/>
                <w:highlight w:val="none"/>
              </w:rPr>
              <w:t>（1）以现金形式提交质量保证金的，同时退还银行同期活期存款利息。</w:t>
            </w:r>
          </w:p>
          <w:p w14:paraId="0CE70B6D">
            <w:pPr>
              <w:spacing w:line="360" w:lineRule="auto"/>
              <w:rPr>
                <w:rFonts w:hint="eastAsia" w:cs="@仿宋_GB2312" w:eastAsiaTheme="minorEastAsia"/>
                <w:kern w:val="2"/>
                <w:sz w:val="24"/>
                <w:szCs w:val="22"/>
                <w:highlight w:val="none"/>
              </w:rPr>
            </w:pPr>
            <w:r>
              <w:rPr>
                <w:rFonts w:hint="eastAsia" w:cs="@仿宋_GB2312" w:eastAsiaTheme="minorEastAsia"/>
                <w:kern w:val="2"/>
                <w:sz w:val="24"/>
                <w:szCs w:val="22"/>
                <w:highlight w:val="none"/>
              </w:rPr>
              <w:t>（2）如采用金融机构出具的保函（银行保函），应为银行出具的见索即付无条件保函；如采用担保机构出具的保函（担保机构担保），应为依法取得融资担保业务经营许可证的融资担保机构出具的无条件保函。</w:t>
            </w:r>
          </w:p>
        </w:tc>
      </w:tr>
      <w:tr w14:paraId="6375F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2E13CB98">
            <w:pPr>
              <w:spacing w:line="360" w:lineRule="auto"/>
              <w:jc w:val="center"/>
              <w:rPr>
                <w:rFonts w:hint="eastAsia" w:cs="@仿宋_GB2312" w:eastAsiaTheme="minorEastAsia"/>
                <w:kern w:val="2"/>
                <w:sz w:val="24"/>
                <w:szCs w:val="22"/>
                <w:highlight w:val="none"/>
              </w:rPr>
            </w:pPr>
            <w:r>
              <w:rPr>
                <w:rFonts w:hint="eastAsia" w:cs="@仿宋_GB2312" w:eastAsiaTheme="minorEastAsia"/>
                <w:kern w:val="2"/>
                <w:sz w:val="24"/>
                <w:szCs w:val="22"/>
                <w:highlight w:val="none"/>
              </w:rPr>
              <w:t>2</w:t>
            </w:r>
          </w:p>
        </w:tc>
        <w:tc>
          <w:tcPr>
            <w:tcW w:w="749" w:type="pct"/>
            <w:vAlign w:val="center"/>
          </w:tcPr>
          <w:p w14:paraId="487640E3">
            <w:pPr>
              <w:spacing w:line="360" w:lineRule="auto"/>
              <w:rPr>
                <w:rFonts w:hint="eastAsia" w:cs="@仿宋_GB2312" w:eastAsiaTheme="minorEastAsia"/>
                <w:kern w:val="2"/>
                <w:sz w:val="24"/>
                <w:szCs w:val="22"/>
                <w:highlight w:val="none"/>
              </w:rPr>
            </w:pPr>
            <w:r>
              <w:rPr>
                <w:rFonts w:hint="eastAsia" w:cs="@仿宋_GB2312" w:eastAsiaTheme="minorEastAsia"/>
                <w:kern w:val="2"/>
                <w:sz w:val="24"/>
                <w:szCs w:val="22"/>
                <w:highlight w:val="none"/>
              </w:rPr>
              <w:t>工程地点</w:t>
            </w:r>
          </w:p>
        </w:tc>
        <w:tc>
          <w:tcPr>
            <w:tcW w:w="3688" w:type="pct"/>
            <w:vAlign w:val="center"/>
          </w:tcPr>
          <w:p w14:paraId="7BA426EB">
            <w:pPr>
              <w:spacing w:line="360" w:lineRule="auto"/>
              <w:rPr>
                <w:rFonts w:hint="eastAsia" w:cs="@仿宋_GB2312" w:eastAsiaTheme="minorEastAsia"/>
                <w:kern w:val="2"/>
                <w:sz w:val="24"/>
                <w:szCs w:val="22"/>
                <w:highlight w:val="none"/>
              </w:rPr>
            </w:pPr>
            <w:r>
              <w:rPr>
                <w:rFonts w:hint="eastAsia" w:cs="@仿宋_GB2312" w:eastAsiaTheme="minorEastAsia"/>
                <w:kern w:val="2"/>
                <w:sz w:val="24"/>
                <w:szCs w:val="22"/>
                <w:highlight w:val="none"/>
              </w:rPr>
              <w:t>合肥市肥东县湖马乡，采购人指定地点</w:t>
            </w:r>
          </w:p>
        </w:tc>
      </w:tr>
      <w:tr w14:paraId="4ACDA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FE37F9E">
            <w:pPr>
              <w:spacing w:line="360" w:lineRule="auto"/>
              <w:jc w:val="center"/>
              <w:rPr>
                <w:rFonts w:hint="eastAsia" w:cs="@仿宋_GB2312" w:eastAsiaTheme="minorEastAsia"/>
                <w:kern w:val="2"/>
                <w:sz w:val="24"/>
                <w:szCs w:val="22"/>
                <w:highlight w:val="none"/>
              </w:rPr>
            </w:pPr>
            <w:r>
              <w:rPr>
                <w:rFonts w:hint="eastAsia" w:cs="@仿宋_GB2312" w:eastAsiaTheme="minorEastAsia"/>
                <w:kern w:val="2"/>
                <w:sz w:val="24"/>
                <w:szCs w:val="22"/>
                <w:highlight w:val="none"/>
              </w:rPr>
              <w:t>3</w:t>
            </w:r>
          </w:p>
        </w:tc>
        <w:tc>
          <w:tcPr>
            <w:tcW w:w="749" w:type="pct"/>
            <w:vAlign w:val="center"/>
          </w:tcPr>
          <w:p w14:paraId="15A3AA51">
            <w:pPr>
              <w:spacing w:line="360" w:lineRule="auto"/>
              <w:rPr>
                <w:rFonts w:hint="eastAsia" w:cs="@仿宋_GB2312" w:eastAsiaTheme="minorEastAsia"/>
                <w:kern w:val="2"/>
                <w:sz w:val="24"/>
                <w:szCs w:val="22"/>
                <w:highlight w:val="none"/>
              </w:rPr>
            </w:pPr>
            <w:r>
              <w:rPr>
                <w:rFonts w:hint="eastAsia" w:cs="@仿宋_GB2312" w:eastAsiaTheme="minorEastAsia"/>
                <w:kern w:val="2"/>
                <w:sz w:val="24"/>
                <w:szCs w:val="22"/>
                <w:highlight w:val="none"/>
              </w:rPr>
              <w:t>计划工期</w:t>
            </w:r>
          </w:p>
        </w:tc>
        <w:tc>
          <w:tcPr>
            <w:tcW w:w="3688" w:type="pct"/>
            <w:vAlign w:val="center"/>
          </w:tcPr>
          <w:p w14:paraId="42C997B4">
            <w:pPr>
              <w:spacing w:line="360" w:lineRule="auto"/>
              <w:rPr>
                <w:rFonts w:hint="eastAsia" w:cs="@仿宋_GB2312" w:eastAsiaTheme="minorEastAsia"/>
                <w:kern w:val="2"/>
                <w:sz w:val="24"/>
                <w:szCs w:val="22"/>
                <w:highlight w:val="none"/>
              </w:rPr>
            </w:pPr>
            <w:r>
              <w:rPr>
                <w:rFonts w:hint="eastAsia" w:cs="@仿宋_GB2312" w:eastAsiaTheme="minorEastAsia"/>
                <w:kern w:val="2"/>
                <w:sz w:val="24"/>
                <w:szCs w:val="22"/>
                <w:highlight w:val="none"/>
                <w:lang w:eastAsia="zh-CN"/>
              </w:rPr>
              <w:t>65日历天</w:t>
            </w:r>
            <w:r>
              <w:rPr>
                <w:rFonts w:hint="eastAsia" w:cs="@仿宋_GB2312" w:eastAsiaTheme="minorEastAsia"/>
                <w:kern w:val="2"/>
                <w:sz w:val="24"/>
                <w:szCs w:val="22"/>
                <w:highlight w:val="none"/>
              </w:rPr>
              <w:t>。</w:t>
            </w:r>
          </w:p>
        </w:tc>
      </w:tr>
      <w:tr w14:paraId="4BE5F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4EF286FE">
            <w:pPr>
              <w:spacing w:line="360" w:lineRule="auto"/>
              <w:jc w:val="center"/>
              <w:rPr>
                <w:rFonts w:hint="eastAsia" w:cs="@仿宋_GB2312" w:eastAsiaTheme="minorEastAsia"/>
                <w:kern w:val="2"/>
                <w:sz w:val="24"/>
                <w:szCs w:val="22"/>
                <w:highlight w:val="none"/>
              </w:rPr>
            </w:pPr>
            <w:r>
              <w:rPr>
                <w:rFonts w:hint="eastAsia" w:cs="@仿宋_GB2312" w:eastAsiaTheme="minorEastAsia"/>
                <w:kern w:val="2"/>
                <w:sz w:val="24"/>
                <w:szCs w:val="22"/>
                <w:highlight w:val="none"/>
              </w:rPr>
              <w:t>4</w:t>
            </w:r>
          </w:p>
        </w:tc>
        <w:tc>
          <w:tcPr>
            <w:tcW w:w="749" w:type="pct"/>
            <w:vAlign w:val="center"/>
          </w:tcPr>
          <w:p w14:paraId="4931ACDE">
            <w:pPr>
              <w:spacing w:line="360" w:lineRule="auto"/>
              <w:rPr>
                <w:rFonts w:hint="eastAsia" w:cs="@仿宋_GB2312" w:eastAsiaTheme="minorEastAsia"/>
                <w:kern w:val="2"/>
                <w:sz w:val="24"/>
                <w:szCs w:val="22"/>
                <w:highlight w:val="none"/>
              </w:rPr>
            </w:pPr>
            <w:r>
              <w:rPr>
                <w:rFonts w:hint="eastAsia" w:cs="@仿宋_GB2312" w:eastAsiaTheme="minorEastAsia"/>
                <w:kern w:val="2"/>
                <w:sz w:val="24"/>
                <w:szCs w:val="22"/>
                <w:highlight w:val="none"/>
              </w:rPr>
              <w:t>质量要求</w:t>
            </w:r>
          </w:p>
        </w:tc>
        <w:tc>
          <w:tcPr>
            <w:tcW w:w="3688" w:type="pct"/>
            <w:vAlign w:val="center"/>
          </w:tcPr>
          <w:p w14:paraId="11C19E63">
            <w:pPr>
              <w:spacing w:line="360" w:lineRule="auto"/>
              <w:rPr>
                <w:rFonts w:hint="eastAsia" w:cs="@仿宋_GB2312" w:eastAsiaTheme="minorEastAsia"/>
                <w:kern w:val="2"/>
                <w:sz w:val="24"/>
                <w:szCs w:val="22"/>
                <w:highlight w:val="none"/>
              </w:rPr>
            </w:pPr>
            <w:r>
              <w:rPr>
                <w:rFonts w:hint="eastAsia" w:cs="@仿宋_GB2312" w:eastAsiaTheme="minorEastAsia"/>
                <w:kern w:val="2"/>
                <w:sz w:val="24"/>
                <w:szCs w:val="22"/>
                <w:highlight w:val="none"/>
              </w:rPr>
              <w:t>合格，满足国家、地方和行业现行的法律法规、及规章制度、规范及采购文件的规定要求，通过采购人验收。</w:t>
            </w:r>
          </w:p>
        </w:tc>
      </w:tr>
      <w:tr w14:paraId="102D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075A455">
            <w:pPr>
              <w:spacing w:line="360" w:lineRule="auto"/>
              <w:jc w:val="center"/>
              <w:rPr>
                <w:rFonts w:hint="eastAsia" w:cs="@仿宋_GB2312" w:asciiTheme="minorEastAsia" w:hAnsiTheme="minorEastAsia" w:eastAsiaTheme="minorEastAsia"/>
                <w:kern w:val="2"/>
                <w:sz w:val="24"/>
                <w:szCs w:val="22"/>
                <w:highlight w:val="none"/>
              </w:rPr>
            </w:pPr>
            <w:r>
              <w:rPr>
                <w:rFonts w:hint="eastAsia" w:cs="@仿宋_GB2312" w:asciiTheme="minorEastAsia" w:hAnsiTheme="minorEastAsia" w:eastAsiaTheme="minorEastAsia"/>
                <w:kern w:val="2"/>
                <w:sz w:val="24"/>
                <w:szCs w:val="22"/>
                <w:highlight w:val="none"/>
              </w:rPr>
              <w:t>5</w:t>
            </w:r>
          </w:p>
        </w:tc>
        <w:tc>
          <w:tcPr>
            <w:tcW w:w="749" w:type="pct"/>
            <w:vAlign w:val="center"/>
          </w:tcPr>
          <w:p w14:paraId="4C2E3296">
            <w:pPr>
              <w:spacing w:line="360" w:lineRule="auto"/>
              <w:rPr>
                <w:rFonts w:hint="eastAsia" w:cs="@仿宋_GB2312" w:asciiTheme="minorEastAsia" w:hAnsiTheme="minorEastAsia" w:eastAsiaTheme="minorEastAsia"/>
                <w:kern w:val="2"/>
                <w:sz w:val="24"/>
                <w:szCs w:val="22"/>
                <w:highlight w:val="none"/>
              </w:rPr>
            </w:pPr>
            <w:r>
              <w:rPr>
                <w:rFonts w:hint="eastAsia" w:cs="@仿宋_GB2312" w:asciiTheme="minorEastAsia" w:hAnsiTheme="minorEastAsia" w:eastAsiaTheme="minorEastAsia"/>
                <w:kern w:val="2"/>
                <w:sz w:val="24"/>
                <w:szCs w:val="22"/>
                <w:highlight w:val="none"/>
              </w:rPr>
              <w:t>人员到岗及履约要求</w:t>
            </w:r>
          </w:p>
        </w:tc>
        <w:tc>
          <w:tcPr>
            <w:tcW w:w="3688" w:type="pct"/>
            <w:vAlign w:val="center"/>
          </w:tcPr>
          <w:p w14:paraId="235778F0">
            <w:pPr>
              <w:spacing w:line="360" w:lineRule="auto"/>
              <w:rPr>
                <w:rFonts w:hint="eastAsia" w:cs="@仿宋_GB2312" w:eastAsiaTheme="minorEastAsia"/>
                <w:kern w:val="2"/>
                <w:sz w:val="24"/>
                <w:szCs w:val="22"/>
                <w:highlight w:val="none"/>
              </w:rPr>
            </w:pPr>
            <w:r>
              <w:rPr>
                <w:rFonts w:hint="eastAsia" w:cs="@仿宋_GB2312" w:eastAsiaTheme="minorEastAsia"/>
                <w:kern w:val="2"/>
                <w:sz w:val="24"/>
                <w:szCs w:val="22"/>
                <w:highlight w:val="none"/>
              </w:rPr>
              <w:t>（1）供应商一旦成交，磋商时所报的本项目的项目经理、施工现场技术负责人、各专业负责工程师及施工机械等在整个项目施工期内必须在位，否则采购人有权终止合同。由此造成的损失，成交供应商自行承担并赔偿可能给采购人造成的损失。</w:t>
            </w:r>
          </w:p>
          <w:p w14:paraId="6DC75DDC">
            <w:pPr>
              <w:spacing w:line="360" w:lineRule="auto"/>
              <w:rPr>
                <w:rFonts w:hint="eastAsia" w:cs="@仿宋_GB2312" w:eastAsiaTheme="minorEastAsia"/>
                <w:kern w:val="2"/>
                <w:sz w:val="24"/>
                <w:szCs w:val="22"/>
                <w:highlight w:val="none"/>
              </w:rPr>
            </w:pPr>
            <w:r>
              <w:rPr>
                <w:rFonts w:hint="eastAsia" w:cs="@仿宋_GB2312" w:eastAsiaTheme="minorEastAsia"/>
                <w:kern w:val="2"/>
                <w:sz w:val="24"/>
                <w:szCs w:val="22"/>
                <w:highlight w:val="none"/>
              </w:rPr>
              <w:t>（2）成交供应商不得擅自更换磋商时所报项目经理及项目部主要管理人员。确需更换时，须报采购人同意，更换后人员不得低于成交供应商磋商时所报人员资质和技术水平。采购人如认为有必要，可要求对上述人员中的部分人员做出更好的调整。</w:t>
            </w:r>
          </w:p>
          <w:p w14:paraId="1468B67D">
            <w:pPr>
              <w:spacing w:line="360" w:lineRule="auto"/>
              <w:rPr>
                <w:rFonts w:hint="eastAsia" w:cs="@仿宋_GB2312" w:eastAsiaTheme="minorEastAsia"/>
                <w:kern w:val="2"/>
                <w:sz w:val="24"/>
                <w:szCs w:val="22"/>
                <w:highlight w:val="none"/>
              </w:rPr>
            </w:pPr>
            <w:r>
              <w:rPr>
                <w:rFonts w:hint="eastAsia" w:cs="@仿宋_GB2312" w:eastAsiaTheme="minorEastAsia"/>
                <w:kern w:val="2"/>
                <w:sz w:val="24"/>
                <w:szCs w:val="22"/>
                <w:highlight w:val="none"/>
              </w:rPr>
              <w:t>（3）项目经理必须在施工期间完全在岗并在施工前向项目管理单位报备，项目管理单位将对项目经理在场情况进行考勤，如项目经理在施工过程中未到场履职的，按照</w:t>
            </w:r>
            <w:r>
              <w:rPr>
                <w:rFonts w:hint="eastAsia" w:cs="@仿宋_GB2312" w:eastAsiaTheme="minorEastAsia"/>
                <w:kern w:val="2"/>
                <w:sz w:val="24"/>
                <w:szCs w:val="22"/>
                <w:highlight w:val="none"/>
                <w:lang w:val="en-US" w:eastAsia="zh-CN"/>
              </w:rPr>
              <w:t>5</w:t>
            </w:r>
            <w:r>
              <w:rPr>
                <w:rFonts w:hint="eastAsia" w:cs="@仿宋_GB2312" w:eastAsiaTheme="minorEastAsia"/>
                <w:kern w:val="2"/>
                <w:sz w:val="24"/>
                <w:szCs w:val="22"/>
                <w:highlight w:val="none"/>
              </w:rPr>
              <w:t>00元/天承担供应商违约金（从履约保证金中扣除），缺勤违约金累计达到</w:t>
            </w:r>
            <w:r>
              <w:rPr>
                <w:rFonts w:hint="eastAsia" w:cs="@仿宋_GB2312" w:eastAsiaTheme="minorEastAsia"/>
                <w:kern w:val="2"/>
                <w:sz w:val="24"/>
                <w:szCs w:val="22"/>
                <w:highlight w:val="none"/>
                <w:lang w:val="en-US" w:eastAsia="zh-CN"/>
              </w:rPr>
              <w:t>5</w:t>
            </w:r>
            <w:r>
              <w:rPr>
                <w:rFonts w:hint="eastAsia" w:cs="@仿宋_GB2312" w:eastAsiaTheme="minorEastAsia"/>
                <w:kern w:val="2"/>
                <w:sz w:val="24"/>
                <w:szCs w:val="22"/>
                <w:highlight w:val="none"/>
              </w:rPr>
              <w:t>000元的，采购人可不予退还供应商全部履约保证金并解除合同。</w:t>
            </w:r>
          </w:p>
        </w:tc>
      </w:tr>
      <w:tr w14:paraId="62869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E7CF265">
            <w:pPr>
              <w:spacing w:line="360" w:lineRule="auto"/>
              <w:jc w:val="center"/>
              <w:rPr>
                <w:rFonts w:hint="eastAsia" w:cs="@仿宋_GB2312" w:asciiTheme="minorEastAsia" w:hAnsiTheme="minorEastAsia" w:eastAsiaTheme="minorEastAsia"/>
                <w:kern w:val="2"/>
                <w:sz w:val="24"/>
                <w:szCs w:val="22"/>
                <w:highlight w:val="none"/>
              </w:rPr>
            </w:pPr>
            <w:r>
              <w:rPr>
                <w:rFonts w:hint="eastAsia" w:cs="@仿宋_GB2312" w:asciiTheme="minorEastAsia" w:hAnsiTheme="minorEastAsia" w:eastAsiaTheme="minorEastAsia"/>
                <w:kern w:val="2"/>
                <w:sz w:val="24"/>
                <w:szCs w:val="22"/>
                <w:highlight w:val="none"/>
              </w:rPr>
              <w:t>6</w:t>
            </w:r>
          </w:p>
        </w:tc>
        <w:tc>
          <w:tcPr>
            <w:tcW w:w="749" w:type="pct"/>
            <w:vAlign w:val="center"/>
          </w:tcPr>
          <w:p w14:paraId="5A6BEE52">
            <w:pPr>
              <w:spacing w:line="360" w:lineRule="auto"/>
              <w:rPr>
                <w:rFonts w:hint="eastAsia" w:cs="@仿宋_GB2312" w:asciiTheme="minorEastAsia" w:hAnsiTheme="minorEastAsia" w:eastAsiaTheme="minorEastAsia"/>
                <w:kern w:val="2"/>
                <w:sz w:val="24"/>
                <w:szCs w:val="22"/>
                <w:highlight w:val="none"/>
              </w:rPr>
            </w:pPr>
            <w:r>
              <w:rPr>
                <w:rFonts w:hint="eastAsia" w:cs="@仿宋_GB2312" w:asciiTheme="minorEastAsia" w:hAnsiTheme="minorEastAsia" w:eastAsiaTheme="minorEastAsia"/>
                <w:kern w:val="2"/>
                <w:sz w:val="24"/>
                <w:szCs w:val="22"/>
                <w:highlight w:val="none"/>
              </w:rPr>
              <w:t>材料要求</w:t>
            </w:r>
          </w:p>
        </w:tc>
        <w:tc>
          <w:tcPr>
            <w:tcW w:w="3688" w:type="pct"/>
            <w:vAlign w:val="center"/>
          </w:tcPr>
          <w:p w14:paraId="79A2B3A0">
            <w:pPr>
              <w:spacing w:line="360" w:lineRule="auto"/>
              <w:rPr>
                <w:rFonts w:hint="eastAsia" w:cs="@仿宋_GB2312" w:eastAsiaTheme="minorEastAsia"/>
                <w:kern w:val="2"/>
                <w:sz w:val="24"/>
                <w:szCs w:val="22"/>
                <w:highlight w:val="none"/>
              </w:rPr>
            </w:pPr>
            <w:r>
              <w:rPr>
                <w:rFonts w:hint="eastAsia" w:cs="@仿宋_GB2312" w:eastAsiaTheme="minorEastAsia"/>
                <w:kern w:val="2"/>
                <w:sz w:val="24"/>
                <w:szCs w:val="22"/>
                <w:highlight w:val="none"/>
              </w:rPr>
              <w:t>（1）成交供应商自行采购的材料应满足设计和规范要求的质量等级，并须按有关技术规范要求对材料质量进行检验。成交供应商选定的材料供应厂家和价格须经采购人和监理单位认可。如采购人和监理单位对某种或某些材料的质量有异议，有权提出停止使用的要求，成交供应商必须服从该要求。若该材料经权威检验部门鉴定确有质量问题，由此而发生的一切费用由成交供应商自负。因成交供应商自行采购的材料质量引起的工程质量问题由成交供应商承担所造成的一切损失。</w:t>
            </w:r>
          </w:p>
          <w:p w14:paraId="71D1FA48">
            <w:pPr>
              <w:spacing w:line="360" w:lineRule="auto"/>
              <w:rPr>
                <w:rFonts w:hint="eastAsia" w:cs="@仿宋_GB2312" w:eastAsiaTheme="minorEastAsia"/>
                <w:kern w:val="2"/>
                <w:sz w:val="24"/>
                <w:szCs w:val="22"/>
                <w:highlight w:val="none"/>
              </w:rPr>
            </w:pPr>
            <w:r>
              <w:rPr>
                <w:rFonts w:hint="eastAsia" w:cs="@仿宋_GB2312" w:eastAsiaTheme="minorEastAsia"/>
                <w:kern w:val="2"/>
                <w:sz w:val="24"/>
                <w:szCs w:val="22"/>
                <w:highlight w:val="none"/>
              </w:rPr>
              <w:t>（2）如本项目采购人对工程质量有特殊需求的，对主要设备及材料提供不少于三个的参考品牌，对于采购人参考品牌的材料，供应商可选用参考品牌或不低于参考品牌质量标准的其他品牌；采用其他品牌的应在响应文件中提供相关技术参数证明材料供磋商小组评审，未提供相关技术参数证明材料或经磋商小组评审未通过的，成交后只能从采购人参考品牌中进行选择，价格不予调整。</w:t>
            </w:r>
          </w:p>
          <w:p w14:paraId="1F7B916C">
            <w:pPr>
              <w:spacing w:line="360" w:lineRule="auto"/>
              <w:rPr>
                <w:rFonts w:hint="eastAsia" w:cs="@仿宋_GB2312" w:asciiTheme="minorEastAsia" w:hAnsiTheme="minorEastAsia" w:eastAsiaTheme="minorEastAsia"/>
                <w:kern w:val="2"/>
                <w:sz w:val="24"/>
                <w:szCs w:val="22"/>
                <w:highlight w:val="none"/>
              </w:rPr>
            </w:pPr>
            <w:r>
              <w:rPr>
                <w:rFonts w:hint="eastAsia" w:cs="@仿宋_GB2312" w:eastAsiaTheme="minorEastAsia"/>
                <w:kern w:val="2"/>
                <w:sz w:val="24"/>
                <w:szCs w:val="22"/>
                <w:highlight w:val="none"/>
              </w:rPr>
              <w:t>（3）对于采购人参考品牌的材料，供应商如认为参考品牌有限定性、唯一性、明显不在同一档次等级的或者其他异议的，应在本项目网上询问截止时间前通过电子交易系统提交。</w:t>
            </w:r>
          </w:p>
        </w:tc>
      </w:tr>
      <w:tr w14:paraId="2A788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60D0B8F1">
            <w:pPr>
              <w:spacing w:line="360" w:lineRule="auto"/>
              <w:jc w:val="center"/>
              <w:rPr>
                <w:rFonts w:hint="eastAsia" w:cs="@仿宋_GB2312" w:asciiTheme="minorEastAsia" w:hAnsiTheme="minorEastAsia" w:eastAsiaTheme="minorEastAsia"/>
                <w:kern w:val="2"/>
                <w:sz w:val="24"/>
                <w:szCs w:val="22"/>
                <w:highlight w:val="none"/>
              </w:rPr>
            </w:pPr>
            <w:r>
              <w:rPr>
                <w:rFonts w:hint="eastAsia" w:cs="@仿宋_GB2312" w:asciiTheme="minorEastAsia" w:hAnsiTheme="minorEastAsia" w:eastAsiaTheme="minorEastAsia"/>
                <w:kern w:val="2"/>
                <w:sz w:val="24"/>
                <w:szCs w:val="22"/>
                <w:highlight w:val="none"/>
              </w:rPr>
              <w:t>7</w:t>
            </w:r>
          </w:p>
        </w:tc>
        <w:tc>
          <w:tcPr>
            <w:tcW w:w="749" w:type="pct"/>
            <w:vAlign w:val="center"/>
          </w:tcPr>
          <w:p w14:paraId="4253D5AF">
            <w:pPr>
              <w:spacing w:line="360" w:lineRule="auto"/>
              <w:rPr>
                <w:rFonts w:hint="eastAsia" w:cs="@仿宋_GB2312" w:asciiTheme="minorEastAsia" w:hAnsiTheme="minorEastAsia" w:eastAsiaTheme="minorEastAsia"/>
                <w:kern w:val="2"/>
                <w:sz w:val="24"/>
                <w:szCs w:val="22"/>
                <w:highlight w:val="none"/>
              </w:rPr>
            </w:pPr>
            <w:r>
              <w:rPr>
                <w:rFonts w:hint="eastAsia" w:cs="@仿宋_GB2312" w:asciiTheme="minorEastAsia" w:hAnsiTheme="minorEastAsia" w:eastAsiaTheme="minorEastAsia"/>
                <w:kern w:val="2"/>
                <w:sz w:val="24"/>
                <w:szCs w:val="22"/>
                <w:highlight w:val="none"/>
              </w:rPr>
              <w:t>报价须知</w:t>
            </w:r>
          </w:p>
        </w:tc>
        <w:tc>
          <w:tcPr>
            <w:tcW w:w="3688" w:type="pct"/>
            <w:vAlign w:val="center"/>
          </w:tcPr>
          <w:p w14:paraId="25397623">
            <w:pPr>
              <w:spacing w:line="360" w:lineRule="auto"/>
              <w:rPr>
                <w:rFonts w:hint="eastAsia" w:cs="@仿宋_GB2312" w:asciiTheme="minorEastAsia" w:hAnsiTheme="minorEastAsia" w:eastAsiaTheme="minorEastAsia"/>
                <w:kern w:val="2"/>
                <w:sz w:val="24"/>
                <w:szCs w:val="22"/>
                <w:highlight w:val="none"/>
              </w:rPr>
            </w:pPr>
            <w:r>
              <w:rPr>
                <w:rFonts w:hint="eastAsia" w:cs="@仿宋_GB2312" w:asciiTheme="minorEastAsia" w:hAnsiTheme="minorEastAsia" w:eastAsiaTheme="minorEastAsia"/>
                <w:kern w:val="2"/>
                <w:sz w:val="24"/>
                <w:szCs w:val="22"/>
                <w:highlight w:val="none"/>
              </w:rPr>
              <w:t>1、供应商最后报价均不得高于磋商文件（公告）列明的项目预算、最高投标限价，否则其响应文件将被认定为响应无效。</w:t>
            </w:r>
          </w:p>
          <w:p w14:paraId="2875F535">
            <w:pPr>
              <w:spacing w:line="360" w:lineRule="auto"/>
              <w:rPr>
                <w:rFonts w:hint="eastAsia" w:cs="@仿宋_GB2312" w:eastAsiaTheme="minorEastAsia"/>
                <w:kern w:val="2"/>
                <w:sz w:val="24"/>
                <w:szCs w:val="22"/>
                <w:highlight w:val="none"/>
              </w:rPr>
            </w:pPr>
            <w:r>
              <w:rPr>
                <w:rFonts w:hint="eastAsia" w:cs="@仿宋_GB2312" w:eastAsiaTheme="minorEastAsia"/>
                <w:kern w:val="2"/>
                <w:sz w:val="24"/>
                <w:szCs w:val="22"/>
                <w:highlight w:val="none"/>
              </w:rPr>
              <w:t>2、除磋商文件另有规定外，供应商不得随意增加、删除或涂改磋商文件工程量清单中的任何内容，否则其响应文件将被认定为响应无效。</w:t>
            </w:r>
          </w:p>
          <w:p w14:paraId="504CB996">
            <w:pPr>
              <w:spacing w:line="360" w:lineRule="auto"/>
              <w:rPr>
                <w:rFonts w:hint="eastAsia" w:cs="@仿宋_GB2312" w:eastAsiaTheme="minorEastAsia"/>
                <w:kern w:val="2"/>
                <w:sz w:val="24"/>
                <w:szCs w:val="22"/>
                <w:highlight w:val="none"/>
              </w:rPr>
            </w:pPr>
            <w:r>
              <w:rPr>
                <w:rFonts w:hint="eastAsia" w:cs="@仿宋_GB2312" w:eastAsiaTheme="minorEastAsia"/>
                <w:kern w:val="2"/>
                <w:sz w:val="24"/>
                <w:szCs w:val="22"/>
                <w:highlight w:val="none"/>
              </w:rPr>
              <w:t>3、安全文明施工费和安全生产责任保险费为不可竞争费用，投标人必须按定额规定费率足额计取，不得降低费率、不得合并至其他项目中抵扣。</w:t>
            </w:r>
          </w:p>
        </w:tc>
      </w:tr>
      <w:tr w14:paraId="3EDF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6CC658B9">
            <w:pPr>
              <w:spacing w:line="360" w:lineRule="auto"/>
              <w:jc w:val="center"/>
              <w:rPr>
                <w:rFonts w:hint="eastAsia" w:cs="@仿宋_GB2312" w:asciiTheme="minorEastAsia" w:hAnsiTheme="minorEastAsia" w:eastAsiaTheme="minorEastAsia"/>
                <w:kern w:val="2"/>
                <w:sz w:val="24"/>
                <w:szCs w:val="22"/>
                <w:highlight w:val="none"/>
              </w:rPr>
            </w:pPr>
            <w:r>
              <w:rPr>
                <w:rFonts w:hint="eastAsia" w:cs="@仿宋_GB2312" w:asciiTheme="minorEastAsia" w:hAnsiTheme="minorEastAsia" w:eastAsiaTheme="minorEastAsia"/>
                <w:kern w:val="2"/>
                <w:sz w:val="24"/>
                <w:szCs w:val="22"/>
                <w:highlight w:val="none"/>
              </w:rPr>
              <w:t>8</w:t>
            </w:r>
          </w:p>
        </w:tc>
        <w:tc>
          <w:tcPr>
            <w:tcW w:w="749" w:type="pct"/>
            <w:vAlign w:val="center"/>
          </w:tcPr>
          <w:p w14:paraId="104695FD">
            <w:pPr>
              <w:spacing w:line="360" w:lineRule="auto"/>
              <w:rPr>
                <w:rFonts w:hint="eastAsia" w:cs="@仿宋_GB2312" w:asciiTheme="minorEastAsia" w:hAnsiTheme="minorEastAsia" w:eastAsiaTheme="minorEastAsia"/>
                <w:kern w:val="2"/>
                <w:sz w:val="24"/>
                <w:szCs w:val="22"/>
                <w:highlight w:val="none"/>
              </w:rPr>
            </w:pPr>
            <w:r>
              <w:rPr>
                <w:rFonts w:hint="eastAsia" w:cs="@仿宋_GB2312" w:asciiTheme="minorEastAsia" w:hAnsiTheme="minorEastAsia" w:eastAsiaTheme="minorEastAsia"/>
                <w:kern w:val="2"/>
                <w:sz w:val="24"/>
                <w:szCs w:val="22"/>
                <w:highlight w:val="none"/>
              </w:rPr>
              <w:t>重要说明</w:t>
            </w:r>
          </w:p>
        </w:tc>
        <w:tc>
          <w:tcPr>
            <w:tcW w:w="3688" w:type="pct"/>
            <w:vAlign w:val="center"/>
          </w:tcPr>
          <w:p w14:paraId="7EF4CA39">
            <w:pPr>
              <w:spacing w:line="360" w:lineRule="auto"/>
              <w:rPr>
                <w:rFonts w:ascii="Calibri" w:hAnsi="Calibri" w:cs="宋体" w:eastAsiaTheme="minorEastAsia"/>
                <w:kern w:val="2"/>
                <w:sz w:val="24"/>
                <w:szCs w:val="24"/>
                <w:highlight w:val="none"/>
              </w:rPr>
            </w:pPr>
            <w:r>
              <w:rPr>
                <w:rFonts w:hint="eastAsia" w:cs="宋体" w:eastAsiaTheme="minorEastAsia"/>
                <w:kern w:val="2"/>
                <w:sz w:val="24"/>
                <w:szCs w:val="24"/>
                <w:highlight w:val="none"/>
              </w:rPr>
              <w:t>1、</w:t>
            </w:r>
            <w:r>
              <w:rPr>
                <w:rFonts w:hint="eastAsia" w:ascii="Calibri" w:hAnsi="Calibri" w:cs="宋体" w:eastAsiaTheme="minorEastAsia"/>
                <w:kern w:val="2"/>
                <w:sz w:val="24"/>
                <w:szCs w:val="24"/>
                <w:highlight w:val="none"/>
              </w:rPr>
              <w:t>本项目的磋商文件、工程量清单、最高投标限价、澄清、修改、补充等相关资料均通过电子交易系统发布，请供应商自行从网上下载，供应商应当及时查看有无相关澄清、修改、补充等内容。</w:t>
            </w:r>
          </w:p>
          <w:p w14:paraId="0FFED935">
            <w:pPr>
              <w:spacing w:line="360" w:lineRule="auto"/>
              <w:rPr>
                <w:rFonts w:hint="eastAsia" w:eastAsiaTheme="minorEastAsia"/>
                <w:kern w:val="2"/>
                <w:sz w:val="21"/>
                <w:szCs w:val="22"/>
                <w:highlight w:val="none"/>
              </w:rPr>
            </w:pPr>
            <w:r>
              <w:rPr>
                <w:rFonts w:hint="eastAsia" w:cs="宋体" w:eastAsiaTheme="minorEastAsia"/>
                <w:kern w:val="2"/>
                <w:sz w:val="24"/>
                <w:szCs w:val="24"/>
                <w:highlight w:val="none"/>
              </w:rPr>
              <w:t>2、供应商在工程实施过程中必须严格执行国家及地方政府的有关规定，依法签订劳动合同，并按规定及时足额支付工资。</w:t>
            </w:r>
          </w:p>
        </w:tc>
      </w:tr>
      <w:tr w14:paraId="2AF1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1E64CB93">
            <w:pPr>
              <w:spacing w:line="360" w:lineRule="auto"/>
              <w:jc w:val="center"/>
              <w:rPr>
                <w:rFonts w:hint="eastAsia" w:cs="@仿宋_GB2312" w:asciiTheme="minorEastAsia" w:hAnsiTheme="minorEastAsia" w:eastAsiaTheme="minorEastAsia"/>
                <w:kern w:val="2"/>
                <w:sz w:val="24"/>
                <w:szCs w:val="22"/>
                <w:highlight w:val="none"/>
              </w:rPr>
            </w:pPr>
            <w:r>
              <w:rPr>
                <w:rFonts w:hint="eastAsia" w:cs="@仿宋_GB2312" w:asciiTheme="minorEastAsia" w:hAnsiTheme="minorEastAsia" w:eastAsiaTheme="minorEastAsia"/>
                <w:kern w:val="2"/>
                <w:sz w:val="24"/>
                <w:szCs w:val="22"/>
                <w:highlight w:val="none"/>
              </w:rPr>
              <w:t>9</w:t>
            </w:r>
          </w:p>
        </w:tc>
        <w:tc>
          <w:tcPr>
            <w:tcW w:w="749" w:type="pct"/>
            <w:vAlign w:val="center"/>
          </w:tcPr>
          <w:p w14:paraId="1BE27ED3">
            <w:pPr>
              <w:pStyle w:val="20"/>
              <w:widowControl w:val="0"/>
              <w:spacing w:before="0" w:beforeAutospacing="0" w:after="0" w:afterAutospacing="0" w:line="360" w:lineRule="auto"/>
              <w:rPr>
                <w:rFonts w:hint="eastAsia" w:cs="@仿宋_GB2312" w:asciiTheme="minorEastAsia" w:hAnsiTheme="minorEastAsia" w:eastAsiaTheme="minorEastAsia"/>
                <w:kern w:val="2"/>
                <w:sz w:val="24"/>
                <w:highlight w:val="none"/>
              </w:rPr>
            </w:pPr>
            <w:r>
              <w:rPr>
                <w:rFonts w:hint="eastAsia" w:asciiTheme="minorHAnsi" w:hAnsiTheme="minorHAnsi" w:eastAsiaTheme="minorEastAsia"/>
                <w:b w:val="0"/>
                <w:kern w:val="2"/>
                <w:sz w:val="24"/>
                <w:highlight w:val="none"/>
              </w:rPr>
              <w:t>本项目采购标的名称及所属行业</w:t>
            </w:r>
          </w:p>
        </w:tc>
        <w:tc>
          <w:tcPr>
            <w:tcW w:w="3688" w:type="pct"/>
            <w:vAlign w:val="center"/>
          </w:tcPr>
          <w:p w14:paraId="5B2835E0">
            <w:pPr>
              <w:spacing w:line="360" w:lineRule="auto"/>
              <w:rPr>
                <w:rFonts w:hint="eastAsia" w:cs="@仿宋_GB2312" w:asciiTheme="minorEastAsia" w:hAnsiTheme="minorEastAsia" w:eastAsiaTheme="minorEastAsia"/>
                <w:kern w:val="2"/>
                <w:sz w:val="24"/>
                <w:szCs w:val="22"/>
                <w:highlight w:val="none"/>
              </w:rPr>
            </w:pPr>
            <w:r>
              <w:rPr>
                <w:rFonts w:hint="eastAsia" w:cs="@仿宋_GB2312" w:asciiTheme="minorEastAsia" w:hAnsiTheme="minorEastAsia" w:eastAsiaTheme="minorEastAsia"/>
                <w:kern w:val="2"/>
                <w:sz w:val="24"/>
                <w:szCs w:val="22"/>
                <w:highlight w:val="none"/>
              </w:rPr>
              <w:t>标的名称：2026年省驷马山管理处三级站站区及南大门环境整治工程</w:t>
            </w:r>
          </w:p>
          <w:p w14:paraId="30A7A852">
            <w:pPr>
              <w:spacing w:line="360" w:lineRule="auto"/>
              <w:rPr>
                <w:rFonts w:asciiTheme="minorHAnsi" w:hAnsiTheme="minorHAnsi" w:eastAsiaTheme="minorEastAsia"/>
                <w:kern w:val="2"/>
                <w:sz w:val="24"/>
                <w:szCs w:val="22"/>
                <w:highlight w:val="none"/>
              </w:rPr>
            </w:pPr>
            <w:r>
              <w:rPr>
                <w:rFonts w:hint="eastAsia" w:cs="@仿宋_GB2312" w:asciiTheme="minorEastAsia" w:hAnsiTheme="minorEastAsia" w:eastAsiaTheme="minorEastAsia"/>
                <w:kern w:val="2"/>
                <w:sz w:val="24"/>
                <w:szCs w:val="22"/>
                <w:highlight w:val="none"/>
              </w:rPr>
              <w:t>所属行业：建筑业</w:t>
            </w:r>
          </w:p>
        </w:tc>
      </w:tr>
    </w:tbl>
    <w:p w14:paraId="7D5ADCBD">
      <w:pPr>
        <w:spacing w:line="360" w:lineRule="auto"/>
        <w:rPr>
          <w:rFonts w:hint="eastAsia"/>
          <w:b/>
          <w:bCs/>
          <w:sz w:val="24"/>
          <w:highlight w:val="none"/>
        </w:rPr>
      </w:pPr>
      <w:r>
        <w:rPr>
          <w:rFonts w:hint="eastAsia"/>
          <w:b/>
          <w:bCs/>
          <w:sz w:val="24"/>
          <w:highlight w:val="none"/>
        </w:rPr>
        <w:t>二、项目概况</w:t>
      </w:r>
    </w:p>
    <w:p w14:paraId="21D34622">
      <w:pPr>
        <w:spacing w:line="360" w:lineRule="auto"/>
        <w:ind w:firstLine="480" w:firstLineChars="200"/>
        <w:rPr>
          <w:rFonts w:hint="eastAsia"/>
          <w:sz w:val="24"/>
          <w:highlight w:val="none"/>
        </w:rPr>
      </w:pPr>
      <w:r>
        <w:rPr>
          <w:rFonts w:hint="eastAsia"/>
          <w:sz w:val="24"/>
          <w:highlight w:val="none"/>
        </w:rPr>
        <w:t>1、项目概况</w:t>
      </w:r>
    </w:p>
    <w:p w14:paraId="4136496A">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驷马山三级站为大（2）型灌区泵站，设计灌溉面积171万亩，本级灌溉面积36.4万亩，已运行近 50 年，累计提水超9.6亿 m³，长期保障区域农业、城镇及生态供水。现有站区道路破损、景观缺失、水景荒废、绿化杂乱、配套设施不足，为完善站区办公休闲功能、提升场站整体风貌、打造标准化水利示范场站，实施本次环境整治工程。</w:t>
      </w:r>
    </w:p>
    <w:p w14:paraId="5AAB30C9">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2、项目内容</w:t>
      </w:r>
    </w:p>
    <w:p w14:paraId="747B8195">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采购范围涵盖硬质土建、景观小品、水景系统、非机动车充电棚、绿化种植、配套安装、拆除清运、场地造型、绿化养护、安全文明施工、临时工程、独立费用包含的管理、监理配合、检测、审计配套施工相关服务；施工全过程材料采购、运输、加工、安装、调试、成品保护、垃圾外运、缺陷修复等内容（具体以工程量清单为准）。</w:t>
      </w:r>
    </w:p>
    <w:p w14:paraId="412726EB">
      <w:pPr>
        <w:spacing w:line="360" w:lineRule="auto"/>
        <w:ind w:firstLine="480" w:firstLineChars="200"/>
        <w:rPr>
          <w:rFonts w:hint="eastAsia" w:asciiTheme="minorEastAsia" w:hAnsiTheme="minorEastAsia" w:eastAsiaTheme="minorEastAsia"/>
          <w:sz w:val="24"/>
          <w:highlight w:val="none"/>
        </w:rPr>
      </w:pPr>
      <w:r>
        <w:rPr>
          <w:rFonts w:asciiTheme="minorEastAsia" w:hAnsiTheme="minorEastAsia" w:eastAsiaTheme="minorEastAsia"/>
          <w:sz w:val="24"/>
          <w:highlight w:val="none"/>
        </w:rPr>
        <w:t>3、</w:t>
      </w:r>
      <w:r>
        <w:rPr>
          <w:rFonts w:hint="eastAsia" w:asciiTheme="minorEastAsia" w:hAnsiTheme="minorEastAsia" w:eastAsiaTheme="minorEastAsia"/>
          <w:sz w:val="24"/>
          <w:highlight w:val="none"/>
        </w:rPr>
        <w:t>配套依据文件</w:t>
      </w:r>
    </w:p>
    <w:p w14:paraId="160CCD88">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施工图、工程量清单、设计施工说明条款。</w:t>
      </w:r>
    </w:p>
    <w:p w14:paraId="04358AD0">
      <w:pPr>
        <w:spacing w:line="360" w:lineRule="auto"/>
        <w:rPr>
          <w:rFonts w:hint="eastAsia"/>
          <w:b/>
          <w:bCs/>
          <w:sz w:val="24"/>
          <w:highlight w:val="none"/>
        </w:rPr>
      </w:pPr>
      <w:r>
        <w:rPr>
          <w:rFonts w:hint="eastAsia"/>
          <w:b/>
          <w:bCs/>
          <w:sz w:val="24"/>
          <w:highlight w:val="none"/>
        </w:rPr>
        <w:t>三、建设内容及技术要求</w:t>
      </w:r>
    </w:p>
    <w:p w14:paraId="151B0E14">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1、硬质土建及园路改造工程</w:t>
      </w:r>
    </w:p>
    <w:p w14:paraId="49F7D7CD">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（1）园区园路、活动场地铺装</w:t>
      </w:r>
    </w:p>
    <w:p w14:paraId="441EB8B3">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施工范围：人行步道、机动车/非机动车道、篮球场等运动场地、休闲广场、出入口无障碍通道；仿芝麻灰烧面石英砖铺装。</w:t>
      </w:r>
    </w:p>
    <w:p w14:paraId="69A09413">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（2）地基压实硬性指标</w:t>
      </w:r>
    </w:p>
    <w:p w14:paraId="505D9011">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人行道路、非机动车/车行道路地基压实系数须符合设计与规范要求</w:t>
      </w:r>
    </w:p>
    <w:p w14:paraId="306CBCFC">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篮球场等运动场地压实系数须符合设计与规范要求；</w:t>
      </w:r>
    </w:p>
    <w:p w14:paraId="569ADD19">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构筑物基础地基压实系数须符合设计与规范要求；</w:t>
      </w:r>
    </w:p>
    <w:p w14:paraId="0E20E1D9">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软弱土、膨胀土、液化土等特殊土质，严格执行《建筑地基基础设计规范》换填碎石加固处理。</w:t>
      </w:r>
    </w:p>
    <w:p w14:paraId="1E850C8A">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铺装层次构造（自上而下）石英砖面层+干硬性水泥砂浆结合层（内掺建筑胶）+混凝土基层+碎石垫层+素土分层夯实（压实须符合设计与规范要求）。</w:t>
      </w:r>
    </w:p>
    <w:p w14:paraId="713EC147">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放线与施工管控</w:t>
      </w:r>
    </w:p>
    <w:p w14:paraId="0F89B503">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弧形、环形铺装采用弧形标准板材，半径不足时使用梯形板；方格网精准放线，减少板材切割；大面积铺装施工前必须实施样板段，经采购人、监理、设计三方签字确认后方可批量施工；所有石材进场封样，色差、裂纹、缺角板材严禁使用，天然石材正反面两道防碱防护，杜绝后期返碱泛白。</w:t>
      </w:r>
    </w:p>
    <w:p w14:paraId="30F1DD14">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（3）花坛、挡墙立面改造</w:t>
      </w:r>
    </w:p>
    <w:p w14:paraId="49BB0974">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现状花坛破损面层全部拆除清理；</w:t>
      </w:r>
    </w:p>
    <w:p w14:paraId="27668208">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饰面采用砖红色劈开砖，干硬性水泥砂浆铺贴，墙体基层修补找平；</w:t>
      </w:r>
    </w:p>
    <w:p w14:paraId="22972D0C">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墙体与铺装、绿化交接位置统一设置变形缝，避免沉降开裂。</w:t>
      </w:r>
    </w:p>
    <w:p w14:paraId="1CA7EB6B">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（4）场地拆除清运工程</w:t>
      </w:r>
    </w:p>
    <w:p w14:paraId="70FF3B57">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非机动车棚原址、池塘周边原有破损硬化地面全部破碎清运；</w:t>
      </w:r>
    </w:p>
    <w:p w14:paraId="0A945FC9">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办公楼老旧栏杆、防腐条拆除；池塘原有破损护坡、淤泥、杂草全面清理；</w:t>
      </w:r>
    </w:p>
    <w:p w14:paraId="792B5A23">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所有建筑垃圾、废弃木料、破损石材、淤泥统一外运至合规消纳点，场内不得堆放废料，清运费用包干，不另行计价。</w:t>
      </w:r>
    </w:p>
    <w:p w14:paraId="0F2DF2CB">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2、景观小品、构筑物工程</w:t>
      </w:r>
    </w:p>
    <w:p w14:paraId="70C815CF">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（1）法治文化长廊（文化墙）</w:t>
      </w:r>
    </w:p>
    <w:p w14:paraId="46F98BA7">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工艺要求：不锈钢造型文化景墙，由专业厂家依据图纸二次深化设计（成果须符合采购人要求），工厂预制成品现场组装；</w:t>
      </w:r>
    </w:p>
    <w:p w14:paraId="6E6F5D68">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基础配套：钢筋混凝土独立基础、配套预埋固定件；钢结构满焊，焊缝打磨平整，三道防腐油漆（环氧富锌底漆+环氧中间漆+聚氨酯面漆）；</w:t>
      </w:r>
    </w:p>
    <w:p w14:paraId="415F5385">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文字、造型、尺寸严格按施工图，色差、构件变形一律返工，安装垂直度偏差须符合设计与规范要求。</w:t>
      </w:r>
    </w:p>
    <w:p w14:paraId="0113EF29">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（2）景观成品</w:t>
      </w:r>
    </w:p>
    <w:p w14:paraId="74CAA333">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成品采购，配套整块花岗岩基座；石材正反面、侧边统一打磨处理，倒角规整，底部水泥砂浆坐浆找平，基座混凝土基础夯实达标。</w:t>
      </w:r>
    </w:p>
    <w:p w14:paraId="1CE3DB49">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（3）户外健身器材</w:t>
      </w:r>
    </w:p>
    <w:p w14:paraId="6C6032FE">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成套成品健身器械一组，基础混凝土浇筑，预埋件固定，满足户外耐候、防锈标准。</w:t>
      </w:r>
    </w:p>
    <w:p w14:paraId="4191324F">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（4）木栈道及配套栏杆</w:t>
      </w:r>
    </w:p>
    <w:p w14:paraId="7A43DA3C">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面层采用浅色小沟槽防腐竹木地板，配套热浸镀锌钢龙骨、钢板锚筋基础；安全栏杆满焊防腐处理；</w:t>
      </w:r>
    </w:p>
    <w:p w14:paraId="18183253">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基础层次：混凝土结构层+垫层+级配碎石+素土夯实；五金螺丝全部不锈钢材质，防腐防锈。</w:t>
      </w:r>
    </w:p>
    <w:p w14:paraId="734F5DCF">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（5）办公楼树脂瓦屋面改造</w:t>
      </w:r>
    </w:p>
    <w:p w14:paraId="46CECF3A">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拆除原有老旧屋面、栏杆构件；</w:t>
      </w:r>
    </w:p>
    <w:p w14:paraId="06F0B5D2">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轻钢框架加工安装，屋面铺设树脂瓦，钢结构整体热镀锌+防腐面漆，屋面排水坡度按图纸施工，杜绝积水渗漏。</w:t>
      </w:r>
    </w:p>
    <w:p w14:paraId="5B7BF348">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3、非机动车充电棚</w:t>
      </w:r>
    </w:p>
    <w:p w14:paraId="3D3101A0">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钢构件全部热浸镀锌，焊接处酸洗除锈后涂刷三层防锈漆；</w:t>
      </w:r>
    </w:p>
    <w:p w14:paraId="1C182341">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施工要求：厂家出具深化加工图纸，经采购人、设计确认后方可生产安装；成品车棚整体弧形流畅，充电线路预埋穿管，做好防水绝缘，竣工后通电调试；基础回填分层压实，沉降差控制在规范范围内。</w:t>
      </w:r>
    </w:p>
    <w:p w14:paraId="650D3D11">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4、水景改造及水循环系统工程</w:t>
      </w:r>
    </w:p>
    <w:p w14:paraId="47ECA7D1">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（1）池塘本体改造</w:t>
      </w:r>
    </w:p>
    <w:p w14:paraId="5CEED351">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池塘淤泥水力冲挖、晾晒外运，原有破损护坡拆除修复；</w:t>
      </w:r>
    </w:p>
    <w:p w14:paraId="512DB4D3">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生态护岸形式：缓坡生态驳岸，禁止硬质直立挡墙大面积使用；池底防渗分层（自上而下）：种植土+中粗砂+防渗土工膜+中粗砂+素土夯实；</w:t>
      </w:r>
    </w:p>
    <w:p w14:paraId="617ED9CB">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水池壁双层双向钢筋混凝土，外壁防水水泥砂浆，池底垫层、级配碎石找平；</w:t>
      </w:r>
    </w:p>
    <w:p w14:paraId="5A76241A">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全域设置水深警示标牌；</w:t>
      </w:r>
    </w:p>
    <w:p w14:paraId="0153CDBE">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过水石、置石采用自然黑山石，配套碎石夯实基础，自然堆砌，满足亲水景观效果。</w:t>
      </w:r>
    </w:p>
    <w:p w14:paraId="0708B2C4">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（2）水循环配套设备（包含全套安装调试）</w:t>
      </w:r>
    </w:p>
    <w:p w14:paraId="73BEBA48">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潜水泵，配套不锈钢泵坑，不锈钢镂空盖板；</w:t>
      </w:r>
    </w:p>
    <w:p w14:paraId="76FD4085">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施工要求：泵坑防渗、防水砂浆抹面，管道坡度满足排水，全部设备安装完成后连续7天试水，无渗漏、水循环顺畅方可验收；电气管线单独穿管防水处理。</w:t>
      </w:r>
    </w:p>
    <w:p w14:paraId="6CA1272C">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5、绿化专项工程</w:t>
      </w:r>
    </w:p>
    <w:p w14:paraId="7D68C2BC">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（1）场地前期整理</w:t>
      </w:r>
    </w:p>
    <w:p w14:paraId="37039AF6">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场地清杂、微地形堆坡造型，堆坡坡度不大于 1:3，分层填土沉降，表层高于路缘保证排水；</w:t>
      </w:r>
    </w:p>
    <w:p w14:paraId="205CA22A">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更换种植土，种植土标准：疏松有机质土，pH值 5-7；盐碱土、重黏土、建筑垃圾全部清运换填；树种局部调配酸性改良土；</w:t>
      </w:r>
    </w:p>
    <w:p w14:paraId="1CC5F416">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（2）苗木采购硬性标准</w:t>
      </w:r>
    </w:p>
    <w:p w14:paraId="7131A6C3">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全部苗木均为假植全冠苗，严禁截杆、杀头、重度修剪，仅允许剔除病枯枝；树冠完整四面观赏；</w:t>
      </w:r>
    </w:p>
    <w:p w14:paraId="18D77E94">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乔木：香樟、朴树、金桂、红枫、早樱、造型女贞等，冠幅严格按清单尺寸，土球按规范比例，土球无纺布、麻绳完整不破损；</w:t>
      </w:r>
    </w:p>
    <w:p w14:paraId="1E1FB16F">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球类灌木（海桐、红花檵木、亮晶女贞等）：精品苗，不脱脚、球形饱满，无底部光秃；</w:t>
      </w:r>
    </w:p>
    <w:p w14:paraId="40E6B59B">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花境、水生、地被：毛鹃、美人蕉、再力花、细叶麦冬、矮生百慕大草坪，加仑盆苗密植，栽植后不露土；线形地被边缘加密；</w:t>
      </w:r>
    </w:p>
    <w:p w14:paraId="6DD1E3AE">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（3）栽植、养护规范</w:t>
      </w:r>
    </w:p>
    <w:p w14:paraId="28188B64">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高大乔木采用杉木四向井字支撑，树干草绳+无纺布包裹防冻防晒；冬季所有乔木搭设防冻保护；</w:t>
      </w:r>
    </w:p>
    <w:p w14:paraId="50A8347F">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时花按四季更换方案定期更换；</w:t>
      </w:r>
    </w:p>
    <w:p w14:paraId="5FF2DCAD">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绿化施工顺序：硬质工程完工后再栽植，避免铺装污染苗木、机械破坏绿化。</w:t>
      </w:r>
    </w:p>
    <w:p w14:paraId="0308D24F">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6、金属、木构件统一防腐技术要求</w:t>
      </w:r>
    </w:p>
    <w:p w14:paraId="0478E50A">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钢材构件：所有钢件、预埋件、装饰不锈钢；热浸镀锌层；除锈等级须符合设计和规范要求，焊接处酸洗钝化。</w:t>
      </w:r>
    </w:p>
    <w:p w14:paraId="2CF756ED">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木质构件：一级直纹原木，全面防腐防虫涂刷 3 遍；现场切割破损位置补高浓度防腐剂；废弃木料统一场外处理，禁止就地焚烧、堆放污染土壤；固定螺丝全部下沉，禁止铁锤直接敲击木面。</w:t>
      </w:r>
    </w:p>
    <w:p w14:paraId="27CE859A">
      <w:pPr>
        <w:numPr>
          <w:ilvl w:val="0"/>
          <w:numId w:val="1"/>
        </w:numPr>
        <w:spacing w:line="360" w:lineRule="auto"/>
        <w:ind w:firstLine="480" w:firstLineChars="200"/>
        <w:rPr>
          <w:rFonts w:hint="eastAsia" w:cs="宋体"/>
          <w:sz w:val="24"/>
          <w:szCs w:val="24"/>
          <w:highlight w:val="none"/>
        </w:rPr>
      </w:pPr>
      <w:r>
        <w:rPr>
          <w:rFonts w:hint="eastAsia" w:cs="宋体"/>
          <w:sz w:val="24"/>
          <w:szCs w:val="24"/>
          <w:highlight w:val="none"/>
        </w:rPr>
        <w:t>绿化养护要求</w:t>
      </w:r>
    </w:p>
    <w:p w14:paraId="38E8226D">
      <w:pPr>
        <w:spacing w:line="360" w:lineRule="auto"/>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养护期限：本项目绿化养护服务期为2年，自整体项目竣工验收合格并签署竣工验收报告次日起计算。</w:t>
      </w:r>
    </w:p>
    <w:p w14:paraId="3C7D77A4">
      <w:pPr>
        <w:spacing w:line="360" w:lineRule="auto"/>
        <w:ind w:firstLine="480" w:firstLineChars="200"/>
        <w:rPr>
          <w:rFonts w:hint="eastAsia" w:cs="宋体"/>
          <w:sz w:val="24"/>
          <w:szCs w:val="24"/>
          <w:highlight w:val="none"/>
        </w:rPr>
      </w:pPr>
      <w:r>
        <w:rPr>
          <w:rFonts w:cs="宋体"/>
          <w:sz w:val="24"/>
          <w:szCs w:val="24"/>
          <w:highlight w:val="none"/>
        </w:rPr>
        <w:t>养护范围：本项目范围内所有乔木、灌木、球类、绿篱、地被植物、草坪及配套绿化附属设施。</w:t>
      </w:r>
      <w:r>
        <w:rPr>
          <w:rFonts w:hint="eastAsia" w:asciiTheme="minorEastAsia" w:hAnsiTheme="minorEastAsia" w:eastAsiaTheme="minorEastAsia"/>
          <w:sz w:val="24"/>
          <w:highlight w:val="none"/>
        </w:rPr>
        <w:t>养护内容包含浇水、施肥、修剪、病虫害防治、杂草清除、补植、地形修整等相关内容。</w:t>
      </w:r>
    </w:p>
    <w:p w14:paraId="3463AE0A">
      <w:pPr>
        <w:spacing w:line="360" w:lineRule="auto"/>
        <w:ind w:firstLine="480" w:firstLineChars="200"/>
        <w:rPr>
          <w:rFonts w:hint="eastAsia" w:cs="宋体"/>
          <w:sz w:val="24"/>
          <w:szCs w:val="24"/>
          <w:highlight w:val="none"/>
        </w:rPr>
      </w:pPr>
      <w:r>
        <w:rPr>
          <w:rFonts w:cs="宋体"/>
          <w:sz w:val="24"/>
          <w:szCs w:val="24"/>
          <w:highlight w:val="none"/>
        </w:rPr>
        <w:t>养护标准：成交供应商须按照现行园林绿化养护规范开展</w:t>
      </w:r>
      <w:r>
        <w:rPr>
          <w:rFonts w:hint="eastAsia" w:cs="宋体"/>
          <w:b/>
          <w:bCs/>
          <w:sz w:val="24"/>
          <w:szCs w:val="24"/>
          <w:highlight w:val="none"/>
        </w:rPr>
        <w:t>一级</w:t>
      </w:r>
      <w:r>
        <w:rPr>
          <w:rFonts w:cs="宋体"/>
          <w:sz w:val="24"/>
          <w:szCs w:val="24"/>
          <w:highlight w:val="none"/>
        </w:rPr>
        <w:t>养护作业，做好浇水灌溉、整形修剪、松土除草、施肥、病虫害综合防治、防旱防冻、排涝、苗木扶正加固、绿地保洁等日常养护工作。</w:t>
      </w:r>
    </w:p>
    <w:p w14:paraId="6F1878D7">
      <w:pPr>
        <w:spacing w:line="360" w:lineRule="auto"/>
        <w:ind w:firstLine="480" w:firstLineChars="200"/>
        <w:rPr>
          <w:rFonts w:hint="eastAsia" w:cs="宋体"/>
          <w:sz w:val="24"/>
          <w:szCs w:val="24"/>
          <w:highlight w:val="none"/>
        </w:rPr>
      </w:pPr>
      <w:r>
        <w:rPr>
          <w:rFonts w:cs="宋体"/>
          <w:sz w:val="24"/>
          <w:szCs w:val="24"/>
          <w:highlight w:val="none"/>
        </w:rPr>
        <w:t>补植要求：养护期内凡出现枯死、断裂、病虫害严重、长势衰弱苗木，成交供应商须在采购人通知期限内无偿完成清除及补植，补植苗木品种、规格、胸径、冠幅、土球等指标不低于原设计苗木标准，补植成活后仍计入2年养护周期，直至养护期满。</w:t>
      </w:r>
    </w:p>
    <w:p w14:paraId="18E0CDB0">
      <w:pPr>
        <w:spacing w:line="360" w:lineRule="auto"/>
        <w:ind w:firstLine="480" w:firstLineChars="200"/>
        <w:rPr>
          <w:rFonts w:hint="eastAsia" w:cs="宋体"/>
          <w:sz w:val="24"/>
          <w:szCs w:val="24"/>
          <w:highlight w:val="none"/>
        </w:rPr>
      </w:pPr>
      <w:r>
        <w:rPr>
          <w:rFonts w:cs="宋体"/>
          <w:sz w:val="24"/>
          <w:szCs w:val="24"/>
          <w:highlight w:val="none"/>
        </w:rPr>
        <w:t>养护期内发生人为破坏、自然灾害造成苗木损毁，成交供应商应及时处置，按合同约定责任划分开展修复工作。</w:t>
      </w:r>
    </w:p>
    <w:p w14:paraId="033F9CE7">
      <w:pPr>
        <w:spacing w:line="360" w:lineRule="auto"/>
        <w:ind w:firstLine="480" w:firstLineChars="200"/>
        <w:rPr>
          <w:rFonts w:hint="eastAsia" w:cs="宋体"/>
          <w:sz w:val="24"/>
          <w:szCs w:val="24"/>
          <w:highlight w:val="none"/>
        </w:rPr>
      </w:pPr>
      <w:r>
        <w:rPr>
          <w:rFonts w:cs="宋体"/>
          <w:sz w:val="24"/>
          <w:szCs w:val="24"/>
          <w:highlight w:val="none"/>
        </w:rPr>
        <w:t>养护期满后，成交供应商提交养护竣工资料，经采购人组织验收合格，完成绿化场地正式移交。</w:t>
      </w:r>
    </w:p>
    <w:p w14:paraId="3A72F3BB">
      <w:pPr>
        <w:spacing w:line="360" w:lineRule="auto"/>
        <w:rPr>
          <w:rFonts w:hint="eastAsia"/>
          <w:b/>
          <w:bCs/>
          <w:sz w:val="24"/>
          <w:highlight w:val="none"/>
        </w:rPr>
      </w:pPr>
      <w:r>
        <w:rPr>
          <w:rFonts w:hint="eastAsia"/>
          <w:b/>
          <w:bCs/>
          <w:sz w:val="24"/>
          <w:highlight w:val="none"/>
        </w:rPr>
        <w:t>四、工程量清单及报价要求</w:t>
      </w:r>
    </w:p>
    <w:p w14:paraId="66FD0E0C">
      <w:pPr>
        <w:spacing w:line="360" w:lineRule="auto"/>
        <w:ind w:firstLine="480" w:firstLineChars="200"/>
        <w:rPr>
          <w:rFonts w:hint="eastAsia"/>
          <w:sz w:val="24"/>
          <w:highlight w:val="none"/>
        </w:rPr>
      </w:pPr>
      <w:r>
        <w:rPr>
          <w:rFonts w:hint="eastAsia"/>
          <w:sz w:val="24"/>
          <w:highlight w:val="none"/>
        </w:rPr>
        <w:t>1、工程量清单</w:t>
      </w:r>
    </w:p>
    <w:p w14:paraId="1510CD49">
      <w:pPr>
        <w:spacing w:line="360" w:lineRule="auto"/>
        <w:ind w:firstLine="480" w:firstLineChars="200"/>
        <w:rPr>
          <w:rFonts w:hint="eastAsia"/>
          <w:sz w:val="24"/>
          <w:highlight w:val="none"/>
        </w:rPr>
      </w:pPr>
      <w:r>
        <w:rPr>
          <w:rFonts w:hint="eastAsia"/>
          <w:sz w:val="24"/>
          <w:highlight w:val="none"/>
        </w:rPr>
        <w:t>详见附件。</w:t>
      </w:r>
    </w:p>
    <w:p w14:paraId="40A024B7">
      <w:pPr>
        <w:spacing w:line="360" w:lineRule="auto"/>
        <w:ind w:firstLine="480" w:firstLineChars="200"/>
        <w:rPr>
          <w:rFonts w:hint="eastAsia"/>
          <w:sz w:val="24"/>
          <w:highlight w:val="none"/>
        </w:rPr>
      </w:pPr>
      <w:r>
        <w:rPr>
          <w:rFonts w:hint="eastAsia"/>
          <w:sz w:val="24"/>
          <w:highlight w:val="none"/>
        </w:rPr>
        <w:t>2、报价要求</w:t>
      </w:r>
    </w:p>
    <w:p w14:paraId="5AAD46FD">
      <w:pPr>
        <w:spacing w:line="360" w:lineRule="auto"/>
        <w:ind w:firstLine="480" w:firstLineChars="200"/>
        <w:rPr>
          <w:rFonts w:hint="eastAsia"/>
          <w:sz w:val="24"/>
          <w:highlight w:val="none"/>
        </w:rPr>
      </w:pPr>
      <w:r>
        <w:rPr>
          <w:rFonts w:hint="eastAsia"/>
          <w:sz w:val="24"/>
          <w:highlight w:val="none"/>
        </w:rPr>
        <w:t>（1）工程量清单中列明的所有需要填报的单价和合价，供应商均应填写；未填写的单价和合价，视为已包括在工程量清单的其它单价和合价中。</w:t>
      </w:r>
    </w:p>
    <w:p w14:paraId="44892ED4">
      <w:pPr>
        <w:spacing w:line="360" w:lineRule="auto"/>
        <w:ind w:firstLine="480" w:firstLineChars="200"/>
        <w:rPr>
          <w:rFonts w:hint="eastAsia"/>
          <w:sz w:val="24"/>
          <w:highlight w:val="none"/>
        </w:rPr>
      </w:pPr>
      <w:r>
        <w:rPr>
          <w:rFonts w:hint="eastAsia"/>
          <w:sz w:val="24"/>
          <w:highlight w:val="none"/>
        </w:rPr>
        <w:t>（2）工程量清单成交价的单价或金额，应包括所需人工费、施工机械使用费、材料费、其他（运杂费、质检费、安装费、缺陷修复费、保险费等费用，以及合同明示或暗示的风险、责任和义务等），以及管理费、税金、利润等。</w:t>
      </w:r>
    </w:p>
    <w:p w14:paraId="5DD64977">
      <w:pPr>
        <w:spacing w:line="360" w:lineRule="auto"/>
        <w:ind w:firstLine="480" w:firstLineChars="200"/>
        <w:rPr>
          <w:rFonts w:hint="eastAsia"/>
          <w:sz w:val="24"/>
          <w:highlight w:val="none"/>
        </w:rPr>
      </w:pPr>
      <w:r>
        <w:rPr>
          <w:rFonts w:hint="eastAsia"/>
          <w:sz w:val="24"/>
          <w:highlight w:val="none"/>
        </w:rPr>
        <w:t>（3）响应总价应按工程报价汇总表合计金额填写，金额（价格）均应以人民币表示。</w:t>
      </w:r>
    </w:p>
    <w:p w14:paraId="00CD3AE4">
      <w:pPr>
        <w:spacing w:line="360" w:lineRule="auto"/>
        <w:ind w:firstLine="482" w:firstLineChars="200"/>
        <w:rPr>
          <w:rFonts w:hint="eastAsia"/>
          <w:b/>
          <w:bCs/>
          <w:sz w:val="24"/>
          <w:highlight w:val="none"/>
        </w:rPr>
      </w:pPr>
      <w:r>
        <w:rPr>
          <w:rFonts w:hint="eastAsia"/>
          <w:b/>
          <w:bCs/>
          <w:sz w:val="24"/>
          <w:highlight w:val="none"/>
        </w:rPr>
        <w:t>（4）供应商分项响应报价均不得高于磋商文件（含工程量清单）列明的对应分项最高限价，否则其响应文件将被认定为响应无效。</w:t>
      </w:r>
    </w:p>
    <w:tbl>
      <w:tblPr>
        <w:tblStyle w:val="12"/>
        <w:tblW w:w="7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6"/>
        <w:gridCol w:w="3292"/>
        <w:gridCol w:w="2891"/>
      </w:tblGrid>
      <w:tr w14:paraId="6FF3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278" w:type="dxa"/>
            <w:vAlign w:val="center"/>
          </w:tcPr>
          <w:p w14:paraId="5C58FC71">
            <w:pPr>
              <w:spacing w:line="360" w:lineRule="auto"/>
              <w:jc w:val="center"/>
              <w:rPr>
                <w:rFonts w:hint="eastAsia"/>
                <w:sz w:val="24"/>
                <w:highlight w:val="none"/>
              </w:rPr>
            </w:pPr>
            <w:r>
              <w:rPr>
                <w:rFonts w:hint="eastAsia"/>
                <w:sz w:val="24"/>
                <w:highlight w:val="none"/>
              </w:rPr>
              <w:t>清单序号</w:t>
            </w:r>
          </w:p>
        </w:tc>
        <w:tc>
          <w:tcPr>
            <w:tcW w:w="3513" w:type="dxa"/>
            <w:vAlign w:val="center"/>
          </w:tcPr>
          <w:p w14:paraId="5CD95D0F">
            <w:pPr>
              <w:spacing w:line="360" w:lineRule="auto"/>
              <w:jc w:val="center"/>
              <w:rPr>
                <w:rFonts w:hint="eastAsia"/>
                <w:sz w:val="24"/>
                <w:highlight w:val="none"/>
              </w:rPr>
            </w:pPr>
            <w:r>
              <w:rPr>
                <w:rFonts w:hint="eastAsia"/>
                <w:sz w:val="24"/>
                <w:highlight w:val="none"/>
              </w:rPr>
              <w:t>项目名称（清单）</w:t>
            </w:r>
          </w:p>
        </w:tc>
        <w:tc>
          <w:tcPr>
            <w:tcW w:w="3048" w:type="dxa"/>
            <w:vAlign w:val="center"/>
          </w:tcPr>
          <w:p w14:paraId="19D3DDDF">
            <w:pPr>
              <w:spacing w:line="360" w:lineRule="auto"/>
              <w:jc w:val="center"/>
              <w:rPr>
                <w:rFonts w:hint="eastAsia"/>
                <w:sz w:val="24"/>
                <w:highlight w:val="none"/>
              </w:rPr>
            </w:pPr>
            <w:r>
              <w:rPr>
                <w:rFonts w:hint="eastAsia"/>
                <w:sz w:val="24"/>
                <w:highlight w:val="none"/>
              </w:rPr>
              <w:t>分项最高限价（元）</w:t>
            </w:r>
          </w:p>
        </w:tc>
      </w:tr>
      <w:tr w14:paraId="25FA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278" w:type="dxa"/>
            <w:vAlign w:val="center"/>
          </w:tcPr>
          <w:p w14:paraId="683D736D">
            <w:pPr>
              <w:spacing w:line="360" w:lineRule="auto"/>
              <w:jc w:val="center"/>
              <w:rPr>
                <w:rFonts w:hint="eastAsia"/>
                <w:sz w:val="24"/>
                <w:highlight w:val="none"/>
              </w:rPr>
            </w:pPr>
            <w:r>
              <w:rPr>
                <w:rFonts w:hint="eastAsia"/>
                <w:sz w:val="24"/>
                <w:highlight w:val="none"/>
              </w:rPr>
              <w:t>040103002001</w:t>
            </w:r>
          </w:p>
        </w:tc>
        <w:tc>
          <w:tcPr>
            <w:tcW w:w="3513" w:type="dxa"/>
            <w:vAlign w:val="center"/>
          </w:tcPr>
          <w:p w14:paraId="1881FB3C">
            <w:pPr>
              <w:spacing w:line="360" w:lineRule="auto"/>
              <w:jc w:val="center"/>
              <w:rPr>
                <w:rFonts w:hint="eastAsia"/>
                <w:sz w:val="24"/>
                <w:highlight w:val="none"/>
              </w:rPr>
            </w:pPr>
            <w:r>
              <w:rPr>
                <w:rFonts w:hint="eastAsia"/>
                <w:sz w:val="24"/>
                <w:highlight w:val="none"/>
              </w:rPr>
              <w:t>垃圾清理</w:t>
            </w:r>
          </w:p>
        </w:tc>
        <w:tc>
          <w:tcPr>
            <w:tcW w:w="3048" w:type="dxa"/>
            <w:vAlign w:val="center"/>
          </w:tcPr>
          <w:p w14:paraId="4D8FF015">
            <w:pPr>
              <w:spacing w:line="360" w:lineRule="auto"/>
              <w:jc w:val="center"/>
              <w:rPr>
                <w:rFonts w:hint="eastAsia"/>
                <w:sz w:val="24"/>
                <w:highlight w:val="none"/>
              </w:rPr>
            </w:pPr>
            <w:r>
              <w:rPr>
                <w:rFonts w:hint="eastAsia"/>
                <w:sz w:val="24"/>
                <w:highlight w:val="none"/>
              </w:rPr>
              <w:t>4500.00</w:t>
            </w:r>
          </w:p>
        </w:tc>
      </w:tr>
    </w:tbl>
    <w:p w14:paraId="0AA298C5">
      <w:pPr>
        <w:spacing w:line="360" w:lineRule="auto"/>
        <w:rPr>
          <w:rFonts w:hint="eastAsia"/>
          <w:b/>
          <w:bCs/>
          <w:sz w:val="24"/>
          <w:highlight w:val="none"/>
        </w:rPr>
      </w:pPr>
      <w:bookmarkStart w:id="1" w:name="heading_10"/>
      <w:r>
        <w:rPr>
          <w:rFonts w:hint="eastAsia"/>
          <w:b/>
          <w:bCs/>
          <w:sz w:val="24"/>
          <w:highlight w:val="none"/>
        </w:rPr>
        <w:t>五、安全文明施工措施</w:t>
      </w:r>
      <w:bookmarkEnd w:id="1"/>
    </w:p>
    <w:p w14:paraId="1ACB67C1">
      <w:pPr>
        <w:spacing w:line="360" w:lineRule="auto"/>
        <w:ind w:firstLine="480" w:firstLineChars="200"/>
        <w:rPr>
          <w:rFonts w:hint="eastAsia"/>
          <w:sz w:val="24"/>
          <w:highlight w:val="none"/>
        </w:rPr>
      </w:pPr>
      <w:r>
        <w:rPr>
          <w:rFonts w:hint="eastAsia"/>
          <w:sz w:val="24"/>
          <w:highlight w:val="none"/>
        </w:rPr>
        <w:t>1、安全施工管理：施工人员进场必须佩戴安全防护用具，机械操作人员、电工等特殊工种持证上岗；现场临时用电落实“三级配电、两级保护”，杜绝用电隐患；基坑、沟槽、机械作业区域设置安全警示标识，落实防护措施，杜绝安全事故。</w:t>
      </w:r>
    </w:p>
    <w:p w14:paraId="085814B5">
      <w:pPr>
        <w:spacing w:line="360" w:lineRule="auto"/>
        <w:ind w:firstLine="480" w:firstLineChars="200"/>
        <w:rPr>
          <w:rFonts w:hint="eastAsia"/>
          <w:sz w:val="24"/>
          <w:highlight w:val="none"/>
        </w:rPr>
      </w:pPr>
      <w:r>
        <w:rPr>
          <w:rFonts w:hint="eastAsia"/>
          <w:sz w:val="24"/>
          <w:highlight w:val="none"/>
        </w:rPr>
        <w:t>2、文明施工管理：施工现场材料分类规整堆放，做到工完料清、场地整洁；严控施工扬尘、噪音，减少对周边环境及工程运行的影响；施工垃圾、废弃苗木、旧设备等及时清运出场，保持施工现场整洁有序。</w:t>
      </w:r>
    </w:p>
    <w:p w14:paraId="361F2312">
      <w:pPr>
        <w:spacing w:line="360" w:lineRule="auto"/>
        <w:rPr>
          <w:rFonts w:hint="eastAsia"/>
          <w:b/>
          <w:bCs/>
          <w:sz w:val="24"/>
          <w:highlight w:val="none"/>
        </w:rPr>
      </w:pPr>
      <w:r>
        <w:rPr>
          <w:rFonts w:hint="eastAsia"/>
          <w:b/>
          <w:bCs/>
          <w:sz w:val="24"/>
          <w:highlight w:val="none"/>
        </w:rPr>
        <w:t>六、其他说明</w:t>
      </w:r>
    </w:p>
    <w:p w14:paraId="63912FAC">
      <w:pPr>
        <w:spacing w:line="360" w:lineRule="auto"/>
        <w:ind w:firstLine="480" w:firstLineChars="200"/>
        <w:rPr>
          <w:rFonts w:hint="eastAsia"/>
          <w:sz w:val="24"/>
          <w:highlight w:val="none"/>
        </w:rPr>
      </w:pPr>
      <w:r>
        <w:rPr>
          <w:rFonts w:hint="eastAsia"/>
          <w:sz w:val="24"/>
          <w:highlight w:val="none"/>
        </w:rPr>
        <w:t>1、供应商应充分了解工地位置、情况、道路、储存空间、装卸限制及任何其他影响响应报价的情况，任何因忽视或误解工地情况而导致的索赔或工期延长申请将不被批准。</w:t>
      </w:r>
    </w:p>
    <w:p w14:paraId="53DEB3EC">
      <w:pPr>
        <w:spacing w:line="360" w:lineRule="auto"/>
        <w:ind w:firstLine="480" w:firstLineChars="200"/>
        <w:rPr>
          <w:rFonts w:hint="eastAsia"/>
          <w:sz w:val="24"/>
          <w:highlight w:val="none"/>
        </w:rPr>
      </w:pPr>
      <w:r>
        <w:rPr>
          <w:rFonts w:hint="eastAsia"/>
          <w:sz w:val="24"/>
          <w:highlight w:val="none"/>
        </w:rPr>
        <w:t>2、与其他工程施工单位发生交叉作业而增加的费用包含在报价内。</w:t>
      </w:r>
    </w:p>
    <w:p w14:paraId="21A947CB">
      <w:pPr>
        <w:spacing w:line="360" w:lineRule="auto"/>
        <w:ind w:firstLine="480" w:firstLineChars="200"/>
        <w:rPr>
          <w:rFonts w:hint="eastAsia"/>
          <w:sz w:val="24"/>
          <w:highlight w:val="none"/>
        </w:rPr>
      </w:pPr>
      <w:r>
        <w:rPr>
          <w:rFonts w:hint="eastAsia"/>
          <w:sz w:val="24"/>
          <w:highlight w:val="none"/>
        </w:rPr>
        <w:t>3、由于前期不可预见，而新增加的施工内容，经相关部门出具设计变更及处理方案后，方可调整相应费用。</w:t>
      </w:r>
    </w:p>
    <w:p w14:paraId="7633EF2A">
      <w:pPr>
        <w:spacing w:line="360" w:lineRule="auto"/>
        <w:ind w:firstLine="480" w:firstLineChars="200"/>
        <w:rPr>
          <w:rFonts w:hint="eastAsia"/>
          <w:sz w:val="24"/>
          <w:highlight w:val="none"/>
        </w:rPr>
      </w:pPr>
      <w:r>
        <w:rPr>
          <w:rFonts w:hint="eastAsia"/>
          <w:sz w:val="24"/>
          <w:highlight w:val="none"/>
        </w:rPr>
        <w:t>4、因天气、地形、施工环境等条件发生变化，采取临时措施工程增加的费用或场地内可见障碍物清除的费用包含在报价内。</w:t>
      </w:r>
    </w:p>
    <w:p w14:paraId="416B15D8">
      <w:pPr>
        <w:spacing w:line="360" w:lineRule="auto"/>
        <w:ind w:firstLine="480" w:firstLineChars="200"/>
        <w:rPr>
          <w:rFonts w:hint="eastAsia"/>
          <w:sz w:val="24"/>
          <w:highlight w:val="none"/>
        </w:rPr>
      </w:pPr>
      <w:r>
        <w:rPr>
          <w:rFonts w:hint="eastAsia"/>
          <w:sz w:val="24"/>
          <w:highlight w:val="none"/>
        </w:rPr>
        <w:t>5、本项目代理服务费及工程量清单和最高限价（控制价）编制费由成交供应商支付（如有）。包含在报价的单价与合价中，不单独列项。</w:t>
      </w:r>
    </w:p>
    <w:p w14:paraId="154BA6F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204F43"/>
    <w:multiLevelType w:val="singleLevel"/>
    <w:tmpl w:val="BA204F43"/>
    <w:lvl w:ilvl="0" w:tentative="0">
      <w:start w:val="7"/>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5E6C03"/>
    <w:rsid w:val="01CF3131"/>
    <w:rsid w:val="02EB4369"/>
    <w:rsid w:val="128357DA"/>
    <w:rsid w:val="12F54353"/>
    <w:rsid w:val="13BF1F9F"/>
    <w:rsid w:val="1BF8711B"/>
    <w:rsid w:val="23B57DCF"/>
    <w:rsid w:val="2BC02859"/>
    <w:rsid w:val="2E7912F8"/>
    <w:rsid w:val="374426E5"/>
    <w:rsid w:val="3D3018A9"/>
    <w:rsid w:val="44E97306"/>
    <w:rsid w:val="479E35DD"/>
    <w:rsid w:val="4DA8648A"/>
    <w:rsid w:val="4F5C475A"/>
    <w:rsid w:val="4FB87821"/>
    <w:rsid w:val="55E31AB4"/>
    <w:rsid w:val="583E601C"/>
    <w:rsid w:val="58DF0589"/>
    <w:rsid w:val="59E54BAC"/>
    <w:rsid w:val="5A9A56D9"/>
    <w:rsid w:val="5C5E6C03"/>
    <w:rsid w:val="5FDF3861"/>
    <w:rsid w:val="67D550BB"/>
    <w:rsid w:val="67E32A2B"/>
    <w:rsid w:val="6EB11DD4"/>
    <w:rsid w:val="6FDE6FC3"/>
    <w:rsid w:val="70CE214E"/>
    <w:rsid w:val="730A508B"/>
    <w:rsid w:val="7C93323A"/>
    <w:rsid w:val="7F2A54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heme="minorBidi"/>
      <w:lang w:val="en-US" w:eastAsia="zh-CN" w:bidi="ar-SA"/>
    </w:rPr>
  </w:style>
  <w:style w:type="paragraph" w:styleId="2">
    <w:name w:val="heading 1"/>
    <w:basedOn w:val="1"/>
    <w:next w:val="1"/>
    <w:link w:val="16"/>
    <w:qFormat/>
    <w:uiPriority w:val="0"/>
    <w:pPr>
      <w:keepNext/>
      <w:keepLines/>
      <w:spacing w:line="360" w:lineRule="auto"/>
      <w:jc w:val="center"/>
      <w:outlineLvl w:val="0"/>
    </w:pPr>
    <w:rPr>
      <w:rFonts w:ascii="Calibri" w:hAnsi="Calibri" w:eastAsia="宋体" w:cs="Times New Roman"/>
      <w:b/>
      <w:bCs/>
      <w:kern w:val="44"/>
      <w:sz w:val="32"/>
      <w:szCs w:val="44"/>
    </w:rPr>
  </w:style>
  <w:style w:type="paragraph" w:styleId="3">
    <w:name w:val="heading 2"/>
    <w:basedOn w:val="1"/>
    <w:next w:val="1"/>
    <w:link w:val="14"/>
    <w:autoRedefine/>
    <w:semiHidden/>
    <w:unhideWhenUsed/>
    <w:qFormat/>
    <w:uiPriority w:val="0"/>
    <w:pPr>
      <w:keepNext/>
      <w:keepLines/>
      <w:spacing w:line="360" w:lineRule="auto"/>
      <w:jc w:val="left"/>
      <w:outlineLvl w:val="1"/>
    </w:pPr>
    <w:rPr>
      <w:rFonts w:ascii="Times New Roman" w:hAnsi="Times New Roman" w:eastAsiaTheme="majorEastAsia" w:cstheme="majorBidi"/>
      <w:b/>
      <w:sz w:val="28"/>
    </w:rPr>
  </w:style>
  <w:style w:type="paragraph" w:styleId="4">
    <w:name w:val="heading 3"/>
    <w:basedOn w:val="1"/>
    <w:next w:val="1"/>
    <w:link w:val="15"/>
    <w:semiHidden/>
    <w:unhideWhenUsed/>
    <w:qFormat/>
    <w:uiPriority w:val="0"/>
    <w:pPr>
      <w:autoSpaceDE/>
      <w:autoSpaceDN/>
      <w:spacing w:before="50" w:beforeLines="50" w:beforeAutospacing="0" w:afterAutospacing="0" w:line="360" w:lineRule="auto"/>
      <w:jc w:val="left"/>
      <w:outlineLvl w:val="2"/>
    </w:pPr>
    <w:rPr>
      <w:rFonts w:hint="eastAsia" w:ascii="Times New Roman" w:hAnsi="Times New Roman" w:eastAsia="宋体"/>
      <w:b/>
      <w:kern w:val="0"/>
      <w:sz w:val="24"/>
      <w:szCs w:val="24"/>
    </w:rPr>
  </w:style>
  <w:style w:type="paragraph" w:styleId="5">
    <w:name w:val="heading 4"/>
    <w:basedOn w:val="1"/>
    <w:next w:val="1"/>
    <w:link w:val="17"/>
    <w:semiHidden/>
    <w:unhideWhenUsed/>
    <w:qFormat/>
    <w:uiPriority w:val="0"/>
    <w:pPr>
      <w:keepNext/>
      <w:keepLines/>
      <w:spacing w:line="360" w:lineRule="auto"/>
      <w:outlineLvl w:val="3"/>
    </w:pPr>
    <w:rPr>
      <w:rFonts w:ascii="Times New Roman" w:hAnsi="Times New Roman" w:eastAsia="宋体" w:cs="Times New Roman"/>
      <w:kern w:val="0"/>
      <w:sz w:val="24"/>
    </w:rPr>
  </w:style>
  <w:style w:type="character" w:default="1" w:styleId="13">
    <w:name w:val="Default Paragraph Font"/>
    <w:autoRedefine/>
    <w:semiHidden/>
    <w:unhideWhenUsed/>
    <w:qFormat/>
    <w:uiPriority w:val="1"/>
  </w:style>
  <w:style w:type="table" w:default="1" w:styleId="11">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0"/>
    <w:pPr>
      <w:spacing w:after="120" w:afterLines="0" w:afterAutospacing="0"/>
    </w:pPr>
  </w:style>
  <w:style w:type="paragraph" w:styleId="7">
    <w:name w:val="Body Text Indent"/>
    <w:basedOn w:val="1"/>
    <w:qFormat/>
    <w:uiPriority w:val="0"/>
    <w:pPr>
      <w:spacing w:after="120" w:afterLines="0" w:afterAutospacing="0"/>
      <w:ind w:left="420" w:leftChars="200"/>
    </w:pPr>
  </w:style>
  <w:style w:type="paragraph" w:styleId="8">
    <w:name w:val="Plain Text"/>
    <w:basedOn w:val="1"/>
    <w:link w:val="18"/>
    <w:qFormat/>
    <w:uiPriority w:val="0"/>
    <w:rPr>
      <w:rFonts w:ascii="Times New Roman" w:hAnsi="Times New Roman" w:eastAsia="宋体"/>
      <w:kern w:val="0"/>
      <w:sz w:val="20"/>
      <w:szCs w:val="20"/>
    </w:rPr>
  </w:style>
  <w:style w:type="paragraph" w:styleId="9">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0">
    <w:name w:val="Body Text First Indent 2"/>
    <w:basedOn w:val="7"/>
    <w:qFormat/>
    <w:uiPriority w:val="0"/>
    <w:pPr>
      <w:spacing w:line="360" w:lineRule="auto"/>
      <w:ind w:left="0" w:leftChars="0" w:firstLine="420" w:firstLineChars="200"/>
    </w:pPr>
    <w:rPr>
      <w:rFonts w:ascii="Times New Roman" w:hAnsi="Times New Roman" w:eastAsia="宋体"/>
    </w:rPr>
  </w:style>
  <w:style w:type="table" w:styleId="12">
    <w:name w:val="Table Grid"/>
    <w:basedOn w:val="11"/>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标题 2 字符"/>
    <w:basedOn w:val="13"/>
    <w:link w:val="3"/>
    <w:autoRedefine/>
    <w:qFormat/>
    <w:uiPriority w:val="9"/>
    <w:rPr>
      <w:rFonts w:ascii="Times New Roman" w:hAnsi="Times New Roman" w:eastAsiaTheme="majorEastAsia" w:cstheme="majorBidi"/>
      <w:b/>
      <w:kern w:val="2"/>
      <w:sz w:val="28"/>
      <w:szCs w:val="24"/>
    </w:rPr>
  </w:style>
  <w:style w:type="character" w:customStyle="1" w:styleId="15">
    <w:name w:val="标题 3 字符"/>
    <w:basedOn w:val="13"/>
    <w:link w:val="4"/>
    <w:autoRedefine/>
    <w:qFormat/>
    <w:uiPriority w:val="9"/>
    <w:rPr>
      <w:rFonts w:ascii="Times New Roman" w:hAnsi="Times New Roman" w:eastAsia="宋体"/>
      <w:b/>
      <w:sz w:val="24"/>
      <w:szCs w:val="24"/>
    </w:rPr>
  </w:style>
  <w:style w:type="character" w:customStyle="1" w:styleId="16">
    <w:name w:val="标题 1 字符"/>
    <w:link w:val="2"/>
    <w:autoRedefine/>
    <w:qFormat/>
    <w:uiPriority w:val="0"/>
    <w:rPr>
      <w:rFonts w:ascii="Calibri" w:hAnsi="Calibri" w:eastAsia="宋体" w:cs="Times New Roman"/>
      <w:b/>
      <w:bCs/>
      <w:kern w:val="44"/>
      <w:sz w:val="32"/>
      <w:szCs w:val="44"/>
    </w:rPr>
  </w:style>
  <w:style w:type="character" w:customStyle="1" w:styleId="17">
    <w:name w:val="标题 4 字符"/>
    <w:basedOn w:val="13"/>
    <w:link w:val="5"/>
    <w:autoRedefine/>
    <w:qFormat/>
    <w:uiPriority w:val="0"/>
    <w:rPr>
      <w:rFonts w:ascii="Times New Roman" w:hAnsi="Times New Roman" w:eastAsia="宋体" w:cs="Times New Roman"/>
      <w:sz w:val="24"/>
      <w:szCs w:val="24"/>
    </w:rPr>
  </w:style>
  <w:style w:type="character" w:customStyle="1" w:styleId="18">
    <w:name w:val="纯文本 字符"/>
    <w:link w:val="8"/>
    <w:autoRedefine/>
    <w:qFormat/>
    <w:locked/>
    <w:uiPriority w:val="0"/>
    <w:rPr>
      <w:rFonts w:ascii="Times New Roman" w:hAnsi="Times New Roman" w:eastAsia="宋体"/>
    </w:rPr>
  </w:style>
  <w:style w:type="table" w:customStyle="1" w:styleId="19">
    <w:name w:val="网格型2"/>
    <w:basedOn w:val="11"/>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xl31"/>
    <w:basedOn w:val="1"/>
    <w:autoRedefine/>
    <w:qFormat/>
    <w:uiPriority w:val="0"/>
    <w:pPr>
      <w:widowControl/>
      <w:spacing w:before="100" w:beforeAutospacing="1" w:after="100" w:afterAutospacing="1"/>
      <w:jc w:val="center"/>
    </w:pPr>
    <w:rPr>
      <w:b/>
      <w:bCs/>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2026-08-28T03:43:00Z</dcterms:created>
  <dc:creator>Doris</dc:creator>
  <cp:lastModifiedBy>Doris</cp:lastModifiedBy>
  <dcterms:modified xsi:type="dcterms:W3CDTF">2026-08-28T03:43:56Z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9DF7C4FFFEBC49FCBEFA983F8E8FF3C5_11</vt:lpwstr>
  </property>
  <property fmtid="{D5CDD505-2E9C-101B-9397-08002B2CF9AE}" pid="4" name="KSOTemplateDocerSaveRecord">
    <vt:lpwstr>eyJoZGlkIjoiOTg5NDdhOTJiMWIyZThiZjhkYzc5MDNiODJjMGNkNmQiLCJ1c2VySWQiOiI2ODM4MTg5ODEifQ==</vt:lpwstr>
  </property>
</Properties>
</file>