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85DD2">
      <w:pPr>
        <w:pStyle w:val="2"/>
        <w:widowControl/>
        <w:snapToGrid w:val="0"/>
        <w:spacing w:before="0" w:after="0" w:line="360" w:lineRule="auto"/>
        <w:jc w:val="center"/>
        <w:rPr>
          <w:rFonts w:hint="eastAsia" w:ascii="宋体" w:hAnsi="宋体"/>
          <w:color w:val="000000"/>
          <w:highlight w:val="none"/>
        </w:rPr>
      </w:pPr>
      <w:bookmarkStart w:id="0" w:name="_Toc8981"/>
      <w:r>
        <w:rPr>
          <w:rFonts w:hint="eastAsia" w:ascii="宋体" w:hAnsi="宋体"/>
          <w:color w:val="000000"/>
          <w:highlight w:val="none"/>
        </w:rPr>
        <w:t>第三章  采购需求及技术规格要求</w:t>
      </w:r>
      <w:bookmarkEnd w:id="0"/>
    </w:p>
    <w:p w14:paraId="2BBF07D7">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7919D3C8">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14CAF47">
      <w:pPr>
        <w:pStyle w:val="11"/>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1.2 </w:t>
      </w:r>
      <w:r>
        <w:rPr>
          <w:rFonts w:hint="eastAsia" w:ascii="仿宋" w:hAnsi="仿宋" w:eastAsia="仿宋" w:cs="仿宋"/>
          <w:color w:val="000000"/>
          <w:sz w:val="24"/>
          <w:szCs w:val="24"/>
          <w:highlight w:val="none"/>
          <w:lang w:val="en-US" w:eastAsia="zh-CN"/>
        </w:rPr>
        <w:t>标注</w:t>
      </w:r>
      <w:r>
        <w:rPr>
          <w:rFonts w:hint="eastAsia" w:ascii="仿宋" w:hAnsi="仿宋" w:eastAsia="仿宋" w:cs="仿宋"/>
          <w:b w:val="0"/>
          <w:bCs w:val="0"/>
          <w:color w:val="000000"/>
          <w:sz w:val="24"/>
          <w:highlight w:val="none"/>
        </w:rPr>
        <w:t>▲</w:t>
      </w:r>
      <w:r>
        <w:rPr>
          <w:rFonts w:hint="eastAsia" w:ascii="仿宋" w:hAnsi="仿宋" w:eastAsia="仿宋" w:cs="仿宋"/>
          <w:b w:val="0"/>
          <w:bCs w:val="0"/>
          <w:color w:val="000000"/>
          <w:sz w:val="24"/>
          <w:highlight w:val="none"/>
          <w:lang w:val="en-US" w:eastAsia="zh-CN"/>
        </w:rPr>
        <w:t>的产品为核心产品，</w:t>
      </w:r>
      <w:r>
        <w:rPr>
          <w:rFonts w:hint="eastAsia" w:ascii="仿宋" w:hAnsi="仿宋" w:eastAsia="仿宋" w:cs="仿宋"/>
          <w:b w:val="0"/>
          <w:bCs w:val="0"/>
          <w:color w:val="000000"/>
          <w:sz w:val="24"/>
          <w:szCs w:val="24"/>
          <w:highlight w:val="none"/>
        </w:rPr>
        <w:t>中标</w:t>
      </w:r>
      <w:r>
        <w:rPr>
          <w:rFonts w:hint="eastAsia" w:ascii="仿宋" w:hAnsi="仿宋" w:eastAsia="仿宋" w:cs="仿宋"/>
          <w:b w:val="0"/>
          <w:bCs w:val="0"/>
          <w:color w:val="000000"/>
          <w:sz w:val="24"/>
          <w:highlight w:val="none"/>
          <w:lang w:val="en-US" w:eastAsia="zh-CN"/>
        </w:rPr>
        <w:t>核心</w:t>
      </w:r>
      <w:r>
        <w:rPr>
          <w:rFonts w:hint="eastAsia" w:ascii="仿宋" w:hAnsi="仿宋" w:eastAsia="仿宋" w:cs="仿宋"/>
          <w:b w:val="0"/>
          <w:bCs w:val="0"/>
          <w:color w:val="000000"/>
          <w:sz w:val="24"/>
          <w:szCs w:val="24"/>
          <w:highlight w:val="none"/>
        </w:rPr>
        <w:t>产品的</w:t>
      </w:r>
      <w:r>
        <w:rPr>
          <w:rFonts w:hint="eastAsia" w:ascii="仿宋" w:hAnsi="仿宋" w:eastAsia="仿宋" w:cs="仿宋"/>
          <w:color w:val="000000"/>
          <w:sz w:val="24"/>
          <w:szCs w:val="24"/>
          <w:highlight w:val="none"/>
        </w:rPr>
        <w:t>名称、品牌、规格型号、数量、单价等将予以公布。</w:t>
      </w:r>
    </w:p>
    <w:p w14:paraId="3C0498C1">
      <w:pPr>
        <w:pStyle w:val="11"/>
        <w:spacing w:line="360" w:lineRule="auto"/>
        <w:ind w:firstLine="480" w:firstLineChars="200"/>
        <w:rPr>
          <w:rFonts w:hint="eastAsia" w:ascii="仿宋" w:hAnsi="仿宋" w:eastAsia="仿宋" w:cs="仿宋"/>
          <w:color w:val="000000"/>
          <w:sz w:val="24"/>
          <w:szCs w:val="24"/>
          <w:highlight w:val="none"/>
        </w:rPr>
      </w:pPr>
    </w:p>
    <w:p w14:paraId="546C2401">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54C1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5121681F">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56A0EE53">
            <w:pPr>
              <w:keepNext w:val="0"/>
              <w:keepLines w:val="0"/>
              <w:pageBreakBefore w:val="0"/>
              <w:kinsoku/>
              <w:wordWrap w:val="0"/>
              <w:overflowPunct/>
              <w:topLinePunct w:val="0"/>
              <w:autoSpaceDE/>
              <w:autoSpaceDN/>
              <w:bidi w:val="0"/>
              <w:adjustRightInd/>
              <w:snapToGrid/>
              <w:spacing w:beforeAutospacing="0" w:afterAutospacing="0" w:line="360" w:lineRule="auto"/>
              <w:ind w:firstLine="2891" w:firstLineChars="1200"/>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1AE7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C077D99">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53889334">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71A30671">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0FE2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900AB72">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58BA7239">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1767B7E9">
            <w:pPr>
              <w:pStyle w:val="12"/>
              <w:keepNext w:val="0"/>
              <w:keepLines w:val="0"/>
              <w:pageBreakBefore w:val="0"/>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3A5B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FFDC562">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3514CDB5">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3EE7C5B6">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60EC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862F4C9">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551A2709">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highlight w:val="none"/>
              </w:rPr>
            </w:pPr>
            <w:r>
              <w:rPr>
                <w:rFonts w:hint="eastAsia" w:ascii="仿宋" w:hAnsi="仿宋" w:eastAsia="仿宋" w:cs="仿宋"/>
                <w:b/>
                <w:bCs/>
                <w:highlight w:val="none"/>
              </w:rPr>
              <w:t>4.1、投标人所投设备须与医院信息系统连接，由此产生的费用包含在投标总报价中，采购人不另行支付。</w:t>
            </w:r>
          </w:p>
          <w:p w14:paraId="6FBADE33">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39B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33176BB">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5</w:t>
            </w:r>
          </w:p>
        </w:tc>
        <w:tc>
          <w:tcPr>
            <w:tcW w:w="8745" w:type="dxa"/>
            <w:gridSpan w:val="2"/>
            <w:noWrap w:val="0"/>
            <w:vAlign w:val="top"/>
          </w:tcPr>
          <w:p w14:paraId="020E39E6">
            <w:pPr>
              <w:pStyle w:val="8"/>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系统整体要求：整体系统由全自动微生物培养系统（单元）1套、全自动微生物样本处理系统（单元）1套、全自动智能阅片扫描系统（单元）1套组成。</w:t>
            </w:r>
          </w:p>
        </w:tc>
      </w:tr>
    </w:tbl>
    <w:p w14:paraId="0555FA8D">
      <w:pPr>
        <w:spacing w:line="360" w:lineRule="auto"/>
        <w:rPr>
          <w:rFonts w:hint="eastAsia" w:ascii="仿宋" w:hAnsi="仿宋" w:eastAsia="仿宋" w:cs="仿宋"/>
          <w:b/>
          <w:color w:val="000000"/>
          <w:sz w:val="24"/>
          <w:highlight w:val="none"/>
        </w:rPr>
      </w:pPr>
    </w:p>
    <w:p w14:paraId="790EB2C1">
      <w:pPr>
        <w:spacing w:line="360" w:lineRule="auto"/>
        <w:rPr>
          <w:rFonts w:hint="eastAsia" w:ascii="仿宋" w:hAnsi="仿宋" w:eastAsia="仿宋" w:cs="仿宋"/>
          <w:b/>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181FAF26">
      <w:pPr>
        <w:spacing w:line="360" w:lineRule="auto"/>
        <w:rPr>
          <w:rFonts w:hint="eastAsia" w:ascii="仿宋" w:hAnsi="仿宋" w:eastAsia="仿宋" w:cs="仿宋"/>
          <w:b/>
          <w:sz w:val="24"/>
          <w:highlight w:val="none"/>
        </w:rPr>
      </w:pPr>
    </w:p>
    <w:p w14:paraId="7425DAD3">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6CACA90F">
      <w:pPr>
        <w:pStyle w:val="4"/>
        <w:ind w:firstLine="0" w:firstLineChars="0"/>
        <w:rPr>
          <w:b/>
          <w:bCs/>
          <w:highlight w:val="none"/>
          <w:lang w:val="zh-CN"/>
        </w:rPr>
      </w:pPr>
    </w:p>
    <w:p w14:paraId="0D6BB93A">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2711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A6C1FC4">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6AD3466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BE4EF3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1150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A53E51E">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1C5F21EE">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6DC9E50A">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05D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5FBF52C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54FC752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492AC6E8">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FDC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D242ECE">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1DFF6E00">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tbl>
      <w:tblPr>
        <w:tblStyle w:val="9"/>
        <w:tblW w:w="9347" w:type="dxa"/>
        <w:tblInd w:w="91" w:type="dxa"/>
        <w:tblLayout w:type="autofit"/>
        <w:tblCellMar>
          <w:top w:w="0" w:type="dxa"/>
          <w:left w:w="108" w:type="dxa"/>
          <w:bottom w:w="0" w:type="dxa"/>
          <w:right w:w="108" w:type="dxa"/>
        </w:tblCellMar>
      </w:tblPr>
      <w:tblGrid>
        <w:gridCol w:w="9347"/>
      </w:tblGrid>
      <w:tr w14:paraId="01AA2B9D">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0867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一、全自动微生物培养系统（单元）</w:t>
            </w:r>
          </w:p>
        </w:tc>
      </w:tr>
      <w:tr w14:paraId="6CE1F71F">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90A6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1、全自动微生物培养系统为独立、紧凑化空间设计,日常操作也无需开门或拉出抽屉以节省空间;系统为模块化设计，具备扩容能力，可扩展至≥1700瓶位。</w:t>
            </w:r>
          </w:p>
        </w:tc>
      </w:tr>
      <w:tr w14:paraId="638DA484">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3343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Cs/>
                <w:color w:val="000000"/>
                <w:kern w:val="0"/>
                <w:sz w:val="24"/>
                <w:highlight w:val="none"/>
                <w:lang w:bidi="ar"/>
              </w:rPr>
              <w:t>2、全自动微生物培养系统单机检测容量≥420孔位，具有机械臂和自动传送带，可全自动装载血培养瓶，装载血瓶过程中无须打开箱体以保证温度及光学稳定性，培养完成后自动卸载阴性血培养瓶。</w:t>
            </w:r>
          </w:p>
        </w:tc>
      </w:tr>
      <w:tr w14:paraId="6E57014F">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5E88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3、全自动微生物培养系统通过轨道连接全自动微生物样本处理系统，提升维护保养、维修作业的便利性，有效避免因单台仪器维修导致整体系统中断运行风险。</w:t>
            </w:r>
          </w:p>
        </w:tc>
      </w:tr>
      <w:tr w14:paraId="2F6DA6F2">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2A06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4、全自动微生物培养系统可采集血培养瓶的完整图像，提升溯源性，可自动实时监测每一瓶血培养的采血量,并对不符合采血量要求的血培养瓶进行自动报警。</w:t>
            </w:r>
          </w:p>
        </w:tc>
      </w:tr>
      <w:tr w14:paraId="5CB5C3A9">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72EA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5、全自动微生物培养系统配套的培养瓶能同时培养细菌、真菌，不需要单独的真菌瓶即可进行真菌培养。培养瓶检出限低至4CFU/瓶，需具备抗生素吸附能力，如多烯类、糖肽类、碳青霉烯类等药物的吸附能力。</w:t>
            </w:r>
          </w:p>
        </w:tc>
      </w:tr>
      <w:tr w14:paraId="1FBD7D85">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BAF0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6、全自动微生物培养系统具备延迟装载功能，具有因不可避免延迟装载情况的验证数据;对阴阳性培养结果自动检测和提示，能提供远距离可视化以及声音图形等相关警报信息提示，支持远程智能警报系统。</w:t>
            </w:r>
          </w:p>
        </w:tc>
      </w:tr>
      <w:tr w14:paraId="4F1FB6BD">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3EB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二、全自动微生物样本处理系统（单元）</w:t>
            </w:r>
          </w:p>
        </w:tc>
      </w:tr>
      <w:tr w14:paraId="10EBFFAF">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77CE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1、全自动微生物样本处理系统具备血培养报阳后自动处理功能，包括自动涂片、接种与培养等，无需人工干预。</w:t>
            </w:r>
          </w:p>
        </w:tc>
      </w:tr>
      <w:tr w14:paraId="4B7B5293">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05A4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2、全自动微生物样本处理系统可以自动完成革兰染色前的玻片制备工作，并且可在完成后烘干玻片。</w:t>
            </w:r>
          </w:p>
        </w:tc>
      </w:tr>
      <w:tr w14:paraId="63E21054">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569A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3、全自动微生物样本处理系统兼容各种品牌的临床常用的90mm直径标准平板，可同时培养≥50块平板，并区分普通培养环境和CO</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培养环境，平板箱可自动选择≥5种不同类型的平板，可将各种平板分类储存。</w:t>
            </w:r>
          </w:p>
        </w:tc>
      </w:tr>
      <w:tr w14:paraId="4D876B18">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A4EF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sz w:val="24"/>
                <w:highlight w:val="none"/>
              </w:rPr>
              <w:t>★</w:t>
            </w:r>
            <w:r>
              <w:rPr>
                <w:rFonts w:hint="eastAsia" w:ascii="仿宋" w:hAnsi="仿宋" w:eastAsia="仿宋" w:cs="仿宋"/>
                <w:b/>
                <w:bCs/>
                <w:color w:val="000000"/>
                <w:kern w:val="0"/>
                <w:sz w:val="24"/>
                <w:highlight w:val="none"/>
                <w:lang w:bidi="ar"/>
              </w:rPr>
              <w:t>4、全自动样本处理系统可以自动粘贴</w:t>
            </w:r>
            <w:r>
              <w:rPr>
                <w:rFonts w:hint="eastAsia" w:ascii="仿宋" w:hAnsi="仿宋" w:eastAsia="仿宋" w:cs="仿宋"/>
                <w:color w:val="000000"/>
                <w:kern w:val="0"/>
                <w:sz w:val="24"/>
                <w:highlight w:val="none"/>
                <w:lang w:bidi="ar"/>
              </w:rPr>
              <w:t>≥</w:t>
            </w:r>
            <w:r>
              <w:rPr>
                <w:rFonts w:hint="eastAsia" w:ascii="仿宋" w:hAnsi="仿宋" w:eastAsia="仿宋" w:cs="仿宋"/>
                <w:b/>
                <w:bCs/>
                <w:color w:val="000000"/>
                <w:kern w:val="0"/>
                <w:sz w:val="24"/>
                <w:highlight w:val="none"/>
                <w:lang w:bidi="ar"/>
              </w:rPr>
              <w:t>6种抗生素纸片用于快速药敏检测。</w:t>
            </w:r>
          </w:p>
        </w:tc>
      </w:tr>
      <w:tr w14:paraId="75F19BD3">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D942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5、全自动样本处理系统孵育箱可通过摄像头影像自动拍摄平板上的接种物，监测培养状态。</w:t>
            </w:r>
          </w:p>
        </w:tc>
      </w:tr>
      <w:tr w14:paraId="590736EF">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F391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三、</w:t>
            </w:r>
            <w:r>
              <w:rPr>
                <w:rFonts w:hint="eastAsia" w:ascii="仿宋" w:hAnsi="仿宋" w:eastAsia="仿宋" w:cs="仿宋"/>
                <w:b/>
                <w:bCs/>
                <w:color w:val="000000"/>
                <w:kern w:val="0"/>
                <w:sz w:val="24"/>
                <w:highlight w:val="none"/>
                <w:lang w:bidi="ar"/>
              </w:rPr>
              <w:t>全自动智能阅片扫描系统（单元）</w:t>
            </w:r>
          </w:p>
        </w:tc>
      </w:tr>
      <w:tr w14:paraId="07A3460B">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3D8F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1、通量要求：每套仪器扫描通量≥70片/批，随着检测量的增加，可在原机基础上增加上片扩展模块，使扫描通量增加到100片、130、160、180、220、240片/批等通量。</w:t>
            </w:r>
          </w:p>
        </w:tc>
      </w:tr>
      <w:tr w14:paraId="40ECCD72">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F585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2、速度要求：对萋-尼氏染色涂片、每300个油镜视野扫描时间须≤50秒；每1000个油镜视野扫描时间须≤3分钟；对于1+以上样本扫描时间≤15秒。</w:t>
            </w:r>
          </w:p>
        </w:tc>
      </w:tr>
      <w:tr w14:paraId="2D8B8920">
        <w:tblPrEx>
          <w:tblCellMar>
            <w:top w:w="0" w:type="dxa"/>
            <w:left w:w="108" w:type="dxa"/>
            <w:bottom w:w="0" w:type="dxa"/>
            <w:right w:w="108" w:type="dxa"/>
          </w:tblCellMar>
        </w:tblPrEx>
        <w:trPr>
          <w:trHeight w:val="567" w:hRule="atLeast"/>
        </w:trPr>
        <w:tc>
          <w:tcPr>
            <w:tcW w:w="9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B72A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视野寻回功能及识别要求：对于扫描的任何视野，仪器须提供在涂片区标记与自动寻回功能，以便让用户知道任何视野在涂片的具体位置与随时对想扫描视野进行实时寻回，并对寻回视野进行粗调、微调、前、后、上、下操作，方便医生对寻回视野进行实时审核需要，从而替代人工目镜寻找审核；对于抗酸阳性视野中的阳性菌识别标注率须＞99%，以减少漏诊断事故发生。</w:t>
            </w:r>
          </w:p>
        </w:tc>
      </w:tr>
    </w:tbl>
    <w:p w14:paraId="063C8A78">
      <w:pPr>
        <w:pStyle w:val="2"/>
        <w:widowControl/>
        <w:spacing w:before="0" w:after="0" w:line="360" w:lineRule="auto"/>
        <w:rPr>
          <w:rFonts w:hint="eastAsia" w:ascii="仿宋" w:hAnsi="仿宋" w:eastAsia="仿宋" w:cs="仿宋"/>
          <w:sz w:val="24"/>
          <w:szCs w:val="24"/>
          <w:highlight w:val="none"/>
        </w:rPr>
      </w:pPr>
    </w:p>
    <w:p w14:paraId="4EDA7E39">
      <w:pPr>
        <w:pStyle w:val="2"/>
        <w:widowControl/>
        <w:numPr>
          <w:ilvl w:val="0"/>
          <w:numId w:val="1"/>
        </w:numPr>
        <w:spacing w:before="0" w:after="0" w:line="360" w:lineRule="auto"/>
        <w:rPr>
          <w:rFonts w:hint="eastAsia" w:ascii="仿宋" w:hAnsi="仿宋" w:eastAsia="仿宋" w:cs="仿宋"/>
          <w:sz w:val="24"/>
          <w:szCs w:val="24"/>
          <w:highlight w:val="none"/>
        </w:rPr>
      </w:pPr>
      <w:bookmarkStart w:id="1" w:name="_Toc10705"/>
      <w:r>
        <w:rPr>
          <w:rFonts w:hint="eastAsia" w:ascii="仿宋" w:hAnsi="仿宋" w:eastAsia="仿宋" w:cs="仿宋"/>
          <w:sz w:val="24"/>
          <w:szCs w:val="24"/>
          <w:highlight w:val="none"/>
        </w:rPr>
        <w:t>其他配套要求：</w:t>
      </w:r>
      <w:bookmarkEnd w:id="1"/>
    </w:p>
    <w:p w14:paraId="4055B0B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（一）应急服务要求</w:t>
      </w:r>
    </w:p>
    <w:p w14:paraId="3F8ABCB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1.备品备件：中标人提供能够满足质量保证期内的设备维修要求的备品备件，备品备件应是新品。中标人应保证10年以上零部件供应期，并对设备故障等突发状况及时响应。</w:t>
      </w:r>
    </w:p>
    <w:p w14:paraId="066B4EC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2.专用工具：中标人提供设备安装、调试、验收、维修、保养所必要的专用工具、仪器、仪表等工具。</w:t>
      </w:r>
    </w:p>
    <w:p w14:paraId="5F7400B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 接到报修后应及时响应，若未及时修复设备故障，应提供备用设备供院方使用。</w:t>
      </w:r>
    </w:p>
    <w:p w14:paraId="73CCF8C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（二）安装调试、验收试验及质量保证</w:t>
      </w:r>
    </w:p>
    <w:p w14:paraId="39CDEDD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1.中标人在设备安装地点负责安装、调试。</w:t>
      </w:r>
    </w:p>
    <w:p w14:paraId="7F60189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2.具体设备验收标准和程序按采购人要求执行，下列验收程序可参照执行：</w:t>
      </w:r>
    </w:p>
    <w:p w14:paraId="631F1E3A">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3A39A62">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EB2A4DF">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2.3中标人应根据采购人使用单位的技术要求提供相应的产品。由中标人所提供的设备部件间的连线和插接件均应视为设备内部器件，包含在相应的设备之中；</w:t>
      </w:r>
    </w:p>
    <w:p w14:paraId="40EE04CA">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FB66CE1">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2CAF58A">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4F4EA62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（三）包装运输</w:t>
      </w:r>
    </w:p>
    <w:p w14:paraId="018D472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1.中标人负责设备包装、办理运输和保险，将设备安全运抵交货地点。</w:t>
      </w:r>
    </w:p>
    <w:p w14:paraId="1681176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2.设备制造完成并通过试验后应及时包装，否则应得到切实的保护，确保其不受污损。</w:t>
      </w:r>
    </w:p>
    <w:p w14:paraId="498771B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3.在包装箱外应标明采购人的订货号、发货号。</w:t>
      </w:r>
    </w:p>
    <w:p w14:paraId="5B92EC7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4.各种包装应能确保各零部件在运输过程中不致遭到损坏、丢失、变形、受潮和腐蚀。</w:t>
      </w:r>
    </w:p>
    <w:p w14:paraId="3A0A966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5.包装箱上应有明显的包装储运图示标志。</w:t>
      </w:r>
    </w:p>
    <w:p w14:paraId="6916DA5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6.整体产品或分别运输的部件都要适应运输和装载的要求。</w:t>
      </w:r>
    </w:p>
    <w:p w14:paraId="09C369B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7.随产品提供的技术资料应完整无缺。</w:t>
      </w:r>
    </w:p>
    <w:p w14:paraId="3A6FE42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（四）培训要求</w:t>
      </w:r>
    </w:p>
    <w:p w14:paraId="6EFAC0D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DE62B7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2.设备使用培训：不少于2人，直至完全掌握设备应用技术，并获厂方资质许可；免一切费用(包含交通、食宿、资料、工具材料等所有与培训相关的费用)。</w:t>
      </w:r>
    </w:p>
    <w:p w14:paraId="506BC86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（五）质保及售后服务</w:t>
      </w:r>
    </w:p>
    <w:p w14:paraId="7120034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1.自双方签订《验收报告》起进入免费质保期。</w:t>
      </w:r>
    </w:p>
    <w:p w14:paraId="3CB2C79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EDFDC8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（六）其他</w:t>
      </w:r>
    </w:p>
    <w:p w14:paraId="39DDB4C4">
      <w:pPr>
        <w:spacing w:line="360" w:lineRule="auto"/>
        <w:jc w:val="left"/>
        <w:rPr>
          <w:rFonts w:hint="eastAsia" w:ascii="仿宋" w:hAnsi="仿宋" w:eastAsia="仿宋" w:cs="仿宋"/>
          <w:color w:val="000000"/>
          <w:kern w:val="0"/>
          <w:sz w:val="24"/>
          <w:highlight w:val="none"/>
          <w:lang w:bidi="ar"/>
        </w:rPr>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仿宋" w:hAnsi="仿宋" w:eastAsia="仿宋" w:cs="仿宋"/>
          <w:color w:val="000000"/>
          <w:kern w:val="0"/>
          <w:sz w:val="24"/>
          <w:highlight w:val="none"/>
          <w:lang w:bidi="ar"/>
        </w:rPr>
        <w:t>1.投标人所投产品应为性能稳定、安全的成熟设备，故障率低、维修便利，并在投标文件中针对所投产品技术先进性、设备性能、配置情况、设计等方面进行阐述说明，提供相应证明材料。</w:t>
      </w:r>
    </w:p>
    <w:p w14:paraId="0EC03366">
      <w:pPr>
        <w:spacing w:line="360" w:lineRule="auto"/>
        <w:jc w:val="both"/>
      </w:pPr>
      <w:bookmarkStart w:id="2" w:name="_GoBack"/>
      <w:bookmarkEnd w:id="2"/>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A6257"/>
    <w:rsid w:val="324B0DFF"/>
    <w:rsid w:val="45E32D76"/>
    <w:rsid w:val="493321E8"/>
    <w:rsid w:val="49777311"/>
    <w:rsid w:val="5E6B3DF5"/>
    <w:rsid w:val="5F0F3954"/>
    <w:rsid w:val="66392B3A"/>
    <w:rsid w:val="7739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Body Text Indent 3"/>
    <w:basedOn w:val="1"/>
    <w:qFormat/>
    <w:uiPriority w:val="99"/>
    <w:pPr>
      <w:spacing w:after="120" w:afterLines="0"/>
      <w:ind w:left="420" w:leftChars="200"/>
    </w:pPr>
    <w:rPr>
      <w:sz w:val="16"/>
      <w:szCs w:val="16"/>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1414</Words>
  <Characters>1575</Characters>
  <Lines>0</Lines>
  <Paragraphs>0</Paragraphs>
  <TotalTime>0</TotalTime>
  <ScaleCrop>false</ScaleCrop>
  <LinksUpToDate>false</LinksUpToDate>
  <CharactersWithSpaces>1607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2025-11-27T05:39:39Z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