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77D064">
      <w:pPr>
        <w:pStyle w:val="2"/>
        <w:widowControl/>
        <w:snapToGrid w:val="0"/>
        <w:spacing w:before="0" w:after="0" w:line="360" w:lineRule="auto"/>
        <w:jc w:val="center"/>
        <w:rPr>
          <w:rFonts w:hint="eastAsia" w:ascii="宋体" w:hAnsi="宋体"/>
          <w:color w:val="000000"/>
        </w:rPr>
      </w:pPr>
      <w:bookmarkStart w:id="0" w:name="_Toc8946"/>
      <w:r>
        <w:rPr>
          <w:rFonts w:hint="eastAsia" w:ascii="宋体" w:hAnsi="宋体"/>
          <w:color w:val="000000"/>
        </w:rPr>
        <w:t>第三章  采购需求及技术规格要求</w:t>
      </w:r>
      <w:bookmarkEnd w:id="0"/>
    </w:p>
    <w:p w14:paraId="4C77AA5E">
      <w:pPr>
        <w:pStyle w:val="3"/>
        <w:spacing w:before="0" w:after="0" w:line="360" w:lineRule="auto"/>
        <w:rPr>
          <w:rStyle w:val="7"/>
          <w:rFonts w:ascii="宋体" w:hAnsi="宋体" w:eastAsia="仿宋"/>
          <w:b/>
          <w:bCs/>
          <w:sz w:val="24"/>
          <w:szCs w:val="24"/>
        </w:rPr>
      </w:pPr>
      <w:bookmarkStart w:id="1" w:name="_Toc466024556"/>
      <w:bookmarkStart w:id="2" w:name="_Toc455587089"/>
      <w:bookmarkStart w:id="3" w:name="_Toc455587273"/>
      <w:r>
        <w:rPr>
          <w:rStyle w:val="7"/>
          <w:rFonts w:hint="eastAsia" w:ascii="仿宋" w:hAnsi="仿宋" w:eastAsia="仿宋" w:cs="仿宋"/>
          <w:b/>
          <w:bCs/>
          <w:sz w:val="24"/>
          <w:szCs w:val="24"/>
        </w:rPr>
        <w:t xml:space="preserve">1. </w:t>
      </w:r>
      <w:bookmarkEnd w:id="1"/>
      <w:bookmarkEnd w:id="2"/>
      <w:bookmarkEnd w:id="3"/>
      <w:r>
        <w:rPr>
          <w:rStyle w:val="7"/>
          <w:rFonts w:hint="eastAsia" w:ascii="仿宋" w:hAnsi="仿宋" w:eastAsia="仿宋" w:cs="仿宋"/>
          <w:b/>
          <w:bCs/>
          <w:sz w:val="24"/>
          <w:szCs w:val="24"/>
        </w:rPr>
        <w:t>总</w:t>
      </w:r>
      <w:r>
        <w:rPr>
          <w:rStyle w:val="7"/>
          <w:rFonts w:hint="eastAsia" w:ascii="宋体" w:hAnsi="宋体" w:eastAsia="仿宋"/>
          <w:b/>
          <w:bCs/>
          <w:sz w:val="24"/>
          <w:szCs w:val="24"/>
        </w:rPr>
        <w:t>体说明</w:t>
      </w:r>
    </w:p>
    <w:p w14:paraId="0BC71164">
      <w:pPr>
        <w:widowControl/>
        <w:tabs>
          <w:tab w:val="left" w:pos="1406"/>
        </w:tabs>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1.1 本技术规格所提出的要求是对本次招标货物的基本技术要求，并未涉及所有技术细节，也未充分引述有关标准、规范的全部条款。投标人应保证其提供的货物除了满足本技术规格的要求外，还应符合中国国家、行业、地方或设备制造商所在国的有关标准、规范（尤其是必须符合中国国家标准的有关强制性规定)。</w:t>
      </w:r>
    </w:p>
    <w:p w14:paraId="04B7D808">
      <w:pPr>
        <w:widowControl/>
        <w:tabs>
          <w:tab w:val="left" w:pos="1406"/>
        </w:tabs>
        <w:snapToGrid w:val="0"/>
        <w:spacing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1.2 本采购需求中提出的技术方案仅为参考，如无明确限制，投标供应商可以进行优化，提供满足采购人实际需要的更优（或者性能实质上不低于的）技术方案或者设备配置，且此方案或配置须经评标委员会评审认可；</w:t>
      </w:r>
      <w:r>
        <w:rPr>
          <w:rFonts w:hint="eastAsia" w:ascii="仿宋" w:hAnsi="仿宋" w:eastAsia="仿宋" w:cs="仿宋"/>
          <w:color w:val="000000"/>
          <w:sz w:val="24"/>
        </w:rPr>
        <w:cr/>
      </w:r>
      <w:r>
        <w:rPr>
          <w:rFonts w:hint="eastAsia" w:ascii="仿宋" w:hAnsi="仿宋" w:eastAsia="仿宋" w:cs="仿宋"/>
          <w:color w:val="000000"/>
          <w:sz w:val="24"/>
        </w:rPr>
        <w:t xml:space="preserve">   1.3 投标供应商应当在投标文件中列出完成本项目所需的所有各项服务等明细表及全部费用。中标供应商必须确保整体通过采购人及有关主管部门验收；投标供应商应自行踏勘项目现场，如投标供应商因未及时踏勘现场而导致的报价缺项漏项废标或中标后无法完工，投标供应商自行承担一切后果；</w:t>
      </w:r>
    </w:p>
    <w:p w14:paraId="4E53F146">
      <w:pPr>
        <w:widowControl/>
        <w:tabs>
          <w:tab w:val="left" w:pos="1406"/>
        </w:tabs>
        <w:snapToGrid w:val="0"/>
        <w:spacing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1.4 本章中提及的工艺、材料、设备的标准及品牌或型号（如有）仅起说明作用，并没有强制性。投标人在投标中可以用替代工艺、材料、设备的标准及品牌或型号，但这种替代须实质上满足、等同或优于本章技术要求，同时须提供相关证明材料，否则可能被评标委员会认定为负偏离。</w:t>
      </w:r>
    </w:p>
    <w:p w14:paraId="01FA6089">
      <w:pPr>
        <w:widowControl/>
        <w:tabs>
          <w:tab w:val="left" w:pos="1406"/>
        </w:tabs>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1.6 除非有特别说明，本章中所列的具体参数或参数范围，均理解为采购人可接受的最低要求。</w:t>
      </w:r>
    </w:p>
    <w:p w14:paraId="4E4E8A78">
      <w:pPr>
        <w:widowControl/>
        <w:tabs>
          <w:tab w:val="left" w:pos="1406"/>
        </w:tabs>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1.7采购需求如包含属于《节能产品政府采购品目清单》中政府强制采购的节能产品， 则投标人所投产品须具有市场监管总局公布的《参与实施政府采购节能产品认证机构目录》中的认证机构出具的、处于有效期内的节能（节水）产品认证证书。</w:t>
      </w:r>
    </w:p>
    <w:p w14:paraId="255FCF6D">
      <w:pPr>
        <w:widowControl/>
        <w:tabs>
          <w:tab w:val="left" w:pos="1406"/>
        </w:tabs>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1.8 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13EC1C18">
      <w:pPr>
        <w:widowControl/>
        <w:tabs>
          <w:tab w:val="left" w:pos="1406"/>
        </w:tabs>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1.9标注“▲”的产品为主要标的（包括核心产品），核心产品的名称、品牌、规格型号、数量、单价等将予以公布。</w:t>
      </w:r>
    </w:p>
    <w:p w14:paraId="7D5867CF">
      <w:pPr>
        <w:widowControl/>
        <w:tabs>
          <w:tab w:val="left" w:pos="1406"/>
        </w:tabs>
        <w:snapToGrid w:val="0"/>
        <w:spacing w:line="360" w:lineRule="auto"/>
        <w:rPr>
          <w:rFonts w:hint="eastAsia" w:ascii="仿宋" w:hAnsi="仿宋" w:eastAsia="仿宋" w:cs="仿宋"/>
          <w:color w:val="000000"/>
          <w:sz w:val="24"/>
        </w:rPr>
      </w:pPr>
    </w:p>
    <w:p w14:paraId="590D36FA">
      <w:pPr>
        <w:keepNext/>
        <w:keepLines/>
        <w:spacing w:line="360" w:lineRule="auto"/>
        <w:outlineLvl w:val="1"/>
        <w:rPr>
          <w:rFonts w:hint="eastAsia" w:ascii="仿宋" w:hAnsi="仿宋" w:eastAsia="仿宋" w:cs="仿宋"/>
          <w:b/>
          <w:bCs/>
          <w:color w:val="000000"/>
          <w:sz w:val="24"/>
        </w:rPr>
      </w:pPr>
      <w:r>
        <w:rPr>
          <w:rFonts w:hint="eastAsia" w:ascii="仿宋" w:hAnsi="仿宋" w:eastAsia="仿宋" w:cs="仿宋"/>
          <w:b/>
          <w:bCs/>
          <w:color w:val="000000"/>
          <w:sz w:val="24"/>
        </w:rPr>
        <w:t>2. 采购内容及范围</w:t>
      </w:r>
    </w:p>
    <w:p w14:paraId="1757839E">
      <w:pPr>
        <w:keepNext/>
        <w:keepLines/>
        <w:spacing w:line="360" w:lineRule="auto"/>
        <w:ind w:firstLine="480" w:firstLineChars="200"/>
        <w:outlineLvl w:val="1"/>
        <w:rPr>
          <w:rFonts w:hint="eastAsia" w:ascii="仿宋" w:hAnsi="仿宋" w:eastAsia="仿宋" w:cs="仿宋"/>
          <w:color w:val="000000"/>
          <w:sz w:val="24"/>
        </w:rPr>
      </w:pPr>
      <w:r>
        <w:rPr>
          <w:rFonts w:hint="eastAsia" w:ascii="仿宋" w:hAnsi="仿宋" w:eastAsia="仿宋" w:cs="仿宋"/>
          <w:color w:val="000000"/>
          <w:sz w:val="24"/>
        </w:rPr>
        <w:t>2.1 采购内容</w:t>
      </w:r>
    </w:p>
    <w:tbl>
      <w:tblPr>
        <w:tblStyle w:val="5"/>
        <w:tblW w:w="96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4579"/>
        <w:gridCol w:w="981"/>
        <w:gridCol w:w="1060"/>
        <w:gridCol w:w="1173"/>
        <w:gridCol w:w="1218"/>
      </w:tblGrid>
      <w:tr w14:paraId="73EC2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641" w:type="dxa"/>
            <w:noWrap w:val="0"/>
            <w:vAlign w:val="center"/>
          </w:tcPr>
          <w:p w14:paraId="38B2BD28">
            <w:pPr>
              <w:widowControl/>
              <w:spacing w:line="360" w:lineRule="auto"/>
              <w:jc w:val="center"/>
              <w:outlineLvl w:val="1"/>
              <w:rPr>
                <w:rFonts w:hint="eastAsia" w:ascii="仿宋" w:hAnsi="仿宋" w:eastAsia="仿宋" w:cs="仿宋"/>
                <w:color w:val="000000"/>
                <w:sz w:val="24"/>
              </w:rPr>
            </w:pPr>
            <w:r>
              <w:rPr>
                <w:rFonts w:ascii="仿宋" w:hAnsi="仿宋" w:eastAsia="仿宋" w:cs="仿宋"/>
                <w:color w:val="000000"/>
                <w:kern w:val="0"/>
                <w:sz w:val="24"/>
                <w:lang w:bidi="ar"/>
              </w:rPr>
              <w:t>包号</w:t>
            </w:r>
          </w:p>
        </w:tc>
        <w:tc>
          <w:tcPr>
            <w:tcW w:w="4579" w:type="dxa"/>
            <w:noWrap w:val="0"/>
            <w:vAlign w:val="center"/>
          </w:tcPr>
          <w:p w14:paraId="4DC04F71">
            <w:pPr>
              <w:widowControl/>
              <w:spacing w:line="360" w:lineRule="auto"/>
              <w:jc w:val="center"/>
              <w:outlineLvl w:val="1"/>
              <w:rPr>
                <w:rFonts w:hint="eastAsia" w:ascii="仿宋" w:hAnsi="仿宋" w:eastAsia="仿宋" w:cs="仿宋"/>
                <w:color w:val="000000"/>
                <w:sz w:val="24"/>
              </w:rPr>
            </w:pPr>
            <w:r>
              <w:rPr>
                <w:rFonts w:ascii="仿宋" w:hAnsi="仿宋" w:eastAsia="仿宋" w:cs="仿宋"/>
                <w:color w:val="000000"/>
                <w:kern w:val="0"/>
                <w:sz w:val="24"/>
                <w:lang w:bidi="ar"/>
              </w:rPr>
              <w:t>标的名称</w:t>
            </w:r>
          </w:p>
        </w:tc>
        <w:tc>
          <w:tcPr>
            <w:tcW w:w="981" w:type="dxa"/>
            <w:noWrap w:val="0"/>
            <w:vAlign w:val="center"/>
          </w:tcPr>
          <w:p w14:paraId="738115DA">
            <w:pPr>
              <w:widowControl/>
              <w:jc w:val="center"/>
              <w:rPr>
                <w:rFonts w:hint="eastAsia" w:ascii="仿宋" w:hAnsi="仿宋" w:eastAsia="仿宋" w:cs="仿宋"/>
                <w:color w:val="000000"/>
                <w:sz w:val="24"/>
              </w:rPr>
            </w:pPr>
            <w:r>
              <w:rPr>
                <w:rFonts w:ascii="仿宋" w:hAnsi="仿宋" w:eastAsia="仿宋" w:cs="仿宋"/>
                <w:color w:val="000000"/>
                <w:kern w:val="0"/>
                <w:sz w:val="24"/>
                <w:lang w:bidi="ar"/>
              </w:rPr>
              <w:t>单位</w:t>
            </w:r>
          </w:p>
        </w:tc>
        <w:tc>
          <w:tcPr>
            <w:tcW w:w="1060" w:type="dxa"/>
            <w:noWrap w:val="0"/>
            <w:vAlign w:val="center"/>
          </w:tcPr>
          <w:p w14:paraId="08FD4C7A">
            <w:pPr>
              <w:widowControl/>
              <w:spacing w:line="360" w:lineRule="auto"/>
              <w:jc w:val="center"/>
              <w:outlineLvl w:val="1"/>
              <w:rPr>
                <w:rFonts w:hint="eastAsia" w:ascii="仿宋" w:hAnsi="仿宋" w:eastAsia="仿宋" w:cs="仿宋"/>
                <w:color w:val="000000"/>
                <w:sz w:val="24"/>
              </w:rPr>
            </w:pPr>
            <w:r>
              <w:rPr>
                <w:rFonts w:hint="eastAsia" w:ascii="仿宋" w:hAnsi="仿宋" w:eastAsia="仿宋" w:cs="仿宋"/>
                <w:color w:val="000000"/>
                <w:kern w:val="0"/>
                <w:sz w:val="24"/>
                <w:lang w:bidi="ar"/>
              </w:rPr>
              <w:t>数量</w:t>
            </w:r>
          </w:p>
        </w:tc>
        <w:tc>
          <w:tcPr>
            <w:tcW w:w="1173" w:type="dxa"/>
            <w:noWrap w:val="0"/>
            <w:vAlign w:val="center"/>
          </w:tcPr>
          <w:p w14:paraId="78EE690A">
            <w:pPr>
              <w:widowControl/>
              <w:spacing w:line="360" w:lineRule="auto"/>
              <w:jc w:val="center"/>
              <w:outlineLvl w:val="1"/>
              <w:rPr>
                <w:rFonts w:hint="eastAsia" w:ascii="仿宋" w:hAnsi="仿宋" w:eastAsia="仿宋" w:cs="仿宋"/>
                <w:color w:val="000000"/>
                <w:sz w:val="24"/>
              </w:rPr>
            </w:pPr>
            <w:r>
              <w:rPr>
                <w:rFonts w:ascii="仿宋" w:hAnsi="仿宋" w:eastAsia="仿宋" w:cs="仿宋"/>
                <w:color w:val="000000"/>
                <w:kern w:val="0"/>
                <w:sz w:val="24"/>
                <w:lang w:bidi="ar"/>
              </w:rPr>
              <w:t>所属行业</w:t>
            </w:r>
          </w:p>
        </w:tc>
        <w:tc>
          <w:tcPr>
            <w:tcW w:w="1218" w:type="dxa"/>
            <w:noWrap w:val="0"/>
            <w:vAlign w:val="center"/>
          </w:tcPr>
          <w:p w14:paraId="225B8436">
            <w:pPr>
              <w:widowControl/>
              <w:spacing w:line="360" w:lineRule="auto"/>
              <w:jc w:val="center"/>
              <w:outlineLvl w:val="1"/>
              <w:rPr>
                <w:rFonts w:ascii="仿宋" w:hAnsi="仿宋" w:eastAsia="仿宋" w:cs="仿宋"/>
                <w:color w:val="000000"/>
                <w:kern w:val="0"/>
                <w:sz w:val="24"/>
                <w:lang w:bidi="ar"/>
              </w:rPr>
            </w:pPr>
            <w:r>
              <w:rPr>
                <w:rFonts w:ascii="仿宋" w:hAnsi="仿宋" w:eastAsia="仿宋" w:cs="仿宋"/>
                <w:color w:val="000000"/>
                <w:kern w:val="0"/>
                <w:sz w:val="24"/>
                <w:lang w:bidi="ar"/>
              </w:rPr>
              <w:t>是否接受进口</w:t>
            </w:r>
          </w:p>
        </w:tc>
      </w:tr>
      <w:tr w14:paraId="5B56E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641" w:type="dxa"/>
            <w:vMerge w:val="restart"/>
            <w:noWrap w:val="0"/>
            <w:vAlign w:val="center"/>
          </w:tcPr>
          <w:p w14:paraId="5452D209">
            <w:pPr>
              <w:keepNext w:val="0"/>
              <w:keepLines w:val="0"/>
              <w:widowControl/>
              <w:spacing w:line="360" w:lineRule="auto"/>
              <w:jc w:val="center"/>
              <w:outlineLvl w:val="9"/>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val="en-US" w:eastAsia="zh-CN" w:bidi="ar"/>
              </w:rPr>
              <w:t>9</w:t>
            </w:r>
          </w:p>
        </w:tc>
        <w:tc>
          <w:tcPr>
            <w:tcW w:w="4579" w:type="dxa"/>
            <w:noWrap w:val="0"/>
            <w:vAlign w:val="center"/>
          </w:tcPr>
          <w:p w14:paraId="7A433946">
            <w:pPr>
              <w:widowControl/>
              <w:spacing w:line="360" w:lineRule="auto"/>
              <w:jc w:val="center"/>
              <w:outlineLvl w:val="1"/>
              <w:rPr>
                <w:rFonts w:hint="eastAsia" w:ascii="仿宋" w:hAnsi="仿宋" w:eastAsia="仿宋" w:cs="仿宋"/>
                <w:color w:val="000000"/>
                <w:kern w:val="0"/>
                <w:sz w:val="24"/>
                <w:lang w:bidi="ar"/>
              </w:rPr>
            </w:pPr>
            <w:r>
              <w:rPr>
                <w:rFonts w:hint="eastAsia" w:ascii="仿宋" w:hAnsi="仿宋" w:eastAsia="仿宋" w:cs="仿宋"/>
                <w:color w:val="000000"/>
                <w:sz w:val="24"/>
              </w:rPr>
              <w:t>▲</w:t>
            </w:r>
            <w:r>
              <w:rPr>
                <w:rFonts w:hint="eastAsia" w:ascii="仿宋" w:hAnsi="仿宋" w:eastAsia="仿宋" w:cs="仿宋"/>
                <w:color w:val="000000"/>
                <w:kern w:val="0"/>
                <w:sz w:val="24"/>
                <w:lang w:bidi="ar"/>
              </w:rPr>
              <w:t>高效液相色谱系统</w:t>
            </w:r>
          </w:p>
        </w:tc>
        <w:tc>
          <w:tcPr>
            <w:tcW w:w="981" w:type="dxa"/>
            <w:noWrap w:val="0"/>
            <w:vAlign w:val="center"/>
          </w:tcPr>
          <w:p w14:paraId="21F8A2CC">
            <w:pPr>
              <w:widowControl/>
              <w:spacing w:line="360" w:lineRule="auto"/>
              <w:jc w:val="center"/>
              <w:outlineLvl w:val="1"/>
              <w:rPr>
                <w:rFonts w:hint="default"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套</w:t>
            </w:r>
          </w:p>
        </w:tc>
        <w:tc>
          <w:tcPr>
            <w:tcW w:w="1060" w:type="dxa"/>
            <w:noWrap w:val="0"/>
            <w:vAlign w:val="center"/>
          </w:tcPr>
          <w:p w14:paraId="5F93BCE6">
            <w:pPr>
              <w:widowControl/>
              <w:spacing w:line="360" w:lineRule="auto"/>
              <w:jc w:val="center"/>
              <w:outlineLvl w:val="1"/>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1</w:t>
            </w:r>
          </w:p>
        </w:tc>
        <w:tc>
          <w:tcPr>
            <w:tcW w:w="1173" w:type="dxa"/>
            <w:noWrap w:val="0"/>
            <w:vAlign w:val="center"/>
          </w:tcPr>
          <w:p w14:paraId="1599C0DB">
            <w:pPr>
              <w:widowControl/>
              <w:spacing w:line="360" w:lineRule="auto"/>
              <w:jc w:val="center"/>
              <w:outlineLvl w:val="1"/>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工业</w:t>
            </w:r>
          </w:p>
        </w:tc>
        <w:tc>
          <w:tcPr>
            <w:tcW w:w="1218" w:type="dxa"/>
            <w:noWrap w:val="0"/>
            <w:vAlign w:val="center"/>
          </w:tcPr>
          <w:p w14:paraId="04053F86">
            <w:pPr>
              <w:widowControl/>
              <w:spacing w:line="360" w:lineRule="auto"/>
              <w:jc w:val="center"/>
              <w:outlineLvl w:val="1"/>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否</w:t>
            </w:r>
          </w:p>
        </w:tc>
      </w:tr>
      <w:tr w14:paraId="207CA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641" w:type="dxa"/>
            <w:vMerge w:val="continue"/>
            <w:noWrap w:val="0"/>
            <w:vAlign w:val="center"/>
          </w:tcPr>
          <w:p w14:paraId="343BD73B">
            <w:pPr>
              <w:keepNext w:val="0"/>
              <w:keepLines w:val="0"/>
              <w:widowControl/>
              <w:spacing w:line="360" w:lineRule="auto"/>
              <w:jc w:val="center"/>
              <w:outlineLvl w:val="9"/>
              <w:rPr>
                <w:rFonts w:hint="eastAsia" w:ascii="仿宋" w:hAnsi="仿宋" w:eastAsia="仿宋" w:cs="仿宋"/>
                <w:color w:val="000000"/>
                <w:kern w:val="0"/>
                <w:sz w:val="24"/>
                <w:lang w:val="en-US" w:eastAsia="zh-CN" w:bidi="ar"/>
              </w:rPr>
            </w:pPr>
          </w:p>
        </w:tc>
        <w:tc>
          <w:tcPr>
            <w:tcW w:w="4579" w:type="dxa"/>
            <w:noWrap w:val="0"/>
            <w:vAlign w:val="center"/>
          </w:tcPr>
          <w:p w14:paraId="04B7686F">
            <w:pPr>
              <w:keepNext w:val="0"/>
              <w:keepLines w:val="0"/>
              <w:widowControl/>
              <w:spacing w:line="360" w:lineRule="auto"/>
              <w:jc w:val="center"/>
              <w:outlineLvl w:val="9"/>
              <w:rPr>
                <w:rFonts w:hint="eastAsia" w:ascii="仿宋" w:hAnsi="仿宋" w:eastAsia="仿宋" w:cs="仿宋"/>
                <w:color w:val="000000"/>
                <w:kern w:val="0"/>
                <w:sz w:val="24"/>
                <w:lang w:bidi="ar"/>
              </w:rPr>
            </w:pPr>
            <w:r>
              <w:rPr>
                <w:rFonts w:hint="eastAsia" w:ascii="仿宋" w:hAnsi="仿宋" w:eastAsia="仿宋" w:cs="仿宋"/>
                <w:sz w:val="24"/>
              </w:rPr>
              <w:t>高压制备液相系统</w:t>
            </w:r>
          </w:p>
        </w:tc>
        <w:tc>
          <w:tcPr>
            <w:tcW w:w="981" w:type="dxa"/>
            <w:noWrap w:val="0"/>
            <w:vAlign w:val="center"/>
          </w:tcPr>
          <w:p w14:paraId="74E9AB25">
            <w:pPr>
              <w:widowControl/>
              <w:spacing w:line="360" w:lineRule="auto"/>
              <w:jc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套</w:t>
            </w:r>
          </w:p>
        </w:tc>
        <w:tc>
          <w:tcPr>
            <w:tcW w:w="1060" w:type="dxa"/>
            <w:noWrap w:val="0"/>
            <w:vAlign w:val="center"/>
          </w:tcPr>
          <w:p w14:paraId="43378311">
            <w:pPr>
              <w:widowControl/>
              <w:spacing w:line="360" w:lineRule="auto"/>
              <w:jc w:val="center"/>
              <w:rPr>
                <w:rFonts w:hint="default"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1</w:t>
            </w:r>
          </w:p>
        </w:tc>
        <w:tc>
          <w:tcPr>
            <w:tcW w:w="1173" w:type="dxa"/>
            <w:noWrap w:val="0"/>
            <w:vAlign w:val="center"/>
          </w:tcPr>
          <w:p w14:paraId="5991A0F5">
            <w:pPr>
              <w:keepNext w:val="0"/>
              <w:keepLines w:val="0"/>
              <w:widowControl/>
              <w:spacing w:line="360" w:lineRule="auto"/>
              <w:jc w:val="center"/>
              <w:outlineLvl w:val="9"/>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工业</w:t>
            </w:r>
          </w:p>
        </w:tc>
        <w:tc>
          <w:tcPr>
            <w:tcW w:w="1218" w:type="dxa"/>
            <w:noWrap w:val="0"/>
            <w:vAlign w:val="center"/>
          </w:tcPr>
          <w:p w14:paraId="068AD7FE">
            <w:pPr>
              <w:keepNext w:val="0"/>
              <w:keepLines w:val="0"/>
              <w:widowControl/>
              <w:spacing w:line="360" w:lineRule="auto"/>
              <w:jc w:val="center"/>
              <w:outlineLvl w:val="9"/>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否</w:t>
            </w:r>
          </w:p>
        </w:tc>
      </w:tr>
    </w:tbl>
    <w:p w14:paraId="7C8BFB1C">
      <w:pPr>
        <w:keepNext/>
        <w:keepLines/>
        <w:spacing w:line="360" w:lineRule="auto"/>
        <w:ind w:firstLine="480" w:firstLineChars="200"/>
        <w:outlineLvl w:val="1"/>
        <w:rPr>
          <w:rFonts w:hint="eastAsia" w:ascii="仿宋" w:hAnsi="仿宋" w:eastAsia="仿宋" w:cs="仿宋"/>
          <w:color w:val="000000"/>
          <w:sz w:val="24"/>
        </w:rPr>
      </w:pPr>
      <w:r>
        <w:rPr>
          <w:rFonts w:hint="eastAsia" w:ascii="仿宋" w:hAnsi="仿宋" w:eastAsia="仿宋" w:cs="仿宋"/>
          <w:color w:val="000000"/>
          <w:sz w:val="24"/>
        </w:rPr>
        <w:t>2.2 采购范围</w:t>
      </w:r>
    </w:p>
    <w:p w14:paraId="5F82E969">
      <w:pPr>
        <w:keepNext/>
        <w:keepLines/>
        <w:spacing w:line="360" w:lineRule="auto"/>
        <w:ind w:firstLine="480" w:firstLineChars="200"/>
        <w:outlineLvl w:val="1"/>
        <w:rPr>
          <w:rFonts w:hint="eastAsia" w:ascii="仿宋" w:hAnsi="仿宋" w:eastAsia="仿宋"/>
          <w:sz w:val="24"/>
        </w:rPr>
      </w:pPr>
      <w:r>
        <w:rPr>
          <w:rFonts w:hint="eastAsia" w:ascii="仿宋" w:hAnsi="仿宋" w:eastAsia="仿宋"/>
          <w:sz w:val="24"/>
        </w:rPr>
        <w:t>包括所有货物的供货、包装运输（包括卸车及就位至采购人指定的安装地点）、安装、调试、技术服务、培训、售后服务等所有内容。</w:t>
      </w:r>
    </w:p>
    <w:p w14:paraId="693667F2">
      <w:pPr>
        <w:keepNext/>
        <w:keepLines/>
        <w:spacing w:line="360" w:lineRule="auto"/>
        <w:outlineLvl w:val="1"/>
        <w:rPr>
          <w:rFonts w:hint="eastAsia" w:ascii="仿宋" w:hAnsi="仿宋" w:eastAsia="仿宋" w:cs="仿宋"/>
          <w:b/>
          <w:bCs/>
          <w:color w:val="000000"/>
          <w:sz w:val="24"/>
        </w:rPr>
      </w:pPr>
      <w:r>
        <w:rPr>
          <w:rFonts w:hint="eastAsia" w:ascii="仿宋" w:hAnsi="仿宋" w:eastAsia="仿宋" w:cs="仿宋"/>
          <w:b/>
          <w:bCs/>
          <w:color w:val="000000"/>
          <w:sz w:val="24"/>
        </w:rPr>
        <w:t>3.商务条款</w:t>
      </w:r>
    </w:p>
    <w:p w14:paraId="34BF58DF">
      <w:pPr>
        <w:spacing w:line="360" w:lineRule="auto"/>
        <w:rPr>
          <w:rFonts w:hint="eastAsia" w:ascii="仿宋" w:hAnsi="仿宋" w:eastAsia="仿宋" w:cs="仿宋"/>
          <w:b/>
          <w:bCs/>
          <w:sz w:val="24"/>
          <w:szCs w:val="32"/>
        </w:rPr>
      </w:pPr>
      <w:r>
        <w:rPr>
          <w:rFonts w:hint="eastAsia" w:ascii="仿宋" w:hAnsi="仿宋" w:eastAsia="仿宋" w:cs="仿宋"/>
          <w:b/>
          <w:bCs/>
          <w:sz w:val="24"/>
          <w:szCs w:val="32"/>
        </w:rPr>
        <w:t>除非有特别说明，本条为实质性要求。</w:t>
      </w:r>
    </w:p>
    <w:tbl>
      <w:tblPr>
        <w:tblStyle w:val="5"/>
        <w:tblW w:w="0" w:type="auto"/>
        <w:tblInd w:w="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2"/>
        <w:gridCol w:w="1095"/>
        <w:gridCol w:w="6808"/>
      </w:tblGrid>
      <w:tr w14:paraId="6156B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540" w:type="dxa"/>
            <w:noWrap w:val="0"/>
            <w:vAlign w:val="center"/>
          </w:tcPr>
          <w:p w14:paraId="03C2E6DA">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序号</w:t>
            </w:r>
          </w:p>
        </w:tc>
        <w:tc>
          <w:tcPr>
            <w:tcW w:w="9217" w:type="dxa"/>
            <w:gridSpan w:val="2"/>
            <w:noWrap w:val="0"/>
            <w:vAlign w:val="center"/>
          </w:tcPr>
          <w:p w14:paraId="20DE961F">
            <w:pPr>
              <w:wordWrap w:val="0"/>
              <w:spacing w:line="360" w:lineRule="auto"/>
              <w:ind w:firstLine="2891" w:firstLineChars="1200"/>
              <w:jc w:val="left"/>
              <w:rPr>
                <w:rFonts w:hint="eastAsia" w:ascii="仿宋" w:hAnsi="仿宋" w:eastAsia="仿宋" w:cs="仿宋"/>
                <w:b/>
                <w:color w:val="000000"/>
                <w:sz w:val="24"/>
              </w:rPr>
            </w:pPr>
            <w:r>
              <w:rPr>
                <w:rFonts w:hint="eastAsia" w:ascii="仿宋" w:hAnsi="仿宋" w:eastAsia="仿宋" w:cs="仿宋"/>
                <w:b/>
                <w:color w:val="000000"/>
                <w:sz w:val="24"/>
              </w:rPr>
              <w:t>商务条款内容</w:t>
            </w:r>
          </w:p>
        </w:tc>
      </w:tr>
      <w:tr w14:paraId="296C4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540" w:type="dxa"/>
            <w:noWrap w:val="0"/>
            <w:vAlign w:val="center"/>
          </w:tcPr>
          <w:p w14:paraId="23B47FDB">
            <w:pPr>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1</w:t>
            </w:r>
          </w:p>
        </w:tc>
        <w:tc>
          <w:tcPr>
            <w:tcW w:w="1128" w:type="dxa"/>
            <w:noWrap w:val="0"/>
            <w:vAlign w:val="center"/>
          </w:tcPr>
          <w:p w14:paraId="200CD19F">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交付（实施）的时间（期限）</w:t>
            </w:r>
          </w:p>
        </w:tc>
        <w:tc>
          <w:tcPr>
            <w:tcW w:w="8089" w:type="dxa"/>
            <w:noWrap w:val="0"/>
            <w:vAlign w:val="center"/>
          </w:tcPr>
          <w:p w14:paraId="43B1366E">
            <w:pPr>
              <w:widowControl/>
              <w:adjustRightInd w:val="0"/>
              <w:snapToGrid w:val="0"/>
              <w:spacing w:line="288" w:lineRule="auto"/>
              <w:rPr>
                <w:rFonts w:ascii="仿宋" w:hAnsi="仿宋" w:eastAsia="仿宋" w:cs="仿宋"/>
                <w:b/>
                <w:bCs w:val="0"/>
                <w:color w:val="000000"/>
                <w:sz w:val="24"/>
              </w:rPr>
            </w:pPr>
            <w:r>
              <w:rPr>
                <w:rFonts w:hint="eastAsia" w:ascii="仿宋" w:hAnsi="仿宋" w:eastAsia="仿宋" w:cs="仿宋"/>
                <w:b/>
                <w:bCs w:val="0"/>
                <w:color w:val="000000"/>
                <w:sz w:val="24"/>
              </w:rPr>
              <w:t>合同签订生效后，接采购人通知后60个日历天内完成供货安装调试。</w:t>
            </w:r>
          </w:p>
          <w:p w14:paraId="3487BA16">
            <w:pPr>
              <w:widowControl/>
              <w:adjustRightInd w:val="0"/>
              <w:snapToGrid w:val="0"/>
              <w:spacing w:line="288" w:lineRule="auto"/>
              <w:rPr>
                <w:rFonts w:hint="eastAsia" w:ascii="仿宋" w:hAnsi="仿宋" w:eastAsia="仿宋" w:cs="仿宋"/>
                <w:bCs/>
                <w:color w:val="000000"/>
                <w:sz w:val="24"/>
              </w:rPr>
            </w:pPr>
            <w:r>
              <w:rPr>
                <w:rFonts w:hint="eastAsia" w:ascii="仿宋" w:hAnsi="仿宋" w:eastAsia="仿宋" w:cs="仿宋"/>
                <w:bCs/>
                <w:color w:val="000000"/>
                <w:sz w:val="24"/>
              </w:rPr>
              <w:t>是否接受负偏离：</w:t>
            </w:r>
            <w:r>
              <w:rPr>
                <w:rFonts w:hint="eastAsia" w:ascii="宋体" w:hAnsi="宋体" w:eastAsia="仿宋"/>
                <w:bCs/>
                <w:sz w:val="24"/>
              </w:rPr>
              <w:sym w:font="Wingdings" w:char="F0FE"/>
            </w:r>
            <w:r>
              <w:rPr>
                <w:rFonts w:hint="eastAsia" w:ascii="仿宋" w:hAnsi="仿宋" w:eastAsia="仿宋" w:cs="仿宋"/>
                <w:bCs/>
                <w:color w:val="000000"/>
                <w:sz w:val="24"/>
              </w:rPr>
              <w:t>不接受</w:t>
            </w:r>
          </w:p>
          <w:p w14:paraId="6EAC5393">
            <w:pPr>
              <w:pStyle w:val="8"/>
              <w:ind w:firstLine="480"/>
              <w:rPr>
                <w:rFonts w:hint="eastAsia" w:ascii="仿宋" w:hAnsi="仿宋" w:eastAsia="仿宋" w:cs="仿宋"/>
                <w:bCs/>
                <w:color w:val="000000"/>
                <w:sz w:val="24"/>
              </w:rPr>
            </w:pPr>
            <w:r>
              <w:rPr>
                <w:rFonts w:hint="eastAsia" w:ascii="仿宋" w:hAnsi="仿宋" w:eastAsia="仿宋" w:cs="仿宋"/>
                <w:bCs/>
                <w:color w:val="000000"/>
                <w:sz w:val="24"/>
              </w:rPr>
              <w:t>□接受：</w:t>
            </w:r>
          </w:p>
          <w:p w14:paraId="0B477681">
            <w:pPr>
              <w:wordWrap w:val="0"/>
              <w:spacing w:line="360" w:lineRule="auto"/>
              <w:rPr>
                <w:rFonts w:hint="eastAsia" w:ascii="仿宋" w:hAnsi="仿宋" w:eastAsia="仿宋" w:cs="仿宋"/>
                <w:bCs/>
                <w:color w:val="000000"/>
                <w:sz w:val="24"/>
              </w:rPr>
            </w:pPr>
            <w:r>
              <w:rPr>
                <w:rFonts w:hint="eastAsia" w:ascii="仿宋" w:hAnsi="仿宋" w:eastAsia="仿宋" w:cs="仿宋"/>
                <w:bCs/>
                <w:color w:val="000000"/>
                <w:sz w:val="24"/>
              </w:rPr>
              <w:t>允许偏离的幅度：/</w:t>
            </w:r>
          </w:p>
        </w:tc>
      </w:tr>
      <w:tr w14:paraId="3667E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540" w:type="dxa"/>
            <w:noWrap w:val="0"/>
            <w:vAlign w:val="center"/>
          </w:tcPr>
          <w:p w14:paraId="1F446937">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2</w:t>
            </w:r>
          </w:p>
        </w:tc>
        <w:tc>
          <w:tcPr>
            <w:tcW w:w="1128" w:type="dxa"/>
            <w:noWrap w:val="0"/>
            <w:vAlign w:val="center"/>
          </w:tcPr>
          <w:p w14:paraId="4A8C9A18">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交付（实施）的地点（范围）</w:t>
            </w:r>
          </w:p>
        </w:tc>
        <w:tc>
          <w:tcPr>
            <w:tcW w:w="8089" w:type="dxa"/>
            <w:noWrap w:val="0"/>
            <w:vAlign w:val="center"/>
          </w:tcPr>
          <w:p w14:paraId="2DB06756">
            <w:pPr>
              <w:wordWrap w:val="0"/>
              <w:spacing w:line="360" w:lineRule="auto"/>
              <w:jc w:val="both"/>
              <w:rPr>
                <w:rFonts w:hint="default" w:ascii="仿宋" w:hAnsi="仿宋" w:eastAsia="仿宋" w:cs="仿宋"/>
                <w:bCs/>
                <w:color w:val="000000"/>
                <w:sz w:val="24"/>
                <w:lang w:val="en-US" w:eastAsia="zh-CN"/>
              </w:rPr>
            </w:pPr>
            <w:r>
              <w:rPr>
                <w:rFonts w:hint="eastAsia" w:ascii="仿宋" w:hAnsi="仿宋" w:eastAsia="仿宋" w:cs="仿宋"/>
                <w:b/>
                <w:bCs w:val="0"/>
                <w:color w:val="000000"/>
                <w:sz w:val="24"/>
                <w:lang w:val="en-US" w:eastAsia="zh-CN"/>
              </w:rPr>
              <w:t>上海市第六人民医院安徽医院</w:t>
            </w:r>
          </w:p>
        </w:tc>
      </w:tr>
      <w:tr w14:paraId="38569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540" w:type="dxa"/>
            <w:noWrap w:val="0"/>
            <w:vAlign w:val="center"/>
          </w:tcPr>
          <w:p w14:paraId="4AF52452">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3</w:t>
            </w:r>
          </w:p>
        </w:tc>
        <w:tc>
          <w:tcPr>
            <w:tcW w:w="1128" w:type="dxa"/>
            <w:noWrap w:val="0"/>
            <w:vAlign w:val="center"/>
          </w:tcPr>
          <w:p w14:paraId="50157529">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付款方式</w:t>
            </w:r>
          </w:p>
        </w:tc>
        <w:tc>
          <w:tcPr>
            <w:tcW w:w="8089" w:type="dxa"/>
            <w:noWrap w:val="0"/>
            <w:vAlign w:val="center"/>
          </w:tcPr>
          <w:p w14:paraId="6167369C">
            <w:pPr>
              <w:widowControl/>
              <w:adjustRightInd w:val="0"/>
              <w:snapToGrid w:val="0"/>
              <w:spacing w:line="360" w:lineRule="auto"/>
              <w:rPr>
                <w:rFonts w:hint="eastAsia" w:ascii="仿宋" w:hAnsi="仿宋" w:eastAsia="仿宋" w:cs="仿宋"/>
                <w:color w:val="000000"/>
                <w:sz w:val="24"/>
              </w:rPr>
            </w:pPr>
            <w:r>
              <w:rPr>
                <w:rFonts w:hint="eastAsia" w:ascii="仿宋" w:hAnsi="仿宋" w:eastAsia="仿宋" w:cs="仿宋"/>
                <w:b/>
                <w:bCs/>
                <w:kern w:val="0"/>
                <w:sz w:val="24"/>
                <w:lang w:val="en-US" w:eastAsia="zh-CN"/>
              </w:rPr>
              <w:t>本项目</w:t>
            </w:r>
            <w:r>
              <w:rPr>
                <w:rFonts w:hint="eastAsia" w:ascii="仿宋" w:hAnsi="仿宋" w:eastAsia="仿宋" w:cs="仿宋"/>
                <w:b/>
                <w:bCs/>
                <w:kern w:val="0"/>
                <w:sz w:val="24"/>
              </w:rPr>
              <w:t>合同签订生效后，货到安装验收合格后，提供产品的使用、操作及维修人员的培训，并能独立操作且使用部门签字确认后，支付全部合同款项</w:t>
            </w:r>
            <w:r>
              <w:rPr>
                <w:rFonts w:hint="eastAsia" w:ascii="仿宋" w:hAnsi="仿宋" w:eastAsia="仿宋" w:cs="仿宋"/>
                <w:color w:val="000000"/>
                <w:sz w:val="24"/>
              </w:rPr>
              <w:t xml:space="preserve">。 </w:t>
            </w:r>
          </w:p>
          <w:p w14:paraId="03CD49BF">
            <w:pPr>
              <w:wordWrap w:val="0"/>
              <w:spacing w:line="360" w:lineRule="auto"/>
              <w:rPr>
                <w:rFonts w:hint="eastAsia" w:ascii="仿宋" w:hAnsi="仿宋" w:eastAsia="仿宋" w:cs="仿宋"/>
                <w:b/>
                <w:color w:val="000000"/>
                <w:sz w:val="24"/>
              </w:rPr>
            </w:pPr>
            <w:r>
              <w:rPr>
                <w:rFonts w:hint="eastAsia" w:ascii="仿宋" w:hAnsi="仿宋" w:eastAsia="仿宋" w:cs="仿宋"/>
                <w:color w:val="000000"/>
                <w:sz w:val="24"/>
              </w:rPr>
              <w:t>是否接受负偏离：</w:t>
            </w:r>
            <w:r>
              <w:rPr>
                <w:rFonts w:hint="eastAsia" w:ascii="仿宋" w:hAnsi="仿宋" w:eastAsia="仿宋" w:cs="仿宋"/>
                <w:color w:val="000000"/>
                <w:sz w:val="24"/>
              </w:rPr>
              <w:sym w:font="Wingdings 2" w:char="0052"/>
            </w:r>
            <w:r>
              <w:rPr>
                <w:rFonts w:hint="eastAsia" w:ascii="仿宋" w:hAnsi="仿宋" w:eastAsia="仿宋" w:cs="仿宋"/>
                <w:color w:val="000000"/>
                <w:sz w:val="24"/>
              </w:rPr>
              <w:t xml:space="preserve">不接受  </w:t>
            </w:r>
          </w:p>
        </w:tc>
      </w:tr>
      <w:tr w14:paraId="0F8B8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540" w:type="dxa"/>
            <w:noWrap w:val="0"/>
            <w:vAlign w:val="center"/>
          </w:tcPr>
          <w:p w14:paraId="36A9EF47">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4</w:t>
            </w:r>
          </w:p>
        </w:tc>
        <w:tc>
          <w:tcPr>
            <w:tcW w:w="1128" w:type="dxa"/>
            <w:noWrap w:val="0"/>
            <w:vAlign w:val="center"/>
          </w:tcPr>
          <w:p w14:paraId="5DAAD535">
            <w:pPr>
              <w:wordWrap w:val="0"/>
              <w:spacing w:line="360" w:lineRule="auto"/>
              <w:jc w:val="center"/>
              <w:rPr>
                <w:rFonts w:hint="eastAsia" w:ascii="仿宋" w:hAnsi="仿宋" w:eastAsia="仿宋" w:cs="仿宋"/>
                <w:b/>
                <w:bCs/>
                <w:color w:val="000000"/>
                <w:sz w:val="24"/>
              </w:rPr>
            </w:pPr>
            <w:r>
              <w:rPr>
                <w:rFonts w:hint="eastAsia" w:ascii="宋体" w:hAnsi="宋体" w:eastAsia="仿宋" w:cs="Calibri"/>
                <w:b/>
                <w:bCs/>
                <w:sz w:val="24"/>
              </w:rPr>
              <w:t>质量保证期</w:t>
            </w:r>
          </w:p>
        </w:tc>
        <w:tc>
          <w:tcPr>
            <w:tcW w:w="8089" w:type="dxa"/>
            <w:noWrap w:val="0"/>
            <w:vAlign w:val="top"/>
          </w:tcPr>
          <w:p w14:paraId="3C988C28">
            <w:pPr>
              <w:widowControl/>
              <w:adjustRightInd w:val="0"/>
              <w:snapToGrid w:val="0"/>
              <w:spacing w:line="360" w:lineRule="auto"/>
              <w:rPr>
                <w:rFonts w:hint="eastAsia" w:ascii="仿宋" w:hAnsi="仿宋" w:eastAsia="仿宋" w:cs="仿宋"/>
                <w:color w:val="000000"/>
                <w:sz w:val="24"/>
              </w:rPr>
            </w:pPr>
            <w:r>
              <w:rPr>
                <w:rFonts w:hint="eastAsia" w:ascii="仿宋" w:hAnsi="仿宋" w:eastAsia="仿宋" w:cs="仿宋"/>
                <w:color w:val="000000"/>
                <w:sz w:val="24"/>
              </w:rPr>
              <w:t>自验收合格之日起整体（主机+配套产品）原厂质保不少于60个月。</w:t>
            </w:r>
          </w:p>
          <w:p w14:paraId="02E04EA9">
            <w:pPr>
              <w:widowControl/>
              <w:adjustRightInd w:val="0"/>
              <w:snapToGrid w:val="0"/>
              <w:spacing w:line="288" w:lineRule="auto"/>
              <w:rPr>
                <w:rFonts w:hint="eastAsia" w:ascii="仿宋" w:hAnsi="仿宋" w:eastAsia="仿宋" w:cs="仿宋"/>
                <w:bCs/>
                <w:color w:val="000000"/>
                <w:sz w:val="24"/>
              </w:rPr>
            </w:pPr>
            <w:r>
              <w:rPr>
                <w:rFonts w:hint="eastAsia" w:ascii="宋体" w:hAnsi="宋体" w:eastAsia="仿宋" w:cs="Calibri"/>
                <w:sz w:val="24"/>
              </w:rPr>
              <w:t>是否接受负偏离：</w:t>
            </w:r>
            <w:r>
              <w:rPr>
                <w:rFonts w:hint="eastAsia" w:ascii="宋体" w:hAnsi="宋体" w:eastAsia="仿宋"/>
                <w:bCs/>
                <w:sz w:val="24"/>
              </w:rPr>
              <w:sym w:font="Wingdings" w:char="F0FE"/>
            </w:r>
            <w:r>
              <w:rPr>
                <w:rFonts w:hint="eastAsia" w:ascii="仿宋" w:hAnsi="仿宋" w:eastAsia="仿宋" w:cs="仿宋"/>
                <w:bCs/>
                <w:color w:val="000000"/>
                <w:sz w:val="24"/>
              </w:rPr>
              <w:t>不接受</w:t>
            </w:r>
          </w:p>
          <w:p w14:paraId="3314DBAA">
            <w:pPr>
              <w:pStyle w:val="8"/>
              <w:ind w:firstLine="480"/>
              <w:rPr>
                <w:rFonts w:hint="eastAsia" w:ascii="楷体" w:hAnsi="楷体" w:eastAsia="仿宋" w:cs="Calibri"/>
                <w:sz w:val="24"/>
              </w:rPr>
            </w:pPr>
            <w:r>
              <w:rPr>
                <w:rFonts w:hint="eastAsia" w:ascii="楷体" w:hAnsi="楷体" w:eastAsia="仿宋" w:cs="Calibri"/>
                <w:sz w:val="24"/>
              </w:rPr>
              <w:t xml:space="preserve">            □接受：</w:t>
            </w:r>
          </w:p>
          <w:p w14:paraId="379F5F11">
            <w:pPr>
              <w:wordWrap w:val="0"/>
              <w:spacing w:line="360" w:lineRule="auto"/>
              <w:jc w:val="left"/>
              <w:rPr>
                <w:rFonts w:hint="eastAsia" w:ascii="仿宋" w:hAnsi="仿宋" w:eastAsia="仿宋" w:cs="仿宋"/>
                <w:b/>
                <w:color w:val="000000"/>
                <w:sz w:val="24"/>
              </w:rPr>
            </w:pPr>
            <w:r>
              <w:rPr>
                <w:rFonts w:hint="eastAsia" w:ascii="楷体" w:hAnsi="楷体" w:eastAsia="仿宋" w:cs="Calibri"/>
                <w:sz w:val="24"/>
              </w:rPr>
              <w:t>允许偏离的幅</w:t>
            </w:r>
            <w:r>
              <w:rPr>
                <w:rFonts w:hint="eastAsia" w:ascii="楷体" w:hAnsi="楷体" w:eastAsia="仿宋" w:cs="Calibri"/>
                <w:color w:val="000000"/>
                <w:sz w:val="24"/>
              </w:rPr>
              <w:t>度：</w:t>
            </w:r>
            <w:r>
              <w:rPr>
                <w:rFonts w:hint="eastAsia" w:ascii="宋体" w:hAnsi="宋体" w:eastAsia="仿宋" w:cs="Calibri"/>
                <w:color w:val="000000"/>
                <w:sz w:val="24"/>
              </w:rPr>
              <w:t>/</w:t>
            </w:r>
          </w:p>
        </w:tc>
      </w:tr>
      <w:tr w14:paraId="7A210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540" w:type="dxa"/>
            <w:noWrap w:val="0"/>
            <w:vAlign w:val="center"/>
          </w:tcPr>
          <w:p w14:paraId="52A42EB9">
            <w:pPr>
              <w:wordWrap w:val="0"/>
              <w:spacing w:line="360" w:lineRule="auto"/>
              <w:jc w:val="center"/>
              <w:rPr>
                <w:rFonts w:hint="eastAsia" w:ascii="仿宋" w:hAnsi="仿宋" w:eastAsia="仿宋" w:cs="仿宋"/>
                <w:b/>
                <w:color w:val="000000"/>
                <w:sz w:val="24"/>
                <w:lang w:val="en-US" w:eastAsia="zh-CN"/>
              </w:rPr>
            </w:pPr>
            <w:r>
              <w:rPr>
                <w:rFonts w:hint="eastAsia" w:ascii="仿宋" w:hAnsi="仿宋" w:eastAsia="仿宋" w:cs="仿宋"/>
                <w:b/>
                <w:color w:val="000000"/>
                <w:sz w:val="24"/>
                <w:lang w:val="en-US" w:eastAsia="zh-CN"/>
              </w:rPr>
              <w:t>5</w:t>
            </w:r>
          </w:p>
        </w:tc>
        <w:tc>
          <w:tcPr>
            <w:tcW w:w="1128" w:type="dxa"/>
            <w:noWrap w:val="0"/>
            <w:vAlign w:val="center"/>
          </w:tcPr>
          <w:p w14:paraId="25AE0739">
            <w:pPr>
              <w:wordWrap w:val="0"/>
              <w:spacing w:line="360" w:lineRule="auto"/>
              <w:jc w:val="center"/>
              <w:rPr>
                <w:rFonts w:hint="eastAsia" w:ascii="宋体" w:hAnsi="宋体" w:eastAsia="仿宋" w:cs="Calibri"/>
                <w:b/>
                <w:bCs/>
                <w:sz w:val="24"/>
              </w:rPr>
            </w:pPr>
            <w:r>
              <w:rPr>
                <w:rFonts w:hint="eastAsia" w:ascii="仿宋" w:hAnsi="仿宋" w:eastAsia="仿宋" w:cs="仿宋"/>
                <w:b/>
                <w:bCs/>
                <w:kern w:val="0"/>
                <w:sz w:val="24"/>
              </w:rPr>
              <w:t>质量要求</w:t>
            </w:r>
          </w:p>
        </w:tc>
        <w:tc>
          <w:tcPr>
            <w:tcW w:w="8089" w:type="dxa"/>
            <w:noWrap w:val="0"/>
            <w:vAlign w:val="top"/>
          </w:tcPr>
          <w:p w14:paraId="43D12BB3">
            <w:pPr>
              <w:wordWrap w:val="0"/>
              <w:spacing w:line="360" w:lineRule="auto"/>
              <w:jc w:val="left"/>
              <w:rPr>
                <w:rFonts w:hint="eastAsia" w:ascii="楷体" w:hAnsi="楷体" w:eastAsia="仿宋" w:cs="Calibri"/>
                <w:sz w:val="24"/>
              </w:rPr>
            </w:pPr>
            <w:r>
              <w:rPr>
                <w:rFonts w:hint="eastAsia" w:ascii="仿宋" w:hAnsi="仿宋" w:eastAsia="仿宋" w:cs="仿宋"/>
                <w:b/>
                <w:bCs/>
                <w:kern w:val="0"/>
                <w:sz w:val="24"/>
              </w:rPr>
              <w:t>合格</w:t>
            </w:r>
          </w:p>
        </w:tc>
      </w:tr>
      <w:tr w14:paraId="132A2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540" w:type="dxa"/>
            <w:noWrap w:val="0"/>
            <w:vAlign w:val="center"/>
          </w:tcPr>
          <w:p w14:paraId="2949BC6E">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6</w:t>
            </w:r>
          </w:p>
        </w:tc>
        <w:tc>
          <w:tcPr>
            <w:tcW w:w="1128" w:type="dxa"/>
            <w:noWrap w:val="0"/>
            <w:vAlign w:val="center"/>
          </w:tcPr>
          <w:p w14:paraId="6C2FE841">
            <w:pPr>
              <w:wordWrap w:val="0"/>
              <w:spacing w:line="360" w:lineRule="auto"/>
              <w:jc w:val="center"/>
              <w:rPr>
                <w:rFonts w:ascii="仿宋" w:hAnsi="仿宋" w:eastAsia="仿宋" w:cs="仿宋"/>
                <w:b/>
                <w:color w:val="000000"/>
                <w:sz w:val="24"/>
              </w:rPr>
            </w:pPr>
            <w:r>
              <w:rPr>
                <w:rFonts w:hint="eastAsia" w:ascii="仿宋" w:hAnsi="仿宋" w:eastAsia="仿宋" w:cs="仿宋"/>
                <w:b/>
                <w:color w:val="000000"/>
                <w:sz w:val="24"/>
              </w:rPr>
              <w:t>信息化要求</w:t>
            </w:r>
          </w:p>
        </w:tc>
        <w:tc>
          <w:tcPr>
            <w:tcW w:w="8089" w:type="dxa"/>
            <w:noWrap w:val="0"/>
            <w:vAlign w:val="center"/>
          </w:tcPr>
          <w:p w14:paraId="3BB787F2">
            <w:pPr>
              <w:pStyle w:val="4"/>
              <w:spacing w:before="0" w:beforeAutospacing="0" w:after="0" w:afterAutospacing="0" w:line="360" w:lineRule="auto"/>
              <w:rPr>
                <w:rFonts w:hint="eastAsia" w:ascii="仿宋" w:hAnsi="仿宋" w:eastAsia="仿宋" w:cs="仿宋"/>
                <w:b/>
                <w:bCs/>
                <w:color w:val="auto"/>
              </w:rPr>
            </w:pPr>
            <w:r>
              <w:rPr>
                <w:rFonts w:hint="eastAsia" w:ascii="仿宋" w:hAnsi="仿宋" w:eastAsia="仿宋" w:cs="仿宋"/>
                <w:b/>
                <w:bCs/>
                <w:color w:val="auto"/>
              </w:rPr>
              <w:t>投标人所投设备须与医院信息系统连接，由此产生的费用包含在投标总报价中，采购人不另行支付。</w:t>
            </w:r>
          </w:p>
          <w:p w14:paraId="62DB1900">
            <w:pPr>
              <w:widowControl/>
              <w:adjustRightInd w:val="0"/>
              <w:snapToGrid w:val="0"/>
              <w:spacing w:line="288" w:lineRule="auto"/>
              <w:rPr>
                <w:rFonts w:hint="eastAsia" w:ascii="仿宋" w:hAnsi="仿宋" w:eastAsia="仿宋" w:cs="仿宋"/>
                <w:bCs/>
                <w:color w:val="000000"/>
                <w:sz w:val="24"/>
              </w:rPr>
            </w:pPr>
            <w:r>
              <w:rPr>
                <w:rFonts w:hint="eastAsia" w:ascii="宋体" w:hAnsi="宋体" w:eastAsia="仿宋" w:cs="Calibri"/>
                <w:sz w:val="24"/>
              </w:rPr>
              <w:t>是否接受负偏离：</w:t>
            </w:r>
            <w:r>
              <w:rPr>
                <w:rFonts w:hint="eastAsia" w:ascii="宋体" w:hAnsi="宋体" w:eastAsia="仿宋"/>
                <w:bCs/>
                <w:sz w:val="24"/>
              </w:rPr>
              <w:sym w:font="Wingdings" w:char="F0FE"/>
            </w:r>
            <w:r>
              <w:rPr>
                <w:rFonts w:hint="eastAsia" w:ascii="仿宋" w:hAnsi="仿宋" w:eastAsia="仿宋" w:cs="仿宋"/>
                <w:bCs/>
                <w:color w:val="000000"/>
                <w:sz w:val="24"/>
              </w:rPr>
              <w:t>不接受</w:t>
            </w:r>
          </w:p>
          <w:p w14:paraId="5C7B28BD">
            <w:pPr>
              <w:pStyle w:val="8"/>
              <w:ind w:firstLine="480"/>
              <w:rPr>
                <w:rFonts w:hint="eastAsia" w:ascii="楷体" w:hAnsi="楷体" w:eastAsia="仿宋" w:cs="Calibri"/>
                <w:sz w:val="24"/>
              </w:rPr>
            </w:pPr>
            <w:r>
              <w:rPr>
                <w:rFonts w:hint="eastAsia" w:ascii="楷体" w:hAnsi="楷体" w:eastAsia="仿宋" w:cs="Calibri"/>
                <w:sz w:val="24"/>
              </w:rPr>
              <w:t xml:space="preserve">            □接受：</w:t>
            </w:r>
          </w:p>
          <w:p w14:paraId="01CD61E8">
            <w:pPr>
              <w:pStyle w:val="4"/>
              <w:spacing w:before="0" w:beforeAutospacing="0" w:after="0" w:afterAutospacing="0" w:line="360" w:lineRule="auto"/>
              <w:rPr>
                <w:rFonts w:hint="eastAsia" w:ascii="仿宋" w:hAnsi="仿宋" w:eastAsia="仿宋" w:cs="仿宋"/>
                <w:color w:val="auto"/>
              </w:rPr>
            </w:pPr>
            <w:r>
              <w:rPr>
                <w:rFonts w:hint="eastAsia" w:ascii="楷体" w:hAnsi="楷体" w:eastAsia="仿宋" w:cs="Calibri"/>
              </w:rPr>
              <w:t>允许偏离的幅度：</w:t>
            </w:r>
            <w:r>
              <w:rPr>
                <w:rFonts w:hint="eastAsia" w:eastAsia="仿宋" w:cs="Calibri"/>
              </w:rPr>
              <w:t>/</w:t>
            </w:r>
          </w:p>
        </w:tc>
      </w:tr>
      <w:tr w14:paraId="3CA19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 w:hRule="atLeast"/>
        </w:trPr>
        <w:tc>
          <w:tcPr>
            <w:tcW w:w="540" w:type="dxa"/>
            <w:noWrap w:val="0"/>
            <w:vAlign w:val="center"/>
          </w:tcPr>
          <w:p w14:paraId="485E23A6">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7</w:t>
            </w:r>
          </w:p>
        </w:tc>
        <w:tc>
          <w:tcPr>
            <w:tcW w:w="1128" w:type="dxa"/>
            <w:noWrap w:val="0"/>
            <w:vAlign w:val="center"/>
          </w:tcPr>
          <w:p w14:paraId="75DAC5F1">
            <w:pPr>
              <w:wordWrap w:val="0"/>
              <w:spacing w:line="360" w:lineRule="auto"/>
              <w:jc w:val="center"/>
              <w:rPr>
                <w:rFonts w:ascii="仿宋" w:hAnsi="仿宋" w:eastAsia="仿宋" w:cs="仿宋"/>
                <w:b/>
                <w:bCs/>
                <w:kern w:val="0"/>
                <w:sz w:val="24"/>
              </w:rPr>
            </w:pPr>
            <w:r>
              <w:rPr>
                <w:rFonts w:hint="eastAsia" w:ascii="仿宋" w:hAnsi="仿宋" w:eastAsia="仿宋" w:cs="仿宋"/>
                <w:b/>
                <w:bCs/>
                <w:kern w:val="0"/>
                <w:sz w:val="24"/>
              </w:rPr>
              <w:t>售后要求</w:t>
            </w:r>
          </w:p>
        </w:tc>
        <w:tc>
          <w:tcPr>
            <w:tcW w:w="8089" w:type="dxa"/>
            <w:noWrap w:val="0"/>
            <w:vAlign w:val="top"/>
          </w:tcPr>
          <w:p w14:paraId="7685D349">
            <w:pPr>
              <w:pStyle w:val="9"/>
              <w:spacing w:line="360" w:lineRule="auto"/>
              <w:jc w:val="left"/>
              <w:rPr>
                <w:rFonts w:hint="eastAsia" w:ascii="仿宋" w:hAnsi="仿宋" w:eastAsia="仿宋" w:cs="仿宋"/>
                <w:b/>
                <w:bCs/>
                <w:sz w:val="24"/>
                <w:szCs w:val="24"/>
              </w:rPr>
            </w:pPr>
            <w:r>
              <w:rPr>
                <w:rFonts w:hint="eastAsia" w:ascii="仿宋" w:hAnsi="仿宋" w:eastAsia="仿宋" w:cs="仿宋"/>
                <w:b/>
                <w:bCs/>
                <w:sz w:val="24"/>
                <w:szCs w:val="24"/>
              </w:rPr>
              <w:t>中标人须负责在项目安装地点进行所投设备的安装调试工作，并现场测试。在安装和调试期间，如发现设备或材料有缺陷或损坏，中标人应尽快更换，相关费用均包含在本次投标报价中。中标人在维护期内应提供现场、电话、传真或电子邮件方式为采购人提供技术支持，要求中标人应在有稳定的技术支撑与服务能力，并且在设备发生故障时2小时内响应。中标人在项目验收合格后，负责对所投设备组织操作使用培训，培训地点、人员由采购人指定。</w:t>
            </w:r>
          </w:p>
          <w:p w14:paraId="3BE4D2F6">
            <w:pPr>
              <w:widowControl/>
              <w:adjustRightInd w:val="0"/>
              <w:snapToGrid w:val="0"/>
              <w:spacing w:line="288" w:lineRule="auto"/>
              <w:rPr>
                <w:rFonts w:hint="eastAsia" w:ascii="仿宋" w:hAnsi="仿宋" w:eastAsia="仿宋" w:cs="仿宋"/>
                <w:bCs/>
                <w:color w:val="000000"/>
                <w:sz w:val="24"/>
              </w:rPr>
            </w:pPr>
            <w:r>
              <w:rPr>
                <w:rFonts w:hint="eastAsia" w:ascii="宋体" w:hAnsi="宋体" w:eastAsia="仿宋" w:cs="Calibri"/>
                <w:sz w:val="24"/>
              </w:rPr>
              <w:t>是否接受负偏离：</w:t>
            </w:r>
            <w:r>
              <w:rPr>
                <w:rFonts w:hint="eastAsia" w:ascii="宋体" w:hAnsi="宋体" w:eastAsia="仿宋"/>
                <w:bCs/>
                <w:sz w:val="24"/>
              </w:rPr>
              <w:sym w:font="Wingdings" w:char="F0FE"/>
            </w:r>
            <w:r>
              <w:rPr>
                <w:rFonts w:hint="eastAsia" w:ascii="仿宋" w:hAnsi="仿宋" w:eastAsia="仿宋" w:cs="仿宋"/>
                <w:bCs/>
                <w:color w:val="000000"/>
                <w:sz w:val="24"/>
              </w:rPr>
              <w:t>不接受</w:t>
            </w:r>
          </w:p>
          <w:p w14:paraId="13416B6F">
            <w:pPr>
              <w:pStyle w:val="8"/>
              <w:ind w:firstLine="480"/>
              <w:rPr>
                <w:rFonts w:hint="eastAsia" w:ascii="楷体" w:hAnsi="楷体" w:eastAsia="仿宋" w:cs="Calibri"/>
                <w:sz w:val="24"/>
              </w:rPr>
            </w:pPr>
            <w:r>
              <w:rPr>
                <w:rFonts w:hint="eastAsia" w:ascii="楷体" w:hAnsi="楷体" w:eastAsia="仿宋" w:cs="Calibri"/>
                <w:sz w:val="24"/>
              </w:rPr>
              <w:t xml:space="preserve">            □接受：</w:t>
            </w:r>
          </w:p>
          <w:p w14:paraId="2B606EA9">
            <w:pPr>
              <w:pStyle w:val="9"/>
              <w:spacing w:line="360" w:lineRule="auto"/>
              <w:jc w:val="left"/>
              <w:rPr>
                <w:rFonts w:hint="eastAsia" w:ascii="仿宋" w:hAnsi="仿宋" w:eastAsia="仿宋" w:cs="仿宋"/>
                <w:sz w:val="24"/>
                <w:szCs w:val="24"/>
              </w:rPr>
            </w:pPr>
            <w:r>
              <w:rPr>
                <w:rFonts w:hint="eastAsia" w:ascii="楷体" w:hAnsi="楷体" w:eastAsia="仿宋" w:cs="Calibri"/>
                <w:sz w:val="24"/>
              </w:rPr>
              <w:t>允许偏离的幅</w:t>
            </w:r>
            <w:r>
              <w:rPr>
                <w:rFonts w:hint="eastAsia" w:ascii="楷体" w:hAnsi="楷体" w:eastAsia="仿宋" w:cs="Calibri"/>
                <w:color w:val="000000"/>
                <w:sz w:val="24"/>
              </w:rPr>
              <w:t>度：</w:t>
            </w:r>
            <w:r>
              <w:rPr>
                <w:rFonts w:hint="eastAsia" w:ascii="宋体" w:hAnsi="宋体" w:eastAsia="仿宋" w:cs="Calibri"/>
                <w:color w:val="000000"/>
                <w:sz w:val="24"/>
              </w:rPr>
              <w:t>/</w:t>
            </w:r>
          </w:p>
        </w:tc>
      </w:tr>
      <w:tr w14:paraId="4CFBF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40" w:type="dxa"/>
            <w:noWrap w:val="0"/>
            <w:vAlign w:val="center"/>
          </w:tcPr>
          <w:p w14:paraId="5075BF6B">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8</w:t>
            </w:r>
          </w:p>
        </w:tc>
        <w:tc>
          <w:tcPr>
            <w:tcW w:w="1128" w:type="dxa"/>
            <w:noWrap w:val="0"/>
            <w:vAlign w:val="center"/>
          </w:tcPr>
          <w:p w14:paraId="273524AB">
            <w:pPr>
              <w:wordWrap w:val="0"/>
              <w:spacing w:line="360" w:lineRule="auto"/>
              <w:jc w:val="center"/>
              <w:rPr>
                <w:rFonts w:hint="eastAsia" w:ascii="仿宋" w:hAnsi="仿宋" w:eastAsia="仿宋" w:cs="仿宋"/>
                <w:b/>
                <w:bCs/>
                <w:kern w:val="0"/>
                <w:sz w:val="24"/>
              </w:rPr>
            </w:pPr>
            <w:r>
              <w:rPr>
                <w:rFonts w:hint="eastAsia" w:ascii="仿宋" w:hAnsi="仿宋" w:eastAsia="仿宋" w:cs="仿宋"/>
                <w:b/>
                <w:color w:val="000000"/>
                <w:sz w:val="24"/>
              </w:rPr>
              <w:t>如是依法纳入医疗器械管理的须具有：</w:t>
            </w:r>
          </w:p>
        </w:tc>
        <w:tc>
          <w:tcPr>
            <w:tcW w:w="8089" w:type="dxa"/>
            <w:noWrap w:val="0"/>
            <w:vAlign w:val="center"/>
          </w:tcPr>
          <w:p w14:paraId="67C5DFE5">
            <w:pPr>
              <w:wordWrap w:val="0"/>
              <w:spacing w:line="360" w:lineRule="auto"/>
              <w:jc w:val="left"/>
              <w:rPr>
                <w:rFonts w:hint="eastAsia" w:ascii="仿宋" w:hAnsi="仿宋" w:eastAsia="仿宋" w:cs="仿宋"/>
                <w:b/>
                <w:color w:val="000000"/>
                <w:sz w:val="24"/>
              </w:rPr>
            </w:pPr>
            <w:r>
              <w:rPr>
                <w:rFonts w:hint="eastAsia" w:ascii="仿宋" w:hAnsi="仿宋" w:eastAsia="仿宋" w:cs="仿宋"/>
                <w:b/>
                <w:color w:val="000000"/>
                <w:sz w:val="24"/>
                <w:lang w:val="en-US" w:eastAsia="zh-CN"/>
              </w:rPr>
              <w:t>8.1</w:t>
            </w:r>
            <w:r>
              <w:rPr>
                <w:rFonts w:hint="eastAsia" w:ascii="仿宋" w:hAnsi="仿宋" w:eastAsia="仿宋" w:cs="仿宋"/>
                <w:b/>
                <w:color w:val="000000"/>
                <w:sz w:val="24"/>
              </w:rPr>
              <w:t>投标人为制造商的，须具有相应的医疗器械生产备案获取的备案编号（属于一类时）。</w:t>
            </w:r>
          </w:p>
          <w:p w14:paraId="5D9FE5EC">
            <w:pPr>
              <w:pStyle w:val="9"/>
              <w:spacing w:line="360" w:lineRule="auto"/>
              <w:jc w:val="left"/>
              <w:rPr>
                <w:rFonts w:hint="eastAsia" w:ascii="仿宋" w:hAnsi="仿宋" w:eastAsia="仿宋" w:cs="仿宋"/>
                <w:b/>
                <w:bCs/>
                <w:sz w:val="24"/>
                <w:szCs w:val="24"/>
              </w:rPr>
            </w:pPr>
            <w:r>
              <w:rPr>
                <w:rFonts w:hint="eastAsia" w:ascii="仿宋" w:hAnsi="仿宋" w:eastAsia="仿宋" w:cs="仿宋"/>
                <w:b/>
                <w:bCs/>
                <w:sz w:val="24"/>
                <w:szCs w:val="24"/>
                <w:lang w:val="en-US" w:eastAsia="zh-CN"/>
              </w:rPr>
              <w:t>8.2</w:t>
            </w:r>
            <w:r>
              <w:rPr>
                <w:rFonts w:hint="eastAsia" w:ascii="仿宋" w:hAnsi="仿宋" w:eastAsia="仿宋" w:cs="仿宋"/>
                <w:b/>
                <w:bCs/>
                <w:sz w:val="24"/>
                <w:szCs w:val="24"/>
              </w:rPr>
              <w:t>投标人须具有与投标产品相应的有效经营备案编号（属于二类时）；（如本次投标产品的注册人、备案人在其住所或者生产地址销售的，无需再办理医疗器械经营许可或备案。）。</w:t>
            </w:r>
          </w:p>
          <w:p w14:paraId="319EBDDD">
            <w:pPr>
              <w:pStyle w:val="4"/>
              <w:spacing w:before="0" w:beforeAutospacing="0" w:after="0" w:afterAutospacing="0" w:line="360" w:lineRule="auto"/>
              <w:rPr>
                <w:rFonts w:hint="eastAsia" w:ascii="仿宋" w:hAnsi="仿宋" w:eastAsia="仿宋" w:cs="仿宋"/>
                <w:b/>
                <w:bCs/>
                <w:color w:val="auto"/>
              </w:rPr>
            </w:pPr>
            <w:r>
              <w:rPr>
                <w:rFonts w:hint="eastAsia" w:ascii="仿宋" w:hAnsi="仿宋" w:eastAsia="仿宋" w:cs="仿宋"/>
                <w:b/>
                <w:bCs/>
                <w:color w:val="auto"/>
                <w:lang w:val="en-US" w:eastAsia="zh-CN"/>
              </w:rPr>
              <w:t>8.3</w:t>
            </w:r>
            <w:r>
              <w:rPr>
                <w:rFonts w:hint="eastAsia" w:ascii="仿宋" w:hAnsi="仿宋" w:eastAsia="仿宋" w:cs="仿宋"/>
                <w:b/>
                <w:bCs/>
                <w:color w:val="auto"/>
              </w:rPr>
              <w:t>投标产品须具有有效的医疗器械注册证（属于二类、三类时）；投标产品纳入备案管理时（属于一类时），须在投标文件中提供备案材料或承诺函（承诺在合同签订前提供所投产品的备案证明材料，若未按规定提供视为自动放弃中标资格）。</w:t>
            </w:r>
          </w:p>
        </w:tc>
      </w:tr>
      <w:tr w14:paraId="0831C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40" w:type="dxa"/>
            <w:noWrap w:val="0"/>
            <w:vAlign w:val="center"/>
          </w:tcPr>
          <w:p w14:paraId="6F0631D0">
            <w:pPr>
              <w:wordWrap w:val="0"/>
              <w:spacing w:line="360" w:lineRule="auto"/>
              <w:jc w:val="center"/>
              <w:rPr>
                <w:rFonts w:hint="eastAsia" w:ascii="仿宋" w:hAnsi="仿宋" w:eastAsia="仿宋" w:cs="仿宋"/>
                <w:b/>
                <w:color w:val="000000"/>
                <w:sz w:val="24"/>
                <w:lang w:val="en-US" w:eastAsia="zh-CN"/>
              </w:rPr>
            </w:pPr>
            <w:r>
              <w:rPr>
                <w:rFonts w:hint="eastAsia" w:ascii="仿宋" w:hAnsi="仿宋" w:eastAsia="仿宋" w:cs="仿宋"/>
                <w:b/>
                <w:color w:val="000000"/>
                <w:sz w:val="24"/>
                <w:lang w:val="en-US" w:eastAsia="zh-CN"/>
              </w:rPr>
              <w:t>9</w:t>
            </w:r>
          </w:p>
        </w:tc>
        <w:tc>
          <w:tcPr>
            <w:tcW w:w="1128" w:type="dxa"/>
            <w:noWrap w:val="0"/>
            <w:vAlign w:val="center"/>
          </w:tcPr>
          <w:p w14:paraId="1599625E">
            <w:pPr>
              <w:wordWrap w:val="0"/>
              <w:spacing w:line="360" w:lineRule="auto"/>
              <w:jc w:val="center"/>
              <w:rPr>
                <w:rFonts w:hint="default" w:ascii="仿宋" w:hAnsi="仿宋" w:eastAsia="仿宋" w:cs="仿宋"/>
                <w:b/>
                <w:color w:val="000000"/>
                <w:sz w:val="24"/>
                <w:lang w:val="en-US" w:eastAsia="zh-CN"/>
              </w:rPr>
            </w:pPr>
            <w:r>
              <w:rPr>
                <w:rFonts w:hint="eastAsia" w:ascii="仿宋" w:hAnsi="仿宋" w:eastAsia="仿宋" w:cs="仿宋"/>
                <w:b/>
                <w:color w:val="000000"/>
                <w:sz w:val="24"/>
                <w:lang w:val="en-US" w:eastAsia="zh-CN"/>
              </w:rPr>
              <w:t>9包商务条款</w:t>
            </w:r>
          </w:p>
        </w:tc>
        <w:tc>
          <w:tcPr>
            <w:tcW w:w="8089" w:type="dxa"/>
            <w:noWrap w:val="0"/>
            <w:vAlign w:val="center"/>
          </w:tcPr>
          <w:p w14:paraId="5B046DD4">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9.</w:t>
            </w:r>
            <w:r>
              <w:rPr>
                <w:rFonts w:hint="eastAsia" w:ascii="仿宋" w:hAnsi="仿宋" w:eastAsia="仿宋" w:cs="仿宋"/>
                <w:sz w:val="24"/>
              </w:rPr>
              <w:t>1. 原厂保修期≥5年（签订合同后供货前提供原厂售后服务承诺函），设备全生命周期内提供零配件及维修服务。</w:t>
            </w:r>
          </w:p>
          <w:p w14:paraId="6A7A27AC">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9.</w:t>
            </w:r>
            <w:r>
              <w:rPr>
                <w:rFonts w:hint="eastAsia" w:ascii="仿宋" w:hAnsi="仿宋" w:eastAsia="仿宋" w:cs="仿宋"/>
                <w:sz w:val="24"/>
              </w:rPr>
              <w:t>2. 易损件耗材单独报价</w:t>
            </w:r>
          </w:p>
          <w:p w14:paraId="0F5ECFCF">
            <w:pPr>
              <w:pStyle w:val="4"/>
              <w:spacing w:before="0" w:beforeAutospacing="0" w:after="0" w:afterAutospacing="0" w:line="360" w:lineRule="auto"/>
              <w:rPr>
                <w:rFonts w:hint="eastAsia" w:ascii="仿宋" w:hAnsi="仿宋" w:eastAsia="仿宋" w:cs="仿宋"/>
                <w:b/>
                <w:bCs/>
                <w:color w:val="auto"/>
                <w:lang w:val="en-US" w:eastAsia="zh-CN"/>
              </w:rPr>
            </w:pPr>
            <w:r>
              <w:rPr>
                <w:rFonts w:hint="eastAsia" w:ascii="仿宋" w:hAnsi="仿宋" w:eastAsia="仿宋" w:cs="仿宋"/>
                <w:sz w:val="24"/>
                <w:lang w:val="en-US" w:eastAsia="zh-CN"/>
              </w:rPr>
              <w:t>9.</w:t>
            </w:r>
            <w:r>
              <w:rPr>
                <w:rFonts w:hint="eastAsia" w:ascii="仿宋" w:hAnsi="仿宋" w:eastAsia="仿宋" w:cs="仿宋"/>
                <w:sz w:val="24"/>
              </w:rPr>
              <w:t>3. 说明试剂是否开放并列出清单并单独报价</w:t>
            </w:r>
          </w:p>
        </w:tc>
      </w:tr>
    </w:tbl>
    <w:p w14:paraId="74A592A5">
      <w:pPr>
        <w:pStyle w:val="10"/>
        <w:spacing w:line="360" w:lineRule="auto"/>
        <w:ind w:firstLine="480" w:firstLineChars="200"/>
        <w:rPr>
          <w:rFonts w:hint="eastAsia" w:ascii="仿宋" w:hAnsi="仿宋" w:eastAsia="仿宋" w:cs="仿宋"/>
          <w:color w:val="000000"/>
          <w:sz w:val="24"/>
          <w:szCs w:val="24"/>
        </w:rPr>
      </w:pPr>
    </w:p>
    <w:p w14:paraId="55CF9116">
      <w:pPr>
        <w:spacing w:line="360" w:lineRule="auto"/>
        <w:rPr>
          <w:rFonts w:hint="eastAsia" w:ascii="仿宋" w:hAnsi="仿宋" w:eastAsia="仿宋" w:cs="仿宋"/>
          <w:b/>
          <w:sz w:val="24"/>
        </w:rPr>
      </w:pPr>
      <w:r>
        <w:rPr>
          <w:rFonts w:hint="eastAsia" w:ascii="仿宋" w:hAnsi="仿宋" w:eastAsia="仿宋" w:cs="仿宋"/>
          <w:b/>
          <w:color w:val="000000"/>
          <w:sz w:val="24"/>
        </w:rPr>
        <w:t>注：上述</w:t>
      </w:r>
      <w:r>
        <w:rPr>
          <w:rFonts w:hint="eastAsia" w:ascii="仿宋" w:hAnsi="仿宋" w:eastAsia="仿宋" w:cs="仿宋"/>
          <w:b/>
          <w:sz w:val="24"/>
        </w:rPr>
        <w:t>商务条款必须全部满足，否则做无效标处理。</w:t>
      </w:r>
    </w:p>
    <w:p w14:paraId="70B7D01F">
      <w:pPr>
        <w:spacing w:line="360" w:lineRule="auto"/>
        <w:rPr>
          <w:rFonts w:hint="eastAsia" w:ascii="仿宋" w:hAnsi="仿宋" w:eastAsia="仿宋" w:cs="仿宋"/>
          <w:b/>
          <w:sz w:val="24"/>
        </w:rPr>
      </w:pPr>
    </w:p>
    <w:p w14:paraId="1EA55D4A">
      <w:pPr>
        <w:spacing w:line="360" w:lineRule="auto"/>
        <w:rPr>
          <w:rFonts w:hint="eastAsia" w:ascii="仿宋" w:hAnsi="仿宋" w:eastAsia="仿宋" w:cs="仿宋"/>
          <w:b/>
          <w:sz w:val="24"/>
        </w:rPr>
      </w:pPr>
    </w:p>
    <w:p w14:paraId="41D5FB13">
      <w:pPr>
        <w:spacing w:line="360" w:lineRule="auto"/>
        <w:rPr>
          <w:rFonts w:ascii="仿宋" w:hAnsi="仿宋" w:eastAsia="仿宋" w:cs="仿宋"/>
          <w:b/>
          <w:bCs/>
          <w:color w:val="000000"/>
          <w:kern w:val="0"/>
          <w:sz w:val="24"/>
          <w:lang w:bidi="ar"/>
        </w:rPr>
      </w:pPr>
      <w:r>
        <w:rPr>
          <w:rFonts w:hint="eastAsia" w:ascii="仿宋" w:hAnsi="仿宋" w:eastAsia="仿宋" w:cs="仿宋"/>
          <w:b/>
          <w:sz w:val="24"/>
        </w:rPr>
        <w:br w:type="page"/>
      </w:r>
      <w:r>
        <w:rPr>
          <w:rFonts w:hint="eastAsia" w:ascii="仿宋" w:hAnsi="仿宋" w:eastAsia="仿宋" w:cs="仿宋"/>
          <w:b/>
          <w:bCs/>
          <w:kern w:val="44"/>
          <w:sz w:val="24"/>
        </w:rPr>
        <w:t>（一）技术</w:t>
      </w:r>
      <w:r>
        <w:rPr>
          <w:rFonts w:hint="eastAsia" w:ascii="仿宋" w:hAnsi="仿宋" w:eastAsia="仿宋" w:cs="仿宋"/>
          <w:b/>
          <w:bCs/>
          <w:kern w:val="44"/>
          <w:sz w:val="24"/>
          <w:lang w:val="zh-CN"/>
        </w:rPr>
        <w:t>需求</w:t>
      </w:r>
      <w:r>
        <w:rPr>
          <w:rFonts w:hint="eastAsia" w:ascii="仿宋_GB2312" w:hAnsi="仿宋_GB2312" w:eastAsia="仿宋_GB2312" w:cs="仿宋_GB2312"/>
          <w:b/>
          <w:color w:val="000000"/>
          <w:sz w:val="24"/>
        </w:rPr>
        <w:t>重要性表述</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7"/>
        <w:gridCol w:w="1902"/>
        <w:gridCol w:w="4693"/>
      </w:tblGrid>
      <w:tr w14:paraId="26451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2211" w:type="dxa"/>
            <w:noWrap w:val="0"/>
            <w:vAlign w:val="center"/>
          </w:tcPr>
          <w:p w14:paraId="5E858C0D">
            <w:pPr>
              <w:widowControl/>
              <w:spacing w:line="360" w:lineRule="auto"/>
              <w:jc w:val="center"/>
              <w:rPr>
                <w:rFonts w:hint="eastAsia" w:ascii="仿宋" w:hAnsi="仿宋" w:eastAsia="仿宋" w:cs="仿宋"/>
                <w:sz w:val="24"/>
              </w:rPr>
            </w:pPr>
            <w:r>
              <w:rPr>
                <w:rFonts w:hint="eastAsia" w:ascii="仿宋" w:hAnsi="仿宋" w:eastAsia="仿宋" w:cs="仿宋"/>
                <w:color w:val="000000"/>
                <w:kern w:val="0"/>
                <w:sz w:val="24"/>
                <w:lang w:bidi="ar"/>
              </w:rPr>
              <w:t>标识重要性</w:t>
            </w:r>
          </w:p>
        </w:tc>
        <w:tc>
          <w:tcPr>
            <w:tcW w:w="2180" w:type="dxa"/>
            <w:noWrap w:val="0"/>
            <w:vAlign w:val="center"/>
          </w:tcPr>
          <w:p w14:paraId="6A72C7F1">
            <w:pPr>
              <w:widowControl/>
              <w:spacing w:line="360" w:lineRule="auto"/>
              <w:jc w:val="center"/>
              <w:rPr>
                <w:rFonts w:hint="eastAsia" w:ascii="仿宋" w:hAnsi="仿宋" w:eastAsia="仿宋" w:cs="仿宋"/>
                <w:sz w:val="24"/>
              </w:rPr>
            </w:pPr>
            <w:r>
              <w:rPr>
                <w:rFonts w:hint="eastAsia" w:ascii="仿宋" w:hAnsi="仿宋" w:eastAsia="仿宋" w:cs="仿宋"/>
                <w:color w:val="000000"/>
                <w:kern w:val="0"/>
                <w:sz w:val="24"/>
                <w:lang w:bidi="ar"/>
              </w:rPr>
              <w:t>标识符号</w:t>
            </w:r>
          </w:p>
        </w:tc>
        <w:tc>
          <w:tcPr>
            <w:tcW w:w="5463" w:type="dxa"/>
            <w:noWrap w:val="0"/>
            <w:vAlign w:val="center"/>
          </w:tcPr>
          <w:p w14:paraId="7A1F84B5">
            <w:pPr>
              <w:widowControl/>
              <w:spacing w:line="360" w:lineRule="auto"/>
              <w:jc w:val="center"/>
              <w:rPr>
                <w:rFonts w:hint="eastAsia" w:ascii="仿宋" w:hAnsi="仿宋" w:eastAsia="仿宋" w:cs="仿宋"/>
                <w:sz w:val="24"/>
              </w:rPr>
            </w:pPr>
            <w:r>
              <w:rPr>
                <w:rFonts w:hint="eastAsia" w:ascii="仿宋" w:hAnsi="仿宋" w:eastAsia="仿宋" w:cs="仿宋"/>
                <w:color w:val="000000"/>
                <w:kern w:val="0"/>
                <w:sz w:val="24"/>
                <w:lang w:bidi="ar"/>
              </w:rPr>
              <w:t>代表意思</w:t>
            </w:r>
          </w:p>
        </w:tc>
      </w:tr>
      <w:tr w14:paraId="4EE44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11" w:type="dxa"/>
            <w:noWrap w:val="0"/>
            <w:vAlign w:val="center"/>
          </w:tcPr>
          <w:p w14:paraId="75F71463">
            <w:pPr>
              <w:widowControl/>
              <w:spacing w:line="360" w:lineRule="auto"/>
              <w:jc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关键指标项</w:t>
            </w:r>
          </w:p>
        </w:tc>
        <w:tc>
          <w:tcPr>
            <w:tcW w:w="2180" w:type="dxa"/>
            <w:noWrap w:val="0"/>
            <w:vAlign w:val="center"/>
          </w:tcPr>
          <w:p w14:paraId="08903FB4">
            <w:pPr>
              <w:widowControl/>
              <w:spacing w:line="360" w:lineRule="auto"/>
              <w:jc w:val="center"/>
              <w:rPr>
                <w:rFonts w:hint="eastAsia" w:ascii="仿宋" w:hAnsi="仿宋" w:eastAsia="仿宋" w:cs="仿宋"/>
                <w:b/>
                <w:bCs/>
                <w:color w:val="000000"/>
                <w:sz w:val="24"/>
              </w:rPr>
            </w:pPr>
            <w:r>
              <w:rPr>
                <w:rFonts w:hint="eastAsia" w:ascii="宋体" w:hAnsi="宋体" w:cs="宋体"/>
              </w:rPr>
              <w:t>★</w:t>
            </w:r>
          </w:p>
        </w:tc>
        <w:tc>
          <w:tcPr>
            <w:tcW w:w="5463" w:type="dxa"/>
            <w:noWrap w:val="0"/>
            <w:vAlign w:val="center"/>
          </w:tcPr>
          <w:p w14:paraId="26C97DCA">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评分项，详见第四章评分细则</w:t>
            </w:r>
          </w:p>
        </w:tc>
      </w:tr>
      <w:tr w14:paraId="4C409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11" w:type="dxa"/>
            <w:noWrap w:val="0"/>
            <w:vAlign w:val="center"/>
          </w:tcPr>
          <w:p w14:paraId="4980D16B">
            <w:pPr>
              <w:widowControl/>
              <w:spacing w:line="360" w:lineRule="auto"/>
              <w:jc w:val="center"/>
              <w:rPr>
                <w:rFonts w:hint="eastAsia" w:ascii="仿宋" w:hAnsi="仿宋" w:eastAsia="仿宋" w:cs="仿宋"/>
                <w:sz w:val="24"/>
              </w:rPr>
            </w:pPr>
            <w:r>
              <w:rPr>
                <w:rFonts w:hint="eastAsia" w:ascii="仿宋" w:hAnsi="仿宋" w:eastAsia="仿宋" w:cs="仿宋"/>
                <w:color w:val="000000"/>
                <w:kern w:val="0"/>
                <w:sz w:val="24"/>
                <w:lang w:bidi="ar"/>
              </w:rPr>
              <w:t>一般指标项</w:t>
            </w:r>
          </w:p>
        </w:tc>
        <w:tc>
          <w:tcPr>
            <w:tcW w:w="2180" w:type="dxa"/>
            <w:noWrap w:val="0"/>
            <w:vAlign w:val="center"/>
          </w:tcPr>
          <w:p w14:paraId="214F5DF8">
            <w:pPr>
              <w:spacing w:line="360" w:lineRule="auto"/>
              <w:jc w:val="center"/>
              <w:rPr>
                <w:rFonts w:hint="eastAsia" w:ascii="仿宋" w:hAnsi="仿宋" w:eastAsia="仿宋" w:cs="仿宋"/>
                <w:sz w:val="24"/>
              </w:rPr>
            </w:pPr>
            <w:r>
              <w:rPr>
                <w:rFonts w:hint="eastAsia" w:ascii="仿宋" w:hAnsi="仿宋" w:eastAsia="仿宋" w:cs="仿宋"/>
                <w:sz w:val="24"/>
              </w:rPr>
              <w:t>无标识项</w:t>
            </w:r>
          </w:p>
        </w:tc>
        <w:tc>
          <w:tcPr>
            <w:tcW w:w="5463" w:type="dxa"/>
            <w:noWrap w:val="0"/>
            <w:vAlign w:val="center"/>
          </w:tcPr>
          <w:p w14:paraId="39CB5ED0">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 xml:space="preserve"> 评分项，详见第四章评分细则</w:t>
            </w:r>
          </w:p>
        </w:tc>
      </w:tr>
      <w:tr w14:paraId="098A5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54" w:type="dxa"/>
            <w:gridSpan w:val="3"/>
            <w:noWrap w:val="0"/>
            <w:vAlign w:val="center"/>
          </w:tcPr>
          <w:p w14:paraId="5BEE0DE4">
            <w:pPr>
              <w:spacing w:line="360" w:lineRule="auto"/>
              <w:jc w:val="left"/>
              <w:rPr>
                <w:rFonts w:hint="eastAsia" w:ascii="仿宋" w:hAnsi="仿宋" w:eastAsia="仿宋" w:cs="仿宋"/>
                <w:color w:val="000000"/>
                <w:kern w:val="0"/>
                <w:sz w:val="24"/>
                <w:lang w:bidi="ar"/>
              </w:rPr>
            </w:pPr>
            <w:r>
              <w:rPr>
                <w:rFonts w:hint="eastAsia" w:ascii="仿宋" w:hAnsi="仿宋" w:eastAsia="仿宋" w:cs="仿宋"/>
                <w:b/>
                <w:bCs/>
                <w:color w:val="000000"/>
                <w:kern w:val="0"/>
                <w:sz w:val="24"/>
                <w:lang w:bidi="ar"/>
              </w:rPr>
              <w:t>注：投标人须如实响应，如在后期合同履约过程中，发现有虚假响应情况，招标人有权解除合同、不予退还履约保证金、不予支付合同款项，且上报监管部门并追究中标人给采购人带来的一切损失。</w:t>
            </w:r>
          </w:p>
        </w:tc>
      </w:tr>
    </w:tbl>
    <w:p w14:paraId="5323A3E3">
      <w:pPr>
        <w:widowControl/>
        <w:numPr>
          <w:ilvl w:val="0"/>
          <w:numId w:val="1"/>
        </w:numPr>
        <w:spacing w:line="360" w:lineRule="auto"/>
        <w:rPr>
          <w:rFonts w:hint="eastAsia" w:ascii="仿宋" w:hAnsi="仿宋" w:eastAsia="仿宋" w:cs="仿宋"/>
          <w:b/>
          <w:bCs/>
          <w:kern w:val="44"/>
          <w:sz w:val="24"/>
        </w:rPr>
      </w:pPr>
      <w:r>
        <w:rPr>
          <w:rFonts w:hint="eastAsia" w:ascii="仿宋" w:hAnsi="仿宋" w:eastAsia="仿宋" w:cs="仿宋"/>
          <w:b/>
          <w:bCs/>
          <w:kern w:val="44"/>
          <w:sz w:val="24"/>
        </w:rPr>
        <w:t>技术要求</w:t>
      </w:r>
    </w:p>
    <w:p w14:paraId="6BC840BE">
      <w:pPr>
        <w:spacing w:line="360" w:lineRule="auto"/>
        <w:jc w:val="center"/>
        <w:rPr>
          <w:rFonts w:hint="eastAsia" w:ascii="仿宋" w:hAnsi="仿宋" w:eastAsia="仿宋" w:cs="仿宋"/>
          <w:sz w:val="24"/>
        </w:rPr>
      </w:pPr>
      <w:r>
        <w:rPr>
          <w:rFonts w:hint="eastAsia" w:ascii="仿宋" w:hAnsi="仿宋" w:eastAsia="仿宋" w:cs="仿宋"/>
          <w:color w:val="000000"/>
          <w:sz w:val="24"/>
        </w:rPr>
        <w:t>▲</w:t>
      </w:r>
      <w:r>
        <w:rPr>
          <w:rFonts w:hint="eastAsia" w:ascii="仿宋" w:hAnsi="仿宋" w:eastAsia="仿宋" w:cs="仿宋"/>
          <w:sz w:val="24"/>
        </w:rPr>
        <w:t>产品1 高效液相色谱系统</w:t>
      </w:r>
    </w:p>
    <w:p w14:paraId="14941A80">
      <w:pPr>
        <w:spacing w:line="360" w:lineRule="auto"/>
        <w:jc w:val="left"/>
        <w:rPr>
          <w:rFonts w:hint="eastAsia" w:ascii="仿宋" w:hAnsi="仿宋" w:eastAsia="仿宋" w:cs="仿宋"/>
          <w:sz w:val="24"/>
        </w:rPr>
      </w:pPr>
      <w:r>
        <w:rPr>
          <w:rFonts w:hint="eastAsia" w:ascii="仿宋" w:hAnsi="仿宋" w:eastAsia="仿宋" w:cs="仿宋"/>
          <w:sz w:val="24"/>
        </w:rPr>
        <w:t>1.主要用途与要求</w:t>
      </w:r>
    </w:p>
    <w:p w14:paraId="5FCB9A59">
      <w:pPr>
        <w:spacing w:line="360" w:lineRule="auto"/>
        <w:jc w:val="left"/>
        <w:rPr>
          <w:rFonts w:hint="eastAsia" w:ascii="仿宋" w:hAnsi="仿宋" w:eastAsia="仿宋" w:cs="仿宋"/>
          <w:sz w:val="24"/>
        </w:rPr>
      </w:pPr>
      <w:r>
        <w:rPr>
          <w:rFonts w:hint="eastAsia" w:ascii="仿宋" w:hAnsi="仿宋" w:eastAsia="仿宋" w:cs="仿宋"/>
          <w:sz w:val="24"/>
        </w:rPr>
        <w:t>用于分离、鉴定和量化复杂混合物中的单一成分。用于复杂中药复方成分单体定量、药物有效成分或杂质分析，血药浓度分析。</w:t>
      </w:r>
    </w:p>
    <w:p w14:paraId="316244B0">
      <w:pPr>
        <w:spacing w:line="360" w:lineRule="auto"/>
        <w:jc w:val="left"/>
        <w:rPr>
          <w:rFonts w:hint="eastAsia" w:ascii="仿宋" w:hAnsi="仿宋" w:eastAsia="仿宋" w:cs="仿宋"/>
          <w:sz w:val="24"/>
        </w:rPr>
      </w:pPr>
      <w:r>
        <w:rPr>
          <w:rFonts w:hint="eastAsia" w:ascii="仿宋" w:hAnsi="仿宋" w:eastAsia="仿宋" w:cs="仿宋"/>
          <w:sz w:val="24"/>
        </w:rPr>
        <w:t>2.四元溶剂管理系统</w:t>
      </w:r>
    </w:p>
    <w:p w14:paraId="2E78A264">
      <w:pPr>
        <w:spacing w:line="360" w:lineRule="auto"/>
        <w:jc w:val="left"/>
        <w:rPr>
          <w:rFonts w:hint="eastAsia" w:ascii="仿宋" w:hAnsi="仿宋" w:eastAsia="仿宋" w:cs="仿宋"/>
          <w:b/>
          <w:bCs/>
          <w:sz w:val="24"/>
        </w:rPr>
      </w:pPr>
      <w:r>
        <w:rPr>
          <w:rFonts w:hint="eastAsia" w:ascii="仿宋" w:hAnsi="仿宋" w:eastAsia="仿宋" w:cs="仿宋"/>
          <w:b/>
          <w:bCs/>
          <w:sz w:val="24"/>
        </w:rPr>
        <w:t>★2.1色谱泵：一体式独立柱塞，数控直线驱动色谱泵技术，双压力传感器反馈回路，无需阻尼器</w:t>
      </w:r>
    </w:p>
    <w:p w14:paraId="7F784328">
      <w:pPr>
        <w:spacing w:line="360" w:lineRule="auto"/>
        <w:jc w:val="left"/>
        <w:rPr>
          <w:rFonts w:hint="eastAsia" w:ascii="仿宋" w:hAnsi="仿宋" w:eastAsia="仿宋" w:cs="仿宋"/>
          <w:sz w:val="24"/>
        </w:rPr>
      </w:pPr>
      <w:r>
        <w:rPr>
          <w:rFonts w:hint="eastAsia" w:ascii="仿宋" w:hAnsi="仿宋" w:eastAsia="仿宋" w:cs="仿宋"/>
          <w:sz w:val="24"/>
        </w:rPr>
        <w:t>2.2集成式漏液管理：漏液传感器（标配）与安全漏液处理</w:t>
      </w:r>
    </w:p>
    <w:p w14:paraId="7EBDDA66">
      <w:pPr>
        <w:spacing w:line="360" w:lineRule="auto"/>
        <w:jc w:val="left"/>
        <w:rPr>
          <w:rFonts w:hint="eastAsia" w:ascii="仿宋" w:hAnsi="仿宋" w:eastAsia="仿宋" w:cs="仿宋"/>
          <w:sz w:val="24"/>
        </w:rPr>
      </w:pPr>
      <w:r>
        <w:rPr>
          <w:rFonts w:hint="eastAsia" w:ascii="仿宋" w:hAnsi="仿宋" w:eastAsia="仿宋" w:cs="仿宋"/>
          <w:sz w:val="24"/>
        </w:rPr>
        <w:t>2.3pH范围：1~12.5</w:t>
      </w:r>
    </w:p>
    <w:p w14:paraId="18469393">
      <w:pPr>
        <w:spacing w:line="360" w:lineRule="auto"/>
        <w:jc w:val="left"/>
        <w:rPr>
          <w:rFonts w:hint="eastAsia" w:ascii="仿宋" w:hAnsi="仿宋" w:eastAsia="仿宋" w:cs="仿宋"/>
          <w:b/>
          <w:bCs/>
          <w:sz w:val="24"/>
        </w:rPr>
      </w:pPr>
      <w:r>
        <w:rPr>
          <w:rFonts w:hint="eastAsia" w:ascii="仿宋" w:hAnsi="仿宋" w:eastAsia="仿宋" w:cs="仿宋"/>
          <w:b/>
          <w:bCs/>
          <w:sz w:val="24"/>
        </w:rPr>
        <w:t>★2.4泵压力传感器反馈回路：2路</w:t>
      </w:r>
    </w:p>
    <w:p w14:paraId="2CDBB15C">
      <w:pPr>
        <w:spacing w:line="360" w:lineRule="auto"/>
        <w:jc w:val="left"/>
        <w:rPr>
          <w:rFonts w:hint="eastAsia" w:ascii="仿宋" w:hAnsi="仿宋" w:eastAsia="仿宋" w:cs="仿宋"/>
          <w:sz w:val="24"/>
        </w:rPr>
      </w:pPr>
      <w:r>
        <w:rPr>
          <w:rFonts w:hint="eastAsia" w:ascii="仿宋" w:hAnsi="仿宋" w:eastAsia="仿宋" w:cs="仿宋"/>
          <w:sz w:val="24"/>
        </w:rPr>
        <w:t>2.5压缩补偿：自动、连续</w:t>
      </w:r>
    </w:p>
    <w:p w14:paraId="101D8423">
      <w:pPr>
        <w:spacing w:line="360" w:lineRule="auto"/>
        <w:jc w:val="left"/>
        <w:rPr>
          <w:rFonts w:hint="eastAsia" w:ascii="仿宋" w:hAnsi="仿宋" w:eastAsia="仿宋" w:cs="仿宋"/>
          <w:sz w:val="24"/>
        </w:rPr>
      </w:pPr>
      <w:r>
        <w:rPr>
          <w:rFonts w:hint="eastAsia" w:ascii="仿宋" w:hAnsi="仿宋" w:eastAsia="仿宋" w:cs="仿宋"/>
          <w:sz w:val="24"/>
        </w:rPr>
        <w:t>2.6梯度模式：低压混合，四元梯度，1~4路溶剂任意混合，可扩展到9路溶剂</w:t>
      </w:r>
    </w:p>
    <w:p w14:paraId="7C29FE4F">
      <w:pPr>
        <w:spacing w:line="360" w:lineRule="auto"/>
        <w:jc w:val="left"/>
        <w:rPr>
          <w:rFonts w:hint="eastAsia" w:ascii="仿宋" w:hAnsi="仿宋" w:eastAsia="仿宋" w:cs="仿宋"/>
          <w:sz w:val="24"/>
        </w:rPr>
      </w:pPr>
      <w:r>
        <w:rPr>
          <w:rFonts w:hint="eastAsia" w:ascii="仿宋" w:hAnsi="仿宋" w:eastAsia="仿宋" w:cs="仿宋"/>
          <w:sz w:val="24"/>
        </w:rPr>
        <w:t>2.7流量范围：0.001~ 5.000 mL/min，增量为0.001 mL</w:t>
      </w:r>
    </w:p>
    <w:p w14:paraId="021F53A1">
      <w:pPr>
        <w:spacing w:line="360" w:lineRule="auto"/>
        <w:jc w:val="left"/>
        <w:rPr>
          <w:rFonts w:hint="eastAsia" w:ascii="仿宋" w:hAnsi="仿宋" w:eastAsia="仿宋" w:cs="仿宋"/>
          <w:sz w:val="24"/>
        </w:rPr>
      </w:pPr>
      <w:r>
        <w:rPr>
          <w:rFonts w:hint="eastAsia" w:ascii="仿宋" w:hAnsi="仿宋" w:eastAsia="仿宋" w:cs="仿宋"/>
          <w:sz w:val="24"/>
        </w:rPr>
        <w:t>2.8脱气：集成式真空脱气，4个排气仓</w:t>
      </w:r>
    </w:p>
    <w:p w14:paraId="68A5E4CA">
      <w:pPr>
        <w:spacing w:line="360" w:lineRule="auto"/>
        <w:jc w:val="left"/>
        <w:rPr>
          <w:rFonts w:hint="eastAsia" w:ascii="仿宋" w:hAnsi="仿宋" w:eastAsia="仿宋" w:cs="仿宋"/>
          <w:sz w:val="24"/>
        </w:rPr>
      </w:pPr>
      <w:r>
        <w:rPr>
          <w:rFonts w:hint="eastAsia" w:ascii="仿宋" w:hAnsi="仿宋" w:eastAsia="仿宋" w:cs="仿宋"/>
          <w:sz w:val="24"/>
        </w:rPr>
        <w:t>2.9最大操作压力：9500 psi（全流量范围）</w:t>
      </w:r>
    </w:p>
    <w:p w14:paraId="15C25243">
      <w:pPr>
        <w:spacing w:line="360" w:lineRule="auto"/>
        <w:jc w:val="left"/>
        <w:rPr>
          <w:rFonts w:hint="eastAsia" w:ascii="仿宋" w:hAnsi="仿宋" w:eastAsia="仿宋" w:cs="仿宋"/>
          <w:sz w:val="24"/>
        </w:rPr>
      </w:pPr>
      <w:r>
        <w:rPr>
          <w:rFonts w:hint="eastAsia" w:ascii="仿宋" w:hAnsi="仿宋" w:eastAsia="仿宋" w:cs="仿宋"/>
          <w:sz w:val="24"/>
        </w:rPr>
        <w:t>2.10梯度延迟体积：&lt; 1000 μL，不随反压变化</w:t>
      </w:r>
    </w:p>
    <w:p w14:paraId="5A7781CE">
      <w:pPr>
        <w:spacing w:line="360" w:lineRule="auto"/>
        <w:jc w:val="left"/>
        <w:rPr>
          <w:rFonts w:hint="eastAsia" w:ascii="仿宋" w:hAnsi="仿宋" w:eastAsia="仿宋" w:cs="仿宋"/>
          <w:sz w:val="24"/>
        </w:rPr>
      </w:pPr>
      <w:r>
        <w:rPr>
          <w:rFonts w:hint="eastAsia" w:ascii="仿宋" w:hAnsi="仿宋" w:eastAsia="仿宋" w:cs="仿宋"/>
          <w:sz w:val="24"/>
        </w:rPr>
        <w:t>2.11柱塞清洗：自动，可编辑</w:t>
      </w:r>
    </w:p>
    <w:p w14:paraId="4C5A4BBB">
      <w:pPr>
        <w:spacing w:line="360" w:lineRule="auto"/>
        <w:jc w:val="left"/>
        <w:rPr>
          <w:rFonts w:hint="eastAsia" w:ascii="仿宋" w:hAnsi="仿宋" w:eastAsia="仿宋" w:cs="仿宋"/>
          <w:sz w:val="24"/>
        </w:rPr>
      </w:pPr>
      <w:r>
        <w:rPr>
          <w:rFonts w:hint="eastAsia" w:ascii="仿宋" w:hAnsi="仿宋" w:eastAsia="仿宋" w:cs="仿宋"/>
          <w:sz w:val="24"/>
        </w:rPr>
        <w:t>2.12流速精度：＜0.075% RSD</w:t>
      </w:r>
    </w:p>
    <w:p w14:paraId="765D6F5A">
      <w:pPr>
        <w:spacing w:line="360" w:lineRule="auto"/>
        <w:jc w:val="left"/>
        <w:rPr>
          <w:rFonts w:hint="eastAsia" w:ascii="仿宋" w:hAnsi="仿宋" w:eastAsia="仿宋" w:cs="仿宋"/>
          <w:sz w:val="24"/>
        </w:rPr>
      </w:pPr>
      <w:r>
        <w:rPr>
          <w:rFonts w:hint="eastAsia" w:ascii="仿宋" w:hAnsi="仿宋" w:eastAsia="仿宋" w:cs="仿宋"/>
          <w:sz w:val="24"/>
        </w:rPr>
        <w:t>2.13流速准确度：为±1.0%</w:t>
      </w:r>
    </w:p>
    <w:p w14:paraId="7F9E91C5">
      <w:pPr>
        <w:spacing w:line="360" w:lineRule="auto"/>
        <w:jc w:val="left"/>
        <w:rPr>
          <w:rFonts w:hint="eastAsia" w:ascii="仿宋" w:hAnsi="仿宋" w:eastAsia="仿宋" w:cs="仿宋"/>
          <w:sz w:val="24"/>
        </w:rPr>
      </w:pPr>
      <w:r>
        <w:rPr>
          <w:rFonts w:hint="eastAsia" w:ascii="仿宋" w:hAnsi="仿宋" w:eastAsia="仿宋" w:cs="仿宋"/>
          <w:sz w:val="24"/>
        </w:rPr>
        <w:t xml:space="preserve">2.14混合准确度：± 0.5%，不随反压变化 </w:t>
      </w:r>
    </w:p>
    <w:p w14:paraId="54908E73">
      <w:pPr>
        <w:spacing w:line="360" w:lineRule="auto"/>
        <w:jc w:val="left"/>
        <w:rPr>
          <w:rFonts w:hint="eastAsia" w:ascii="仿宋" w:hAnsi="仿宋" w:eastAsia="仿宋" w:cs="仿宋"/>
          <w:sz w:val="24"/>
        </w:rPr>
      </w:pPr>
      <w:r>
        <w:rPr>
          <w:rFonts w:hint="eastAsia" w:ascii="仿宋" w:hAnsi="仿宋" w:eastAsia="仿宋" w:cs="仿宋"/>
          <w:sz w:val="24"/>
        </w:rPr>
        <w:t>2.15混合精度：±0.15% RSD或0.04 min SD（取较大者），基于6次重复进样的结果，不随反压变化</w:t>
      </w:r>
    </w:p>
    <w:p w14:paraId="00AC0D82">
      <w:pPr>
        <w:spacing w:line="360" w:lineRule="auto"/>
        <w:jc w:val="left"/>
        <w:rPr>
          <w:rFonts w:hint="eastAsia" w:ascii="仿宋" w:hAnsi="仿宋" w:eastAsia="仿宋" w:cs="仿宋"/>
          <w:sz w:val="24"/>
        </w:rPr>
      </w:pPr>
      <w:r>
        <w:rPr>
          <w:rFonts w:hint="eastAsia" w:ascii="仿宋" w:hAnsi="仿宋" w:eastAsia="仿宋" w:cs="仿宋"/>
          <w:sz w:val="24"/>
        </w:rPr>
        <w:t>2.16混合波动（基线噪音）：≤ 0.5 mAU</w:t>
      </w:r>
    </w:p>
    <w:p w14:paraId="136D5481">
      <w:pPr>
        <w:spacing w:line="360" w:lineRule="auto"/>
        <w:jc w:val="left"/>
        <w:rPr>
          <w:rFonts w:hint="eastAsia" w:ascii="仿宋" w:hAnsi="仿宋" w:eastAsia="仿宋" w:cs="仿宋"/>
          <w:sz w:val="24"/>
        </w:rPr>
      </w:pPr>
      <w:r>
        <w:rPr>
          <w:rFonts w:hint="eastAsia" w:ascii="仿宋" w:hAnsi="仿宋" w:eastAsia="仿宋" w:cs="仿宋"/>
          <w:sz w:val="24"/>
        </w:rPr>
        <w:t>2.17梯度变化模式：预编11种梯度曲线，分为1线性、2步进、4凹线、4凸线四种类型，由色谱软件实现准确控制</w:t>
      </w:r>
    </w:p>
    <w:p w14:paraId="201E3271">
      <w:pPr>
        <w:spacing w:line="360" w:lineRule="auto"/>
        <w:jc w:val="left"/>
        <w:rPr>
          <w:rFonts w:hint="eastAsia" w:ascii="仿宋" w:hAnsi="仿宋" w:eastAsia="仿宋" w:cs="仿宋"/>
          <w:b/>
          <w:bCs/>
          <w:sz w:val="24"/>
        </w:rPr>
      </w:pPr>
      <w:r>
        <w:rPr>
          <w:rFonts w:hint="eastAsia" w:ascii="仿宋" w:hAnsi="仿宋" w:eastAsia="仿宋" w:cs="仿宋"/>
          <w:b/>
          <w:bCs/>
          <w:sz w:val="24"/>
        </w:rPr>
        <w:t>★2.18内置自动缓冲盐配置功能：可实现自动配置缓冲盐浓度和pH值梯度变化，增量为0.1；内置缓冲盐配置体系数量：≥8；梯度种类：≥3种（流动相组成变化，流速变化，pH值变化等）</w:t>
      </w:r>
    </w:p>
    <w:p w14:paraId="0A90B466">
      <w:pPr>
        <w:spacing w:line="360" w:lineRule="auto"/>
        <w:jc w:val="left"/>
        <w:rPr>
          <w:rFonts w:hint="eastAsia" w:ascii="仿宋" w:hAnsi="仿宋" w:eastAsia="仿宋" w:cs="仿宋"/>
          <w:sz w:val="24"/>
        </w:rPr>
      </w:pPr>
      <w:r>
        <w:rPr>
          <w:rFonts w:hint="eastAsia" w:ascii="仿宋" w:hAnsi="仿宋" w:eastAsia="仿宋" w:cs="仿宋"/>
          <w:sz w:val="24"/>
        </w:rPr>
        <w:t>2.19智能梯度起始模式：≥3（进样前，进样后，进样同步等）,以模拟任意HPLC系统体积</w:t>
      </w:r>
    </w:p>
    <w:p w14:paraId="508EB3DD">
      <w:pPr>
        <w:spacing w:line="360" w:lineRule="auto"/>
        <w:jc w:val="left"/>
        <w:rPr>
          <w:rFonts w:hint="eastAsia" w:ascii="仿宋" w:hAnsi="仿宋" w:eastAsia="仿宋" w:cs="仿宋"/>
          <w:sz w:val="24"/>
        </w:rPr>
      </w:pPr>
      <w:r>
        <w:rPr>
          <w:rFonts w:hint="eastAsia" w:ascii="仿宋" w:hAnsi="仿宋" w:eastAsia="仿宋" w:cs="仿宋"/>
          <w:sz w:val="24"/>
        </w:rPr>
        <w:t>3.自动进样器管理系统</w:t>
      </w:r>
    </w:p>
    <w:p w14:paraId="0DDFC1DD">
      <w:pPr>
        <w:spacing w:line="360" w:lineRule="auto"/>
        <w:jc w:val="left"/>
        <w:rPr>
          <w:rFonts w:hint="eastAsia" w:ascii="仿宋" w:hAnsi="仿宋" w:eastAsia="仿宋" w:cs="仿宋"/>
          <w:sz w:val="24"/>
        </w:rPr>
      </w:pPr>
      <w:r>
        <w:rPr>
          <w:rFonts w:hint="eastAsia" w:ascii="仿宋" w:hAnsi="仿宋" w:eastAsia="仿宋" w:cs="仿宋"/>
          <w:sz w:val="24"/>
        </w:rPr>
        <w:t>3.1流通针式（FTN）进样模式</w:t>
      </w:r>
    </w:p>
    <w:p w14:paraId="55ABD99E">
      <w:pPr>
        <w:spacing w:line="360" w:lineRule="auto"/>
        <w:jc w:val="left"/>
        <w:rPr>
          <w:rFonts w:hint="eastAsia" w:ascii="仿宋" w:hAnsi="仿宋" w:eastAsia="仿宋" w:cs="仿宋"/>
          <w:sz w:val="24"/>
        </w:rPr>
      </w:pPr>
      <w:r>
        <w:rPr>
          <w:rFonts w:hint="eastAsia" w:ascii="仿宋" w:hAnsi="仿宋" w:eastAsia="仿宋" w:cs="仿宋"/>
          <w:sz w:val="24"/>
        </w:rPr>
        <w:t>3.2定量同步：泵和进样器之间可实现进样同步，提高保留时间重现性</w:t>
      </w:r>
    </w:p>
    <w:p w14:paraId="1C357C4B">
      <w:pPr>
        <w:spacing w:line="360" w:lineRule="auto"/>
        <w:jc w:val="left"/>
        <w:rPr>
          <w:rFonts w:hint="eastAsia" w:ascii="仿宋" w:hAnsi="仿宋" w:eastAsia="仿宋" w:cs="仿宋"/>
          <w:sz w:val="24"/>
        </w:rPr>
      </w:pPr>
      <w:r>
        <w:rPr>
          <w:rFonts w:hint="eastAsia" w:ascii="仿宋" w:hAnsi="仿宋" w:eastAsia="仿宋" w:cs="仿宋"/>
          <w:sz w:val="24"/>
        </w:rPr>
        <w:t>3.3样品容量：768（2×384孔板）或96（2 mL样品瓶架）</w:t>
      </w:r>
    </w:p>
    <w:p w14:paraId="7641C5A7">
      <w:pPr>
        <w:spacing w:line="360" w:lineRule="auto"/>
        <w:jc w:val="left"/>
        <w:rPr>
          <w:rFonts w:hint="eastAsia" w:ascii="仿宋" w:hAnsi="仿宋" w:eastAsia="仿宋" w:cs="仿宋"/>
          <w:sz w:val="24"/>
        </w:rPr>
      </w:pPr>
      <w:r>
        <w:rPr>
          <w:rFonts w:hint="eastAsia" w:ascii="仿宋" w:hAnsi="仿宋" w:eastAsia="仿宋" w:cs="仿宋"/>
          <w:sz w:val="24"/>
        </w:rPr>
        <w:t>3.4进样精度：&lt;0.25% RSD</w:t>
      </w:r>
    </w:p>
    <w:p w14:paraId="4F669065">
      <w:pPr>
        <w:spacing w:line="360" w:lineRule="auto"/>
        <w:jc w:val="left"/>
        <w:rPr>
          <w:rFonts w:hint="eastAsia" w:ascii="仿宋" w:hAnsi="仿宋" w:eastAsia="仿宋" w:cs="仿宋"/>
          <w:sz w:val="24"/>
        </w:rPr>
      </w:pPr>
      <w:r>
        <w:rPr>
          <w:rFonts w:hint="eastAsia" w:ascii="仿宋" w:hAnsi="仿宋" w:eastAsia="仿宋" w:cs="仿宋"/>
          <w:sz w:val="24"/>
        </w:rPr>
        <w:t>3.5进样准确度：±0.2 μL</w:t>
      </w:r>
    </w:p>
    <w:p w14:paraId="4D9D6534">
      <w:pPr>
        <w:spacing w:line="360" w:lineRule="auto"/>
        <w:jc w:val="left"/>
        <w:rPr>
          <w:rFonts w:hint="eastAsia" w:ascii="仿宋" w:hAnsi="仿宋" w:eastAsia="仿宋" w:cs="仿宋"/>
          <w:b/>
          <w:bCs/>
          <w:sz w:val="24"/>
        </w:rPr>
      </w:pPr>
      <w:r>
        <w:rPr>
          <w:rFonts w:hint="eastAsia" w:ascii="仿宋" w:hAnsi="仿宋" w:eastAsia="仿宋" w:cs="仿宋"/>
          <w:b/>
          <w:bCs/>
          <w:sz w:val="24"/>
        </w:rPr>
        <w:t>★3.6样品交叉污染/样品残留：&lt;0.002%（咖啡因），UV条件下</w:t>
      </w:r>
    </w:p>
    <w:p w14:paraId="7840A2D2">
      <w:pPr>
        <w:spacing w:line="360" w:lineRule="auto"/>
        <w:jc w:val="left"/>
        <w:rPr>
          <w:rFonts w:hint="eastAsia" w:ascii="仿宋" w:hAnsi="仿宋" w:eastAsia="仿宋" w:cs="仿宋"/>
          <w:sz w:val="24"/>
        </w:rPr>
      </w:pPr>
      <w:r>
        <w:rPr>
          <w:rFonts w:hint="eastAsia" w:ascii="仿宋" w:hAnsi="仿宋" w:eastAsia="仿宋" w:cs="仿宋"/>
          <w:sz w:val="24"/>
        </w:rPr>
        <w:t>3.7进样针清洗：集成、主动、可设置</w:t>
      </w:r>
    </w:p>
    <w:p w14:paraId="0019714B">
      <w:pPr>
        <w:spacing w:line="360" w:lineRule="auto"/>
        <w:jc w:val="left"/>
        <w:rPr>
          <w:rFonts w:hint="eastAsia" w:ascii="仿宋" w:hAnsi="仿宋" w:eastAsia="仿宋" w:cs="仿宋"/>
          <w:sz w:val="24"/>
        </w:rPr>
      </w:pPr>
      <w:r>
        <w:rPr>
          <w:rFonts w:hint="eastAsia" w:ascii="仿宋" w:hAnsi="仿宋" w:eastAsia="仿宋" w:cs="仿宋"/>
          <w:sz w:val="24"/>
        </w:rPr>
        <w:t>3.8进样体积：0.1~50 μL（标配），增量：0.1 μL；可使用扩展定量环最大扩到1000.0μL</w:t>
      </w:r>
    </w:p>
    <w:p w14:paraId="28BBBBF3">
      <w:pPr>
        <w:spacing w:line="360" w:lineRule="auto"/>
        <w:jc w:val="left"/>
        <w:rPr>
          <w:rFonts w:hint="eastAsia" w:ascii="仿宋" w:hAnsi="仿宋" w:eastAsia="仿宋" w:cs="仿宋"/>
          <w:sz w:val="24"/>
        </w:rPr>
      </w:pPr>
      <w:r>
        <w:rPr>
          <w:rFonts w:hint="eastAsia" w:ascii="仿宋" w:hAnsi="仿宋" w:eastAsia="仿宋" w:cs="仿宋"/>
          <w:sz w:val="24"/>
        </w:rPr>
        <w:t>3.9最小样品量需求：3 μL，使用2 mL全回收样品瓶</w:t>
      </w:r>
    </w:p>
    <w:p w14:paraId="30B3D36C">
      <w:pPr>
        <w:spacing w:line="360" w:lineRule="auto"/>
        <w:jc w:val="left"/>
        <w:rPr>
          <w:rFonts w:hint="eastAsia" w:ascii="仿宋" w:hAnsi="仿宋" w:eastAsia="仿宋" w:cs="仿宋"/>
          <w:sz w:val="24"/>
        </w:rPr>
      </w:pPr>
      <w:r>
        <w:rPr>
          <w:rFonts w:hint="eastAsia" w:ascii="仿宋" w:hAnsi="仿宋" w:eastAsia="仿宋" w:cs="仿宋"/>
          <w:sz w:val="24"/>
        </w:rPr>
        <w:t>3.10进样线性度：&gt;0.999</w:t>
      </w:r>
    </w:p>
    <w:p w14:paraId="6630DBEA">
      <w:pPr>
        <w:spacing w:line="360" w:lineRule="auto"/>
        <w:jc w:val="left"/>
        <w:rPr>
          <w:rFonts w:hint="eastAsia" w:ascii="仿宋" w:hAnsi="仿宋" w:eastAsia="仿宋" w:cs="仿宋"/>
          <w:sz w:val="24"/>
        </w:rPr>
      </w:pPr>
      <w:r>
        <w:rPr>
          <w:rFonts w:hint="eastAsia" w:ascii="仿宋" w:hAnsi="仿宋" w:eastAsia="仿宋" w:cs="仿宋"/>
          <w:sz w:val="24"/>
        </w:rPr>
        <w:t>3.1</w:t>
      </w:r>
      <w:r>
        <w:rPr>
          <w:rFonts w:hint="eastAsia" w:ascii="仿宋" w:hAnsi="仿宋" w:eastAsia="仿宋" w:cs="仿宋"/>
          <w:sz w:val="24"/>
          <w:lang w:val="en-US" w:eastAsia="zh-CN"/>
        </w:rPr>
        <w:t>1</w:t>
      </w:r>
      <w:r>
        <w:rPr>
          <w:rFonts w:hint="eastAsia" w:ascii="仿宋" w:hAnsi="仿宋" w:eastAsia="仿宋" w:cs="仿宋"/>
          <w:sz w:val="24"/>
        </w:rPr>
        <w:t>自动进样循环时间：&lt;30 s（进样之间）</w:t>
      </w:r>
    </w:p>
    <w:p w14:paraId="186D4F5B">
      <w:pPr>
        <w:spacing w:line="360" w:lineRule="auto"/>
        <w:jc w:val="left"/>
        <w:rPr>
          <w:rFonts w:hint="eastAsia" w:ascii="仿宋" w:hAnsi="仿宋" w:eastAsia="仿宋" w:cs="仿宋"/>
          <w:sz w:val="24"/>
        </w:rPr>
      </w:pPr>
      <w:r>
        <w:rPr>
          <w:rFonts w:hint="eastAsia" w:ascii="仿宋" w:hAnsi="仿宋" w:eastAsia="仿宋" w:cs="仿宋"/>
          <w:sz w:val="24"/>
        </w:rPr>
        <w:t>3.1</w:t>
      </w:r>
      <w:r>
        <w:rPr>
          <w:rFonts w:hint="eastAsia" w:ascii="仿宋" w:hAnsi="仿宋" w:eastAsia="仿宋" w:cs="仿宋"/>
          <w:sz w:val="24"/>
          <w:lang w:val="en-US" w:eastAsia="zh-CN"/>
        </w:rPr>
        <w:t>2</w:t>
      </w:r>
      <w:r>
        <w:rPr>
          <w:rFonts w:hint="eastAsia" w:ascii="仿宋" w:hAnsi="仿宋" w:eastAsia="仿宋" w:cs="仿宋"/>
          <w:sz w:val="24"/>
        </w:rPr>
        <w:t>样品室温度范围：4℃~40℃，增量：0.1℃</w:t>
      </w:r>
    </w:p>
    <w:p w14:paraId="4C887616">
      <w:pPr>
        <w:spacing w:line="360" w:lineRule="auto"/>
        <w:jc w:val="left"/>
        <w:rPr>
          <w:rFonts w:hint="eastAsia" w:ascii="仿宋" w:hAnsi="仿宋" w:eastAsia="仿宋" w:cs="仿宋"/>
          <w:sz w:val="24"/>
        </w:rPr>
      </w:pPr>
      <w:r>
        <w:rPr>
          <w:rFonts w:hint="eastAsia" w:ascii="仿宋" w:hAnsi="仿宋" w:eastAsia="仿宋" w:cs="仿宋"/>
          <w:sz w:val="24"/>
        </w:rPr>
        <w:t>3.1</w:t>
      </w:r>
      <w:r>
        <w:rPr>
          <w:rFonts w:hint="eastAsia" w:ascii="仿宋" w:hAnsi="仿宋" w:eastAsia="仿宋" w:cs="仿宋"/>
          <w:sz w:val="24"/>
          <w:lang w:val="en-US" w:eastAsia="zh-CN"/>
        </w:rPr>
        <w:t>2</w:t>
      </w:r>
      <w:r>
        <w:rPr>
          <w:rFonts w:hint="eastAsia" w:ascii="仿宋" w:hAnsi="仿宋" w:eastAsia="仿宋" w:cs="仿宋"/>
          <w:sz w:val="24"/>
        </w:rPr>
        <w:t>.1.温度准确度：传感器处为+/- 0.5℃</w:t>
      </w:r>
    </w:p>
    <w:p w14:paraId="6989A0A3">
      <w:pPr>
        <w:spacing w:line="360" w:lineRule="auto"/>
        <w:jc w:val="left"/>
        <w:rPr>
          <w:rFonts w:hint="eastAsia" w:ascii="仿宋" w:hAnsi="仿宋" w:eastAsia="仿宋" w:cs="仿宋"/>
          <w:sz w:val="24"/>
        </w:rPr>
      </w:pPr>
      <w:r>
        <w:rPr>
          <w:rFonts w:hint="eastAsia" w:ascii="仿宋" w:hAnsi="仿宋" w:eastAsia="仿宋" w:cs="仿宋"/>
          <w:sz w:val="24"/>
        </w:rPr>
        <w:t>3.1</w:t>
      </w:r>
      <w:r>
        <w:rPr>
          <w:rFonts w:hint="eastAsia" w:ascii="仿宋" w:hAnsi="仿宋" w:eastAsia="仿宋" w:cs="仿宋"/>
          <w:sz w:val="24"/>
          <w:lang w:val="en-US" w:eastAsia="zh-CN"/>
        </w:rPr>
        <w:t>2</w:t>
      </w:r>
      <w:r>
        <w:rPr>
          <w:rFonts w:hint="eastAsia" w:ascii="仿宋" w:hAnsi="仿宋" w:eastAsia="仿宋" w:cs="仿宋"/>
          <w:sz w:val="24"/>
        </w:rPr>
        <w:t>.2.稳定稳定性：传感器处为+/- 1.0℃</w:t>
      </w:r>
    </w:p>
    <w:p w14:paraId="576CEE8A">
      <w:pPr>
        <w:spacing w:line="360" w:lineRule="auto"/>
        <w:jc w:val="left"/>
        <w:rPr>
          <w:rFonts w:hint="eastAsia" w:ascii="仿宋" w:hAnsi="仿宋" w:eastAsia="仿宋" w:cs="仿宋"/>
          <w:sz w:val="24"/>
        </w:rPr>
      </w:pPr>
      <w:r>
        <w:rPr>
          <w:rFonts w:hint="eastAsia" w:ascii="仿宋" w:hAnsi="仿宋" w:eastAsia="仿宋" w:cs="仿宋"/>
          <w:sz w:val="24"/>
        </w:rPr>
        <w:t>3.1</w:t>
      </w:r>
      <w:r>
        <w:rPr>
          <w:rFonts w:hint="eastAsia" w:ascii="仿宋" w:hAnsi="仿宋" w:eastAsia="仿宋" w:cs="仿宋"/>
          <w:sz w:val="24"/>
          <w:lang w:val="en-US" w:eastAsia="zh-CN"/>
        </w:rPr>
        <w:t>3</w:t>
      </w:r>
      <w:r>
        <w:rPr>
          <w:rFonts w:hint="eastAsia" w:ascii="仿宋" w:hAnsi="仿宋" w:eastAsia="仿宋" w:cs="仿宋"/>
          <w:sz w:val="24"/>
        </w:rPr>
        <w:t>进样次数：每个样品1~99次进样</w:t>
      </w:r>
    </w:p>
    <w:p w14:paraId="2EFC040A">
      <w:pPr>
        <w:spacing w:line="360" w:lineRule="auto"/>
        <w:jc w:val="left"/>
        <w:rPr>
          <w:rFonts w:hint="eastAsia" w:ascii="仿宋" w:hAnsi="仿宋" w:eastAsia="仿宋" w:cs="仿宋"/>
          <w:sz w:val="24"/>
        </w:rPr>
      </w:pPr>
      <w:r>
        <w:rPr>
          <w:rFonts w:hint="eastAsia" w:ascii="仿宋" w:hAnsi="仿宋" w:eastAsia="仿宋" w:cs="仿宋"/>
          <w:sz w:val="24"/>
        </w:rPr>
        <w:t>4.色谱柱管理器</w:t>
      </w:r>
    </w:p>
    <w:p w14:paraId="3A92176D">
      <w:pPr>
        <w:spacing w:line="360" w:lineRule="auto"/>
        <w:jc w:val="left"/>
        <w:rPr>
          <w:rFonts w:hint="eastAsia" w:ascii="仿宋" w:hAnsi="仿宋" w:eastAsia="仿宋" w:cs="仿宋"/>
          <w:sz w:val="24"/>
        </w:rPr>
      </w:pPr>
      <w:r>
        <w:rPr>
          <w:rFonts w:hint="eastAsia" w:ascii="仿宋" w:hAnsi="仿宋" w:eastAsia="仿宋" w:cs="仿宋"/>
          <w:sz w:val="24"/>
        </w:rPr>
        <w:t>4.1色谱柱容量：最多可容纳3根色谱柱</w:t>
      </w:r>
    </w:p>
    <w:p w14:paraId="1274272B">
      <w:pPr>
        <w:spacing w:line="360" w:lineRule="auto"/>
        <w:jc w:val="left"/>
        <w:rPr>
          <w:rFonts w:hint="eastAsia" w:ascii="仿宋" w:hAnsi="仿宋" w:eastAsia="仿宋" w:cs="仿宋"/>
          <w:sz w:val="24"/>
        </w:rPr>
      </w:pPr>
      <w:r>
        <w:rPr>
          <w:rFonts w:hint="eastAsia" w:ascii="仿宋" w:hAnsi="仿宋" w:eastAsia="仿宋" w:cs="仿宋"/>
          <w:sz w:val="24"/>
        </w:rPr>
        <w:t>4.2温度范围：20.0℃（或者高于环境温度5.0℃，取大值）~65.0℃</w:t>
      </w:r>
    </w:p>
    <w:p w14:paraId="699E4CD0">
      <w:pPr>
        <w:spacing w:line="360" w:lineRule="auto"/>
        <w:jc w:val="left"/>
        <w:rPr>
          <w:rFonts w:hint="eastAsia" w:ascii="仿宋" w:hAnsi="仿宋" w:eastAsia="仿宋" w:cs="仿宋"/>
          <w:sz w:val="24"/>
        </w:rPr>
      </w:pPr>
      <w:r>
        <w:rPr>
          <w:rFonts w:hint="eastAsia" w:ascii="仿宋" w:hAnsi="仿宋" w:eastAsia="仿宋" w:cs="仿宋"/>
          <w:sz w:val="24"/>
        </w:rPr>
        <w:t>4.3加热模式：空气循环</w:t>
      </w:r>
    </w:p>
    <w:p w14:paraId="6D014845">
      <w:pPr>
        <w:spacing w:line="360" w:lineRule="auto"/>
        <w:jc w:val="left"/>
        <w:rPr>
          <w:rFonts w:hint="eastAsia" w:ascii="仿宋" w:hAnsi="仿宋" w:eastAsia="仿宋" w:cs="仿宋"/>
          <w:sz w:val="24"/>
        </w:rPr>
      </w:pPr>
      <w:r>
        <w:rPr>
          <w:rFonts w:hint="eastAsia" w:ascii="仿宋" w:hAnsi="仿宋" w:eastAsia="仿宋" w:cs="仿宋"/>
          <w:sz w:val="24"/>
        </w:rPr>
        <w:t>4.4溶剂平衡：主动预加热</w:t>
      </w:r>
    </w:p>
    <w:p w14:paraId="589AFF48">
      <w:pPr>
        <w:spacing w:line="360" w:lineRule="auto"/>
        <w:jc w:val="left"/>
        <w:rPr>
          <w:rFonts w:hint="eastAsia" w:ascii="仿宋" w:hAnsi="仿宋" w:eastAsia="仿宋" w:cs="仿宋"/>
          <w:b/>
          <w:bCs/>
          <w:sz w:val="24"/>
        </w:rPr>
      </w:pPr>
      <w:r>
        <w:rPr>
          <w:rFonts w:hint="eastAsia" w:ascii="仿宋" w:hAnsi="仿宋" w:eastAsia="仿宋" w:cs="仿宋"/>
          <w:b/>
          <w:bCs/>
          <w:sz w:val="24"/>
        </w:rPr>
        <w:t>★4.5系统必须配有智能芯片信息记录技术，记录色谱柱使用情况。信息类型为18项（内容包括色谱柱测试报告及填料特性、50个样品组、使用过程中最小最大柱压力、温度、操作者、进样次数等信息）</w:t>
      </w:r>
    </w:p>
    <w:p w14:paraId="5D64AFEE">
      <w:pPr>
        <w:spacing w:line="360" w:lineRule="auto"/>
        <w:jc w:val="left"/>
        <w:rPr>
          <w:rFonts w:hint="eastAsia" w:ascii="仿宋" w:hAnsi="仿宋" w:eastAsia="仿宋" w:cs="仿宋"/>
          <w:sz w:val="24"/>
        </w:rPr>
      </w:pPr>
      <w:r>
        <w:rPr>
          <w:rFonts w:hint="eastAsia" w:ascii="仿宋" w:hAnsi="仿宋" w:eastAsia="仿宋" w:cs="仿宋"/>
          <w:sz w:val="24"/>
        </w:rPr>
        <w:t>5. 二极管阵列检测器</w:t>
      </w:r>
    </w:p>
    <w:p w14:paraId="7AA085EC">
      <w:pPr>
        <w:spacing w:line="360" w:lineRule="auto"/>
        <w:jc w:val="left"/>
        <w:rPr>
          <w:rFonts w:hint="eastAsia" w:ascii="仿宋" w:hAnsi="仿宋" w:eastAsia="仿宋" w:cs="仿宋"/>
          <w:b/>
          <w:bCs/>
          <w:sz w:val="24"/>
        </w:rPr>
      </w:pPr>
      <w:r>
        <w:rPr>
          <w:rFonts w:hint="eastAsia" w:ascii="仿宋" w:hAnsi="仿宋" w:eastAsia="仿宋" w:cs="仿宋"/>
          <w:b/>
          <w:bCs/>
          <w:sz w:val="24"/>
        </w:rPr>
        <w:t>★5.1波长范围：190~800 nm</w:t>
      </w:r>
    </w:p>
    <w:p w14:paraId="21DD53AE">
      <w:pPr>
        <w:spacing w:line="360" w:lineRule="auto"/>
        <w:jc w:val="left"/>
        <w:rPr>
          <w:rFonts w:hint="eastAsia" w:ascii="仿宋" w:hAnsi="仿宋" w:eastAsia="仿宋" w:cs="仿宋"/>
          <w:sz w:val="24"/>
        </w:rPr>
      </w:pPr>
      <w:r>
        <w:rPr>
          <w:rFonts w:hint="eastAsia" w:ascii="仿宋" w:hAnsi="仿宋" w:eastAsia="仿宋" w:cs="仿宋"/>
          <w:sz w:val="24"/>
        </w:rPr>
        <w:t xml:space="preserve">5.2波长准确度：±1 nm </w:t>
      </w:r>
    </w:p>
    <w:p w14:paraId="54ADAE7D">
      <w:pPr>
        <w:spacing w:line="360" w:lineRule="auto"/>
        <w:jc w:val="left"/>
        <w:rPr>
          <w:rFonts w:hint="eastAsia" w:ascii="仿宋" w:hAnsi="仿宋" w:eastAsia="仿宋" w:cs="仿宋"/>
          <w:sz w:val="24"/>
        </w:rPr>
      </w:pPr>
      <w:r>
        <w:rPr>
          <w:rFonts w:hint="eastAsia" w:ascii="仿宋" w:hAnsi="仿宋" w:eastAsia="仿宋" w:cs="仿宋"/>
          <w:sz w:val="24"/>
        </w:rPr>
        <w:t>5.3带宽：1.2 nm</w:t>
      </w:r>
    </w:p>
    <w:p w14:paraId="7FB86B74">
      <w:pPr>
        <w:spacing w:line="360" w:lineRule="auto"/>
        <w:jc w:val="left"/>
        <w:rPr>
          <w:rFonts w:hint="eastAsia" w:ascii="仿宋" w:hAnsi="仿宋" w:eastAsia="仿宋" w:cs="仿宋"/>
          <w:sz w:val="24"/>
        </w:rPr>
      </w:pPr>
      <w:r>
        <w:rPr>
          <w:rFonts w:hint="eastAsia" w:ascii="仿宋" w:hAnsi="仿宋" w:eastAsia="仿宋" w:cs="仿宋"/>
          <w:sz w:val="24"/>
        </w:rPr>
        <w:t>5.4二极管数：≤512</w:t>
      </w:r>
    </w:p>
    <w:p w14:paraId="7B2CB358">
      <w:pPr>
        <w:spacing w:line="360" w:lineRule="auto"/>
        <w:jc w:val="left"/>
        <w:rPr>
          <w:rFonts w:hint="eastAsia" w:ascii="仿宋" w:hAnsi="仿宋" w:eastAsia="仿宋" w:cs="仿宋"/>
          <w:sz w:val="24"/>
        </w:rPr>
      </w:pPr>
      <w:r>
        <w:rPr>
          <w:rFonts w:hint="eastAsia" w:ascii="仿宋" w:hAnsi="仿宋" w:eastAsia="仿宋" w:cs="仿宋"/>
          <w:sz w:val="24"/>
        </w:rPr>
        <w:t>5.5数字分辨率：1.2 nm/像素</w:t>
      </w:r>
    </w:p>
    <w:p w14:paraId="08855113">
      <w:pPr>
        <w:spacing w:line="360" w:lineRule="auto"/>
        <w:jc w:val="left"/>
        <w:rPr>
          <w:rFonts w:hint="eastAsia" w:ascii="仿宋" w:hAnsi="仿宋" w:eastAsia="仿宋" w:cs="仿宋"/>
          <w:sz w:val="24"/>
        </w:rPr>
      </w:pPr>
      <w:r>
        <w:rPr>
          <w:rFonts w:hint="eastAsia" w:ascii="仿宋" w:hAnsi="仿宋" w:eastAsia="仿宋" w:cs="仿宋"/>
          <w:sz w:val="24"/>
        </w:rPr>
        <w:t>5.6采样频率：80 Hz</w:t>
      </w:r>
    </w:p>
    <w:p w14:paraId="5F3BEC79">
      <w:pPr>
        <w:spacing w:line="360" w:lineRule="auto"/>
        <w:jc w:val="left"/>
        <w:rPr>
          <w:rFonts w:hint="eastAsia" w:ascii="仿宋" w:hAnsi="仿宋" w:eastAsia="仿宋" w:cs="仿宋"/>
          <w:sz w:val="24"/>
        </w:rPr>
      </w:pPr>
      <w:r>
        <w:rPr>
          <w:rFonts w:hint="eastAsia" w:ascii="仿宋" w:hAnsi="仿宋" w:eastAsia="仿宋" w:cs="仿宋"/>
          <w:sz w:val="24"/>
        </w:rPr>
        <w:t>5.7基线噪音：≤10.0×10</w:t>
      </w:r>
      <w:r>
        <w:rPr>
          <w:rFonts w:hint="eastAsia" w:ascii="仿宋" w:hAnsi="仿宋" w:eastAsia="仿宋" w:cs="仿宋"/>
          <w:sz w:val="24"/>
          <w:vertAlign w:val="superscript"/>
        </w:rPr>
        <w:t>-6</w:t>
      </w:r>
      <w:r>
        <w:rPr>
          <w:rFonts w:hint="eastAsia" w:ascii="仿宋" w:hAnsi="仿宋" w:eastAsia="仿宋" w:cs="仿宋"/>
          <w:sz w:val="24"/>
        </w:rPr>
        <w:t xml:space="preserve"> AU</w:t>
      </w:r>
    </w:p>
    <w:p w14:paraId="00E3BDEF">
      <w:pPr>
        <w:spacing w:line="360" w:lineRule="auto"/>
        <w:jc w:val="left"/>
        <w:rPr>
          <w:rFonts w:hint="eastAsia" w:ascii="仿宋" w:hAnsi="仿宋" w:eastAsia="仿宋" w:cs="仿宋"/>
          <w:sz w:val="24"/>
        </w:rPr>
      </w:pPr>
      <w:r>
        <w:rPr>
          <w:rFonts w:hint="eastAsia" w:ascii="仿宋" w:hAnsi="仿宋" w:eastAsia="仿宋" w:cs="仿宋"/>
          <w:sz w:val="24"/>
        </w:rPr>
        <w:t>5.8漂移: ≤1.0×10</w:t>
      </w:r>
      <w:r>
        <w:rPr>
          <w:rFonts w:hint="eastAsia" w:ascii="仿宋" w:hAnsi="仿宋" w:eastAsia="仿宋" w:cs="仿宋"/>
          <w:sz w:val="24"/>
          <w:vertAlign w:val="superscript"/>
        </w:rPr>
        <w:t>-3</w:t>
      </w:r>
      <w:r>
        <w:rPr>
          <w:rFonts w:hint="eastAsia" w:ascii="仿宋" w:hAnsi="仿宋" w:eastAsia="仿宋" w:cs="仿宋"/>
          <w:sz w:val="24"/>
        </w:rPr>
        <w:t xml:space="preserve"> AU/hr</w:t>
      </w:r>
    </w:p>
    <w:p w14:paraId="78D719DF">
      <w:pPr>
        <w:spacing w:line="360" w:lineRule="auto"/>
        <w:jc w:val="left"/>
        <w:rPr>
          <w:rFonts w:hint="eastAsia" w:ascii="仿宋" w:hAnsi="仿宋" w:eastAsia="仿宋" w:cs="仿宋"/>
          <w:sz w:val="24"/>
        </w:rPr>
      </w:pPr>
      <w:r>
        <w:rPr>
          <w:rFonts w:hint="eastAsia" w:ascii="仿宋" w:hAnsi="仿宋" w:eastAsia="仿宋" w:cs="仿宋"/>
          <w:sz w:val="24"/>
        </w:rPr>
        <w:t>5.9线性范围：≤ 5% （2.5 AU），对羟基苯甲酸丙酯，257 nm</w:t>
      </w:r>
    </w:p>
    <w:p w14:paraId="6E2F7717">
      <w:pPr>
        <w:spacing w:line="360" w:lineRule="auto"/>
        <w:jc w:val="left"/>
        <w:rPr>
          <w:rFonts w:hint="eastAsia" w:ascii="仿宋" w:hAnsi="仿宋" w:eastAsia="仿宋" w:cs="仿宋"/>
          <w:sz w:val="24"/>
        </w:rPr>
      </w:pPr>
      <w:r>
        <w:rPr>
          <w:rFonts w:hint="eastAsia" w:ascii="仿宋" w:hAnsi="仿宋" w:eastAsia="仿宋" w:cs="仿宋"/>
          <w:sz w:val="24"/>
        </w:rPr>
        <w:t>5.10吸收范围：0.0001~4.0000 AU</w:t>
      </w:r>
    </w:p>
    <w:p w14:paraId="3B2ECD9B">
      <w:pPr>
        <w:spacing w:line="360" w:lineRule="auto"/>
        <w:jc w:val="left"/>
        <w:rPr>
          <w:rFonts w:hint="eastAsia" w:ascii="仿宋" w:hAnsi="仿宋" w:eastAsia="仿宋" w:cs="仿宋"/>
          <w:b/>
          <w:bCs/>
          <w:sz w:val="24"/>
        </w:rPr>
      </w:pPr>
      <w:r>
        <w:rPr>
          <w:rFonts w:hint="eastAsia" w:ascii="仿宋" w:hAnsi="仿宋" w:eastAsia="仿宋" w:cs="仿宋"/>
          <w:b/>
          <w:bCs/>
          <w:sz w:val="24"/>
        </w:rPr>
        <w:t>★5.11单一光源：氘灯</w:t>
      </w:r>
    </w:p>
    <w:p w14:paraId="6459F82A">
      <w:pPr>
        <w:spacing w:line="360" w:lineRule="auto"/>
        <w:jc w:val="left"/>
        <w:rPr>
          <w:rFonts w:hint="eastAsia" w:ascii="仿宋" w:hAnsi="仿宋" w:eastAsia="仿宋" w:cs="仿宋"/>
          <w:sz w:val="24"/>
        </w:rPr>
      </w:pPr>
      <w:r>
        <w:rPr>
          <w:rFonts w:hint="eastAsia" w:ascii="仿宋" w:hAnsi="仿宋" w:eastAsia="仿宋" w:cs="仿宋"/>
          <w:sz w:val="24"/>
        </w:rPr>
        <w:t>5.12内置灯优化软件：减少可见光波长噪音，补偿等损耗能量</w:t>
      </w:r>
    </w:p>
    <w:p w14:paraId="2AFE90D8">
      <w:pPr>
        <w:spacing w:line="360" w:lineRule="auto"/>
        <w:jc w:val="left"/>
        <w:rPr>
          <w:rFonts w:hint="eastAsia" w:ascii="仿宋" w:hAnsi="仿宋" w:eastAsia="仿宋" w:cs="仿宋"/>
          <w:b/>
          <w:bCs/>
          <w:sz w:val="24"/>
        </w:rPr>
      </w:pPr>
      <w:r>
        <w:rPr>
          <w:rFonts w:hint="eastAsia" w:ascii="仿宋" w:hAnsi="仿宋" w:eastAsia="仿宋" w:cs="仿宋"/>
          <w:b/>
          <w:bCs/>
          <w:sz w:val="24"/>
        </w:rPr>
        <w:t>★5.13流通池：梯形狭缝池，消除示差折光效应</w:t>
      </w:r>
    </w:p>
    <w:p w14:paraId="41C86292">
      <w:pPr>
        <w:spacing w:line="360" w:lineRule="auto"/>
        <w:jc w:val="left"/>
        <w:rPr>
          <w:rFonts w:hint="eastAsia" w:ascii="仿宋" w:hAnsi="仿宋" w:eastAsia="仿宋" w:cs="仿宋"/>
          <w:sz w:val="24"/>
        </w:rPr>
      </w:pPr>
      <w:r>
        <w:rPr>
          <w:rFonts w:hint="eastAsia" w:ascii="仿宋" w:hAnsi="仿宋" w:eastAsia="仿宋" w:cs="仿宋"/>
          <w:sz w:val="24"/>
        </w:rPr>
        <w:t>5.14池长：10 mm（分析池）（±10%）；池体积：8.4 μL（分析池）（±10%）</w:t>
      </w:r>
    </w:p>
    <w:p w14:paraId="25900530">
      <w:pPr>
        <w:spacing w:line="360" w:lineRule="auto"/>
        <w:jc w:val="left"/>
        <w:rPr>
          <w:rFonts w:hint="eastAsia" w:ascii="仿宋" w:hAnsi="仿宋" w:eastAsia="仿宋" w:cs="仿宋"/>
          <w:sz w:val="24"/>
        </w:rPr>
      </w:pPr>
      <w:r>
        <w:rPr>
          <w:rFonts w:hint="eastAsia" w:ascii="仿宋" w:hAnsi="仿宋" w:eastAsia="仿宋" w:cs="仿宋"/>
          <w:sz w:val="24"/>
        </w:rPr>
        <w:t>5.15流通池耐压：1000 psi（分析池）（±10%）</w:t>
      </w:r>
    </w:p>
    <w:p w14:paraId="507478FB">
      <w:pPr>
        <w:spacing w:line="360" w:lineRule="auto"/>
        <w:jc w:val="left"/>
        <w:rPr>
          <w:rFonts w:hint="eastAsia" w:ascii="仿宋" w:hAnsi="仿宋" w:eastAsia="仿宋" w:cs="仿宋"/>
          <w:sz w:val="24"/>
        </w:rPr>
      </w:pPr>
      <w:r>
        <w:rPr>
          <w:rFonts w:hint="eastAsia" w:ascii="仿宋" w:hAnsi="仿宋" w:eastAsia="仿宋" w:cs="仿宋"/>
          <w:sz w:val="24"/>
        </w:rPr>
        <w:t>5.16固定狭缝：保持良好线性和光谱分辨率，简化操作</w:t>
      </w:r>
    </w:p>
    <w:p w14:paraId="38678FFB">
      <w:pPr>
        <w:spacing w:line="360" w:lineRule="auto"/>
        <w:jc w:val="left"/>
        <w:rPr>
          <w:rFonts w:hint="eastAsia" w:ascii="仿宋" w:hAnsi="仿宋" w:eastAsia="仿宋" w:cs="仿宋"/>
          <w:sz w:val="24"/>
        </w:rPr>
      </w:pPr>
      <w:r>
        <w:rPr>
          <w:rFonts w:hint="eastAsia" w:ascii="仿宋" w:hAnsi="仿宋" w:eastAsia="仿宋" w:cs="仿宋"/>
          <w:sz w:val="24"/>
        </w:rPr>
        <w:t>5.17可将所有组分的最大吸收波长值整合成一张色谱图，无需逐个设置波长来寻找每个组分的最大吸收波长值</w:t>
      </w:r>
    </w:p>
    <w:p w14:paraId="0ADAF2F6">
      <w:pPr>
        <w:spacing w:line="360" w:lineRule="auto"/>
        <w:jc w:val="left"/>
        <w:rPr>
          <w:rFonts w:hint="eastAsia" w:ascii="仿宋" w:hAnsi="仿宋" w:eastAsia="仿宋" w:cs="仿宋"/>
          <w:sz w:val="24"/>
        </w:rPr>
      </w:pPr>
      <w:r>
        <w:rPr>
          <w:rFonts w:hint="eastAsia" w:ascii="仿宋" w:hAnsi="仿宋" w:eastAsia="仿宋" w:cs="仿宋"/>
          <w:sz w:val="24"/>
        </w:rPr>
        <w:t>5.18具备建立标准物质光谱库功能</w:t>
      </w:r>
    </w:p>
    <w:p w14:paraId="5440B349">
      <w:pPr>
        <w:spacing w:line="360" w:lineRule="auto"/>
        <w:jc w:val="left"/>
        <w:rPr>
          <w:rFonts w:hint="eastAsia" w:ascii="仿宋" w:hAnsi="仿宋" w:eastAsia="仿宋" w:cs="仿宋"/>
          <w:sz w:val="24"/>
        </w:rPr>
      </w:pPr>
      <w:r>
        <w:rPr>
          <w:rFonts w:hint="eastAsia" w:ascii="仿宋" w:hAnsi="仿宋" w:eastAsia="仿宋" w:cs="仿宋"/>
          <w:sz w:val="24"/>
        </w:rPr>
        <w:t>6. 色谱数据管理系统</w:t>
      </w:r>
    </w:p>
    <w:p w14:paraId="116961E9">
      <w:pPr>
        <w:spacing w:line="360" w:lineRule="auto"/>
        <w:jc w:val="left"/>
        <w:rPr>
          <w:rFonts w:hint="eastAsia" w:ascii="仿宋" w:hAnsi="仿宋" w:eastAsia="仿宋" w:cs="仿宋"/>
          <w:sz w:val="24"/>
        </w:rPr>
      </w:pPr>
      <w:r>
        <w:rPr>
          <w:rFonts w:hint="eastAsia" w:ascii="仿宋" w:hAnsi="仿宋" w:eastAsia="仿宋" w:cs="仿宋"/>
          <w:sz w:val="24"/>
        </w:rPr>
        <w:t>6.1是在最新参照或相当于Windows 10，64中文版操作系统下编写和测试。</w:t>
      </w:r>
    </w:p>
    <w:p w14:paraId="0EB48D5C">
      <w:pPr>
        <w:spacing w:line="360" w:lineRule="auto"/>
        <w:jc w:val="left"/>
        <w:rPr>
          <w:rFonts w:hint="eastAsia" w:ascii="仿宋" w:hAnsi="仿宋" w:eastAsia="仿宋" w:cs="仿宋"/>
          <w:sz w:val="24"/>
        </w:rPr>
      </w:pPr>
      <w:r>
        <w:rPr>
          <w:rFonts w:hint="eastAsia" w:ascii="仿宋" w:hAnsi="仿宋" w:eastAsia="仿宋" w:cs="仿宋"/>
          <w:sz w:val="24"/>
        </w:rPr>
        <w:t>6.2原厂源代码级全中文版，其中包括在线帮助采用简体中文。</w:t>
      </w:r>
    </w:p>
    <w:p w14:paraId="780041FA">
      <w:pPr>
        <w:spacing w:line="360" w:lineRule="auto"/>
        <w:jc w:val="left"/>
        <w:rPr>
          <w:rFonts w:hint="eastAsia" w:ascii="仿宋" w:hAnsi="仿宋" w:eastAsia="仿宋" w:cs="仿宋"/>
          <w:sz w:val="24"/>
        </w:rPr>
      </w:pPr>
      <w:r>
        <w:rPr>
          <w:rFonts w:hint="eastAsia" w:ascii="仿宋" w:hAnsi="仿宋" w:eastAsia="仿宋" w:cs="仿宋"/>
          <w:sz w:val="24"/>
        </w:rPr>
        <w:t>6.3内置ORACLE 数据库。</w:t>
      </w:r>
    </w:p>
    <w:p w14:paraId="4B749D46">
      <w:pPr>
        <w:spacing w:line="360" w:lineRule="auto"/>
        <w:jc w:val="left"/>
        <w:rPr>
          <w:rFonts w:hint="eastAsia" w:ascii="仿宋" w:hAnsi="仿宋" w:eastAsia="仿宋" w:cs="仿宋"/>
          <w:sz w:val="24"/>
        </w:rPr>
      </w:pPr>
      <w:r>
        <w:rPr>
          <w:rFonts w:hint="eastAsia" w:ascii="仿宋" w:hAnsi="仿宋" w:eastAsia="仿宋" w:cs="仿宋"/>
          <w:sz w:val="24"/>
        </w:rPr>
        <w:t>6.4登录时输入用户名和密码，每个使用者可以使用各自的用户名，密码和权限，相互之间的数据互相独立，互不干扰。</w:t>
      </w:r>
    </w:p>
    <w:p w14:paraId="6C199008">
      <w:pPr>
        <w:spacing w:line="360" w:lineRule="auto"/>
        <w:jc w:val="left"/>
        <w:rPr>
          <w:rFonts w:hint="eastAsia" w:ascii="仿宋" w:hAnsi="仿宋" w:eastAsia="仿宋" w:cs="仿宋"/>
          <w:sz w:val="24"/>
        </w:rPr>
      </w:pPr>
      <w:r>
        <w:rPr>
          <w:rFonts w:hint="eastAsia" w:ascii="仿宋" w:hAnsi="仿宋" w:eastAsia="仿宋" w:cs="仿宋"/>
          <w:sz w:val="24"/>
        </w:rPr>
        <w:t>6.5操作向导模式和在线帮助功能：只需按照指南要求进行操作即可执行相应的功能。</w:t>
      </w:r>
    </w:p>
    <w:p w14:paraId="192125D0">
      <w:pPr>
        <w:spacing w:line="360" w:lineRule="auto"/>
        <w:jc w:val="left"/>
        <w:rPr>
          <w:rFonts w:hint="eastAsia" w:ascii="仿宋" w:hAnsi="仿宋" w:eastAsia="仿宋" w:cs="仿宋"/>
          <w:sz w:val="24"/>
        </w:rPr>
      </w:pPr>
      <w:r>
        <w:rPr>
          <w:rFonts w:hint="eastAsia" w:ascii="仿宋" w:hAnsi="仿宋" w:eastAsia="仿宋" w:cs="仿宋"/>
          <w:sz w:val="24"/>
        </w:rPr>
        <w:t>6.6具有数据安全性：符合《药品生产质量管理规范》的要求，具有电子记录，电子签名之功能。具有分配用户使用权限之功能。</w:t>
      </w:r>
    </w:p>
    <w:p w14:paraId="3C918141">
      <w:pPr>
        <w:spacing w:line="360" w:lineRule="auto"/>
        <w:jc w:val="left"/>
        <w:rPr>
          <w:rFonts w:hint="eastAsia" w:ascii="仿宋" w:hAnsi="仿宋" w:eastAsia="仿宋" w:cs="仿宋"/>
          <w:sz w:val="24"/>
        </w:rPr>
      </w:pPr>
      <w:r>
        <w:rPr>
          <w:rFonts w:hint="eastAsia" w:ascii="仿宋" w:hAnsi="仿宋" w:eastAsia="仿宋" w:cs="仿宋"/>
          <w:sz w:val="24"/>
        </w:rPr>
        <w:t>6.7≥16种校正拟合定量计算方式，适应不同分析及不同检测器应用。</w:t>
      </w:r>
    </w:p>
    <w:p w14:paraId="53115192">
      <w:pPr>
        <w:spacing w:line="360" w:lineRule="auto"/>
        <w:jc w:val="left"/>
        <w:rPr>
          <w:rFonts w:hint="eastAsia" w:ascii="仿宋" w:hAnsi="仿宋" w:eastAsia="仿宋" w:cs="仿宋"/>
          <w:sz w:val="24"/>
        </w:rPr>
      </w:pPr>
      <w:r>
        <w:rPr>
          <w:rFonts w:hint="eastAsia" w:ascii="仿宋" w:hAnsi="仿宋" w:eastAsia="仿宋" w:cs="仿宋"/>
          <w:sz w:val="24"/>
        </w:rPr>
        <w:t>6.8≥10种数据检索模式，适应大量数据管理和检索。</w:t>
      </w:r>
    </w:p>
    <w:p w14:paraId="009519B0">
      <w:pPr>
        <w:spacing w:line="360" w:lineRule="auto"/>
        <w:jc w:val="left"/>
        <w:rPr>
          <w:rFonts w:hint="eastAsia" w:ascii="仿宋" w:hAnsi="仿宋" w:eastAsia="仿宋" w:cs="仿宋"/>
          <w:sz w:val="24"/>
        </w:rPr>
      </w:pPr>
      <w:r>
        <w:rPr>
          <w:rFonts w:hint="eastAsia" w:ascii="仿宋" w:hAnsi="仿宋" w:eastAsia="仿宋" w:cs="仿宋"/>
          <w:sz w:val="24"/>
        </w:rPr>
        <w:t>6.9报告格式的编辑和排版：结果可以有单个报告和综合报告。</w:t>
      </w:r>
    </w:p>
    <w:p w14:paraId="4C5A0850">
      <w:pPr>
        <w:spacing w:line="360" w:lineRule="auto"/>
        <w:jc w:val="left"/>
        <w:rPr>
          <w:rFonts w:hint="eastAsia" w:ascii="仿宋" w:hAnsi="仿宋" w:eastAsia="仿宋" w:cs="仿宋"/>
          <w:sz w:val="24"/>
        </w:rPr>
      </w:pPr>
      <w:r>
        <w:rPr>
          <w:rFonts w:hint="eastAsia" w:ascii="仿宋" w:hAnsi="仿宋" w:eastAsia="仿宋" w:cs="仿宋"/>
          <w:sz w:val="24"/>
        </w:rPr>
        <w:t>6.10原始数据和结果可通过多种方式输出到其它软件中（如Excel）。</w:t>
      </w:r>
    </w:p>
    <w:p w14:paraId="678ED7E1">
      <w:pPr>
        <w:spacing w:line="360" w:lineRule="auto"/>
        <w:jc w:val="left"/>
        <w:rPr>
          <w:rFonts w:hint="eastAsia" w:ascii="仿宋" w:hAnsi="仿宋" w:eastAsia="仿宋" w:cs="仿宋"/>
          <w:sz w:val="24"/>
        </w:rPr>
      </w:pPr>
      <w:r>
        <w:rPr>
          <w:rFonts w:hint="eastAsia" w:ascii="仿宋" w:hAnsi="仿宋" w:eastAsia="仿宋" w:cs="仿宋"/>
          <w:sz w:val="24"/>
        </w:rPr>
        <w:t>6.11带有系统适用性软件，可以计算美国药典（USP）、欧洲药典（EP）和日本药典（JP）的柱效、拖尾因子、分离度等色谱适用性参数。</w:t>
      </w:r>
    </w:p>
    <w:p w14:paraId="4FB706D6">
      <w:pPr>
        <w:spacing w:line="360" w:lineRule="auto"/>
        <w:jc w:val="left"/>
        <w:rPr>
          <w:rFonts w:hint="eastAsia" w:ascii="仿宋" w:hAnsi="仿宋" w:eastAsia="仿宋" w:cs="仿宋"/>
          <w:sz w:val="24"/>
        </w:rPr>
      </w:pPr>
      <w:r>
        <w:rPr>
          <w:rFonts w:hint="eastAsia" w:ascii="仿宋" w:hAnsi="仿宋" w:eastAsia="仿宋" w:cs="仿宋"/>
          <w:sz w:val="24"/>
        </w:rPr>
        <w:t>6.12用溶剂角及噪音角计算色谱峰一致性，对色谱峰进行纯度分析以判断是否有共流出物。</w:t>
      </w:r>
    </w:p>
    <w:p w14:paraId="5A8265C6">
      <w:pPr>
        <w:spacing w:line="360" w:lineRule="auto"/>
        <w:jc w:val="left"/>
        <w:rPr>
          <w:rFonts w:hint="eastAsia" w:ascii="仿宋" w:hAnsi="仿宋" w:eastAsia="仿宋" w:cs="仿宋"/>
          <w:sz w:val="24"/>
        </w:rPr>
      </w:pPr>
      <w:r>
        <w:rPr>
          <w:rFonts w:hint="eastAsia" w:ascii="仿宋" w:hAnsi="仿宋" w:eastAsia="仿宋" w:cs="仿宋"/>
          <w:sz w:val="24"/>
        </w:rPr>
        <w:t>6.13用户可自定义样品信息和编辑计算公式实现特殊的计算：样品信息类型 ≥6；数据类型≥6。</w:t>
      </w:r>
    </w:p>
    <w:p w14:paraId="3D7F7F7C">
      <w:pPr>
        <w:spacing w:line="360" w:lineRule="auto"/>
        <w:jc w:val="left"/>
        <w:rPr>
          <w:rFonts w:hint="eastAsia" w:ascii="仿宋" w:hAnsi="仿宋" w:eastAsia="仿宋" w:cs="仿宋"/>
          <w:sz w:val="24"/>
        </w:rPr>
      </w:pPr>
      <w:r>
        <w:rPr>
          <w:rFonts w:hint="eastAsia" w:ascii="仿宋" w:hAnsi="仿宋" w:eastAsia="仿宋" w:cs="仿宋"/>
          <w:sz w:val="24"/>
        </w:rPr>
        <w:t>6.14积分模式：传统积分和ApexTrack峰尖寻迹拟和积分，可提供更准确的肩峰、负峰和拖尾峰的积分。</w:t>
      </w:r>
    </w:p>
    <w:p w14:paraId="5CC75C95">
      <w:pPr>
        <w:widowControl/>
        <w:spacing w:line="360" w:lineRule="auto"/>
      </w:pPr>
    </w:p>
    <w:p w14:paraId="75D4255E">
      <w:pPr>
        <w:spacing w:line="360" w:lineRule="auto"/>
        <w:jc w:val="center"/>
        <w:rPr>
          <w:rFonts w:hint="eastAsia" w:ascii="仿宋" w:hAnsi="仿宋" w:eastAsia="仿宋" w:cs="仿宋"/>
          <w:sz w:val="24"/>
        </w:rPr>
      </w:pPr>
      <w:r>
        <w:rPr>
          <w:rFonts w:hint="eastAsia" w:ascii="仿宋" w:hAnsi="仿宋" w:eastAsia="仿宋" w:cs="仿宋"/>
          <w:b/>
          <w:bCs/>
          <w:sz w:val="24"/>
        </w:rPr>
        <w:t>产品2 高压制备液相系统</w:t>
      </w:r>
    </w:p>
    <w:p w14:paraId="05C1CA6F">
      <w:pPr>
        <w:spacing w:line="360" w:lineRule="auto"/>
        <w:jc w:val="left"/>
        <w:rPr>
          <w:rFonts w:hint="eastAsia" w:ascii="仿宋" w:hAnsi="仿宋" w:eastAsia="仿宋" w:cs="仿宋"/>
          <w:sz w:val="24"/>
        </w:rPr>
      </w:pPr>
      <w:r>
        <w:rPr>
          <w:rFonts w:hint="eastAsia" w:ascii="仿宋" w:hAnsi="仿宋" w:eastAsia="仿宋" w:cs="仿宋"/>
          <w:sz w:val="24"/>
        </w:rPr>
        <w:t>1.主要用途与要求</w:t>
      </w:r>
    </w:p>
    <w:p w14:paraId="681009B2">
      <w:pPr>
        <w:spacing w:line="360" w:lineRule="auto"/>
        <w:jc w:val="left"/>
        <w:rPr>
          <w:rFonts w:hint="eastAsia" w:ascii="仿宋" w:hAnsi="仿宋" w:eastAsia="仿宋" w:cs="仿宋"/>
          <w:sz w:val="24"/>
        </w:rPr>
      </w:pPr>
      <w:r>
        <w:rPr>
          <w:rFonts w:hint="eastAsia" w:ascii="仿宋" w:hAnsi="仿宋" w:eastAsia="仿宋" w:cs="仿宋"/>
          <w:sz w:val="24"/>
        </w:rPr>
        <w:t>对天然产物等复杂混合物进行快速制备分离纯化，可自动进样，自动进行样品纯化和紫外引导的馏分收集。实现对少量样品到更高通量样品的纯化，能提供全自动化和更高水平的特异性与纯度。</w:t>
      </w:r>
    </w:p>
    <w:p w14:paraId="383C4BBF">
      <w:pPr>
        <w:spacing w:line="360" w:lineRule="auto"/>
        <w:jc w:val="left"/>
        <w:rPr>
          <w:rFonts w:hint="eastAsia" w:ascii="仿宋" w:hAnsi="仿宋" w:eastAsia="仿宋" w:cs="仿宋"/>
          <w:sz w:val="24"/>
        </w:rPr>
      </w:pPr>
      <w:r>
        <w:rPr>
          <w:rFonts w:hint="eastAsia" w:ascii="仿宋" w:hAnsi="仿宋" w:eastAsia="仿宋" w:cs="仿宋"/>
          <w:sz w:val="24"/>
        </w:rPr>
        <w:t>2.全自动进样系统</w:t>
      </w:r>
    </w:p>
    <w:p w14:paraId="70BDC1AA">
      <w:pPr>
        <w:spacing w:line="360" w:lineRule="auto"/>
        <w:jc w:val="left"/>
        <w:rPr>
          <w:rFonts w:hint="eastAsia" w:ascii="仿宋" w:hAnsi="仿宋" w:eastAsia="仿宋" w:cs="仿宋"/>
          <w:sz w:val="24"/>
        </w:rPr>
      </w:pPr>
      <w:r>
        <w:rPr>
          <w:rFonts w:hint="eastAsia" w:ascii="仿宋" w:hAnsi="仿宋" w:eastAsia="仿宋" w:cs="仿宋"/>
          <w:sz w:val="24"/>
        </w:rPr>
        <w:t>2.1定量环体积： 100μL（标配），制备的10 mL定量环</w:t>
      </w:r>
    </w:p>
    <w:p w14:paraId="23190F26">
      <w:pPr>
        <w:spacing w:line="360" w:lineRule="auto"/>
        <w:jc w:val="left"/>
        <w:rPr>
          <w:rFonts w:hint="eastAsia" w:ascii="仿宋" w:hAnsi="仿宋" w:eastAsia="仿宋" w:cs="仿宋"/>
          <w:sz w:val="24"/>
        </w:rPr>
      </w:pPr>
      <w:r>
        <w:rPr>
          <w:rFonts w:hint="eastAsia" w:ascii="仿宋" w:hAnsi="仿宋" w:eastAsia="仿宋" w:cs="仿宋"/>
          <w:sz w:val="24"/>
        </w:rPr>
        <w:t>2.2注射器体积：500 uL</w:t>
      </w:r>
    </w:p>
    <w:p w14:paraId="7BB614DE">
      <w:pPr>
        <w:spacing w:line="360" w:lineRule="auto"/>
        <w:jc w:val="left"/>
        <w:rPr>
          <w:rFonts w:hint="eastAsia" w:ascii="仿宋" w:hAnsi="仿宋" w:eastAsia="仿宋" w:cs="仿宋"/>
          <w:sz w:val="24"/>
        </w:rPr>
      </w:pPr>
      <w:r>
        <w:rPr>
          <w:rFonts w:hint="eastAsia" w:ascii="仿宋" w:hAnsi="仿宋" w:eastAsia="仿宋" w:cs="仿宋"/>
          <w:sz w:val="24"/>
        </w:rPr>
        <w:t>2.3进样针：60 uL制备型</w:t>
      </w:r>
    </w:p>
    <w:p w14:paraId="529AFA71">
      <w:pPr>
        <w:spacing w:line="360" w:lineRule="auto"/>
        <w:jc w:val="left"/>
        <w:rPr>
          <w:rFonts w:hint="eastAsia" w:ascii="仿宋" w:hAnsi="仿宋" w:eastAsia="仿宋" w:cs="仿宋"/>
          <w:sz w:val="24"/>
        </w:rPr>
      </w:pPr>
      <w:r>
        <w:rPr>
          <w:rFonts w:hint="eastAsia" w:ascii="仿宋" w:hAnsi="仿宋" w:eastAsia="仿宋" w:cs="仿宋"/>
          <w:sz w:val="24"/>
        </w:rPr>
        <w:t xml:space="preserve">2.4进样体积：0～10,000 μL，增量1 uL </w:t>
      </w:r>
    </w:p>
    <w:p w14:paraId="0EB49D8B">
      <w:pPr>
        <w:spacing w:line="360" w:lineRule="auto"/>
        <w:jc w:val="left"/>
        <w:rPr>
          <w:rFonts w:hint="eastAsia" w:ascii="仿宋" w:hAnsi="仿宋" w:eastAsia="仿宋" w:cs="仿宋"/>
          <w:sz w:val="24"/>
        </w:rPr>
      </w:pPr>
      <w:r>
        <w:rPr>
          <w:rFonts w:hint="eastAsia" w:ascii="仿宋" w:hAnsi="仿宋" w:eastAsia="仿宋" w:cs="仿宋"/>
          <w:sz w:val="24"/>
        </w:rPr>
        <w:t>2.5进样准确度：RSD&lt;0.3%，满环进样模式</w:t>
      </w:r>
    </w:p>
    <w:p w14:paraId="2C21437D">
      <w:pPr>
        <w:spacing w:line="360" w:lineRule="auto"/>
        <w:jc w:val="left"/>
        <w:rPr>
          <w:rFonts w:hint="eastAsia" w:ascii="仿宋" w:hAnsi="仿宋" w:eastAsia="仿宋" w:cs="仿宋"/>
          <w:sz w:val="24"/>
        </w:rPr>
      </w:pPr>
      <w:r>
        <w:rPr>
          <w:rFonts w:hint="eastAsia" w:ascii="仿宋" w:hAnsi="仿宋" w:eastAsia="仿宋" w:cs="仿宋"/>
          <w:sz w:val="24"/>
        </w:rPr>
        <w:t>2.6样品容量：两个可容纳12个10 mL样品瓶的样品瓶托盘</w:t>
      </w:r>
    </w:p>
    <w:p w14:paraId="0C80E63E">
      <w:pPr>
        <w:spacing w:line="360" w:lineRule="auto"/>
        <w:jc w:val="left"/>
        <w:rPr>
          <w:rFonts w:hint="eastAsia" w:ascii="仿宋" w:hAnsi="仿宋" w:eastAsia="仿宋" w:cs="仿宋"/>
          <w:sz w:val="24"/>
        </w:rPr>
      </w:pPr>
      <w:r>
        <w:rPr>
          <w:rFonts w:hint="eastAsia" w:ascii="仿宋" w:hAnsi="仿宋" w:eastAsia="仿宋" w:cs="仿宋"/>
          <w:sz w:val="24"/>
        </w:rPr>
        <w:t>2.7进样重现性：RSD&lt;1.0%</w:t>
      </w:r>
    </w:p>
    <w:p w14:paraId="42AE31BB">
      <w:pPr>
        <w:spacing w:line="360" w:lineRule="auto"/>
        <w:jc w:val="left"/>
        <w:rPr>
          <w:rFonts w:hint="eastAsia" w:ascii="仿宋" w:hAnsi="仿宋" w:eastAsia="仿宋" w:cs="仿宋"/>
          <w:sz w:val="24"/>
        </w:rPr>
      </w:pPr>
      <w:r>
        <w:rPr>
          <w:rFonts w:hint="eastAsia" w:ascii="仿宋" w:hAnsi="仿宋" w:eastAsia="仿宋" w:cs="仿宋"/>
          <w:sz w:val="24"/>
        </w:rPr>
        <w:t>2.8进样次数：每个位置最多99次</w:t>
      </w:r>
    </w:p>
    <w:p w14:paraId="6110D849">
      <w:pPr>
        <w:spacing w:line="360" w:lineRule="auto"/>
        <w:jc w:val="left"/>
        <w:rPr>
          <w:rFonts w:hint="eastAsia" w:ascii="仿宋" w:hAnsi="仿宋" w:eastAsia="仿宋" w:cs="仿宋"/>
          <w:sz w:val="24"/>
        </w:rPr>
      </w:pPr>
      <w:r>
        <w:rPr>
          <w:rFonts w:hint="eastAsia" w:ascii="仿宋" w:hAnsi="仿宋" w:eastAsia="仿宋" w:cs="仿宋"/>
          <w:sz w:val="24"/>
        </w:rPr>
        <w:t>2.9清洗溶剂：集成的清洗溶剂瓶</w:t>
      </w:r>
    </w:p>
    <w:p w14:paraId="3E4FEF8A">
      <w:pPr>
        <w:spacing w:line="360" w:lineRule="auto"/>
        <w:jc w:val="left"/>
        <w:rPr>
          <w:rFonts w:hint="eastAsia" w:ascii="仿宋" w:hAnsi="仿宋" w:eastAsia="仿宋" w:cs="仿宋"/>
          <w:sz w:val="24"/>
        </w:rPr>
      </w:pPr>
      <w:r>
        <w:rPr>
          <w:rFonts w:hint="eastAsia" w:ascii="仿宋" w:hAnsi="仿宋" w:eastAsia="仿宋" w:cs="仿宋"/>
          <w:sz w:val="24"/>
        </w:rPr>
        <w:t>2.10交叉污染：≤0.05% 。</w:t>
      </w:r>
    </w:p>
    <w:p w14:paraId="1B54F401">
      <w:pPr>
        <w:spacing w:line="360" w:lineRule="auto"/>
        <w:jc w:val="left"/>
        <w:rPr>
          <w:rFonts w:hint="eastAsia" w:ascii="仿宋" w:hAnsi="仿宋" w:eastAsia="仿宋" w:cs="仿宋"/>
          <w:sz w:val="24"/>
        </w:rPr>
      </w:pPr>
      <w:r>
        <w:rPr>
          <w:rFonts w:hint="eastAsia" w:ascii="仿宋" w:hAnsi="仿宋" w:eastAsia="仿宋" w:cs="仿宋"/>
          <w:sz w:val="24"/>
        </w:rPr>
        <w:t>3. 全自动四元梯度泵溶剂输送系统</w:t>
      </w:r>
    </w:p>
    <w:p w14:paraId="571B9CF0">
      <w:pPr>
        <w:spacing w:line="360" w:lineRule="auto"/>
        <w:jc w:val="left"/>
        <w:rPr>
          <w:rFonts w:hint="eastAsia" w:ascii="仿宋" w:hAnsi="仿宋" w:eastAsia="仿宋" w:cs="仿宋"/>
          <w:sz w:val="24"/>
        </w:rPr>
      </w:pPr>
      <w:r>
        <w:rPr>
          <w:rFonts w:hint="eastAsia" w:ascii="仿宋" w:hAnsi="仿宋" w:eastAsia="仿宋" w:cs="仿宋"/>
          <w:sz w:val="24"/>
        </w:rPr>
        <w:t>3.1流速范围：0.50～150.00 ml/min，增量：0.01 ml/min</w:t>
      </w:r>
    </w:p>
    <w:p w14:paraId="0D1EB36E">
      <w:pPr>
        <w:spacing w:line="360" w:lineRule="auto"/>
        <w:jc w:val="left"/>
        <w:rPr>
          <w:rFonts w:hint="eastAsia" w:ascii="仿宋" w:hAnsi="仿宋" w:eastAsia="仿宋" w:cs="仿宋"/>
          <w:sz w:val="24"/>
        </w:rPr>
      </w:pPr>
      <w:r>
        <w:rPr>
          <w:rFonts w:hint="eastAsia" w:ascii="仿宋" w:hAnsi="仿宋" w:eastAsia="仿宋" w:cs="仿宋"/>
          <w:sz w:val="24"/>
        </w:rPr>
        <w:t>3.2适用色谱柱规格：内径4.6 mm～50 mm</w:t>
      </w:r>
    </w:p>
    <w:p w14:paraId="06779283">
      <w:pPr>
        <w:spacing w:line="360" w:lineRule="auto"/>
        <w:jc w:val="left"/>
        <w:rPr>
          <w:rFonts w:hint="eastAsia" w:ascii="仿宋" w:hAnsi="仿宋" w:eastAsia="仿宋" w:cs="仿宋"/>
          <w:sz w:val="24"/>
        </w:rPr>
      </w:pPr>
      <w:r>
        <w:rPr>
          <w:rFonts w:hint="eastAsia" w:ascii="仿宋" w:hAnsi="仿宋" w:eastAsia="仿宋" w:cs="仿宋"/>
          <w:sz w:val="24"/>
        </w:rPr>
        <w:t>3.3延迟体积：&lt; 6.5 mL</w:t>
      </w:r>
    </w:p>
    <w:p w14:paraId="56A072C8">
      <w:pPr>
        <w:spacing w:line="360" w:lineRule="auto"/>
        <w:jc w:val="left"/>
        <w:rPr>
          <w:rFonts w:hint="eastAsia" w:ascii="仿宋" w:hAnsi="仿宋" w:eastAsia="仿宋" w:cs="仿宋"/>
          <w:sz w:val="24"/>
        </w:rPr>
      </w:pPr>
      <w:r>
        <w:rPr>
          <w:rFonts w:hint="eastAsia" w:ascii="仿宋" w:hAnsi="仿宋" w:eastAsia="仿宋" w:cs="仿宋"/>
          <w:sz w:val="24"/>
        </w:rPr>
        <w:t>3.4流速准确度：设定流速的±1.0%或10 μL/min（取较大值）</w:t>
      </w:r>
    </w:p>
    <w:p w14:paraId="78B5DF81">
      <w:pPr>
        <w:spacing w:line="360" w:lineRule="auto"/>
        <w:jc w:val="left"/>
        <w:rPr>
          <w:rFonts w:hint="eastAsia" w:ascii="仿宋" w:hAnsi="仿宋" w:eastAsia="仿宋" w:cs="仿宋"/>
          <w:sz w:val="24"/>
        </w:rPr>
      </w:pPr>
      <w:r>
        <w:rPr>
          <w:rFonts w:hint="eastAsia" w:ascii="仿宋" w:hAnsi="仿宋" w:eastAsia="仿宋" w:cs="仿宋"/>
          <w:sz w:val="24"/>
        </w:rPr>
        <w:t>3.5混合准确度：±3.0%绝对值（满量程），5%～95%，以及1～150 mL/min</w:t>
      </w:r>
    </w:p>
    <w:p w14:paraId="62A4FDE1">
      <w:pPr>
        <w:spacing w:line="360" w:lineRule="auto"/>
        <w:jc w:val="left"/>
        <w:rPr>
          <w:rFonts w:hint="eastAsia" w:ascii="仿宋" w:hAnsi="仿宋" w:eastAsia="仿宋" w:cs="仿宋"/>
          <w:sz w:val="24"/>
        </w:rPr>
      </w:pPr>
      <w:r>
        <w:rPr>
          <w:rFonts w:hint="eastAsia" w:ascii="仿宋" w:hAnsi="仿宋" w:eastAsia="仿宋" w:cs="仿宋"/>
          <w:sz w:val="24"/>
        </w:rPr>
        <w:t>3.6混合精度：保留时间&lt;0.15% RSD</w:t>
      </w:r>
    </w:p>
    <w:p w14:paraId="0FA6F105">
      <w:pPr>
        <w:spacing w:line="360" w:lineRule="auto"/>
        <w:jc w:val="left"/>
        <w:rPr>
          <w:rFonts w:hint="eastAsia" w:ascii="仿宋" w:hAnsi="仿宋" w:eastAsia="仿宋" w:cs="仿宋"/>
          <w:sz w:val="24"/>
        </w:rPr>
      </w:pPr>
      <w:r>
        <w:rPr>
          <w:rFonts w:hint="eastAsia" w:ascii="仿宋" w:hAnsi="仿宋" w:eastAsia="仿宋" w:cs="仿宋"/>
          <w:sz w:val="24"/>
        </w:rPr>
        <w:t>3.7梯度曲线：11条包括1条线性，2条阶梯，4条凹线，4条凸线</w:t>
      </w:r>
    </w:p>
    <w:p w14:paraId="2B0644BA">
      <w:pPr>
        <w:spacing w:line="360" w:lineRule="auto"/>
        <w:jc w:val="left"/>
        <w:rPr>
          <w:rFonts w:hint="eastAsia" w:ascii="仿宋" w:hAnsi="仿宋" w:eastAsia="仿宋" w:cs="仿宋"/>
          <w:sz w:val="24"/>
        </w:rPr>
      </w:pPr>
      <w:r>
        <w:rPr>
          <w:rFonts w:hint="eastAsia" w:ascii="仿宋" w:hAnsi="仿宋" w:eastAsia="仿宋" w:cs="仿宋"/>
          <w:sz w:val="24"/>
        </w:rPr>
        <w:t>3.8操作压力：5000psi（345 bar）</w:t>
      </w:r>
    </w:p>
    <w:p w14:paraId="0F6ADAFE">
      <w:pPr>
        <w:spacing w:line="360" w:lineRule="auto"/>
        <w:jc w:val="left"/>
        <w:rPr>
          <w:rFonts w:hint="eastAsia" w:ascii="仿宋" w:hAnsi="仿宋" w:eastAsia="仿宋" w:cs="仿宋"/>
          <w:sz w:val="24"/>
        </w:rPr>
      </w:pPr>
      <w:r>
        <w:rPr>
          <w:rFonts w:hint="eastAsia" w:ascii="仿宋" w:hAnsi="仿宋" w:eastAsia="仿宋" w:cs="仿宋"/>
          <w:sz w:val="24"/>
        </w:rPr>
        <w:t>3.9可压缩性补：连续、自动</w:t>
      </w:r>
    </w:p>
    <w:p w14:paraId="61CC5B30">
      <w:pPr>
        <w:spacing w:line="360" w:lineRule="auto"/>
        <w:jc w:val="left"/>
        <w:rPr>
          <w:rFonts w:hint="eastAsia" w:ascii="仿宋" w:hAnsi="仿宋" w:eastAsia="仿宋" w:cs="仿宋"/>
          <w:sz w:val="24"/>
        </w:rPr>
      </w:pPr>
      <w:r>
        <w:rPr>
          <w:rFonts w:hint="eastAsia" w:ascii="仿宋" w:hAnsi="仿宋" w:eastAsia="仿宋" w:cs="仿宋"/>
          <w:sz w:val="24"/>
        </w:rPr>
        <w:t>3.10泵密封冲洗：完整的，自动的，可编程控制的</w:t>
      </w:r>
    </w:p>
    <w:p w14:paraId="50797836">
      <w:pPr>
        <w:spacing w:line="360" w:lineRule="auto"/>
        <w:jc w:val="left"/>
        <w:rPr>
          <w:rFonts w:hint="eastAsia" w:ascii="仿宋" w:hAnsi="仿宋" w:eastAsia="仿宋" w:cs="仿宋"/>
          <w:sz w:val="24"/>
        </w:rPr>
      </w:pPr>
      <w:r>
        <w:rPr>
          <w:rFonts w:hint="eastAsia" w:ascii="仿宋" w:hAnsi="仿宋" w:eastAsia="仿宋" w:cs="仿宋"/>
          <w:sz w:val="24"/>
        </w:rPr>
        <w:t>3.11流动相种类：多达4种选择。每个储液瓶均可以0.01%的增幅在0%～100%范围内进行设置</w:t>
      </w:r>
    </w:p>
    <w:p w14:paraId="260E6706">
      <w:pPr>
        <w:spacing w:line="360" w:lineRule="auto"/>
        <w:jc w:val="left"/>
        <w:rPr>
          <w:rFonts w:hint="eastAsia" w:ascii="仿宋" w:hAnsi="仿宋" w:eastAsia="仿宋" w:cs="仿宋"/>
          <w:sz w:val="24"/>
        </w:rPr>
      </w:pPr>
      <w:r>
        <w:rPr>
          <w:rFonts w:hint="eastAsia" w:ascii="仿宋" w:hAnsi="仿宋" w:eastAsia="仿宋" w:cs="仿宋"/>
          <w:sz w:val="24"/>
        </w:rPr>
        <w:t>3.12灌注：自动灌注</w:t>
      </w:r>
    </w:p>
    <w:p w14:paraId="06945741">
      <w:pPr>
        <w:spacing w:line="360" w:lineRule="auto"/>
        <w:jc w:val="left"/>
        <w:rPr>
          <w:rFonts w:hint="eastAsia" w:ascii="仿宋" w:hAnsi="仿宋" w:eastAsia="仿宋" w:cs="仿宋"/>
          <w:sz w:val="24"/>
        </w:rPr>
      </w:pPr>
      <w:r>
        <w:rPr>
          <w:rFonts w:hint="eastAsia" w:ascii="仿宋" w:hAnsi="仿宋" w:eastAsia="仿宋" w:cs="仿宋"/>
          <w:sz w:val="24"/>
        </w:rPr>
        <w:t>4.二极管阵列检测器</w:t>
      </w:r>
    </w:p>
    <w:p w14:paraId="13E7A13C">
      <w:pPr>
        <w:spacing w:line="360" w:lineRule="auto"/>
        <w:jc w:val="left"/>
        <w:rPr>
          <w:rFonts w:hint="eastAsia" w:ascii="仿宋" w:hAnsi="仿宋" w:eastAsia="仿宋" w:cs="仿宋"/>
          <w:sz w:val="24"/>
        </w:rPr>
      </w:pPr>
      <w:r>
        <w:rPr>
          <w:rFonts w:hint="eastAsia" w:ascii="仿宋" w:hAnsi="仿宋" w:eastAsia="仿宋" w:cs="仿宋"/>
          <w:sz w:val="24"/>
        </w:rPr>
        <w:t>4.1波长、极性和灯源开关均可时间编程控制</w:t>
      </w:r>
    </w:p>
    <w:p w14:paraId="5ACF061F">
      <w:pPr>
        <w:spacing w:line="360" w:lineRule="auto"/>
        <w:jc w:val="left"/>
        <w:rPr>
          <w:rFonts w:hint="eastAsia" w:ascii="仿宋" w:hAnsi="仿宋" w:eastAsia="仿宋" w:cs="仿宋"/>
          <w:b/>
          <w:bCs/>
          <w:sz w:val="24"/>
        </w:rPr>
      </w:pPr>
      <w:r>
        <w:rPr>
          <w:rFonts w:hint="eastAsia" w:ascii="仿宋" w:hAnsi="仿宋" w:eastAsia="仿宋" w:cs="仿宋"/>
          <w:b/>
          <w:bCs/>
          <w:sz w:val="24"/>
        </w:rPr>
        <w:t>★4.2波长范围：190～800 nm</w:t>
      </w:r>
    </w:p>
    <w:p w14:paraId="509ECAF2">
      <w:pPr>
        <w:spacing w:line="360" w:lineRule="auto"/>
        <w:jc w:val="left"/>
        <w:rPr>
          <w:rFonts w:hint="eastAsia" w:ascii="仿宋" w:hAnsi="仿宋" w:eastAsia="仿宋" w:cs="仿宋"/>
          <w:sz w:val="24"/>
        </w:rPr>
      </w:pPr>
      <w:r>
        <w:rPr>
          <w:rFonts w:hint="eastAsia" w:ascii="仿宋" w:hAnsi="仿宋" w:eastAsia="仿宋" w:cs="仿宋"/>
          <w:sz w:val="24"/>
        </w:rPr>
        <w:t>4.3二极管个数：</w:t>
      </w:r>
      <w:r>
        <w:rPr>
          <w:rFonts w:hint="eastAsia"/>
          <w:lang w:val="en-US" w:eastAsia="zh-CN"/>
        </w:rPr>
        <w:t>≥</w:t>
      </w:r>
      <w:r>
        <w:rPr>
          <w:rFonts w:hint="eastAsia" w:ascii="仿宋" w:hAnsi="仿宋" w:eastAsia="仿宋" w:cs="仿宋"/>
          <w:sz w:val="24"/>
        </w:rPr>
        <w:t>512</w:t>
      </w:r>
    </w:p>
    <w:p w14:paraId="279B5CBD">
      <w:pPr>
        <w:spacing w:line="360" w:lineRule="auto"/>
        <w:jc w:val="left"/>
        <w:rPr>
          <w:rFonts w:hint="eastAsia" w:ascii="仿宋" w:hAnsi="仿宋" w:eastAsia="仿宋" w:cs="仿宋"/>
          <w:sz w:val="24"/>
        </w:rPr>
      </w:pPr>
      <w:r>
        <w:rPr>
          <w:rFonts w:hint="eastAsia" w:ascii="仿宋" w:hAnsi="仿宋" w:eastAsia="仿宋" w:cs="仿宋"/>
          <w:sz w:val="24"/>
        </w:rPr>
        <w:t xml:space="preserve">4.4波长准确度：±1 nm </w:t>
      </w:r>
    </w:p>
    <w:p w14:paraId="7580DA06">
      <w:pPr>
        <w:spacing w:line="360" w:lineRule="auto"/>
        <w:jc w:val="left"/>
        <w:rPr>
          <w:rFonts w:hint="eastAsia" w:ascii="仿宋" w:hAnsi="仿宋" w:eastAsia="仿宋" w:cs="仿宋"/>
          <w:sz w:val="24"/>
        </w:rPr>
      </w:pPr>
      <w:r>
        <w:rPr>
          <w:rFonts w:hint="eastAsia" w:ascii="仿宋" w:hAnsi="仿宋" w:eastAsia="仿宋" w:cs="仿宋"/>
          <w:sz w:val="24"/>
        </w:rPr>
        <w:t>4.5波长重现性：±0.1 nm</w:t>
      </w:r>
    </w:p>
    <w:p w14:paraId="415A9F62">
      <w:pPr>
        <w:spacing w:line="360" w:lineRule="auto"/>
        <w:jc w:val="left"/>
        <w:rPr>
          <w:rFonts w:hint="eastAsia" w:ascii="仿宋" w:hAnsi="仿宋" w:eastAsia="仿宋" w:cs="仿宋"/>
          <w:sz w:val="24"/>
        </w:rPr>
      </w:pPr>
      <w:r>
        <w:rPr>
          <w:rFonts w:hint="eastAsia" w:ascii="仿宋" w:hAnsi="仿宋" w:eastAsia="仿宋" w:cs="仿宋"/>
          <w:sz w:val="24"/>
        </w:rPr>
        <w:t>4.6采样频率：</w:t>
      </w:r>
      <w:r>
        <w:rPr>
          <w:rFonts w:hint="eastAsia" w:ascii="仿宋" w:hAnsi="仿宋" w:eastAsia="仿宋" w:cs="仿宋"/>
          <w:sz w:val="24"/>
          <w:lang w:val="en-US" w:eastAsia="zh-CN"/>
        </w:rPr>
        <w:t>10-</w:t>
      </w:r>
      <w:r>
        <w:rPr>
          <w:rFonts w:hint="eastAsia" w:ascii="仿宋" w:hAnsi="仿宋" w:eastAsia="仿宋" w:cs="仿宋"/>
          <w:sz w:val="24"/>
        </w:rPr>
        <w:t>80 Hz</w:t>
      </w:r>
    </w:p>
    <w:p w14:paraId="245F58BB">
      <w:pPr>
        <w:spacing w:line="360" w:lineRule="auto"/>
        <w:jc w:val="left"/>
        <w:rPr>
          <w:rFonts w:hint="eastAsia" w:ascii="仿宋" w:hAnsi="仿宋" w:eastAsia="仿宋" w:cs="仿宋"/>
          <w:b/>
          <w:bCs/>
          <w:sz w:val="24"/>
        </w:rPr>
      </w:pPr>
      <w:r>
        <w:rPr>
          <w:rFonts w:hint="eastAsia" w:ascii="仿宋" w:hAnsi="仿宋" w:eastAsia="仿宋" w:cs="仿宋"/>
          <w:b/>
          <w:bCs/>
          <w:sz w:val="24"/>
        </w:rPr>
        <w:t>★4.7测量范围：0.0001～4.0000 AU</w:t>
      </w:r>
    </w:p>
    <w:p w14:paraId="6935285A">
      <w:pPr>
        <w:spacing w:line="360" w:lineRule="auto"/>
        <w:jc w:val="left"/>
        <w:rPr>
          <w:rFonts w:hint="eastAsia" w:ascii="仿宋" w:hAnsi="仿宋" w:eastAsia="仿宋" w:cs="仿宋"/>
          <w:sz w:val="24"/>
        </w:rPr>
      </w:pPr>
      <w:r>
        <w:rPr>
          <w:rFonts w:hint="eastAsia" w:ascii="仿宋" w:hAnsi="仿宋" w:eastAsia="仿宋" w:cs="仿宋"/>
          <w:sz w:val="24"/>
        </w:rPr>
        <w:t>4.8流通池：梯形狭缝池，消除示差折光效应</w:t>
      </w:r>
    </w:p>
    <w:p w14:paraId="177E1E2B">
      <w:pPr>
        <w:spacing w:line="360" w:lineRule="auto"/>
        <w:jc w:val="left"/>
        <w:rPr>
          <w:rFonts w:hint="eastAsia" w:ascii="仿宋" w:hAnsi="仿宋" w:eastAsia="仿宋" w:cs="仿宋"/>
          <w:sz w:val="24"/>
        </w:rPr>
      </w:pPr>
      <w:r>
        <w:rPr>
          <w:rFonts w:hint="eastAsia" w:ascii="仿宋" w:hAnsi="仿宋" w:eastAsia="仿宋" w:cs="仿宋"/>
          <w:sz w:val="24"/>
        </w:rPr>
        <w:t>4.9固定狭缝：保持良好线性和光谱分辨率，简化操作</w:t>
      </w:r>
    </w:p>
    <w:p w14:paraId="1D169ACD">
      <w:pPr>
        <w:spacing w:line="360" w:lineRule="auto"/>
        <w:jc w:val="left"/>
        <w:rPr>
          <w:rFonts w:hint="eastAsia" w:ascii="仿宋" w:hAnsi="仿宋" w:eastAsia="仿宋" w:cs="仿宋"/>
          <w:b/>
          <w:bCs/>
          <w:sz w:val="24"/>
        </w:rPr>
      </w:pPr>
      <w:r>
        <w:rPr>
          <w:rFonts w:hint="eastAsia" w:ascii="仿宋" w:hAnsi="仿宋" w:eastAsia="仿宋" w:cs="仿宋"/>
          <w:b/>
          <w:bCs/>
          <w:sz w:val="24"/>
        </w:rPr>
        <w:t>★4.10光源：氘灯，寿命2000小时或1年</w:t>
      </w:r>
    </w:p>
    <w:p w14:paraId="312B427C">
      <w:pPr>
        <w:spacing w:line="360" w:lineRule="auto"/>
        <w:jc w:val="left"/>
        <w:rPr>
          <w:rFonts w:hint="eastAsia" w:ascii="仿宋" w:hAnsi="仿宋" w:eastAsia="仿宋" w:cs="仿宋"/>
          <w:sz w:val="24"/>
        </w:rPr>
      </w:pPr>
      <w:r>
        <w:rPr>
          <w:rFonts w:hint="eastAsia" w:ascii="仿宋" w:hAnsi="仿宋" w:eastAsia="仿宋" w:cs="仿宋"/>
          <w:sz w:val="24"/>
        </w:rPr>
        <w:t>4.11梯形狭缝的光路设计，从硬件上消除示差折光效应</w:t>
      </w:r>
    </w:p>
    <w:p w14:paraId="2BE26058">
      <w:pPr>
        <w:spacing w:line="360" w:lineRule="auto"/>
        <w:jc w:val="left"/>
        <w:rPr>
          <w:rFonts w:hint="eastAsia" w:ascii="仿宋" w:hAnsi="仿宋" w:eastAsia="仿宋" w:cs="仿宋"/>
          <w:sz w:val="24"/>
        </w:rPr>
      </w:pPr>
      <w:r>
        <w:rPr>
          <w:rFonts w:hint="eastAsia" w:ascii="仿宋" w:hAnsi="仿宋" w:eastAsia="仿宋" w:cs="仿宋"/>
          <w:sz w:val="24"/>
        </w:rPr>
        <w:t>4.12具有操作面板，可以独立设定工作参数、显示运行状态</w:t>
      </w:r>
    </w:p>
    <w:p w14:paraId="301AAFC8">
      <w:pPr>
        <w:spacing w:line="360" w:lineRule="auto"/>
        <w:jc w:val="left"/>
        <w:rPr>
          <w:rFonts w:hint="eastAsia" w:ascii="仿宋" w:hAnsi="仿宋" w:eastAsia="仿宋" w:cs="仿宋"/>
          <w:sz w:val="24"/>
        </w:rPr>
      </w:pPr>
      <w:r>
        <w:rPr>
          <w:rFonts w:hint="eastAsia" w:ascii="仿宋" w:hAnsi="仿宋" w:eastAsia="仿宋" w:cs="仿宋"/>
          <w:sz w:val="24"/>
        </w:rPr>
        <w:t>4.13馏份管理器，可有效防止馏份展宽，并可以根据不同制备流速设置收集延迟时间</w:t>
      </w:r>
    </w:p>
    <w:p w14:paraId="3BC3C8B1">
      <w:pPr>
        <w:spacing w:line="360" w:lineRule="auto"/>
        <w:jc w:val="left"/>
        <w:rPr>
          <w:rFonts w:hint="eastAsia" w:ascii="仿宋" w:hAnsi="仿宋" w:eastAsia="仿宋" w:cs="仿宋"/>
          <w:b/>
          <w:bCs/>
          <w:sz w:val="24"/>
        </w:rPr>
      </w:pPr>
      <w:r>
        <w:rPr>
          <w:rFonts w:hint="eastAsia" w:ascii="仿宋" w:hAnsi="仿宋" w:eastAsia="仿宋" w:cs="仿宋"/>
          <w:b/>
          <w:bCs/>
          <w:sz w:val="24"/>
        </w:rPr>
        <w:t>★4.14配备可以同时具有分析及半制备功能的纯化检测池，不需要分析以及制备的更换</w:t>
      </w:r>
    </w:p>
    <w:p w14:paraId="78AF366D">
      <w:pPr>
        <w:spacing w:line="360" w:lineRule="auto"/>
        <w:jc w:val="left"/>
        <w:rPr>
          <w:rFonts w:hint="eastAsia" w:ascii="仿宋" w:hAnsi="仿宋" w:eastAsia="仿宋" w:cs="仿宋"/>
          <w:sz w:val="24"/>
        </w:rPr>
      </w:pPr>
      <w:r>
        <w:rPr>
          <w:rFonts w:hint="eastAsia" w:ascii="仿宋" w:hAnsi="仿宋" w:eastAsia="仿宋" w:cs="仿宋"/>
          <w:sz w:val="24"/>
        </w:rPr>
        <w:t>5. 自动化馏分收集器</w:t>
      </w:r>
    </w:p>
    <w:p w14:paraId="151CB17D">
      <w:pPr>
        <w:spacing w:line="360" w:lineRule="auto"/>
        <w:jc w:val="left"/>
        <w:rPr>
          <w:rFonts w:hint="eastAsia" w:ascii="仿宋" w:hAnsi="仿宋" w:eastAsia="仿宋" w:cs="仿宋"/>
          <w:sz w:val="24"/>
        </w:rPr>
      </w:pPr>
      <w:r>
        <w:rPr>
          <w:rFonts w:hint="eastAsia" w:ascii="仿宋" w:hAnsi="仿宋" w:eastAsia="仿宋" w:cs="仿宋"/>
          <w:sz w:val="24"/>
        </w:rPr>
        <w:t>5.1收集架：标配试管（13～18mm x120位）架</w:t>
      </w:r>
    </w:p>
    <w:p w14:paraId="2DA87ED1">
      <w:pPr>
        <w:spacing w:line="360" w:lineRule="auto"/>
        <w:jc w:val="left"/>
        <w:rPr>
          <w:rFonts w:hint="eastAsia" w:ascii="仿宋" w:hAnsi="仿宋" w:eastAsia="仿宋" w:cs="仿宋"/>
          <w:sz w:val="24"/>
        </w:rPr>
      </w:pPr>
      <w:r>
        <w:rPr>
          <w:rFonts w:hint="eastAsia" w:ascii="仿宋" w:hAnsi="仿宋" w:eastAsia="仿宋" w:cs="仿宋"/>
          <w:sz w:val="24"/>
        </w:rPr>
        <w:t>5.2收集架种类：可以自定义收集瓶满足特殊的需要</w:t>
      </w:r>
    </w:p>
    <w:p w14:paraId="7E1B53B2">
      <w:pPr>
        <w:spacing w:line="360" w:lineRule="auto"/>
        <w:jc w:val="left"/>
        <w:rPr>
          <w:rFonts w:hint="eastAsia" w:ascii="仿宋" w:hAnsi="仿宋" w:eastAsia="仿宋" w:cs="仿宋"/>
          <w:sz w:val="24"/>
        </w:rPr>
      </w:pPr>
      <w:r>
        <w:rPr>
          <w:rFonts w:hint="eastAsia" w:ascii="仿宋" w:hAnsi="仿宋" w:eastAsia="仿宋" w:cs="仿宋"/>
          <w:sz w:val="24"/>
        </w:rPr>
        <w:t>5.3收集系统：可视、开放式</w:t>
      </w:r>
    </w:p>
    <w:p w14:paraId="5E9462C9">
      <w:pPr>
        <w:spacing w:line="360" w:lineRule="auto"/>
        <w:jc w:val="left"/>
        <w:rPr>
          <w:rFonts w:hint="eastAsia" w:ascii="仿宋" w:hAnsi="仿宋" w:eastAsia="仿宋" w:cs="仿宋"/>
          <w:sz w:val="24"/>
        </w:rPr>
      </w:pPr>
      <w:r>
        <w:rPr>
          <w:rFonts w:hint="eastAsia" w:ascii="仿宋" w:hAnsi="仿宋" w:eastAsia="仿宋" w:cs="仿宋"/>
          <w:sz w:val="24"/>
        </w:rPr>
        <w:t xml:space="preserve">6.仪器工作软件 </w:t>
      </w:r>
    </w:p>
    <w:p w14:paraId="4B978B46">
      <w:pPr>
        <w:spacing w:line="360" w:lineRule="auto"/>
        <w:jc w:val="left"/>
        <w:rPr>
          <w:rFonts w:hint="eastAsia" w:ascii="仿宋" w:hAnsi="仿宋" w:eastAsia="仿宋" w:cs="仿宋"/>
          <w:sz w:val="24"/>
        </w:rPr>
      </w:pPr>
      <w:r>
        <w:rPr>
          <w:rFonts w:hint="eastAsia" w:ascii="仿宋" w:hAnsi="仿宋" w:eastAsia="仿宋" w:cs="仿宋"/>
          <w:sz w:val="24"/>
        </w:rPr>
        <w:t>6.1自动分析，制备，馏分再分析功能</w:t>
      </w:r>
    </w:p>
    <w:p w14:paraId="447A6541">
      <w:pPr>
        <w:spacing w:line="360" w:lineRule="auto"/>
        <w:jc w:val="left"/>
        <w:rPr>
          <w:rFonts w:hint="eastAsia" w:ascii="仿宋" w:hAnsi="仿宋" w:eastAsia="仿宋" w:cs="仿宋"/>
          <w:sz w:val="24"/>
        </w:rPr>
      </w:pPr>
      <w:r>
        <w:rPr>
          <w:rFonts w:hint="eastAsia" w:ascii="仿宋" w:hAnsi="仿宋" w:eastAsia="仿宋" w:cs="仿宋"/>
          <w:sz w:val="24"/>
        </w:rPr>
        <w:t>6.2时间事件，收集更灵活</w:t>
      </w:r>
    </w:p>
    <w:p w14:paraId="0AE4813D">
      <w:pPr>
        <w:spacing w:line="360" w:lineRule="auto"/>
        <w:jc w:val="left"/>
        <w:rPr>
          <w:rFonts w:hint="eastAsia" w:ascii="仿宋" w:hAnsi="仿宋" w:eastAsia="仿宋" w:cs="仿宋"/>
          <w:sz w:val="24"/>
        </w:rPr>
      </w:pPr>
      <w:r>
        <w:rPr>
          <w:rFonts w:hint="eastAsia" w:ascii="仿宋" w:hAnsi="仿宋" w:eastAsia="仿宋" w:cs="仿宋"/>
          <w:sz w:val="24"/>
        </w:rPr>
        <w:t>6.3收集馏分之间的溶剂</w:t>
      </w:r>
    </w:p>
    <w:p w14:paraId="4E98D6F0">
      <w:pPr>
        <w:spacing w:line="360" w:lineRule="auto"/>
        <w:jc w:val="left"/>
        <w:rPr>
          <w:rFonts w:hint="eastAsia" w:ascii="仿宋" w:hAnsi="仿宋" w:eastAsia="仿宋" w:cs="仿宋"/>
          <w:sz w:val="24"/>
        </w:rPr>
      </w:pPr>
      <w:r>
        <w:rPr>
          <w:rFonts w:hint="eastAsia" w:ascii="仿宋" w:hAnsi="仿宋" w:eastAsia="仿宋" w:cs="仿宋"/>
          <w:sz w:val="24"/>
        </w:rPr>
        <w:t>6.4检测器触发的阈值、斜率、阈值或斜率、阈值和斜率等模式收集</w:t>
      </w:r>
    </w:p>
    <w:p w14:paraId="4DD7ED9A">
      <w:pPr>
        <w:spacing w:line="360" w:lineRule="auto"/>
        <w:jc w:val="left"/>
        <w:rPr>
          <w:rFonts w:hint="eastAsia" w:ascii="仿宋" w:hAnsi="仿宋" w:eastAsia="仿宋" w:cs="仿宋"/>
          <w:sz w:val="24"/>
        </w:rPr>
      </w:pPr>
      <w:r>
        <w:rPr>
          <w:rFonts w:hint="eastAsia" w:ascii="仿宋" w:hAnsi="仿宋" w:eastAsia="仿宋" w:cs="仿宋"/>
          <w:sz w:val="24"/>
        </w:rPr>
        <w:t>6.5紧急收集,避免人为错误造成样品丢失</w:t>
      </w:r>
    </w:p>
    <w:p w14:paraId="38065FB7">
      <w:pPr>
        <w:spacing w:line="360" w:lineRule="auto"/>
        <w:jc w:val="left"/>
        <w:rPr>
          <w:rFonts w:hint="eastAsia" w:ascii="仿宋" w:hAnsi="仿宋" w:eastAsia="仿宋" w:cs="仿宋"/>
          <w:sz w:val="24"/>
        </w:rPr>
      </w:pPr>
      <w:r>
        <w:rPr>
          <w:rFonts w:hint="eastAsia" w:ascii="仿宋" w:hAnsi="仿宋" w:eastAsia="仿宋" w:cs="仿宋"/>
          <w:sz w:val="24"/>
        </w:rPr>
        <w:t>6.6多种收集功能，相同馏分收集到相同试管中，部分分离峰分别收集</w:t>
      </w:r>
    </w:p>
    <w:p w14:paraId="7569A709">
      <w:pPr>
        <w:spacing w:line="360" w:lineRule="auto"/>
        <w:jc w:val="left"/>
        <w:rPr>
          <w:rFonts w:hint="eastAsia" w:ascii="仿宋" w:hAnsi="仿宋" w:eastAsia="仿宋" w:cs="仿宋"/>
          <w:sz w:val="24"/>
        </w:rPr>
      </w:pPr>
      <w:r>
        <w:rPr>
          <w:rFonts w:hint="eastAsia" w:ascii="仿宋" w:hAnsi="仿宋" w:eastAsia="仿宋" w:cs="仿宋"/>
          <w:sz w:val="24"/>
        </w:rPr>
        <w:t>6.7收集模拟功能</w:t>
      </w:r>
    </w:p>
    <w:p w14:paraId="6A005FBF">
      <w:pPr>
        <w:spacing w:line="360" w:lineRule="auto"/>
        <w:jc w:val="left"/>
        <w:rPr>
          <w:rFonts w:hint="eastAsia" w:ascii="仿宋" w:hAnsi="仿宋" w:eastAsia="仿宋" w:cs="仿宋"/>
          <w:sz w:val="24"/>
        </w:rPr>
      </w:pPr>
      <w:r>
        <w:rPr>
          <w:rFonts w:hint="eastAsia" w:ascii="仿宋" w:hAnsi="仿宋" w:eastAsia="仿宋" w:cs="仿宋"/>
          <w:sz w:val="24"/>
        </w:rPr>
        <w:t>6.8叠加进样模式</w:t>
      </w:r>
    </w:p>
    <w:p w14:paraId="68E647E0">
      <w:pPr>
        <w:spacing w:line="360" w:lineRule="auto"/>
        <w:jc w:val="left"/>
        <w:rPr>
          <w:rFonts w:hint="eastAsia" w:ascii="仿宋" w:hAnsi="仿宋" w:eastAsia="仿宋" w:cs="仿宋"/>
          <w:b/>
          <w:bCs/>
          <w:sz w:val="24"/>
          <w:lang w:bidi="ar"/>
        </w:rPr>
      </w:pPr>
      <w:r>
        <w:rPr>
          <w:rFonts w:hint="eastAsia" w:ascii="仿宋" w:hAnsi="仿宋" w:eastAsia="仿宋" w:cs="仿宋"/>
          <w:b/>
          <w:bCs/>
          <w:color w:val="000000"/>
          <w:kern w:val="0"/>
          <w:sz w:val="24"/>
          <w:lang w:val="en-US" w:eastAsia="zh-CN" w:bidi="ar"/>
        </w:rPr>
        <w:t>4.</w:t>
      </w:r>
      <w:r>
        <w:rPr>
          <w:rFonts w:hint="eastAsia" w:ascii="仿宋" w:hAnsi="仿宋" w:eastAsia="仿宋" w:cs="仿宋"/>
          <w:b/>
          <w:bCs/>
          <w:sz w:val="24"/>
        </w:rPr>
        <w:t>其他配套要求：</w:t>
      </w:r>
    </w:p>
    <w:p w14:paraId="29616E7A">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（一）应急服务要求</w:t>
      </w:r>
    </w:p>
    <w:p w14:paraId="2B013ABC">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1.备品备件：中标人提供能够满足质量保证期内的设备维修要求的备品备件，备品备件应是新品。中标人应保证10年以上零部件供应期，并对设备故障等突发状况及时响应。</w:t>
      </w:r>
    </w:p>
    <w:p w14:paraId="020DAA29">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2.专用工具：中标人提供设备安装、调试、验收、维修、保养所必要的专用工具、仪器、仪表等工具。</w:t>
      </w:r>
    </w:p>
    <w:p w14:paraId="1B78C19B">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3. 接到报修后应及时响应，若未及时修复设备故障，应提供备用设备供院方使用。</w:t>
      </w:r>
    </w:p>
    <w:p w14:paraId="4AAB5DED">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（二）安装调试、验收试验及质量保证</w:t>
      </w:r>
    </w:p>
    <w:p w14:paraId="38D41A2C">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1.中标人在设备安装地点负责安装、调试。</w:t>
      </w:r>
    </w:p>
    <w:p w14:paraId="016E9F2F">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2.具体设备验收标准和程序按采购人要求执行，下列验收程序可参照执行：</w:t>
      </w:r>
    </w:p>
    <w:p w14:paraId="08887B4A">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2.1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涉及需要由质检或行业主管部门验收的项目，采购人须约请相关部门和专家参加项目验收。所有需要质检部门进行检测才能使用的设备，投标报价中必须包含首次检测费用；</w:t>
      </w:r>
    </w:p>
    <w:p w14:paraId="72C004D1">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2.2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p>
    <w:p w14:paraId="28D7D8FD">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2.3中标人应根据采购人使用单位的技术要求提供相应的产品。由中标人所提供的设备部件间的连线和插接件均应视为设备内部器件，包含在相应的设备之中；</w:t>
      </w:r>
    </w:p>
    <w:p w14:paraId="14DA78DB">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2.4运行测试及最终验收。在系统安装、调试结束后，采购人对其进行全面的测试，对测试中暴露出来的问题，中标人应及时进行整改，系统最终测试完毕经验收合格后，采购人应向中标人签发最终验收证明；</w:t>
      </w:r>
    </w:p>
    <w:p w14:paraId="5FAD4841">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2.5中标人应向采购人提供安装调试过程中的各种文档资料,以便采购人今后能掌握操作和维护方法。依据合同与合同有关条件、本招标文件的技术规范、系统配置要求、设备技术文件和系统说明书，以及国家和省部级等要求进行验收，验收分为预验收和竣工验收。</w:t>
      </w:r>
    </w:p>
    <w:p w14:paraId="47D5AE36">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2.6如设备在验收时有一个或多个指标未能达到要求而属于中标人责任时，则中标人自费采取有效措施，在规定时间内使之达到保证指标。如在规定的时间内仍达不到合格标准时，则中标人应向采购人赔偿。</w:t>
      </w:r>
    </w:p>
    <w:p w14:paraId="32943B97">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（三）包装运输</w:t>
      </w:r>
    </w:p>
    <w:p w14:paraId="1D4497A7">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1.中标人负责设备包装、办理运输和保险，将设备安全运抵交货地点。</w:t>
      </w:r>
    </w:p>
    <w:p w14:paraId="464E12A4">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2.设备制造完成并通过试验后应及时包装，否则应得到切实的保护，确保其不受污损。</w:t>
      </w:r>
    </w:p>
    <w:p w14:paraId="6D209B9A">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3.在包装箱外应标明采购人的订货号、发货号。</w:t>
      </w:r>
    </w:p>
    <w:p w14:paraId="2275B5BA">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4.各种包装应能确保各零部件在运输过程中不致遭到损坏、丢失、变形、受潮和腐蚀。</w:t>
      </w:r>
    </w:p>
    <w:p w14:paraId="38F0B4A7">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5.包装箱上应有明显的包装储运图示标志。</w:t>
      </w:r>
    </w:p>
    <w:p w14:paraId="5C55CDDD">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6.整体产品或分别运输的部件都要适应运输和装载的要求。</w:t>
      </w:r>
    </w:p>
    <w:p w14:paraId="3D53417E">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7.随产品提供的技术资料应完整无缺。</w:t>
      </w:r>
    </w:p>
    <w:p w14:paraId="486C63F2">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（四）培训要求</w:t>
      </w:r>
    </w:p>
    <w:p w14:paraId="3C73F0BC">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技术人员厂方培训：维修维护不少于1人，设备培训时间不低于3天，有详细的技术培训方案和完整规范的培训资料，培训结束获得厂方授权或资质许可，交通、食宿、资料、工具材料等所有与培训相关的费用包含在投标报价中。设备使用培训：不少于2人，直至完全掌握设备应用技术，并获厂方资质许可；交通、食宿、资料、工具材料等所有与培训相关的费用包含在投标报价中。</w:t>
      </w:r>
    </w:p>
    <w:p w14:paraId="610BC751">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2.设备使用培训：不少于2人，直至完全掌握设备应用技术，并获厂方资质许可；交通、食宿、资料、工具材料等所有与培训相关的费用包含在投标报价中。</w:t>
      </w:r>
    </w:p>
    <w:p w14:paraId="33544BB5">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（五）质保及售后服务</w:t>
      </w:r>
    </w:p>
    <w:p w14:paraId="44DC2CC2">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1.自双方签订《验收报告》起进入免费质保期。</w:t>
      </w:r>
    </w:p>
    <w:p w14:paraId="62E06100">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在质保期间内，非采购人过失和故意并且在正常使用的情况下发现商品有缺陷，中标人将免费修理或替换该设备；在质保期间内，非采购人过失和故意并且在正常使用的情况下设备发生故障，中标人应及时提供免费服务。</w:t>
      </w:r>
    </w:p>
    <w:p w14:paraId="5A687B64">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（六）其他</w:t>
      </w:r>
    </w:p>
    <w:p w14:paraId="25E8F13E">
      <w:r>
        <w:rPr>
          <w:rFonts w:hint="eastAsia" w:ascii="仿宋" w:hAnsi="仿宋" w:eastAsia="仿宋" w:cs="仿宋"/>
          <w:color w:val="000000"/>
          <w:kern w:val="0"/>
          <w:sz w:val="24"/>
          <w:lang w:bidi="ar"/>
        </w:rPr>
        <w:t>1.投标人所投产品应为性能稳定、安全的成熟设备，故障率低、维修便利，并在投标文件中针对所投产品技术先进性、设备性能、配置情况、设计等方面进行阐述说明，提供相应证明材料。</w:t>
      </w:r>
      <w:r>
        <w:rPr>
          <w:rFonts w:hint="eastAsia" w:ascii="宋体" w:hAnsi="宋体"/>
          <w:color w:val="000000"/>
        </w:rPr>
        <w:br w:type="page"/>
      </w:r>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5BEF23"/>
    <w:multiLevelType w:val="singleLevel"/>
    <w:tmpl w:val="275BEF2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6F807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beforeLines="0" w:after="330" w:afterLines="0" w:line="578" w:lineRule="auto"/>
      <w:outlineLvl w:val="0"/>
    </w:pPr>
    <w:rPr>
      <w:b/>
      <w:bCs/>
      <w:kern w:val="44"/>
      <w:sz w:val="44"/>
      <w:szCs w:val="44"/>
    </w:rPr>
  </w:style>
  <w:style w:type="paragraph" w:styleId="3">
    <w:name w:val="heading 2"/>
    <w:basedOn w:val="1"/>
    <w:next w:val="1"/>
    <w:qFormat/>
    <w:uiPriority w:val="9"/>
    <w:pPr>
      <w:keepNext/>
      <w:keepLines/>
      <w:spacing w:before="260" w:beforeLines="0" w:after="260" w:afterLines="0" w:line="416" w:lineRule="auto"/>
      <w:outlineLvl w:val="1"/>
    </w:pPr>
    <w:rPr>
      <w:rFonts w:ascii="Cambria" w:hAnsi="Cambria"/>
      <w:b/>
      <w:bCs/>
      <w:sz w:val="32"/>
      <w:szCs w:val="32"/>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widowControl/>
      <w:spacing w:before="100" w:beforeLines="0" w:beforeAutospacing="1" w:after="100" w:afterLines="0" w:afterAutospacing="1"/>
      <w:jc w:val="left"/>
    </w:pPr>
    <w:rPr>
      <w:rFonts w:ascii="宋体" w:hAnsi="宋体"/>
      <w:color w:val="000000"/>
      <w:kern w:val="0"/>
      <w:sz w:val="24"/>
    </w:rPr>
  </w:style>
  <w:style w:type="character" w:customStyle="1" w:styleId="7">
    <w:name w:val="标题 2 Char Char"/>
    <w:uiPriority w:val="0"/>
    <w:rPr>
      <w:rFonts w:ascii="Arial" w:hAnsi="Arial" w:eastAsia="黑体" w:cs="Times New Roman"/>
      <w:b/>
      <w:bCs/>
      <w:kern w:val="2"/>
      <w:sz w:val="32"/>
      <w:szCs w:val="32"/>
      <w:lang w:val="en-US" w:eastAsia="zh-CN" w:bidi="ar-SA"/>
    </w:rPr>
  </w:style>
  <w:style w:type="paragraph" w:customStyle="1" w:styleId="8">
    <w:name w:val="列出段落1"/>
    <w:basedOn w:val="1"/>
    <w:qFormat/>
    <w:uiPriority w:val="0"/>
    <w:pPr>
      <w:ind w:firstLine="420" w:firstLineChars="200"/>
    </w:pPr>
  </w:style>
  <w:style w:type="paragraph" w:customStyle="1" w:styleId="9">
    <w:name w:val="p0"/>
    <w:basedOn w:val="1"/>
    <w:uiPriority w:val="0"/>
    <w:pPr>
      <w:widowControl/>
    </w:pPr>
    <w:rPr>
      <w:kern w:val="0"/>
      <w:szCs w:val="21"/>
    </w:rPr>
  </w:style>
  <w:style w:type="paragraph" w:customStyle="1" w:styleId="10">
    <w:name w:val="无间隔1"/>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2026-05-26T06:36:31Z</dcterms:created>
  <dc:creator>admin</dc:creator>
  <cp:lastModifiedBy>豆奶是个小胖子</cp:lastModifiedBy>
  <dcterms:modified xsi:type="dcterms:W3CDTF">2026-05-26T06:37:01Z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eyJoZGlkIjoiNmExMjc1NzQ3NWFiZTgzMjNiYTYxNmEzOTMwZTVjYjAiLCJ1c2VySWQiOiIzMDI3OTc1ODcifQ==</vt:lpwstr>
  </property>
  <property fmtid="{D5CDD505-2E9C-101B-9397-08002B2CF9AE}" pid="4" name="ICV">
    <vt:lpwstr>0EF1740C6F6C460E84E4E8489CF4D852_12</vt:lpwstr>
  </property>
</Properties>
</file>