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CB3571">
      <w:pPr>
        <w:pStyle w:val="4"/>
        <w:wordWrap w:val="0"/>
        <w:rPr>
          <w:rFonts w:hint="eastAsia" w:ascii="方正小标宋_GBK" w:hAnsi="方正小标宋_GBK" w:eastAsia="华文中宋" w:cs="方正小标宋_GBK"/>
        </w:rPr>
      </w:pPr>
      <w:r>
        <w:rPr>
          <w:rFonts w:hint="eastAsia" w:ascii="方正小标宋_GBK" w:hAnsi="方正小标宋_GBK" w:eastAsia="华文中宋" w:cs="方正小标宋_GBK"/>
        </w:rPr>
        <w:t>采购需求</w:t>
      </w:r>
    </w:p>
    <w:p w14:paraId="12DFBDA2">
      <w:pPr>
        <w:wordWrap w:val="0"/>
        <w:spacing w:line="360" w:lineRule="auto"/>
        <w:rPr>
          <w:rFonts w:hint="eastAsia" w:ascii="宋体" w:hAnsi="宋体" w:eastAsia="宋体"/>
          <w:b/>
          <w:sz w:val="24"/>
        </w:rPr>
      </w:pPr>
      <w:r>
        <w:rPr>
          <w:rFonts w:hint="eastAsia" w:ascii="宋体" w:hAnsi="宋体" w:eastAsia="宋体"/>
          <w:b/>
          <w:sz w:val="24"/>
        </w:rPr>
        <w:t>前注：</w:t>
      </w:r>
    </w:p>
    <w:p w14:paraId="4295E019">
      <w:pPr>
        <w:wordWrap w:val="0"/>
        <w:spacing w:line="360" w:lineRule="auto"/>
        <w:ind w:firstLine="480" w:firstLineChars="200"/>
        <w:rPr>
          <w:rFonts w:hint="eastAsia" w:ascii="宋体" w:hAnsi="宋体" w:eastAsia="宋体" w:cs="宋体"/>
          <w:sz w:val="24"/>
          <w:szCs w:val="18"/>
        </w:rPr>
      </w:pPr>
      <w:bookmarkStart w:id="0" w:name="_Hlk16461016"/>
      <w:r>
        <w:rPr>
          <w:rFonts w:hint="eastAsia" w:ascii="宋体" w:hAnsi="宋体" w:eastAsia="宋体" w:cs="宋体"/>
          <w:sz w:val="24"/>
        </w:rPr>
        <w:t>1.</w:t>
      </w:r>
      <w:r>
        <w:rPr>
          <w:rFonts w:hint="eastAsia" w:ascii="宋体" w:hAnsi="宋体" w:eastAsia="宋体" w:cs="宋体"/>
          <w:sz w:val="24"/>
          <w:szCs w:val="18"/>
        </w:rPr>
        <w:t>根据《关于规范政府采购进口产品有关工作的通知》及政府采购管理部门的相关规定，下列采购需求中标注进口产品的货物（科研仪器设备）均已履行相关论证手续，经核准采购进口产品，但不限制满足招标文件要求的国内产品参与竞争。未标注进口产品的货物均为拒绝采购进口产品。</w:t>
      </w:r>
    </w:p>
    <w:p w14:paraId="184E765E">
      <w:pPr>
        <w:wordWrap w:val="0"/>
        <w:spacing w:line="360" w:lineRule="auto"/>
        <w:ind w:firstLine="435"/>
        <w:rPr>
          <w:rFonts w:hint="eastAsia" w:ascii="宋体" w:hAnsi="宋体" w:eastAsia="宋体" w:cs="宋体"/>
          <w:sz w:val="24"/>
          <w:szCs w:val="18"/>
        </w:rPr>
      </w:pPr>
      <w:r>
        <w:rPr>
          <w:rFonts w:hint="eastAsia" w:ascii="宋体" w:hAnsi="宋体" w:eastAsia="宋体" w:cs="宋体"/>
          <w:sz w:val="24"/>
          <w:szCs w:val="18"/>
        </w:rPr>
        <w:t>2.下列采购需求中：</w:t>
      </w:r>
    </w:p>
    <w:p w14:paraId="0D59705B">
      <w:pPr>
        <w:wordWrap w:val="0"/>
        <w:spacing w:line="360" w:lineRule="auto"/>
        <w:ind w:firstLine="435"/>
        <w:rPr>
          <w:rFonts w:hint="eastAsia" w:ascii="宋体" w:hAnsi="宋体" w:eastAsia="宋体" w:cs="宋体"/>
          <w:sz w:val="24"/>
          <w:szCs w:val="18"/>
        </w:rPr>
      </w:pPr>
      <w:r>
        <w:rPr>
          <w:rFonts w:hint="eastAsia" w:ascii="宋体" w:hAnsi="宋体" w:eastAsia="宋体" w:cs="宋体"/>
          <w:sz w:val="24"/>
          <w:szCs w:val="18"/>
        </w:rPr>
        <w:t>（1）如属于《节能产品政府采购品目清单》中政府强制采购的节能产品，则投标人所投产品须具有市场监管总局公布的《参与实施政府采购节能产品认证机构目录》中的认证机构出具的、处于有效期内的节能产品认证证书。</w:t>
      </w:r>
    </w:p>
    <w:p w14:paraId="70D09BC9">
      <w:pPr>
        <w:wordWrap w:val="0"/>
        <w:spacing w:line="360" w:lineRule="auto"/>
        <w:ind w:firstLine="480" w:firstLineChars="200"/>
        <w:rPr>
          <w:rFonts w:hint="eastAsia" w:ascii="宋体" w:hAnsi="宋体" w:eastAsia="宋体" w:cs="宋体"/>
          <w:sz w:val="24"/>
          <w:szCs w:val="18"/>
        </w:rPr>
      </w:pPr>
      <w:r>
        <w:rPr>
          <w:rFonts w:hint="eastAsia" w:ascii="宋体" w:hAnsi="宋体" w:eastAsia="宋体" w:cs="宋体"/>
          <w:sz w:val="24"/>
          <w:szCs w:val="24"/>
        </w:rPr>
        <w:t>（2）如涉及商品包装和快递包装，投标人应当执行《关于印发〈商品包装政府采购需求标准（试行）〉、〈快递包装政府采购需求标准（试行）〉的通知》（财办库〔2020〕123号）、《安徽省财政厅关于贯彻落实政府绿色采购有关政策的通知》（皖财购〔2023〕853号）的要求，提供符合需求标准的绿色包装、绿色运输，同时，采购人将对包装材料和运输环节作为履约验收条款进行验收。</w:t>
      </w:r>
    </w:p>
    <w:p w14:paraId="48395A2B">
      <w:pPr>
        <w:wordWrap w:val="0"/>
        <w:spacing w:line="360" w:lineRule="auto"/>
        <w:ind w:firstLine="480" w:firstLineChars="200"/>
        <w:jc w:val="left"/>
        <w:rPr>
          <w:rFonts w:hint="eastAsia" w:ascii="宋体" w:hAnsi="宋体" w:eastAsia="宋体" w:cs="宋体"/>
          <w:sz w:val="24"/>
          <w:szCs w:val="18"/>
        </w:rPr>
      </w:pPr>
      <w:r>
        <w:rPr>
          <w:rFonts w:hint="eastAsia" w:ascii="宋体" w:hAnsi="宋体" w:eastAsia="宋体" w:cs="宋体"/>
          <w:sz w:val="24"/>
          <w:szCs w:val="18"/>
        </w:rPr>
        <w:t>3.下列采购需求中：标注</w:t>
      </w:r>
      <w:r>
        <w:rPr>
          <w:rFonts w:hint="eastAsia" w:ascii="宋体" w:hAnsi="宋体" w:eastAsia="宋体" w:cs="宋体"/>
          <w:sz w:val="24"/>
          <w:szCs w:val="24"/>
        </w:rPr>
        <w:t>▲</w:t>
      </w:r>
      <w:r>
        <w:rPr>
          <w:rFonts w:hint="eastAsia" w:ascii="宋体" w:hAnsi="宋体" w:eastAsia="宋体" w:cs="宋体"/>
          <w:sz w:val="24"/>
          <w:szCs w:val="18"/>
        </w:rPr>
        <w:t>的产品（核心产品），投标人在投标文件《主要中标标的承诺函》中填写名称、品牌、规格、型号、数量、单价等信息。</w:t>
      </w:r>
    </w:p>
    <w:p w14:paraId="7947AB40">
      <w:pPr>
        <w:pStyle w:val="5"/>
        <w:wordWrap w:val="0"/>
        <w:ind w:firstLine="0" w:firstLineChars="0"/>
        <w:rPr>
          <w:rFonts w:eastAsia="黑体"/>
        </w:rPr>
      </w:pPr>
      <w:bookmarkStart w:id="1" w:name="_Toc1064185329"/>
      <w:bookmarkStart w:id="2" w:name="_Toc1452677390"/>
      <w:bookmarkStart w:id="3" w:name="_Toc292361325"/>
      <w:bookmarkStart w:id="4" w:name="_Toc337877615"/>
      <w:bookmarkStart w:id="5" w:name="_Toc1437377518_WPSOffice_Level2"/>
      <w:bookmarkStart w:id="6" w:name="_Toc2025078090"/>
      <w:bookmarkStart w:id="7" w:name="_Toc1899401549"/>
      <w:bookmarkStart w:id="8" w:name="_Toc382548620"/>
      <w:r>
        <w:rPr>
          <w:rFonts w:hint="eastAsia" w:eastAsia="黑体"/>
        </w:rPr>
        <w:t>一、采购需求前附表</w:t>
      </w:r>
      <w:bookmarkEnd w:id="1"/>
      <w:bookmarkEnd w:id="2"/>
      <w:bookmarkEnd w:id="3"/>
      <w:bookmarkEnd w:id="4"/>
      <w:bookmarkEnd w:id="5"/>
      <w:bookmarkEnd w:id="6"/>
      <w:bookmarkEnd w:id="7"/>
      <w:bookmarkEnd w:id="8"/>
    </w:p>
    <w:tbl>
      <w:tblPr>
        <w:tblStyle w:val="12"/>
        <w:tblW w:w="94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5"/>
        <w:gridCol w:w="2100"/>
        <w:gridCol w:w="6519"/>
      </w:tblGrid>
      <w:tr w14:paraId="3E5C9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785" w:type="dxa"/>
            <w:noWrap w:val="0"/>
            <w:vAlign w:val="center"/>
          </w:tcPr>
          <w:p w14:paraId="062A067D">
            <w:pPr>
              <w:pStyle w:val="14"/>
              <w:keepNext w:val="0"/>
              <w:keepLines w:val="0"/>
              <w:suppressLineNumbers w:val="0"/>
              <w:pBdr>
                <w:bottom w:val="none" w:color="auto" w:sz="0" w:space="0"/>
              </w:pBdr>
              <w:tabs>
                <w:tab w:val="clear" w:pos="4153"/>
                <w:tab w:val="clear" w:pos="8306"/>
              </w:tabs>
              <w:wordWrap w:val="0"/>
              <w:adjustRightInd/>
              <w:spacing w:before="0" w:beforeAutospacing="0" w:after="0" w:afterAutospacing="0" w:line="240" w:lineRule="auto"/>
              <w:ind w:left="0" w:right="0"/>
              <w:textAlignment w:val="auto"/>
              <w:rPr>
                <w:rFonts w:hint="eastAsia" w:ascii="宋体" w:hAnsi="宋体" w:eastAsia="宋体" w:cs="宋体"/>
                <w:b/>
                <w:color w:val="auto"/>
                <w:kern w:val="2"/>
              </w:rPr>
            </w:pPr>
            <w:r>
              <w:rPr>
                <w:rFonts w:hint="eastAsia" w:ascii="宋体" w:hAnsi="宋体" w:eastAsia="宋体" w:cs="宋体"/>
                <w:b/>
                <w:color w:val="auto"/>
                <w:kern w:val="2"/>
              </w:rPr>
              <w:t>序号</w:t>
            </w:r>
          </w:p>
        </w:tc>
        <w:tc>
          <w:tcPr>
            <w:tcW w:w="2100" w:type="dxa"/>
            <w:noWrap w:val="0"/>
            <w:vAlign w:val="center"/>
          </w:tcPr>
          <w:p w14:paraId="12D282B1">
            <w:pPr>
              <w:pStyle w:val="15"/>
              <w:keepNext w:val="0"/>
              <w:keepLines w:val="0"/>
              <w:widowControl w:val="0"/>
              <w:suppressLineNumbers w:val="0"/>
              <w:wordWrap w:val="0"/>
              <w:spacing w:before="0" w:beforeAutospacing="0" w:after="0" w:afterAutospacing="0" w:line="360" w:lineRule="auto"/>
              <w:ind w:left="0" w:right="0"/>
              <w:rPr>
                <w:rFonts w:hint="eastAsia" w:ascii="宋体" w:hAnsi="宋体" w:eastAsia="宋体" w:cs="宋体"/>
                <w:bCs w:val="0"/>
                <w:color w:val="auto"/>
                <w:sz w:val="24"/>
              </w:rPr>
            </w:pPr>
            <w:r>
              <w:rPr>
                <w:rFonts w:hint="eastAsia" w:ascii="宋体" w:hAnsi="宋体" w:eastAsia="宋体" w:cs="宋体"/>
                <w:bCs w:val="0"/>
                <w:color w:val="auto"/>
                <w:sz w:val="24"/>
              </w:rPr>
              <w:t>条款名称</w:t>
            </w:r>
          </w:p>
        </w:tc>
        <w:tc>
          <w:tcPr>
            <w:tcW w:w="6519" w:type="dxa"/>
            <w:noWrap w:val="0"/>
            <w:vAlign w:val="center"/>
          </w:tcPr>
          <w:p w14:paraId="61F854E0">
            <w:pPr>
              <w:pStyle w:val="15"/>
              <w:keepNext w:val="0"/>
              <w:keepLines w:val="0"/>
              <w:widowControl w:val="0"/>
              <w:suppressLineNumbers w:val="0"/>
              <w:wordWrap w:val="0"/>
              <w:spacing w:before="0" w:beforeAutospacing="0" w:after="0" w:afterAutospacing="0" w:line="360" w:lineRule="auto"/>
              <w:ind w:left="0" w:right="0"/>
              <w:rPr>
                <w:rFonts w:hint="eastAsia" w:ascii="宋体" w:hAnsi="宋体" w:eastAsia="宋体" w:cs="宋体"/>
                <w:bCs w:val="0"/>
                <w:color w:val="auto"/>
                <w:sz w:val="24"/>
              </w:rPr>
            </w:pPr>
            <w:r>
              <w:rPr>
                <w:rFonts w:hint="eastAsia" w:ascii="宋体" w:hAnsi="宋体" w:eastAsia="宋体" w:cs="宋体"/>
                <w:bCs w:val="0"/>
                <w:color w:val="auto"/>
                <w:sz w:val="24"/>
              </w:rPr>
              <w:t>内容、说明与要求</w:t>
            </w:r>
          </w:p>
        </w:tc>
      </w:tr>
      <w:tr w14:paraId="5F70D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785" w:type="dxa"/>
            <w:noWrap w:val="0"/>
            <w:vAlign w:val="center"/>
          </w:tcPr>
          <w:p w14:paraId="054AC8A4">
            <w:pPr>
              <w:pStyle w:val="14"/>
              <w:keepNext w:val="0"/>
              <w:keepLines w:val="0"/>
              <w:suppressLineNumbers w:val="0"/>
              <w:pBdr>
                <w:bottom w:val="none" w:color="auto" w:sz="0" w:space="0"/>
              </w:pBdr>
              <w:tabs>
                <w:tab w:val="clear" w:pos="4153"/>
                <w:tab w:val="clear" w:pos="8306"/>
              </w:tabs>
              <w:wordWrap w:val="0"/>
              <w:adjustRightInd/>
              <w:spacing w:before="0" w:beforeAutospacing="0" w:after="0" w:afterAutospacing="0" w:line="240" w:lineRule="auto"/>
              <w:ind w:left="0" w:right="0"/>
              <w:textAlignment w:val="auto"/>
              <w:rPr>
                <w:rFonts w:hint="eastAsia" w:ascii="宋体" w:hAnsi="宋体" w:eastAsia="宋体" w:cs="宋体"/>
                <w:bCs/>
                <w:color w:val="auto"/>
                <w:kern w:val="2"/>
              </w:rPr>
            </w:pPr>
            <w:r>
              <w:rPr>
                <w:rFonts w:hint="eastAsia" w:ascii="宋体" w:hAnsi="宋体" w:eastAsia="宋体" w:cs="宋体"/>
                <w:bCs/>
                <w:color w:val="auto"/>
                <w:kern w:val="2"/>
              </w:rPr>
              <w:t>1</w:t>
            </w:r>
          </w:p>
        </w:tc>
        <w:tc>
          <w:tcPr>
            <w:tcW w:w="2100" w:type="dxa"/>
            <w:noWrap w:val="0"/>
            <w:vAlign w:val="center"/>
          </w:tcPr>
          <w:p w14:paraId="08B24E5F">
            <w:pPr>
              <w:pStyle w:val="15"/>
              <w:keepNext w:val="0"/>
              <w:keepLines w:val="0"/>
              <w:widowControl w:val="0"/>
              <w:suppressLineNumbers w:val="0"/>
              <w:wordWrap w:val="0"/>
              <w:spacing w:before="0" w:beforeAutospacing="0" w:after="0" w:afterAutospacing="0" w:line="360" w:lineRule="auto"/>
              <w:ind w:left="0" w:right="0"/>
              <w:rPr>
                <w:rFonts w:hint="eastAsia" w:ascii="宋体" w:hAnsi="宋体" w:eastAsia="宋体" w:cs="宋体"/>
                <w:b w:val="0"/>
                <w:color w:val="auto"/>
                <w:sz w:val="24"/>
              </w:rPr>
            </w:pPr>
            <w:r>
              <w:rPr>
                <w:rFonts w:hint="eastAsia" w:ascii="宋体" w:hAnsi="宋体" w:eastAsia="宋体" w:cs="宋体"/>
                <w:b w:val="0"/>
                <w:color w:val="auto"/>
                <w:sz w:val="24"/>
              </w:rPr>
              <w:t>付款方式</w:t>
            </w:r>
          </w:p>
        </w:tc>
        <w:tc>
          <w:tcPr>
            <w:tcW w:w="6519" w:type="dxa"/>
            <w:noWrap w:val="0"/>
            <w:vAlign w:val="center"/>
          </w:tcPr>
          <w:p w14:paraId="085B65B1">
            <w:pPr>
              <w:pStyle w:val="15"/>
              <w:keepNext w:val="0"/>
              <w:keepLines w:val="0"/>
              <w:widowControl w:val="0"/>
              <w:suppressLineNumbers w:val="0"/>
              <w:wordWrap w:val="0"/>
              <w:spacing w:before="0" w:beforeAutospacing="0" w:after="0" w:afterAutospacing="0" w:line="360" w:lineRule="auto"/>
              <w:ind w:left="0" w:right="0"/>
              <w:jc w:val="left"/>
              <w:rPr>
                <w:rFonts w:hint="eastAsia" w:ascii="宋体" w:hAnsi="宋体" w:eastAsia="宋体" w:cs="宋体"/>
                <w:b w:val="0"/>
                <w:color w:val="auto"/>
                <w:sz w:val="24"/>
                <w:lang w:val="en-US" w:eastAsia="zh-CN"/>
              </w:rPr>
            </w:pPr>
            <w:r>
              <w:rPr>
                <w:rFonts w:hint="eastAsia" w:ascii="宋体" w:hAnsi="宋体" w:eastAsia="宋体" w:cs="宋体"/>
                <w:b w:val="0"/>
                <w:color w:val="auto"/>
                <w:sz w:val="24"/>
                <w:lang w:val="en-US" w:eastAsia="zh-CN"/>
              </w:rPr>
              <w:t>合同签订后支付总价款的10%作为预付款，供货完成并验收合格后支付总价款的90%。</w:t>
            </w:r>
          </w:p>
          <w:p w14:paraId="73FAC994">
            <w:pPr>
              <w:pStyle w:val="15"/>
              <w:keepNext w:val="0"/>
              <w:keepLines w:val="0"/>
              <w:widowControl w:val="0"/>
              <w:suppressLineNumbers w:val="0"/>
              <w:wordWrap w:val="0"/>
              <w:spacing w:before="0" w:beforeAutospacing="0" w:after="0" w:afterAutospacing="0" w:line="360" w:lineRule="auto"/>
              <w:ind w:left="0" w:right="0"/>
              <w:jc w:val="left"/>
              <w:rPr>
                <w:rFonts w:hint="eastAsia" w:ascii="宋体" w:hAnsi="宋体" w:eastAsia="宋体" w:cs="宋体"/>
                <w:b w:val="0"/>
                <w:color w:val="auto"/>
                <w:sz w:val="24"/>
                <w:lang w:val="en-US" w:eastAsia="zh-CN"/>
              </w:rPr>
            </w:pPr>
            <w:r>
              <w:rPr>
                <w:rFonts w:hint="eastAsia" w:ascii="宋体" w:hAnsi="宋体" w:eastAsia="宋体" w:cs="宋体"/>
                <w:b w:val="0"/>
                <w:color w:val="auto"/>
                <w:sz w:val="24"/>
                <w:lang w:val="en-US" w:eastAsia="zh-CN"/>
              </w:rPr>
              <w:t>备注：</w:t>
            </w:r>
          </w:p>
          <w:p w14:paraId="3D3D1AA3">
            <w:pPr>
              <w:pStyle w:val="15"/>
              <w:keepNext w:val="0"/>
              <w:keepLines w:val="0"/>
              <w:widowControl w:val="0"/>
              <w:suppressLineNumbers w:val="0"/>
              <w:wordWrap w:val="0"/>
              <w:spacing w:before="0" w:beforeAutospacing="0" w:after="0" w:afterAutospacing="0" w:line="360" w:lineRule="auto"/>
              <w:ind w:left="0" w:right="0"/>
              <w:jc w:val="left"/>
              <w:rPr>
                <w:rFonts w:hint="eastAsia" w:ascii="宋体" w:hAnsi="宋体" w:eastAsia="宋体" w:cs="宋体"/>
                <w:b w:val="0"/>
                <w:color w:val="auto"/>
                <w:sz w:val="24"/>
                <w:lang w:val="en-US" w:eastAsia="zh-CN"/>
              </w:rPr>
            </w:pPr>
            <w:r>
              <w:rPr>
                <w:rFonts w:hint="eastAsia" w:ascii="宋体" w:hAnsi="宋体" w:eastAsia="宋体" w:cs="宋体"/>
                <w:b w:val="0"/>
                <w:color w:val="auto"/>
                <w:sz w:val="24"/>
                <w:lang w:val="en-US" w:eastAsia="zh-CN"/>
              </w:rPr>
              <w:t>（1）本项目要求中标人提供预付款担保。</w:t>
            </w:r>
          </w:p>
          <w:p w14:paraId="0EFA8F70">
            <w:pPr>
              <w:pStyle w:val="15"/>
              <w:keepNext w:val="0"/>
              <w:keepLines w:val="0"/>
              <w:widowControl w:val="0"/>
              <w:suppressLineNumbers w:val="0"/>
              <w:wordWrap w:val="0"/>
              <w:spacing w:before="0" w:beforeAutospacing="0" w:after="0" w:afterAutospacing="0" w:line="360" w:lineRule="auto"/>
              <w:ind w:left="0" w:right="0"/>
              <w:jc w:val="left"/>
              <w:rPr>
                <w:rFonts w:hint="eastAsia" w:ascii="宋体" w:hAnsi="宋体" w:eastAsia="宋体" w:cs="宋体"/>
                <w:b w:val="0"/>
                <w:color w:val="auto"/>
                <w:sz w:val="24"/>
                <w:lang w:val="en-US" w:eastAsia="zh-CN"/>
              </w:rPr>
            </w:pPr>
            <w:r>
              <w:rPr>
                <w:rFonts w:hint="eastAsia" w:ascii="宋体" w:hAnsi="宋体" w:eastAsia="宋体" w:cs="宋体"/>
                <w:b w:val="0"/>
                <w:color w:val="auto"/>
                <w:sz w:val="24"/>
                <w:lang w:val="en-US" w:eastAsia="zh-CN"/>
              </w:rPr>
              <w:t>（2）预付款担保形式：银行保函、担保机构担保。</w:t>
            </w:r>
          </w:p>
          <w:p w14:paraId="49FB0DDA">
            <w:pPr>
              <w:pStyle w:val="15"/>
              <w:keepNext w:val="0"/>
              <w:keepLines w:val="0"/>
              <w:widowControl w:val="0"/>
              <w:suppressLineNumbers w:val="0"/>
              <w:wordWrap w:val="0"/>
              <w:spacing w:before="0" w:beforeAutospacing="0" w:after="0" w:afterAutospacing="0" w:line="360" w:lineRule="auto"/>
              <w:ind w:left="0" w:right="0"/>
              <w:jc w:val="left"/>
              <w:rPr>
                <w:rFonts w:hint="eastAsia" w:ascii="宋体" w:hAnsi="宋体" w:eastAsia="宋体" w:cs="宋体"/>
                <w:b w:val="0"/>
                <w:color w:val="auto"/>
                <w:sz w:val="24"/>
                <w:lang w:val="en-US" w:eastAsia="zh-CN"/>
              </w:rPr>
            </w:pPr>
            <w:r>
              <w:rPr>
                <w:rFonts w:hint="eastAsia" w:ascii="宋体" w:hAnsi="宋体" w:eastAsia="宋体" w:cs="宋体"/>
                <w:b w:val="0"/>
                <w:color w:val="auto"/>
                <w:sz w:val="24"/>
                <w:lang w:val="en-US" w:eastAsia="zh-CN"/>
              </w:rPr>
              <w:t>（3）预付款担保递交要求：①如采用银行保函，银行保函应为银行出具的见索即付无条件保函。且应将原件交至采购人保管。②如采用担保机构担保，应为经地方金融监督管理局备案的融资担保机构出具的见索即付无条件担保，且应将原件交至采购人保管。</w:t>
            </w:r>
          </w:p>
          <w:p w14:paraId="6851DA13">
            <w:pPr>
              <w:pStyle w:val="15"/>
              <w:keepNext w:val="0"/>
              <w:keepLines w:val="0"/>
              <w:widowControl w:val="0"/>
              <w:suppressLineNumbers w:val="0"/>
              <w:wordWrap w:val="0"/>
              <w:spacing w:before="0" w:beforeAutospacing="0" w:after="0" w:afterAutospacing="0" w:line="360" w:lineRule="auto"/>
              <w:ind w:left="0" w:right="0"/>
              <w:jc w:val="left"/>
              <w:rPr>
                <w:rFonts w:hint="eastAsia" w:ascii="宋体" w:hAnsi="宋体" w:eastAsia="宋体" w:cs="宋体"/>
                <w:b w:val="0"/>
                <w:color w:val="auto"/>
                <w:sz w:val="24"/>
                <w:lang w:val="en-US" w:eastAsia="zh-CN"/>
              </w:rPr>
            </w:pPr>
            <w:r>
              <w:rPr>
                <w:rFonts w:hint="eastAsia" w:ascii="宋体" w:hAnsi="宋体" w:eastAsia="宋体" w:cs="宋体"/>
                <w:b w:val="0"/>
                <w:color w:val="auto"/>
                <w:sz w:val="24"/>
                <w:lang w:val="en-US" w:eastAsia="zh-CN"/>
              </w:rPr>
              <w:t>（4）在签订合同时，中标人书面明确表示无需预付款或者主动要求降低预付款比例的，采购人可降低预付款支付比例或不支付预付款。</w:t>
            </w:r>
          </w:p>
        </w:tc>
      </w:tr>
      <w:tr w14:paraId="1F2BC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8" w:hRule="atLeast"/>
          <w:jc w:val="center"/>
        </w:trPr>
        <w:tc>
          <w:tcPr>
            <w:tcW w:w="785" w:type="dxa"/>
            <w:noWrap w:val="0"/>
            <w:vAlign w:val="center"/>
          </w:tcPr>
          <w:p w14:paraId="06B736D5">
            <w:pPr>
              <w:pStyle w:val="14"/>
              <w:keepNext w:val="0"/>
              <w:keepLines w:val="0"/>
              <w:suppressLineNumbers w:val="0"/>
              <w:pBdr>
                <w:bottom w:val="none" w:color="auto" w:sz="0" w:space="0"/>
              </w:pBdr>
              <w:tabs>
                <w:tab w:val="clear" w:pos="4153"/>
                <w:tab w:val="clear" w:pos="8306"/>
              </w:tabs>
              <w:wordWrap w:val="0"/>
              <w:adjustRightInd/>
              <w:spacing w:before="0" w:beforeAutospacing="0" w:after="0" w:afterAutospacing="0" w:line="240" w:lineRule="auto"/>
              <w:ind w:left="0" w:right="0"/>
              <w:textAlignment w:val="auto"/>
              <w:rPr>
                <w:rFonts w:hint="eastAsia" w:ascii="宋体" w:hAnsi="宋体" w:eastAsia="宋体" w:cs="宋体"/>
                <w:bCs/>
                <w:color w:val="auto"/>
                <w:kern w:val="2"/>
              </w:rPr>
            </w:pPr>
            <w:r>
              <w:rPr>
                <w:rFonts w:hint="eastAsia" w:ascii="宋体" w:hAnsi="宋体" w:eastAsia="宋体" w:cs="宋体"/>
                <w:bCs/>
                <w:color w:val="auto"/>
                <w:kern w:val="2"/>
              </w:rPr>
              <w:t>2</w:t>
            </w:r>
          </w:p>
        </w:tc>
        <w:tc>
          <w:tcPr>
            <w:tcW w:w="2100" w:type="dxa"/>
            <w:noWrap w:val="0"/>
            <w:vAlign w:val="center"/>
          </w:tcPr>
          <w:p w14:paraId="730BBBA2">
            <w:pPr>
              <w:pStyle w:val="15"/>
              <w:keepNext w:val="0"/>
              <w:keepLines w:val="0"/>
              <w:widowControl w:val="0"/>
              <w:suppressLineNumbers w:val="0"/>
              <w:wordWrap w:val="0"/>
              <w:spacing w:before="0" w:beforeAutospacing="0" w:after="0" w:afterAutospacing="0" w:line="360" w:lineRule="auto"/>
              <w:ind w:left="0" w:right="0"/>
              <w:rPr>
                <w:rFonts w:hint="eastAsia" w:ascii="宋体" w:hAnsi="宋体" w:eastAsia="宋体" w:cs="宋体"/>
                <w:b w:val="0"/>
                <w:color w:val="auto"/>
                <w:sz w:val="24"/>
              </w:rPr>
            </w:pPr>
            <w:r>
              <w:rPr>
                <w:rFonts w:hint="eastAsia" w:ascii="宋体" w:hAnsi="宋体" w:eastAsia="宋体" w:cs="宋体"/>
                <w:b w:val="0"/>
                <w:color w:val="auto"/>
                <w:sz w:val="24"/>
              </w:rPr>
              <w:t>供货及安装地点</w:t>
            </w:r>
          </w:p>
        </w:tc>
        <w:tc>
          <w:tcPr>
            <w:tcW w:w="6519" w:type="dxa"/>
            <w:noWrap w:val="0"/>
            <w:vAlign w:val="center"/>
          </w:tcPr>
          <w:p w14:paraId="56AC99DD">
            <w:pPr>
              <w:pStyle w:val="15"/>
              <w:keepNext w:val="0"/>
              <w:keepLines w:val="0"/>
              <w:widowControl w:val="0"/>
              <w:suppressLineNumbers w:val="0"/>
              <w:wordWrap w:val="0"/>
              <w:spacing w:before="0" w:beforeAutospacing="0" w:after="0" w:afterAutospacing="0" w:line="360" w:lineRule="auto"/>
              <w:ind w:left="0" w:right="0"/>
              <w:jc w:val="left"/>
              <w:rPr>
                <w:rFonts w:hint="eastAsia" w:ascii="宋体" w:hAnsi="宋体" w:eastAsia="宋体" w:cs="宋体"/>
                <w:b w:val="0"/>
                <w:color w:val="auto"/>
                <w:sz w:val="24"/>
              </w:rPr>
            </w:pPr>
            <w:r>
              <w:rPr>
                <w:rFonts w:hint="eastAsia" w:ascii="宋体" w:hAnsi="宋体" w:eastAsia="宋体" w:cs="宋体"/>
                <w:b w:val="0"/>
                <w:color w:val="auto"/>
                <w:sz w:val="24"/>
                <w:lang w:eastAsia="zh-CN"/>
              </w:rPr>
              <w:t>安徽医科大学第一附属医院高新院区科教综合楼1706实验室</w:t>
            </w:r>
            <w:r>
              <w:rPr>
                <w:rFonts w:hint="eastAsia" w:ascii="宋体" w:hAnsi="宋体" w:eastAsia="宋体" w:cs="宋体"/>
                <w:b w:val="0"/>
                <w:color w:val="auto"/>
                <w:sz w:val="24"/>
              </w:rPr>
              <w:t>，具体按采购人指定。</w:t>
            </w:r>
          </w:p>
        </w:tc>
      </w:tr>
      <w:tr w14:paraId="70D3B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atLeast"/>
          <w:jc w:val="center"/>
        </w:trPr>
        <w:tc>
          <w:tcPr>
            <w:tcW w:w="785" w:type="dxa"/>
            <w:noWrap w:val="0"/>
            <w:vAlign w:val="center"/>
          </w:tcPr>
          <w:p w14:paraId="0A5F671B">
            <w:pPr>
              <w:pStyle w:val="14"/>
              <w:keepNext w:val="0"/>
              <w:keepLines w:val="0"/>
              <w:suppressLineNumbers w:val="0"/>
              <w:pBdr>
                <w:bottom w:val="none" w:color="auto" w:sz="0" w:space="0"/>
              </w:pBdr>
              <w:tabs>
                <w:tab w:val="clear" w:pos="4153"/>
                <w:tab w:val="clear" w:pos="8306"/>
              </w:tabs>
              <w:wordWrap w:val="0"/>
              <w:adjustRightInd/>
              <w:spacing w:before="0" w:beforeAutospacing="0" w:after="0" w:afterAutospacing="0" w:line="240" w:lineRule="auto"/>
              <w:ind w:left="0" w:right="0"/>
              <w:textAlignment w:val="auto"/>
              <w:rPr>
                <w:rFonts w:hint="eastAsia" w:ascii="宋体" w:hAnsi="宋体" w:eastAsia="宋体" w:cs="宋体"/>
                <w:bCs/>
                <w:color w:val="auto"/>
                <w:kern w:val="2"/>
              </w:rPr>
            </w:pPr>
            <w:r>
              <w:rPr>
                <w:rFonts w:hint="eastAsia" w:ascii="宋体" w:hAnsi="宋体" w:eastAsia="宋体" w:cs="宋体"/>
                <w:bCs/>
                <w:color w:val="auto"/>
                <w:kern w:val="2"/>
              </w:rPr>
              <w:t>3</w:t>
            </w:r>
          </w:p>
        </w:tc>
        <w:tc>
          <w:tcPr>
            <w:tcW w:w="2100" w:type="dxa"/>
            <w:noWrap w:val="0"/>
            <w:vAlign w:val="center"/>
          </w:tcPr>
          <w:p w14:paraId="25193D19">
            <w:pPr>
              <w:pStyle w:val="15"/>
              <w:keepNext w:val="0"/>
              <w:keepLines w:val="0"/>
              <w:widowControl w:val="0"/>
              <w:suppressLineNumbers w:val="0"/>
              <w:wordWrap w:val="0"/>
              <w:spacing w:before="0" w:beforeAutospacing="0" w:after="0" w:afterAutospacing="0" w:line="360" w:lineRule="auto"/>
              <w:ind w:left="0" w:right="0"/>
              <w:rPr>
                <w:rFonts w:hint="eastAsia" w:ascii="宋体" w:hAnsi="宋体" w:eastAsia="宋体" w:cs="宋体"/>
                <w:b w:val="0"/>
                <w:color w:val="auto"/>
                <w:sz w:val="24"/>
              </w:rPr>
            </w:pPr>
            <w:r>
              <w:rPr>
                <w:rFonts w:hint="eastAsia" w:ascii="宋体" w:hAnsi="宋体" w:eastAsia="宋体" w:cs="宋体"/>
                <w:b w:val="0"/>
                <w:color w:val="auto"/>
                <w:sz w:val="24"/>
              </w:rPr>
              <w:t>供货及安装期限</w:t>
            </w:r>
          </w:p>
        </w:tc>
        <w:tc>
          <w:tcPr>
            <w:tcW w:w="6519" w:type="dxa"/>
            <w:noWrap w:val="0"/>
            <w:vAlign w:val="center"/>
          </w:tcPr>
          <w:p w14:paraId="028F13FD">
            <w:pPr>
              <w:pStyle w:val="15"/>
              <w:keepNext w:val="0"/>
              <w:keepLines w:val="0"/>
              <w:widowControl w:val="0"/>
              <w:suppressLineNumbers w:val="0"/>
              <w:wordWrap w:val="0"/>
              <w:spacing w:before="0" w:beforeAutospacing="0" w:after="0" w:afterAutospacing="0" w:line="360" w:lineRule="auto"/>
              <w:ind w:left="0" w:right="0"/>
              <w:jc w:val="left"/>
              <w:rPr>
                <w:rFonts w:hint="eastAsia" w:ascii="宋体" w:hAnsi="宋体" w:eastAsia="宋体" w:cs="宋体"/>
                <w:b w:val="0"/>
                <w:color w:val="auto"/>
                <w:sz w:val="24"/>
                <w:lang w:eastAsia="zh-CN"/>
              </w:rPr>
            </w:pPr>
            <w:r>
              <w:rPr>
                <w:rFonts w:hint="eastAsia" w:ascii="宋体" w:hAnsi="宋体" w:eastAsia="宋体" w:cs="宋体"/>
                <w:b w:val="0"/>
                <w:color w:val="auto"/>
                <w:sz w:val="24"/>
                <w:lang w:eastAsia="zh-CN"/>
              </w:rPr>
              <w:t>合同生效后，国产设备30个日历日内完成供货、安装及调试，进口设备90个日历日内完成供货、安装及调试。</w:t>
            </w:r>
          </w:p>
        </w:tc>
      </w:tr>
      <w:tr w14:paraId="58633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785" w:type="dxa"/>
            <w:noWrap w:val="0"/>
            <w:vAlign w:val="center"/>
          </w:tcPr>
          <w:p w14:paraId="346D0E28">
            <w:pPr>
              <w:pStyle w:val="14"/>
              <w:keepNext w:val="0"/>
              <w:keepLines w:val="0"/>
              <w:suppressLineNumbers w:val="0"/>
              <w:pBdr>
                <w:bottom w:val="none" w:color="auto" w:sz="0" w:space="0"/>
              </w:pBdr>
              <w:tabs>
                <w:tab w:val="clear" w:pos="4153"/>
                <w:tab w:val="clear" w:pos="8306"/>
              </w:tabs>
              <w:wordWrap w:val="0"/>
              <w:adjustRightInd/>
              <w:spacing w:before="0" w:beforeAutospacing="0" w:after="0" w:afterAutospacing="0" w:line="240" w:lineRule="auto"/>
              <w:ind w:left="0" w:right="0"/>
              <w:textAlignment w:val="auto"/>
              <w:rPr>
                <w:rFonts w:hint="eastAsia" w:ascii="宋体" w:hAnsi="宋体" w:eastAsia="宋体" w:cs="宋体"/>
                <w:bCs/>
                <w:color w:val="auto"/>
                <w:kern w:val="2"/>
              </w:rPr>
            </w:pPr>
            <w:r>
              <w:rPr>
                <w:rFonts w:hint="eastAsia" w:ascii="宋体" w:hAnsi="宋体" w:eastAsia="宋体" w:cs="宋体"/>
                <w:bCs/>
                <w:color w:val="auto"/>
                <w:kern w:val="2"/>
              </w:rPr>
              <w:t>4</w:t>
            </w:r>
          </w:p>
        </w:tc>
        <w:tc>
          <w:tcPr>
            <w:tcW w:w="2100" w:type="dxa"/>
            <w:noWrap w:val="0"/>
            <w:vAlign w:val="center"/>
          </w:tcPr>
          <w:p w14:paraId="05F79A1F">
            <w:pPr>
              <w:pStyle w:val="15"/>
              <w:keepNext w:val="0"/>
              <w:keepLines w:val="0"/>
              <w:widowControl w:val="0"/>
              <w:suppressLineNumbers w:val="0"/>
              <w:wordWrap w:val="0"/>
              <w:spacing w:before="0" w:beforeAutospacing="0" w:after="0" w:afterAutospacing="0" w:line="360" w:lineRule="auto"/>
              <w:ind w:left="0" w:right="0"/>
              <w:rPr>
                <w:rFonts w:hint="eastAsia" w:ascii="宋体" w:hAnsi="宋体" w:eastAsia="宋体" w:cs="宋体"/>
                <w:b w:val="0"/>
                <w:color w:val="auto"/>
                <w:sz w:val="24"/>
              </w:rPr>
            </w:pPr>
            <w:r>
              <w:rPr>
                <w:rFonts w:hint="eastAsia" w:ascii="宋体" w:hAnsi="宋体" w:eastAsia="宋体" w:cs="宋体"/>
                <w:b w:val="0"/>
                <w:color w:val="auto"/>
                <w:sz w:val="24"/>
              </w:rPr>
              <w:t>免费质保期</w:t>
            </w:r>
          </w:p>
        </w:tc>
        <w:tc>
          <w:tcPr>
            <w:tcW w:w="6519" w:type="dxa"/>
            <w:noWrap w:val="0"/>
            <w:vAlign w:val="center"/>
          </w:tcPr>
          <w:p w14:paraId="23C6367C">
            <w:pPr>
              <w:pStyle w:val="15"/>
              <w:keepNext w:val="0"/>
              <w:keepLines w:val="0"/>
              <w:widowControl w:val="0"/>
              <w:suppressLineNumbers w:val="0"/>
              <w:wordWrap w:val="0"/>
              <w:spacing w:before="0" w:beforeAutospacing="0" w:after="0" w:afterAutospacing="0" w:line="360" w:lineRule="auto"/>
              <w:ind w:left="0" w:right="0"/>
              <w:jc w:val="left"/>
              <w:rPr>
                <w:rFonts w:hint="eastAsia" w:ascii="宋体" w:hAnsi="宋体" w:eastAsia="宋体" w:cs="宋体"/>
                <w:b w:val="0"/>
                <w:color w:val="auto"/>
                <w:sz w:val="24"/>
                <w:lang w:eastAsia="zh-CN"/>
              </w:rPr>
            </w:pPr>
            <w:r>
              <w:rPr>
                <w:rFonts w:hint="eastAsia" w:ascii="宋体" w:hAnsi="宋体" w:eastAsia="宋体" w:cs="宋体"/>
                <w:b w:val="0"/>
                <w:color w:val="auto"/>
                <w:sz w:val="24"/>
                <w:lang w:eastAsia="zh-CN"/>
              </w:rPr>
              <w:t>转运体功能分析仪自验收合格之日起提供整机原厂质保2年。</w:t>
            </w:r>
          </w:p>
          <w:p w14:paraId="5984B7D9">
            <w:pPr>
              <w:pStyle w:val="15"/>
              <w:keepNext w:val="0"/>
              <w:keepLines w:val="0"/>
              <w:widowControl w:val="0"/>
              <w:suppressLineNumbers w:val="0"/>
              <w:wordWrap w:val="0"/>
              <w:spacing w:before="0" w:beforeAutospacing="0" w:after="0" w:afterAutospacing="0" w:line="360" w:lineRule="auto"/>
              <w:ind w:left="0" w:right="0"/>
              <w:jc w:val="left"/>
              <w:rPr>
                <w:rFonts w:hint="eastAsia" w:ascii="宋体" w:hAnsi="宋体" w:eastAsia="宋体" w:cs="宋体"/>
                <w:b w:val="0"/>
                <w:color w:val="auto"/>
                <w:sz w:val="24"/>
              </w:rPr>
            </w:pPr>
            <w:r>
              <w:rPr>
                <w:rFonts w:hint="eastAsia" w:ascii="宋体" w:hAnsi="宋体" w:eastAsia="宋体" w:cs="宋体"/>
                <w:b w:val="0"/>
                <w:color w:val="auto"/>
                <w:sz w:val="24"/>
                <w:lang w:eastAsia="zh-CN"/>
              </w:rPr>
              <w:t>单细胞悬液制备仪自验收合格之日起提供整机原厂质保1年。</w:t>
            </w:r>
          </w:p>
        </w:tc>
      </w:tr>
    </w:tbl>
    <w:p w14:paraId="2E9074F7">
      <w:pPr>
        <w:pStyle w:val="5"/>
        <w:wordWrap w:val="0"/>
        <w:ind w:firstLine="0" w:firstLineChars="0"/>
        <w:rPr>
          <w:rFonts w:eastAsia="黑体"/>
        </w:rPr>
      </w:pPr>
      <w:bookmarkStart w:id="9" w:name="_Toc369119811"/>
      <w:bookmarkStart w:id="10" w:name="_Toc302804901"/>
      <w:bookmarkStart w:id="11" w:name="_Toc58935147"/>
      <w:bookmarkStart w:id="12" w:name="_Toc1693477008"/>
      <w:bookmarkStart w:id="13" w:name="_Toc1715351726"/>
      <w:bookmarkStart w:id="14" w:name="_Toc626387511"/>
      <w:bookmarkStart w:id="15" w:name="_Toc717369146"/>
      <w:bookmarkStart w:id="16" w:name="_Toc1191965283_WPSOffice_Level2"/>
      <w:r>
        <w:rPr>
          <w:rFonts w:hint="eastAsia" w:eastAsia="黑体"/>
        </w:rPr>
        <w:t>二、货物需求</w:t>
      </w:r>
      <w:bookmarkEnd w:id="9"/>
      <w:bookmarkEnd w:id="10"/>
      <w:bookmarkEnd w:id="11"/>
      <w:bookmarkEnd w:id="12"/>
      <w:bookmarkEnd w:id="13"/>
      <w:bookmarkEnd w:id="14"/>
      <w:bookmarkEnd w:id="15"/>
      <w:bookmarkEnd w:id="16"/>
    </w:p>
    <w:p w14:paraId="67867D18">
      <w:pPr>
        <w:pStyle w:val="11"/>
        <w:wordWrap w:val="0"/>
        <w:spacing w:line="360" w:lineRule="auto"/>
        <w:ind w:left="0" w:firstLine="482"/>
        <w:rPr>
          <w:rFonts w:hint="eastAsia" w:ascii="宋体" w:hAnsi="宋体" w:eastAsia="宋体" w:cs="宋体"/>
          <w:b/>
          <w:bCs/>
          <w:sz w:val="24"/>
          <w:szCs w:val="24"/>
        </w:rPr>
      </w:pPr>
      <w:r>
        <w:rPr>
          <w:rFonts w:hint="eastAsia" w:ascii="宋体" w:hAnsi="宋体" w:eastAsia="宋体" w:cs="宋体"/>
          <w:b/>
          <w:bCs/>
          <w:sz w:val="24"/>
          <w:szCs w:val="24"/>
        </w:rPr>
        <w:t>（一）货物需求说明</w:t>
      </w:r>
    </w:p>
    <w:tbl>
      <w:tblPr>
        <w:tblStyle w:val="12"/>
        <w:tblW w:w="93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3"/>
        <w:gridCol w:w="1284"/>
        <w:gridCol w:w="6033"/>
      </w:tblGrid>
      <w:tr w14:paraId="6B446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983" w:type="dxa"/>
            <w:noWrap w:val="0"/>
            <w:vAlign w:val="top"/>
          </w:tcPr>
          <w:p w14:paraId="4F9D68D5">
            <w:pPr>
              <w:pStyle w:val="11"/>
              <w:keepNext w:val="0"/>
              <w:keepLines w:val="0"/>
              <w:suppressLineNumbers w:val="0"/>
              <w:wordWrap w:val="0"/>
              <w:spacing w:before="0" w:beforeAutospacing="0" w:after="0" w:afterAutospacing="0" w:line="500" w:lineRule="exact"/>
              <w:ind w:left="0" w:right="0" w:firstLine="0" w:firstLineChars="0"/>
              <w:jc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rPr>
              <w:t>需求内容类别</w:t>
            </w:r>
          </w:p>
        </w:tc>
        <w:tc>
          <w:tcPr>
            <w:tcW w:w="1284" w:type="dxa"/>
            <w:noWrap w:val="0"/>
            <w:vAlign w:val="top"/>
          </w:tcPr>
          <w:p w14:paraId="1EE25359">
            <w:pPr>
              <w:pStyle w:val="11"/>
              <w:keepNext w:val="0"/>
              <w:keepLines w:val="0"/>
              <w:suppressLineNumbers w:val="0"/>
              <w:wordWrap w:val="0"/>
              <w:spacing w:before="0" w:beforeAutospacing="0" w:after="0" w:afterAutospacing="0" w:line="500" w:lineRule="exact"/>
              <w:ind w:left="0" w:right="0" w:firstLine="0" w:firstLineChars="0"/>
              <w:jc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rPr>
              <w:t>标识符号</w:t>
            </w:r>
          </w:p>
        </w:tc>
        <w:tc>
          <w:tcPr>
            <w:tcW w:w="6033" w:type="dxa"/>
            <w:noWrap w:val="0"/>
            <w:vAlign w:val="top"/>
          </w:tcPr>
          <w:p w14:paraId="5CF44246">
            <w:pPr>
              <w:pStyle w:val="11"/>
              <w:keepNext w:val="0"/>
              <w:keepLines w:val="0"/>
              <w:suppressLineNumbers w:val="0"/>
              <w:wordWrap w:val="0"/>
              <w:spacing w:before="0" w:beforeAutospacing="0" w:after="0" w:afterAutospacing="0" w:line="500" w:lineRule="exact"/>
              <w:ind w:left="0" w:right="0" w:firstLine="0" w:firstLineChars="0"/>
              <w:jc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rPr>
              <w:t>投标要求</w:t>
            </w:r>
          </w:p>
        </w:tc>
      </w:tr>
      <w:tr w14:paraId="25485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3" w:type="dxa"/>
            <w:noWrap w:val="0"/>
            <w:vAlign w:val="center"/>
          </w:tcPr>
          <w:p w14:paraId="29146BDE">
            <w:pPr>
              <w:pStyle w:val="11"/>
              <w:keepNext w:val="0"/>
              <w:keepLines w:val="0"/>
              <w:suppressLineNumbers w:val="0"/>
              <w:wordWrap w:val="0"/>
              <w:spacing w:before="0" w:beforeAutospacing="0" w:after="0" w:afterAutospacing="0" w:line="500" w:lineRule="exact"/>
              <w:ind w:left="0" w:right="0" w:firstLine="0" w:firstLineChars="0"/>
              <w:jc w:val="center"/>
              <w:rPr>
                <w:rFonts w:hint="eastAsia" w:ascii="宋体" w:hAnsi="宋体" w:eastAsia="宋体" w:cs="宋体"/>
                <w:color w:val="auto"/>
                <w:sz w:val="24"/>
                <w:szCs w:val="24"/>
              </w:rPr>
            </w:pPr>
            <w:r>
              <w:rPr>
                <w:rFonts w:hint="eastAsia" w:ascii="宋体" w:hAnsi="宋体" w:eastAsia="宋体" w:cs="宋体"/>
                <w:color w:val="auto"/>
                <w:sz w:val="24"/>
                <w:szCs w:val="24"/>
              </w:rPr>
              <w:t>关键指标项</w:t>
            </w:r>
          </w:p>
        </w:tc>
        <w:tc>
          <w:tcPr>
            <w:tcW w:w="1284" w:type="dxa"/>
            <w:noWrap w:val="0"/>
            <w:vAlign w:val="center"/>
          </w:tcPr>
          <w:p w14:paraId="483E3E34">
            <w:pPr>
              <w:widowControl w:val="0"/>
              <w:kinsoku/>
              <w:wordWrap w:val="0"/>
              <w:autoSpaceDE/>
              <w:autoSpaceDN/>
              <w:spacing w:line="300" w:lineRule="auto"/>
              <w:jc w:val="center"/>
              <w:textAlignment w:val="auto"/>
              <w:rPr>
                <w:rFonts w:hint="eastAsia" w:ascii="宋体" w:hAnsi="宋体" w:eastAsia="宋体" w:cs="宋体"/>
                <w:color w:val="auto"/>
                <w:sz w:val="24"/>
                <w:szCs w:val="24"/>
              </w:rPr>
            </w:pPr>
            <w:r>
              <w:rPr>
                <w:rFonts w:hint="eastAsia" w:ascii="宋体" w:hAnsi="宋体" w:eastAsia="宋体" w:cs="宋体"/>
                <w:bCs/>
                <w:snapToGrid/>
                <w:color w:val="auto"/>
                <w:kern w:val="2"/>
                <w:sz w:val="24"/>
                <w:szCs w:val="24"/>
                <w:lang w:eastAsia="zh-CN"/>
              </w:rPr>
              <w:t>●</w:t>
            </w:r>
          </w:p>
        </w:tc>
        <w:tc>
          <w:tcPr>
            <w:tcW w:w="6033" w:type="dxa"/>
            <w:noWrap w:val="0"/>
            <w:vAlign w:val="center"/>
          </w:tcPr>
          <w:p w14:paraId="7BAB4D5C">
            <w:pPr>
              <w:pStyle w:val="11"/>
              <w:keepNext w:val="0"/>
              <w:keepLines w:val="0"/>
              <w:suppressLineNumbers w:val="0"/>
              <w:wordWrap w:val="0"/>
              <w:spacing w:before="0" w:beforeAutospacing="0" w:after="0" w:afterAutospacing="0" w:line="500" w:lineRule="exact"/>
              <w:ind w:left="0" w:right="0" w:firstLine="0" w:firstLineChars="0"/>
              <w:jc w:val="left"/>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符合性审查项，</w:t>
            </w:r>
            <w:r>
              <w:rPr>
                <w:rFonts w:hint="eastAsia" w:ascii="宋体" w:hAnsi="宋体" w:eastAsia="宋体" w:cs="宋体"/>
                <w:color w:val="auto"/>
                <w:sz w:val="24"/>
                <w:szCs w:val="24"/>
              </w:rPr>
              <w:t>不满足</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负偏离</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该指标项将导致</w:t>
            </w:r>
            <w:r>
              <w:rPr>
                <w:rFonts w:hint="eastAsia" w:ascii="宋体" w:hAnsi="宋体" w:eastAsia="宋体" w:cs="宋体"/>
                <w:b/>
                <w:bCs/>
                <w:color w:val="auto"/>
                <w:sz w:val="24"/>
                <w:szCs w:val="24"/>
              </w:rPr>
              <w:t>投标无效</w:t>
            </w:r>
            <w:r>
              <w:rPr>
                <w:rFonts w:hint="eastAsia" w:ascii="宋体" w:hAnsi="宋体" w:eastAsia="宋体" w:cs="宋体"/>
                <w:color w:val="auto"/>
                <w:sz w:val="24"/>
                <w:szCs w:val="24"/>
                <w:lang w:eastAsia="zh-CN"/>
              </w:rPr>
              <w:t>。</w:t>
            </w:r>
          </w:p>
        </w:tc>
      </w:tr>
      <w:tr w14:paraId="181ED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1983" w:type="dxa"/>
            <w:noWrap w:val="0"/>
            <w:vAlign w:val="center"/>
          </w:tcPr>
          <w:p w14:paraId="47091499">
            <w:pPr>
              <w:pStyle w:val="11"/>
              <w:keepNext w:val="0"/>
              <w:keepLines w:val="0"/>
              <w:suppressLineNumbers w:val="0"/>
              <w:wordWrap w:val="0"/>
              <w:spacing w:before="0" w:beforeAutospacing="0" w:after="0" w:afterAutospacing="0" w:line="500" w:lineRule="exact"/>
              <w:ind w:left="0" w:right="0" w:firstLine="0" w:firstLineChars="0"/>
              <w:jc w:val="center"/>
              <w:rPr>
                <w:rFonts w:hint="eastAsia" w:ascii="宋体" w:hAnsi="宋体" w:eastAsia="宋体" w:cs="宋体"/>
                <w:color w:val="auto"/>
                <w:sz w:val="24"/>
                <w:szCs w:val="24"/>
              </w:rPr>
            </w:pPr>
            <w:r>
              <w:rPr>
                <w:rFonts w:hint="eastAsia" w:ascii="宋体" w:hAnsi="宋体" w:eastAsia="宋体" w:cs="宋体"/>
                <w:color w:val="auto"/>
                <w:sz w:val="24"/>
                <w:szCs w:val="24"/>
              </w:rPr>
              <w:t>重要指标项</w:t>
            </w:r>
          </w:p>
        </w:tc>
        <w:tc>
          <w:tcPr>
            <w:tcW w:w="1284" w:type="dxa"/>
            <w:noWrap w:val="0"/>
            <w:vAlign w:val="center"/>
          </w:tcPr>
          <w:p w14:paraId="0B5B8133">
            <w:pPr>
              <w:widowControl w:val="0"/>
              <w:kinsoku/>
              <w:wordWrap w:val="0"/>
              <w:autoSpaceDE/>
              <w:autoSpaceDN/>
              <w:spacing w:line="300" w:lineRule="auto"/>
              <w:jc w:val="center"/>
              <w:textAlignment w:val="auto"/>
              <w:rPr>
                <w:rFonts w:hint="eastAsia" w:ascii="宋体" w:hAnsi="宋体" w:eastAsia="宋体" w:cs="宋体"/>
                <w:color w:val="auto"/>
                <w:sz w:val="24"/>
                <w:szCs w:val="24"/>
              </w:rPr>
            </w:pPr>
            <w:r>
              <w:rPr>
                <w:rFonts w:hint="eastAsia" w:ascii="宋体" w:hAnsi="宋体" w:eastAsia="宋体" w:cs="宋体"/>
                <w:snapToGrid/>
                <w:color w:val="auto"/>
                <w:kern w:val="2"/>
                <w:sz w:val="24"/>
                <w:szCs w:val="24"/>
                <w:lang w:eastAsia="zh-CN"/>
              </w:rPr>
              <w:t>★</w:t>
            </w:r>
          </w:p>
        </w:tc>
        <w:tc>
          <w:tcPr>
            <w:tcW w:w="6033" w:type="dxa"/>
            <w:noWrap w:val="0"/>
            <w:vAlign w:val="center"/>
          </w:tcPr>
          <w:p w14:paraId="10EEE1F4">
            <w:pPr>
              <w:pStyle w:val="11"/>
              <w:keepNext w:val="0"/>
              <w:keepLines w:val="0"/>
              <w:suppressLineNumbers w:val="0"/>
              <w:wordWrap w:val="0"/>
              <w:spacing w:before="0" w:beforeAutospacing="0" w:after="0" w:afterAutospacing="0" w:line="500" w:lineRule="exact"/>
              <w:ind w:left="0" w:right="0" w:firstLine="0" w:firstLineChars="0"/>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作为评分项，详见“第四章评标方法和标准”中评分</w:t>
            </w:r>
            <w:r>
              <w:rPr>
                <w:rFonts w:hint="eastAsia" w:ascii="宋体" w:hAnsi="宋体" w:eastAsia="宋体" w:cs="宋体"/>
                <w:color w:val="auto"/>
                <w:sz w:val="24"/>
                <w:szCs w:val="24"/>
                <w:lang w:val="en-US" w:eastAsia="zh-CN"/>
              </w:rPr>
              <w:t>细则。</w:t>
            </w:r>
          </w:p>
        </w:tc>
      </w:tr>
      <w:tr w14:paraId="39B8A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3" w:type="dxa"/>
            <w:noWrap w:val="0"/>
            <w:vAlign w:val="center"/>
          </w:tcPr>
          <w:p w14:paraId="5045D5E1">
            <w:pPr>
              <w:pStyle w:val="11"/>
              <w:keepNext w:val="0"/>
              <w:keepLines w:val="0"/>
              <w:suppressLineNumbers w:val="0"/>
              <w:wordWrap w:val="0"/>
              <w:spacing w:before="0" w:beforeAutospacing="0" w:after="0" w:afterAutospacing="0" w:line="500" w:lineRule="exact"/>
              <w:ind w:left="0" w:right="0" w:firstLine="0" w:firstLineChars="0"/>
              <w:jc w:val="center"/>
              <w:rPr>
                <w:rFonts w:hint="eastAsia" w:ascii="宋体" w:hAnsi="宋体" w:eastAsia="宋体" w:cs="宋体"/>
                <w:color w:val="auto"/>
                <w:sz w:val="24"/>
                <w:szCs w:val="24"/>
              </w:rPr>
            </w:pPr>
            <w:r>
              <w:rPr>
                <w:rFonts w:hint="eastAsia" w:ascii="宋体" w:hAnsi="宋体" w:eastAsia="宋体" w:cs="宋体"/>
                <w:color w:val="auto"/>
                <w:sz w:val="24"/>
                <w:szCs w:val="24"/>
              </w:rPr>
              <w:t>无标识项</w:t>
            </w:r>
          </w:p>
        </w:tc>
        <w:tc>
          <w:tcPr>
            <w:tcW w:w="1284" w:type="dxa"/>
            <w:noWrap w:val="0"/>
            <w:vAlign w:val="center"/>
          </w:tcPr>
          <w:p w14:paraId="61D7B593">
            <w:pPr>
              <w:pStyle w:val="11"/>
              <w:keepNext w:val="0"/>
              <w:keepLines w:val="0"/>
              <w:suppressLineNumbers w:val="0"/>
              <w:wordWrap w:val="0"/>
              <w:spacing w:before="0" w:beforeAutospacing="0" w:after="0" w:afterAutospacing="0" w:line="500" w:lineRule="exact"/>
              <w:ind w:left="0" w:right="0" w:firstLine="0" w:firstLineChars="0"/>
              <w:jc w:val="center"/>
              <w:rPr>
                <w:rFonts w:hint="eastAsia" w:ascii="宋体" w:hAnsi="宋体" w:eastAsia="宋体" w:cs="宋体"/>
                <w:color w:val="auto"/>
                <w:sz w:val="24"/>
                <w:szCs w:val="24"/>
              </w:rPr>
            </w:pPr>
          </w:p>
        </w:tc>
        <w:tc>
          <w:tcPr>
            <w:tcW w:w="6033" w:type="dxa"/>
            <w:noWrap w:val="0"/>
            <w:vAlign w:val="center"/>
          </w:tcPr>
          <w:p w14:paraId="0A0E2101">
            <w:pPr>
              <w:pStyle w:val="11"/>
              <w:keepNext w:val="0"/>
              <w:keepLines w:val="0"/>
              <w:suppressLineNumbers w:val="0"/>
              <w:wordWrap w:val="0"/>
              <w:spacing w:before="0" w:beforeAutospacing="0" w:after="0" w:afterAutospacing="0" w:line="500" w:lineRule="exact"/>
              <w:ind w:left="0" w:right="0" w:firstLine="0" w:firstLineChars="0"/>
              <w:jc w:val="left"/>
              <w:rPr>
                <w:rFonts w:hint="eastAsia" w:ascii="宋体" w:hAnsi="宋体" w:eastAsia="宋体" w:cs="宋体"/>
                <w:color w:val="auto"/>
                <w:sz w:val="24"/>
                <w:szCs w:val="24"/>
              </w:rPr>
            </w:pPr>
            <w:r>
              <w:rPr>
                <w:rFonts w:hint="eastAsia" w:ascii="宋体" w:hAnsi="宋体" w:eastAsia="宋体" w:cs="宋体"/>
                <w:bCs/>
                <w:color w:val="auto"/>
                <w:kern w:val="2"/>
                <w:sz w:val="24"/>
                <w:szCs w:val="24"/>
                <w:highlight w:val="none"/>
                <w:lang w:val="en-US" w:eastAsia="zh-CN" w:bidi="ar-SA"/>
              </w:rPr>
              <w:t>符合性审查项，该指标项最大允许负偏离</w:t>
            </w:r>
            <w:r>
              <w:rPr>
                <w:rFonts w:hint="eastAsia" w:ascii="宋体" w:hAnsi="宋体" w:eastAsia="宋体" w:cs="宋体"/>
                <w:bCs/>
                <w:color w:val="auto"/>
                <w:kern w:val="2"/>
                <w:sz w:val="24"/>
                <w:szCs w:val="24"/>
                <w:highlight w:val="none"/>
                <w:u w:val="single"/>
                <w:lang w:val="en-US" w:eastAsia="zh-CN" w:bidi="ar-SA"/>
              </w:rPr>
              <w:t>4</w:t>
            </w:r>
            <w:r>
              <w:rPr>
                <w:rFonts w:hint="eastAsia" w:ascii="宋体" w:hAnsi="宋体" w:eastAsia="宋体" w:cs="宋体"/>
                <w:bCs/>
                <w:color w:val="auto"/>
                <w:kern w:val="2"/>
                <w:sz w:val="24"/>
                <w:szCs w:val="24"/>
                <w:highlight w:val="none"/>
                <w:lang w:val="en-US" w:eastAsia="zh-CN" w:bidi="ar-SA"/>
              </w:rPr>
              <w:t>项，超过最大允许负偏离项数的，</w:t>
            </w:r>
            <w:r>
              <w:rPr>
                <w:rFonts w:hint="eastAsia" w:ascii="宋体" w:hAnsi="宋体" w:eastAsia="宋体" w:cs="宋体"/>
                <w:b/>
                <w:bCs w:val="0"/>
                <w:color w:val="auto"/>
                <w:kern w:val="2"/>
                <w:sz w:val="24"/>
                <w:szCs w:val="24"/>
                <w:highlight w:val="none"/>
                <w:lang w:val="en-US" w:eastAsia="zh-CN" w:bidi="ar-SA"/>
              </w:rPr>
              <w:t>投标无效</w:t>
            </w:r>
            <w:r>
              <w:rPr>
                <w:rFonts w:hint="eastAsia" w:ascii="宋体" w:hAnsi="宋体" w:eastAsia="宋体" w:cs="宋体"/>
                <w:bCs/>
                <w:color w:val="auto"/>
                <w:kern w:val="2"/>
                <w:sz w:val="24"/>
                <w:szCs w:val="24"/>
                <w:highlight w:val="none"/>
                <w:lang w:val="en-US" w:eastAsia="zh-CN" w:bidi="ar-SA"/>
              </w:rPr>
              <w:t>。</w:t>
            </w:r>
          </w:p>
        </w:tc>
      </w:tr>
      <w:tr w14:paraId="1FB0F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00" w:type="dxa"/>
            <w:gridSpan w:val="3"/>
            <w:noWrap w:val="0"/>
            <w:vAlign w:val="center"/>
          </w:tcPr>
          <w:p w14:paraId="54C74D64">
            <w:pPr>
              <w:pStyle w:val="11"/>
              <w:keepNext w:val="0"/>
              <w:keepLines w:val="0"/>
              <w:suppressLineNumbers w:val="0"/>
              <w:wordWrap w:val="0"/>
              <w:spacing w:before="0" w:beforeAutospacing="0" w:after="0" w:afterAutospacing="0" w:line="500" w:lineRule="exact"/>
              <w:ind w:left="0" w:right="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rPr>
              <w:t>注：</w:t>
            </w:r>
          </w:p>
          <w:p w14:paraId="43EBFC85">
            <w:pPr>
              <w:pStyle w:val="11"/>
              <w:keepNext w:val="0"/>
              <w:keepLines w:val="0"/>
              <w:suppressLineNumbers w:val="0"/>
              <w:wordWrap w:val="0"/>
              <w:spacing w:before="0" w:beforeAutospacing="0" w:after="0" w:afterAutospacing="0" w:line="500" w:lineRule="exact"/>
              <w:ind w:left="0" w:right="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针对下表中标注★和●的指标项须按下列要求</w:t>
            </w:r>
            <w:r>
              <w:rPr>
                <w:rFonts w:hint="eastAsia" w:ascii="宋体" w:hAnsi="宋体" w:eastAsia="宋体" w:cs="宋体"/>
                <w:b/>
                <w:bCs/>
                <w:color w:val="auto"/>
                <w:sz w:val="24"/>
                <w:szCs w:val="24"/>
              </w:rPr>
              <w:t>在投标文件中提供证明材料予以佐证</w:t>
            </w:r>
            <w:r>
              <w:rPr>
                <w:rFonts w:hint="eastAsia" w:ascii="宋体" w:hAnsi="宋体" w:eastAsia="宋体" w:cs="宋体"/>
                <w:color w:val="auto"/>
                <w:sz w:val="24"/>
                <w:szCs w:val="24"/>
              </w:rPr>
              <w:t>。</w:t>
            </w:r>
          </w:p>
          <w:p w14:paraId="7ECAB9D2">
            <w:pPr>
              <w:pStyle w:val="11"/>
              <w:keepNext w:val="0"/>
              <w:keepLines w:val="0"/>
              <w:suppressLineNumbers w:val="0"/>
              <w:wordWrap w:val="0"/>
              <w:spacing w:before="0" w:beforeAutospacing="0" w:after="0" w:afterAutospacing="0" w:line="500" w:lineRule="exact"/>
              <w:ind w:left="0" w:right="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货物需求清单中明确要求</w:t>
            </w:r>
            <w:r>
              <w:rPr>
                <w:rFonts w:hint="eastAsia" w:ascii="宋体" w:hAnsi="宋体" w:eastAsia="宋体" w:cs="宋体"/>
                <w:color w:val="auto"/>
                <w:sz w:val="24"/>
                <w:szCs w:val="24"/>
                <w:lang w:val="en-US" w:eastAsia="zh-CN"/>
              </w:rPr>
              <w:t>证明材料形式</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投标人</w:t>
            </w:r>
            <w:r>
              <w:rPr>
                <w:rFonts w:hint="eastAsia" w:ascii="宋体" w:hAnsi="宋体" w:eastAsia="宋体" w:cs="宋体"/>
                <w:color w:val="auto"/>
                <w:sz w:val="24"/>
                <w:szCs w:val="24"/>
              </w:rPr>
              <w:t>按货物需求清单要求提供对应证明材料；</w:t>
            </w:r>
          </w:p>
          <w:p w14:paraId="7386BD80">
            <w:pPr>
              <w:pStyle w:val="11"/>
              <w:keepNext w:val="0"/>
              <w:keepLines w:val="0"/>
              <w:suppressLineNumbers w:val="0"/>
              <w:wordWrap w:val="0"/>
              <w:spacing w:before="0" w:beforeAutospacing="0" w:after="0" w:afterAutospacing="0" w:line="500" w:lineRule="exact"/>
              <w:ind w:left="0" w:right="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货物需求清单中未明确要求</w:t>
            </w:r>
            <w:r>
              <w:rPr>
                <w:rFonts w:hint="eastAsia" w:ascii="宋体" w:hAnsi="宋体" w:eastAsia="宋体" w:cs="宋体"/>
                <w:color w:val="auto"/>
                <w:sz w:val="24"/>
                <w:szCs w:val="24"/>
                <w:lang w:val="en-US" w:eastAsia="zh-CN"/>
              </w:rPr>
              <w:t>证明材料形式</w:t>
            </w:r>
            <w:r>
              <w:rPr>
                <w:rFonts w:hint="eastAsia" w:ascii="宋体" w:hAnsi="宋体" w:eastAsia="宋体" w:cs="宋体"/>
                <w:color w:val="auto"/>
                <w:sz w:val="24"/>
                <w:szCs w:val="24"/>
              </w:rPr>
              <w:t>的，</w:t>
            </w:r>
            <w:r>
              <w:rPr>
                <w:rFonts w:hint="eastAsia" w:ascii="宋体" w:hAnsi="宋体" w:eastAsia="宋体" w:cs="宋体"/>
                <w:b/>
                <w:bCs/>
                <w:color w:val="auto"/>
                <w:sz w:val="24"/>
                <w:szCs w:val="24"/>
              </w:rPr>
              <w:t>投标人须自行提供证明材料</w:t>
            </w:r>
            <w:r>
              <w:rPr>
                <w:rFonts w:hint="eastAsia" w:ascii="宋体" w:hAnsi="宋体" w:eastAsia="宋体" w:cs="宋体"/>
                <w:color w:val="auto"/>
                <w:sz w:val="24"/>
                <w:szCs w:val="24"/>
              </w:rPr>
              <w:t>，包括产品技术白皮书、产品技术说明书、产品彩页（产品功能截图）、厂家（制造商）官网截图、第三方检测机构出具的检测报告，提供其中之一即可。未按以上要求提供证明材料的视为负偏离或未响应（为便于评审，建议投标人对证明材料中的关键参数进行标注）。</w:t>
            </w:r>
          </w:p>
          <w:p w14:paraId="3690B945">
            <w:pPr>
              <w:pStyle w:val="11"/>
              <w:keepNext w:val="0"/>
              <w:keepLines w:val="0"/>
              <w:suppressLineNumbers w:val="0"/>
              <w:wordWrap w:val="0"/>
              <w:spacing w:before="0" w:beforeAutospacing="0" w:after="0" w:afterAutospacing="0" w:line="500" w:lineRule="exact"/>
              <w:ind w:left="0" w:right="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针对下表中无标识项须按下列要求予以佐证。</w:t>
            </w:r>
          </w:p>
          <w:p w14:paraId="5FADC44F">
            <w:pPr>
              <w:pStyle w:val="11"/>
              <w:keepNext w:val="0"/>
              <w:keepLines w:val="0"/>
              <w:suppressLineNumbers w:val="0"/>
              <w:wordWrap w:val="0"/>
              <w:spacing w:before="0" w:beforeAutospacing="0" w:after="0" w:afterAutospacing="0" w:line="500" w:lineRule="exact"/>
              <w:ind w:left="0" w:right="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货物需求清单中明确要求提供相关材料的按货物需求清单要求提供对应证明材料；</w:t>
            </w:r>
          </w:p>
          <w:p w14:paraId="6D246520">
            <w:pPr>
              <w:pStyle w:val="11"/>
              <w:keepNext w:val="0"/>
              <w:keepLines w:val="0"/>
              <w:suppressLineNumbers w:val="0"/>
              <w:wordWrap w:val="0"/>
              <w:spacing w:before="0" w:beforeAutospacing="0" w:after="0" w:afterAutospacing="0" w:line="500" w:lineRule="exact"/>
              <w:ind w:left="0" w:right="0" w:firstLine="0" w:firstLineChars="0"/>
              <w:jc w:val="left"/>
              <w:rPr>
                <w:rFonts w:hint="eastAsia" w:ascii="宋体" w:hAnsi="宋体" w:eastAsia="宋体" w:cs="宋体"/>
                <w:color w:val="auto"/>
                <w:sz w:val="24"/>
                <w:szCs w:val="24"/>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货物需求清单中未明确要求提供证明材料的，投标人可不提供证明材料</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响应即可。</w:t>
            </w:r>
          </w:p>
          <w:p w14:paraId="5E91C868">
            <w:pPr>
              <w:pStyle w:val="11"/>
              <w:keepNext w:val="0"/>
              <w:keepLines w:val="0"/>
              <w:suppressLineNumbers w:val="0"/>
              <w:wordWrap w:val="0"/>
              <w:spacing w:before="0" w:beforeAutospacing="0" w:after="0" w:afterAutospacing="0" w:line="500" w:lineRule="exact"/>
              <w:ind w:left="0" w:right="0" w:firstLine="0" w:firstLineChars="0"/>
              <w:jc w:val="left"/>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3.货物需求中要求提供证明材料的技术参数及要求，投标人未提供或提供的材料不满足招标文件要求，视为负偏离。</w:t>
            </w:r>
          </w:p>
        </w:tc>
      </w:tr>
    </w:tbl>
    <w:p w14:paraId="0D4AC401">
      <w:pPr>
        <w:pStyle w:val="11"/>
        <w:wordWrap w:val="0"/>
        <w:ind w:left="0" w:firstLine="0" w:firstLineChars="0"/>
        <w:rPr>
          <w:rFonts w:hint="eastAsia" w:ascii="宋体" w:hAnsi="宋体" w:eastAsia="宋体" w:cs="宋体"/>
          <w:b/>
          <w:bCs/>
          <w:sz w:val="24"/>
          <w:szCs w:val="24"/>
        </w:rPr>
      </w:pPr>
    </w:p>
    <w:p w14:paraId="25CA056A">
      <w:pPr>
        <w:pStyle w:val="11"/>
        <w:wordWrap w:val="0"/>
        <w:spacing w:line="360" w:lineRule="auto"/>
        <w:ind w:left="0" w:firstLine="482"/>
        <w:rPr>
          <w:rFonts w:hint="eastAsia" w:ascii="宋体" w:hAnsi="宋体" w:cs="宋体"/>
          <w:b/>
          <w:bCs/>
          <w:color w:val="FF0000"/>
          <w:sz w:val="24"/>
        </w:rPr>
      </w:pPr>
      <w:r>
        <w:rPr>
          <w:rFonts w:hint="eastAsia" w:ascii="宋体" w:hAnsi="宋体" w:eastAsia="宋体" w:cs="宋体"/>
          <w:b/>
          <w:bCs/>
          <w:sz w:val="24"/>
          <w:szCs w:val="24"/>
        </w:rPr>
        <w:t>（二）货物需求清单</w:t>
      </w:r>
    </w:p>
    <w:tbl>
      <w:tblPr>
        <w:tblStyle w:val="12"/>
        <w:tblW w:w="96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4"/>
        <w:gridCol w:w="1230"/>
        <w:gridCol w:w="4423"/>
        <w:gridCol w:w="734"/>
        <w:gridCol w:w="716"/>
        <w:gridCol w:w="834"/>
        <w:gridCol w:w="1124"/>
      </w:tblGrid>
      <w:tr w14:paraId="3658A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74" w:type="dxa"/>
            <w:noWrap w:val="0"/>
            <w:vAlign w:val="center"/>
          </w:tcPr>
          <w:p w14:paraId="14758BDA">
            <w:pPr>
              <w:keepNext w:val="0"/>
              <w:keepLines w:val="0"/>
              <w:pageBreakBefore w:val="0"/>
              <w:widowControl w:val="0"/>
              <w:suppressLineNumbers w:val="0"/>
              <w:kinsoku/>
              <w:overflowPunct/>
              <w:autoSpaceDE/>
              <w:autoSpaceDN/>
              <w:bidi w:val="0"/>
              <w:adjustRightInd w:val="0"/>
              <w:snapToGrid w:val="0"/>
              <w:spacing w:beforeAutospacing="0" w:after="0" w:afterAutospacing="0" w:line="360" w:lineRule="auto"/>
              <w:ind w:left="0" w:right="0" w:firstLine="0"/>
              <w:jc w:val="center"/>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fldChar w:fldCharType="begin"/>
            </w:r>
            <w:r>
              <w:rPr>
                <w:rFonts w:hint="eastAsia" w:ascii="宋体" w:hAnsi="宋体" w:eastAsia="宋体" w:cs="宋体"/>
                <w:b/>
                <w:color w:val="auto"/>
                <w:sz w:val="24"/>
                <w:szCs w:val="24"/>
              </w:rPr>
              <w:instrText xml:space="preserve">ADDIN CNKISM.UserStyle</w:instrText>
            </w:r>
            <w:r>
              <w:rPr>
                <w:rFonts w:hint="eastAsia" w:ascii="宋体" w:hAnsi="宋体" w:eastAsia="宋体" w:cs="宋体"/>
                <w:b/>
                <w:color w:val="auto"/>
                <w:sz w:val="24"/>
                <w:szCs w:val="24"/>
              </w:rPr>
              <w:fldChar w:fldCharType="end"/>
            </w:r>
            <w:r>
              <w:rPr>
                <w:rFonts w:hint="eastAsia" w:ascii="宋体" w:hAnsi="宋体" w:eastAsia="宋体" w:cs="宋体"/>
                <w:b/>
                <w:color w:val="auto"/>
                <w:sz w:val="24"/>
                <w:szCs w:val="24"/>
              </w:rPr>
              <w:t>序号</w:t>
            </w:r>
          </w:p>
        </w:tc>
        <w:tc>
          <w:tcPr>
            <w:tcW w:w="1230" w:type="dxa"/>
            <w:noWrap w:val="0"/>
            <w:vAlign w:val="center"/>
          </w:tcPr>
          <w:p w14:paraId="1A9AD9AA">
            <w:pPr>
              <w:keepNext w:val="0"/>
              <w:keepLines w:val="0"/>
              <w:pageBreakBefore w:val="0"/>
              <w:widowControl w:val="0"/>
              <w:suppressLineNumbers w:val="0"/>
              <w:kinsoku/>
              <w:overflowPunct/>
              <w:autoSpaceDE/>
              <w:autoSpaceDN/>
              <w:bidi w:val="0"/>
              <w:adjustRightInd w:val="0"/>
              <w:snapToGrid w:val="0"/>
              <w:spacing w:beforeAutospacing="0" w:after="0" w:afterAutospacing="0" w:line="360" w:lineRule="auto"/>
              <w:ind w:left="0" w:right="0" w:firstLine="0"/>
              <w:jc w:val="center"/>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货物名称</w:t>
            </w:r>
          </w:p>
        </w:tc>
        <w:tc>
          <w:tcPr>
            <w:tcW w:w="4423" w:type="dxa"/>
            <w:noWrap w:val="0"/>
            <w:vAlign w:val="center"/>
          </w:tcPr>
          <w:p w14:paraId="1A3BCF23">
            <w:pPr>
              <w:keepNext w:val="0"/>
              <w:keepLines w:val="0"/>
              <w:pageBreakBefore w:val="0"/>
              <w:widowControl w:val="0"/>
              <w:suppressLineNumbers w:val="0"/>
              <w:kinsoku/>
              <w:overflowPunct/>
              <w:autoSpaceDE/>
              <w:autoSpaceDN/>
              <w:bidi w:val="0"/>
              <w:adjustRightInd w:val="0"/>
              <w:snapToGrid w:val="0"/>
              <w:spacing w:beforeAutospacing="0" w:after="0" w:afterAutospacing="0" w:line="360" w:lineRule="auto"/>
              <w:ind w:left="0" w:right="0" w:firstLine="0"/>
              <w:jc w:val="center"/>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技术参数及要求</w:t>
            </w:r>
          </w:p>
        </w:tc>
        <w:tc>
          <w:tcPr>
            <w:tcW w:w="734" w:type="dxa"/>
            <w:noWrap w:val="0"/>
            <w:vAlign w:val="center"/>
          </w:tcPr>
          <w:p w14:paraId="457FEE65">
            <w:pPr>
              <w:keepNext w:val="0"/>
              <w:keepLines w:val="0"/>
              <w:pageBreakBefore w:val="0"/>
              <w:widowControl w:val="0"/>
              <w:suppressLineNumbers w:val="0"/>
              <w:kinsoku/>
              <w:overflowPunct/>
              <w:autoSpaceDE/>
              <w:autoSpaceDN/>
              <w:bidi w:val="0"/>
              <w:adjustRightInd w:val="0"/>
              <w:snapToGrid w:val="0"/>
              <w:spacing w:beforeAutospacing="0" w:after="0" w:afterAutospacing="0" w:line="360" w:lineRule="auto"/>
              <w:ind w:left="0" w:right="0" w:firstLine="0"/>
              <w:jc w:val="center"/>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数量</w:t>
            </w:r>
          </w:p>
        </w:tc>
        <w:tc>
          <w:tcPr>
            <w:tcW w:w="716" w:type="dxa"/>
            <w:noWrap w:val="0"/>
            <w:vAlign w:val="center"/>
          </w:tcPr>
          <w:p w14:paraId="3C6E464F">
            <w:pPr>
              <w:keepNext w:val="0"/>
              <w:keepLines w:val="0"/>
              <w:pageBreakBefore w:val="0"/>
              <w:widowControl w:val="0"/>
              <w:suppressLineNumbers w:val="0"/>
              <w:kinsoku/>
              <w:overflowPunct/>
              <w:autoSpaceDE/>
              <w:autoSpaceDN/>
              <w:bidi w:val="0"/>
              <w:adjustRightInd w:val="0"/>
              <w:snapToGrid w:val="0"/>
              <w:spacing w:beforeAutospacing="0" w:after="0" w:afterAutospacing="0" w:line="360" w:lineRule="auto"/>
              <w:ind w:left="0" w:right="0" w:firstLine="0"/>
              <w:jc w:val="center"/>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所属行业</w:t>
            </w:r>
          </w:p>
        </w:tc>
        <w:tc>
          <w:tcPr>
            <w:tcW w:w="834" w:type="dxa"/>
            <w:noWrap w:val="0"/>
            <w:vAlign w:val="center"/>
          </w:tcPr>
          <w:p w14:paraId="6C2D7871">
            <w:pPr>
              <w:keepNext w:val="0"/>
              <w:keepLines w:val="0"/>
              <w:pageBreakBefore w:val="0"/>
              <w:widowControl w:val="0"/>
              <w:suppressLineNumbers w:val="0"/>
              <w:kinsoku/>
              <w:overflowPunct/>
              <w:autoSpaceDE/>
              <w:autoSpaceDN/>
              <w:bidi w:val="0"/>
              <w:adjustRightInd w:val="0"/>
              <w:snapToGrid w:val="0"/>
              <w:spacing w:beforeAutospacing="0" w:after="0" w:afterAutospacing="0" w:line="360" w:lineRule="auto"/>
              <w:ind w:left="0" w:right="0" w:firstLine="0"/>
              <w:jc w:val="center"/>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rPr>
              <w:t>备注（进口或强制节能）</w:t>
            </w:r>
          </w:p>
        </w:tc>
        <w:tc>
          <w:tcPr>
            <w:tcW w:w="1124" w:type="dxa"/>
            <w:noWrap w:val="0"/>
            <w:vAlign w:val="center"/>
          </w:tcPr>
          <w:p w14:paraId="51AC7A6E">
            <w:pPr>
              <w:keepNext w:val="0"/>
              <w:keepLines w:val="0"/>
              <w:pageBreakBefore w:val="0"/>
              <w:widowControl w:val="0"/>
              <w:suppressLineNumbers w:val="0"/>
              <w:kinsoku/>
              <w:overflowPunct/>
              <w:autoSpaceDE/>
              <w:autoSpaceDN/>
              <w:bidi w:val="0"/>
              <w:adjustRightInd w:val="0"/>
              <w:snapToGrid w:val="0"/>
              <w:spacing w:beforeAutospacing="0" w:after="0" w:afterAutospacing="0" w:line="360" w:lineRule="auto"/>
              <w:ind w:left="0" w:right="0" w:firstLine="0"/>
              <w:jc w:val="center"/>
              <w:textAlignment w:val="auto"/>
              <w:rPr>
                <w:rFonts w:hint="eastAsia" w:ascii="宋体" w:hAnsi="宋体" w:cs="宋体"/>
                <w:b/>
                <w:bCs/>
                <w:color w:val="auto"/>
                <w:sz w:val="24"/>
                <w:szCs w:val="24"/>
                <w:lang w:val="en-US" w:eastAsia="zh-CN"/>
              </w:rPr>
            </w:pPr>
            <w:r>
              <w:rPr>
                <w:rFonts w:hint="eastAsia" w:ascii="宋体" w:hAnsi="宋体" w:cs="宋体"/>
                <w:b/>
                <w:bCs/>
                <w:color w:val="auto"/>
                <w:sz w:val="24"/>
                <w:szCs w:val="24"/>
                <w:lang w:val="en-US" w:eastAsia="zh-CN"/>
              </w:rPr>
              <w:t>单价最高限价</w:t>
            </w:r>
          </w:p>
          <w:p w14:paraId="297B5027">
            <w:pPr>
              <w:keepNext w:val="0"/>
              <w:keepLines w:val="0"/>
              <w:pageBreakBefore w:val="0"/>
              <w:widowControl w:val="0"/>
              <w:suppressLineNumbers w:val="0"/>
              <w:kinsoku/>
              <w:overflowPunct/>
              <w:autoSpaceDE/>
              <w:autoSpaceDN/>
              <w:bidi w:val="0"/>
              <w:adjustRightInd w:val="0"/>
              <w:snapToGrid w:val="0"/>
              <w:spacing w:beforeAutospacing="0" w:after="0" w:afterAutospacing="0" w:line="360" w:lineRule="auto"/>
              <w:ind w:left="0" w:right="0" w:firstLine="0"/>
              <w:jc w:val="center"/>
              <w:textAlignment w:val="auto"/>
              <w:rPr>
                <w:rFonts w:hint="default" w:ascii="宋体" w:hAnsi="宋体" w:eastAsia="宋体" w:cs="宋体"/>
                <w:b/>
                <w:bCs/>
                <w:color w:val="auto"/>
                <w:sz w:val="24"/>
                <w:szCs w:val="24"/>
                <w:lang w:val="en-US" w:eastAsia="zh-CN"/>
              </w:rPr>
            </w:pPr>
            <w:r>
              <w:rPr>
                <w:rFonts w:hint="eastAsia" w:ascii="宋体" w:hAnsi="宋体" w:cs="宋体"/>
                <w:b/>
                <w:bCs/>
                <w:color w:val="auto"/>
                <w:sz w:val="24"/>
                <w:szCs w:val="24"/>
                <w:lang w:val="en-US" w:eastAsia="zh-CN"/>
              </w:rPr>
              <w:t>（元）</w:t>
            </w:r>
          </w:p>
        </w:tc>
      </w:tr>
      <w:tr w14:paraId="12DDF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74" w:type="dxa"/>
            <w:noWrap w:val="0"/>
            <w:vAlign w:val="center"/>
          </w:tcPr>
          <w:p w14:paraId="6FD418B3">
            <w:pPr>
              <w:keepNext w:val="0"/>
              <w:keepLines w:val="0"/>
              <w:pageBreakBefore w:val="0"/>
              <w:widowControl w:val="0"/>
              <w:kinsoku/>
              <w:overflowPunct/>
              <w:autoSpaceDE/>
              <w:autoSpaceDN/>
              <w:bidi w:val="0"/>
              <w:adjustRightInd w:val="0"/>
              <w:snapToGrid w:val="0"/>
              <w:spacing w:line="360" w:lineRule="auto"/>
              <w:ind w:left="0" w:leftChars="0" w:right="0" w:firstLine="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1230" w:type="dxa"/>
            <w:noWrap w:val="0"/>
            <w:vAlign w:val="center"/>
          </w:tcPr>
          <w:p w14:paraId="59628E39">
            <w:pPr>
              <w:pStyle w:val="16"/>
              <w:keepNext w:val="0"/>
              <w:keepLines w:val="0"/>
              <w:pageBreakBefore w:val="0"/>
              <w:widowControl w:val="0"/>
              <w:kinsoku/>
              <w:overflowPunct/>
              <w:autoSpaceDE/>
              <w:autoSpaceDN/>
              <w:bidi w:val="0"/>
              <w:adjustRightInd w:val="0"/>
              <w:snapToGrid w:val="0"/>
              <w:spacing w:line="360" w:lineRule="auto"/>
              <w:ind w:left="0" w:leftChars="0" w:right="0" w:rightChars="0" w:firstLine="0" w:firstLineChars="0"/>
              <w:jc w:val="both"/>
              <w:textAlignment w:val="auto"/>
              <w:rPr>
                <w:rFonts w:hint="eastAsia" w:ascii="宋体" w:hAnsi="宋体" w:eastAsia="宋体" w:cs="宋体"/>
                <w:b w:val="0"/>
                <w:bCs w:val="0"/>
                <w:color w:val="auto"/>
                <w:kern w:val="2"/>
                <w:sz w:val="24"/>
                <w:szCs w:val="24"/>
                <w:lang w:val="en-US" w:eastAsia="zh-CN" w:bidi="ar-SA"/>
              </w:rPr>
            </w:pPr>
            <w:r>
              <w:rPr>
                <w:rFonts w:hint="eastAsia" w:ascii="宋体" w:hAnsi="宋体" w:eastAsia="宋体" w:cs="宋体"/>
                <w:color w:val="auto"/>
                <w:spacing w:val="8"/>
                <w:sz w:val="24"/>
                <w:szCs w:val="24"/>
                <w:highlight w:val="none"/>
              </w:rPr>
              <w:t>▲</w:t>
            </w:r>
            <w:r>
              <w:rPr>
                <w:rFonts w:hint="eastAsia" w:ascii="宋体" w:hAnsi="宋体" w:eastAsia="宋体" w:cs="宋体"/>
                <w:color w:val="auto"/>
                <w:spacing w:val="-4"/>
                <w:sz w:val="24"/>
                <w:szCs w:val="24"/>
                <w:highlight w:val="none"/>
              </w:rPr>
              <w:t>转运体</w:t>
            </w:r>
            <w:r>
              <w:rPr>
                <w:rFonts w:hint="eastAsia" w:ascii="宋体" w:hAnsi="宋体" w:eastAsia="宋体" w:cs="宋体"/>
                <w:color w:val="auto"/>
                <w:spacing w:val="-5"/>
                <w:sz w:val="24"/>
                <w:szCs w:val="24"/>
                <w:highlight w:val="none"/>
              </w:rPr>
              <w:t>功能分</w:t>
            </w:r>
            <w:r>
              <w:rPr>
                <w:rFonts w:hint="eastAsia" w:ascii="宋体" w:hAnsi="宋体" w:eastAsia="宋体" w:cs="宋体"/>
                <w:color w:val="auto"/>
                <w:spacing w:val="53"/>
                <w:sz w:val="24"/>
                <w:szCs w:val="24"/>
                <w:highlight w:val="none"/>
              </w:rPr>
              <w:t>析仪</w:t>
            </w:r>
          </w:p>
        </w:tc>
        <w:tc>
          <w:tcPr>
            <w:tcW w:w="4423" w:type="dxa"/>
            <w:noWrap w:val="0"/>
            <w:vAlign w:val="top"/>
          </w:tcPr>
          <w:p w14:paraId="156A6C41">
            <w:pPr>
              <w:pStyle w:val="16"/>
              <w:keepNext w:val="0"/>
              <w:keepLines w:val="0"/>
              <w:pageBreakBefore w:val="0"/>
              <w:widowControl w:val="0"/>
              <w:kinsoku/>
              <w:overflowPunct/>
              <w:topLinePunct/>
              <w:autoSpaceDE/>
              <w:autoSpaceDN/>
              <w:bidi w:val="0"/>
              <w:adjustRightInd w:val="0"/>
              <w:snapToGrid w:val="0"/>
              <w:spacing w:line="360" w:lineRule="auto"/>
              <w:ind w:left="0" w:right="0" w:firstLine="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w:t>
            </w:r>
            <w:r>
              <w:rPr>
                <w:rFonts w:hint="eastAsia" w:ascii="宋体" w:hAnsi="宋体" w:eastAsia="宋体" w:cs="宋体"/>
                <w:color w:val="auto"/>
                <w:spacing w:val="10"/>
                <w:sz w:val="24"/>
                <w:szCs w:val="24"/>
                <w:lang w:eastAsia="zh-CN"/>
              </w:rPr>
              <w:t>1.通过测量转运体在转运物质过程中的电荷迁移，来</w:t>
            </w:r>
            <w:r>
              <w:rPr>
                <w:rFonts w:hint="eastAsia" w:ascii="宋体" w:hAnsi="宋体" w:eastAsia="宋体" w:cs="宋体"/>
                <w:color w:val="auto"/>
                <w:spacing w:val="8"/>
                <w:sz w:val="24"/>
                <w:szCs w:val="24"/>
                <w:lang w:eastAsia="zh-CN"/>
              </w:rPr>
              <w:t>检测转运体蛋白的功能特性，记录并分析转</w:t>
            </w:r>
            <w:r>
              <w:rPr>
                <w:rFonts w:hint="eastAsia" w:ascii="宋体" w:hAnsi="宋体" w:eastAsia="宋体" w:cs="宋体"/>
                <w:color w:val="auto"/>
                <w:spacing w:val="7"/>
                <w:sz w:val="24"/>
                <w:szCs w:val="24"/>
                <w:lang w:eastAsia="zh-CN"/>
              </w:rPr>
              <w:t>运体电流的数据，</w:t>
            </w:r>
            <w:r>
              <w:rPr>
                <w:rFonts w:hint="eastAsia" w:ascii="宋体" w:hAnsi="宋体" w:eastAsia="宋体" w:cs="宋体"/>
                <w:color w:val="auto"/>
                <w:spacing w:val="8"/>
                <w:sz w:val="24"/>
                <w:szCs w:val="24"/>
                <w:lang w:eastAsia="zh-CN"/>
              </w:rPr>
              <w:t>如转运体电流大小。</w:t>
            </w:r>
          </w:p>
          <w:p w14:paraId="7C4F4BE7">
            <w:pPr>
              <w:pStyle w:val="16"/>
              <w:keepNext w:val="0"/>
              <w:keepLines w:val="0"/>
              <w:pageBreakBefore w:val="0"/>
              <w:widowControl w:val="0"/>
              <w:kinsoku/>
              <w:overflowPunct/>
              <w:topLinePunct/>
              <w:autoSpaceDE/>
              <w:autoSpaceDN/>
              <w:bidi w:val="0"/>
              <w:adjustRightInd w:val="0"/>
              <w:snapToGrid w:val="0"/>
              <w:spacing w:line="360" w:lineRule="auto"/>
              <w:ind w:left="0" w:right="0" w:firstLine="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w:t>
            </w:r>
            <w:r>
              <w:rPr>
                <w:rFonts w:hint="eastAsia" w:ascii="宋体" w:hAnsi="宋体" w:eastAsia="宋体" w:cs="宋体"/>
                <w:color w:val="auto"/>
                <w:spacing w:val="8"/>
                <w:sz w:val="24"/>
                <w:szCs w:val="24"/>
                <w:lang w:eastAsia="zh-CN"/>
              </w:rPr>
              <w:t>2.无需细胞样本、无需标记物并且无放射性。</w:t>
            </w:r>
          </w:p>
          <w:p w14:paraId="6F4A73A9">
            <w:pPr>
              <w:pStyle w:val="16"/>
              <w:keepNext w:val="0"/>
              <w:keepLines w:val="0"/>
              <w:pageBreakBefore w:val="0"/>
              <w:widowControl w:val="0"/>
              <w:kinsoku/>
              <w:overflowPunct/>
              <w:topLinePunct/>
              <w:autoSpaceDE/>
              <w:autoSpaceDN/>
              <w:bidi w:val="0"/>
              <w:adjustRightInd w:val="0"/>
              <w:snapToGrid w:val="0"/>
              <w:spacing w:line="360" w:lineRule="auto"/>
              <w:ind w:left="0" w:right="0" w:firstLine="0"/>
              <w:textAlignment w:val="auto"/>
              <w:rPr>
                <w:rFonts w:hint="eastAsia" w:ascii="宋体" w:hAnsi="宋体" w:eastAsia="宋体" w:cs="宋体"/>
                <w:color w:val="auto"/>
                <w:sz w:val="24"/>
                <w:szCs w:val="24"/>
                <w:lang w:eastAsia="zh-CN"/>
              </w:rPr>
            </w:pPr>
            <w:r>
              <w:rPr>
                <w:rFonts w:hint="eastAsia" w:ascii="宋体" w:hAnsi="宋体" w:eastAsia="宋体" w:cs="宋体"/>
                <w:color w:val="auto"/>
                <w:spacing w:val="8"/>
                <w:sz w:val="24"/>
                <w:szCs w:val="24"/>
                <w:lang w:eastAsia="zh-CN"/>
              </w:rPr>
              <w:t>★</w:t>
            </w:r>
            <w:r>
              <w:rPr>
                <w:rFonts w:hint="eastAsia" w:ascii="宋体" w:hAnsi="宋体" w:eastAsia="宋体" w:cs="宋体"/>
                <w:color w:val="auto"/>
                <w:spacing w:val="6"/>
                <w:sz w:val="24"/>
                <w:szCs w:val="24"/>
                <w:lang w:eastAsia="zh-CN"/>
              </w:rPr>
              <w:t>3.可测量活体组织、哺乳和昆虫的细胞系、细菌、细胞</w:t>
            </w:r>
            <w:r>
              <w:rPr>
                <w:rFonts w:hint="eastAsia" w:ascii="宋体" w:hAnsi="宋体" w:eastAsia="宋体" w:cs="宋体"/>
                <w:color w:val="auto"/>
                <w:spacing w:val="8"/>
                <w:sz w:val="24"/>
                <w:szCs w:val="24"/>
                <w:lang w:eastAsia="zh-CN"/>
              </w:rPr>
              <w:t>器和脂蛋白</w:t>
            </w:r>
            <w:bookmarkStart w:id="19" w:name="_GoBack"/>
            <w:bookmarkEnd w:id="19"/>
            <w:r>
              <w:rPr>
                <w:rFonts w:hint="eastAsia" w:ascii="宋体" w:hAnsi="宋体" w:eastAsia="宋体" w:cs="宋体"/>
                <w:color w:val="auto"/>
                <w:spacing w:val="8"/>
                <w:sz w:val="24"/>
                <w:szCs w:val="24"/>
                <w:lang w:eastAsia="zh-CN"/>
              </w:rPr>
              <w:t>体的膜片段。</w:t>
            </w:r>
          </w:p>
          <w:p w14:paraId="4D37B173">
            <w:pPr>
              <w:pStyle w:val="16"/>
              <w:keepNext w:val="0"/>
              <w:keepLines w:val="0"/>
              <w:pageBreakBefore w:val="0"/>
              <w:widowControl w:val="0"/>
              <w:kinsoku/>
              <w:overflowPunct/>
              <w:topLinePunct/>
              <w:autoSpaceDE/>
              <w:autoSpaceDN/>
              <w:bidi w:val="0"/>
              <w:adjustRightInd w:val="0"/>
              <w:snapToGrid w:val="0"/>
              <w:spacing w:line="360" w:lineRule="auto"/>
              <w:ind w:left="0" w:right="0" w:firstLine="0"/>
              <w:textAlignment w:val="auto"/>
              <w:rPr>
                <w:rFonts w:hint="eastAsia" w:ascii="宋体" w:hAnsi="宋体" w:eastAsia="宋体" w:cs="宋体"/>
                <w:color w:val="auto"/>
                <w:sz w:val="24"/>
                <w:szCs w:val="24"/>
                <w:lang w:eastAsia="zh-CN"/>
              </w:rPr>
            </w:pPr>
            <w:r>
              <w:rPr>
                <w:rFonts w:hint="eastAsia" w:ascii="宋体" w:hAnsi="宋体" w:eastAsia="宋体" w:cs="宋体"/>
                <w:color w:val="auto"/>
                <w:spacing w:val="7"/>
                <w:sz w:val="24"/>
                <w:szCs w:val="24"/>
                <w:lang w:eastAsia="zh-CN"/>
              </w:rPr>
              <w:t>4.同一个膜样本可以完成≥3次实验。</w:t>
            </w:r>
          </w:p>
          <w:p w14:paraId="244C4DA0">
            <w:pPr>
              <w:pStyle w:val="16"/>
              <w:keepNext w:val="0"/>
              <w:keepLines w:val="0"/>
              <w:pageBreakBefore w:val="0"/>
              <w:widowControl w:val="0"/>
              <w:kinsoku/>
              <w:overflowPunct/>
              <w:topLinePunct/>
              <w:autoSpaceDE/>
              <w:autoSpaceDN/>
              <w:bidi w:val="0"/>
              <w:adjustRightInd w:val="0"/>
              <w:snapToGrid w:val="0"/>
              <w:spacing w:line="360" w:lineRule="auto"/>
              <w:ind w:left="0" w:right="0" w:firstLine="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w:t>
            </w:r>
            <w:r>
              <w:rPr>
                <w:rFonts w:hint="eastAsia" w:ascii="宋体" w:hAnsi="宋体" w:eastAsia="宋体" w:cs="宋体"/>
                <w:color w:val="auto"/>
                <w:spacing w:val="8"/>
                <w:sz w:val="24"/>
                <w:szCs w:val="24"/>
                <w:lang w:eastAsia="zh-CN"/>
              </w:rPr>
              <w:t>5.记录电极：镀金电极。</w:t>
            </w:r>
          </w:p>
          <w:p w14:paraId="095F66C6">
            <w:pPr>
              <w:pStyle w:val="16"/>
              <w:keepNext w:val="0"/>
              <w:keepLines w:val="0"/>
              <w:pageBreakBefore w:val="0"/>
              <w:widowControl w:val="0"/>
              <w:kinsoku/>
              <w:overflowPunct/>
              <w:topLinePunct/>
              <w:autoSpaceDE/>
              <w:autoSpaceDN/>
              <w:bidi w:val="0"/>
              <w:adjustRightInd w:val="0"/>
              <w:snapToGrid w:val="0"/>
              <w:spacing w:line="360" w:lineRule="auto"/>
              <w:ind w:left="0" w:right="0" w:firstLine="0"/>
              <w:textAlignment w:val="auto"/>
              <w:rPr>
                <w:rFonts w:hint="eastAsia" w:ascii="宋体" w:hAnsi="宋体" w:eastAsia="宋体" w:cs="宋体"/>
                <w:color w:val="auto"/>
                <w:sz w:val="24"/>
                <w:szCs w:val="24"/>
                <w:lang w:eastAsia="zh-CN"/>
              </w:rPr>
            </w:pPr>
            <w:r>
              <w:rPr>
                <w:rFonts w:hint="eastAsia" w:ascii="宋体" w:hAnsi="宋体" w:eastAsia="宋体" w:cs="宋体"/>
                <w:color w:val="auto"/>
                <w:spacing w:val="8"/>
                <w:sz w:val="24"/>
                <w:szCs w:val="24"/>
                <w:lang w:eastAsia="zh-CN"/>
              </w:rPr>
              <w:t>6.蛋白活性稳定时间≥24h，用量≤40</w:t>
            </w:r>
            <w:r>
              <w:rPr>
                <w:rFonts w:hint="eastAsia" w:ascii="宋体" w:hAnsi="宋体" w:eastAsia="宋体" w:cs="宋体"/>
                <w:color w:val="auto"/>
                <w:sz w:val="24"/>
                <w:szCs w:val="24"/>
              </w:rPr>
              <w:t>μ</w:t>
            </w:r>
            <w:r>
              <w:rPr>
                <w:rFonts w:hint="eastAsia" w:ascii="宋体" w:hAnsi="宋体" w:eastAsia="宋体" w:cs="宋体"/>
                <w:color w:val="auto"/>
                <w:sz w:val="24"/>
                <w:szCs w:val="24"/>
                <w:lang w:eastAsia="zh-CN"/>
              </w:rPr>
              <w:t>g</w:t>
            </w:r>
            <w:r>
              <w:rPr>
                <w:rFonts w:hint="eastAsia" w:ascii="宋体" w:hAnsi="宋体" w:eastAsia="宋体" w:cs="宋体"/>
                <w:color w:val="auto"/>
                <w:spacing w:val="8"/>
                <w:sz w:val="24"/>
                <w:szCs w:val="24"/>
                <w:lang w:eastAsia="zh-CN"/>
              </w:rPr>
              <w:t>蛋</w:t>
            </w:r>
            <w:r>
              <w:rPr>
                <w:rFonts w:hint="eastAsia" w:ascii="宋体" w:hAnsi="宋体" w:eastAsia="宋体" w:cs="宋体"/>
                <w:color w:val="auto"/>
                <w:spacing w:val="7"/>
                <w:sz w:val="24"/>
                <w:szCs w:val="24"/>
                <w:lang w:eastAsia="zh-CN"/>
              </w:rPr>
              <w:t>白/感受器。</w:t>
            </w:r>
          </w:p>
          <w:p w14:paraId="2402A153">
            <w:pPr>
              <w:pStyle w:val="16"/>
              <w:keepNext w:val="0"/>
              <w:keepLines w:val="0"/>
              <w:pageBreakBefore w:val="0"/>
              <w:widowControl w:val="0"/>
              <w:kinsoku/>
              <w:overflowPunct/>
              <w:topLinePunct/>
              <w:autoSpaceDE/>
              <w:autoSpaceDN/>
              <w:bidi w:val="0"/>
              <w:adjustRightInd w:val="0"/>
              <w:snapToGrid w:val="0"/>
              <w:spacing w:line="360" w:lineRule="auto"/>
              <w:ind w:left="0" w:right="0" w:firstLine="0"/>
              <w:textAlignment w:val="auto"/>
              <w:rPr>
                <w:rFonts w:hint="eastAsia" w:ascii="宋体" w:hAnsi="宋体" w:eastAsia="宋体" w:cs="宋体"/>
                <w:color w:val="auto"/>
                <w:sz w:val="24"/>
                <w:szCs w:val="24"/>
                <w:lang w:eastAsia="zh-CN"/>
              </w:rPr>
            </w:pPr>
            <w:r>
              <w:rPr>
                <w:rFonts w:hint="eastAsia" w:ascii="宋体" w:hAnsi="宋体" w:eastAsia="宋体" w:cs="宋体"/>
                <w:color w:val="auto"/>
                <w:spacing w:val="8"/>
                <w:sz w:val="24"/>
                <w:szCs w:val="24"/>
                <w:lang w:eastAsia="zh-CN"/>
              </w:rPr>
              <w:t>★</w:t>
            </w:r>
            <w:r>
              <w:rPr>
                <w:rFonts w:hint="eastAsia" w:ascii="宋体" w:hAnsi="宋体" w:eastAsia="宋体" w:cs="宋体"/>
                <w:color w:val="auto"/>
                <w:spacing w:val="7"/>
                <w:sz w:val="24"/>
                <w:szCs w:val="24"/>
                <w:lang w:eastAsia="zh-CN"/>
              </w:rPr>
              <w:t>7.一个转运体感受器上可进行≥3</w:t>
            </w:r>
            <w:r>
              <w:rPr>
                <w:rFonts w:hint="eastAsia" w:ascii="宋体" w:hAnsi="宋体" w:eastAsia="宋体" w:cs="宋体"/>
                <w:color w:val="auto"/>
                <w:spacing w:val="-23"/>
                <w:sz w:val="24"/>
                <w:szCs w:val="24"/>
                <w:lang w:eastAsia="zh-CN"/>
              </w:rPr>
              <w:t xml:space="preserve"> </w:t>
            </w:r>
            <w:r>
              <w:rPr>
                <w:rFonts w:hint="eastAsia" w:ascii="宋体" w:hAnsi="宋体" w:eastAsia="宋体" w:cs="宋体"/>
                <w:color w:val="auto"/>
                <w:spacing w:val="7"/>
                <w:sz w:val="24"/>
                <w:szCs w:val="24"/>
                <w:lang w:eastAsia="zh-CN"/>
              </w:rPr>
              <w:t>次测量。</w:t>
            </w:r>
          </w:p>
          <w:p w14:paraId="6789FE18">
            <w:pPr>
              <w:pStyle w:val="16"/>
              <w:keepNext w:val="0"/>
              <w:keepLines w:val="0"/>
              <w:pageBreakBefore w:val="0"/>
              <w:widowControl w:val="0"/>
              <w:kinsoku/>
              <w:overflowPunct/>
              <w:topLinePunct/>
              <w:autoSpaceDE/>
              <w:autoSpaceDN/>
              <w:bidi w:val="0"/>
              <w:adjustRightInd w:val="0"/>
              <w:snapToGrid w:val="0"/>
              <w:spacing w:line="360" w:lineRule="auto"/>
              <w:ind w:left="0" w:right="0" w:firstLine="0"/>
              <w:textAlignment w:val="auto"/>
              <w:rPr>
                <w:rFonts w:hint="eastAsia" w:ascii="宋体" w:hAnsi="宋体" w:eastAsia="宋体" w:cs="宋体"/>
                <w:color w:val="auto"/>
                <w:sz w:val="24"/>
                <w:szCs w:val="24"/>
                <w:lang w:eastAsia="zh-CN"/>
              </w:rPr>
            </w:pPr>
            <w:r>
              <w:rPr>
                <w:rFonts w:hint="eastAsia" w:ascii="宋体" w:hAnsi="宋体" w:eastAsia="宋体" w:cs="宋体"/>
                <w:color w:val="auto"/>
                <w:spacing w:val="6"/>
                <w:sz w:val="24"/>
                <w:szCs w:val="24"/>
                <w:lang w:eastAsia="zh-CN"/>
              </w:rPr>
              <w:t>8.同种转运体感受器可测量≥3</w:t>
            </w:r>
            <w:r>
              <w:rPr>
                <w:rFonts w:hint="eastAsia" w:ascii="宋体" w:hAnsi="宋体" w:eastAsia="宋体" w:cs="宋体"/>
                <w:color w:val="auto"/>
                <w:spacing w:val="-38"/>
                <w:sz w:val="24"/>
                <w:szCs w:val="24"/>
                <w:lang w:eastAsia="zh-CN"/>
              </w:rPr>
              <w:t xml:space="preserve"> </w:t>
            </w:r>
            <w:r>
              <w:rPr>
                <w:rFonts w:hint="eastAsia" w:ascii="宋体" w:hAnsi="宋体" w:eastAsia="宋体" w:cs="宋体"/>
                <w:color w:val="auto"/>
                <w:spacing w:val="6"/>
                <w:sz w:val="24"/>
                <w:szCs w:val="24"/>
                <w:lang w:eastAsia="zh-CN"/>
              </w:rPr>
              <w:t>种靶蛋白。</w:t>
            </w:r>
          </w:p>
          <w:p w14:paraId="184E1DFE">
            <w:pPr>
              <w:pStyle w:val="16"/>
              <w:keepNext w:val="0"/>
              <w:keepLines w:val="0"/>
              <w:pageBreakBefore w:val="0"/>
              <w:widowControl w:val="0"/>
              <w:kinsoku/>
              <w:overflowPunct/>
              <w:topLinePunct/>
              <w:autoSpaceDE/>
              <w:autoSpaceDN/>
              <w:bidi w:val="0"/>
              <w:adjustRightInd w:val="0"/>
              <w:snapToGrid w:val="0"/>
              <w:spacing w:line="360" w:lineRule="auto"/>
              <w:ind w:left="0" w:right="0" w:firstLine="0"/>
              <w:textAlignment w:val="auto"/>
              <w:rPr>
                <w:rFonts w:hint="eastAsia" w:ascii="宋体" w:hAnsi="宋体" w:eastAsia="宋体" w:cs="宋体"/>
                <w:color w:val="auto"/>
                <w:sz w:val="24"/>
                <w:szCs w:val="24"/>
                <w:lang w:eastAsia="zh-CN"/>
              </w:rPr>
            </w:pPr>
            <w:r>
              <w:rPr>
                <w:rFonts w:hint="eastAsia" w:ascii="宋体" w:hAnsi="宋体" w:eastAsia="宋体" w:cs="宋体"/>
                <w:color w:val="auto"/>
                <w:spacing w:val="12"/>
                <w:sz w:val="24"/>
                <w:szCs w:val="24"/>
                <w:lang w:eastAsia="zh-CN"/>
              </w:rPr>
              <w:t>9.感受器座≥1个。</w:t>
            </w:r>
          </w:p>
          <w:p w14:paraId="057E5FD5">
            <w:pPr>
              <w:pStyle w:val="16"/>
              <w:keepNext w:val="0"/>
              <w:keepLines w:val="0"/>
              <w:pageBreakBefore w:val="0"/>
              <w:widowControl w:val="0"/>
              <w:kinsoku/>
              <w:overflowPunct/>
              <w:topLinePunct/>
              <w:autoSpaceDE/>
              <w:autoSpaceDN/>
              <w:bidi w:val="0"/>
              <w:adjustRightInd w:val="0"/>
              <w:snapToGrid w:val="0"/>
              <w:spacing w:line="360" w:lineRule="auto"/>
              <w:ind w:left="0" w:right="0" w:firstLine="0"/>
              <w:textAlignment w:val="auto"/>
              <w:rPr>
                <w:rFonts w:hint="eastAsia" w:ascii="宋体" w:hAnsi="宋体" w:eastAsia="宋体" w:cs="宋体"/>
                <w:color w:val="auto"/>
                <w:sz w:val="24"/>
                <w:szCs w:val="24"/>
                <w:lang w:eastAsia="zh-CN"/>
              </w:rPr>
            </w:pPr>
            <w:r>
              <w:rPr>
                <w:rFonts w:hint="eastAsia" w:ascii="宋体" w:hAnsi="宋体" w:eastAsia="宋体" w:cs="宋体"/>
                <w:color w:val="auto"/>
                <w:spacing w:val="7"/>
                <w:sz w:val="24"/>
                <w:szCs w:val="24"/>
                <w:lang w:eastAsia="zh-CN"/>
              </w:rPr>
              <w:t>10.自动采样器样品架≥1个。</w:t>
            </w:r>
          </w:p>
          <w:p w14:paraId="4389D065">
            <w:pPr>
              <w:pStyle w:val="16"/>
              <w:keepNext w:val="0"/>
              <w:keepLines w:val="0"/>
              <w:pageBreakBefore w:val="0"/>
              <w:widowControl w:val="0"/>
              <w:kinsoku/>
              <w:overflowPunct/>
              <w:topLinePunct/>
              <w:autoSpaceDE/>
              <w:autoSpaceDN/>
              <w:bidi w:val="0"/>
              <w:adjustRightInd w:val="0"/>
              <w:snapToGrid w:val="0"/>
              <w:spacing w:line="360" w:lineRule="auto"/>
              <w:ind w:left="0" w:right="0" w:firstLine="0"/>
              <w:textAlignment w:val="auto"/>
              <w:rPr>
                <w:rFonts w:hint="eastAsia" w:ascii="宋体" w:hAnsi="宋体" w:eastAsia="宋体" w:cs="宋体"/>
                <w:color w:val="auto"/>
                <w:sz w:val="24"/>
                <w:szCs w:val="24"/>
                <w:lang w:eastAsia="zh-CN"/>
              </w:rPr>
            </w:pPr>
            <w:r>
              <w:rPr>
                <w:rFonts w:hint="eastAsia" w:ascii="宋体" w:hAnsi="宋体" w:eastAsia="宋体" w:cs="宋体"/>
                <w:color w:val="auto"/>
                <w:spacing w:val="4"/>
                <w:sz w:val="24"/>
                <w:szCs w:val="24"/>
                <w:lang w:eastAsia="zh-CN"/>
              </w:rPr>
              <w:t>11.注射器泵≥1个。</w:t>
            </w:r>
          </w:p>
          <w:p w14:paraId="213E108F">
            <w:pPr>
              <w:pStyle w:val="16"/>
              <w:keepNext w:val="0"/>
              <w:keepLines w:val="0"/>
              <w:pageBreakBefore w:val="0"/>
              <w:widowControl w:val="0"/>
              <w:kinsoku/>
              <w:overflowPunct/>
              <w:topLinePunct/>
              <w:autoSpaceDE/>
              <w:autoSpaceDN/>
              <w:bidi w:val="0"/>
              <w:adjustRightInd w:val="0"/>
              <w:snapToGrid w:val="0"/>
              <w:spacing w:line="360" w:lineRule="auto"/>
              <w:ind w:left="0" w:right="0" w:firstLine="0"/>
              <w:textAlignment w:val="auto"/>
              <w:rPr>
                <w:rFonts w:hint="eastAsia" w:ascii="宋体" w:hAnsi="宋体" w:eastAsia="宋体" w:cs="宋体"/>
                <w:color w:val="auto"/>
                <w:sz w:val="24"/>
                <w:szCs w:val="24"/>
                <w:lang w:eastAsia="zh-CN"/>
              </w:rPr>
            </w:pPr>
            <w:r>
              <w:rPr>
                <w:rFonts w:hint="eastAsia" w:ascii="宋体" w:hAnsi="宋体" w:eastAsia="宋体" w:cs="宋体"/>
                <w:color w:val="auto"/>
                <w:spacing w:val="10"/>
                <w:sz w:val="24"/>
                <w:szCs w:val="24"/>
                <w:lang w:eastAsia="zh-CN"/>
              </w:rPr>
              <w:t>12.溶液加样头≥1个。</w:t>
            </w:r>
          </w:p>
          <w:p w14:paraId="1D01F51D">
            <w:pPr>
              <w:pStyle w:val="16"/>
              <w:keepNext w:val="0"/>
              <w:keepLines w:val="0"/>
              <w:pageBreakBefore w:val="0"/>
              <w:widowControl w:val="0"/>
              <w:kinsoku/>
              <w:overflowPunct/>
              <w:topLinePunct/>
              <w:autoSpaceDE/>
              <w:autoSpaceDN/>
              <w:bidi w:val="0"/>
              <w:adjustRightInd w:val="0"/>
              <w:snapToGrid w:val="0"/>
              <w:spacing w:line="360" w:lineRule="auto"/>
              <w:ind w:left="0" w:right="0" w:firstLine="0"/>
              <w:textAlignment w:val="auto"/>
              <w:rPr>
                <w:rFonts w:hint="eastAsia" w:ascii="宋体" w:hAnsi="宋体" w:eastAsia="宋体" w:cs="宋体"/>
                <w:color w:val="auto"/>
                <w:sz w:val="24"/>
                <w:szCs w:val="24"/>
                <w:lang w:eastAsia="zh-CN"/>
              </w:rPr>
            </w:pPr>
            <w:r>
              <w:rPr>
                <w:rFonts w:hint="eastAsia" w:ascii="宋体" w:hAnsi="宋体" w:eastAsia="宋体" w:cs="宋体"/>
                <w:color w:val="auto"/>
                <w:spacing w:val="8"/>
                <w:sz w:val="24"/>
                <w:szCs w:val="24"/>
                <w:lang w:eastAsia="zh-CN"/>
              </w:rPr>
              <w:t>13.超声波处理器（包括超声发生器）</w:t>
            </w:r>
            <w:r>
              <w:rPr>
                <w:rFonts w:hint="eastAsia" w:ascii="宋体" w:hAnsi="宋体" w:eastAsia="宋体" w:cs="宋体"/>
                <w:color w:val="auto"/>
                <w:spacing w:val="-56"/>
                <w:sz w:val="24"/>
                <w:szCs w:val="24"/>
                <w:lang w:eastAsia="zh-CN"/>
              </w:rPr>
              <w:t xml:space="preserve"> </w:t>
            </w:r>
            <w:r>
              <w:rPr>
                <w:rFonts w:hint="eastAsia" w:ascii="宋体" w:hAnsi="宋体" w:eastAsia="宋体" w:cs="宋体"/>
                <w:color w:val="auto"/>
                <w:spacing w:val="8"/>
                <w:sz w:val="24"/>
                <w:szCs w:val="24"/>
                <w:lang w:eastAsia="zh-CN"/>
              </w:rPr>
              <w:t>≥1个。</w:t>
            </w:r>
          </w:p>
          <w:p w14:paraId="6E600EA3">
            <w:pPr>
              <w:pStyle w:val="16"/>
              <w:keepNext w:val="0"/>
              <w:keepLines w:val="0"/>
              <w:pageBreakBefore w:val="0"/>
              <w:widowControl w:val="0"/>
              <w:kinsoku/>
              <w:overflowPunct/>
              <w:topLinePunct/>
              <w:autoSpaceDE/>
              <w:autoSpaceDN/>
              <w:bidi w:val="0"/>
              <w:adjustRightInd w:val="0"/>
              <w:snapToGrid w:val="0"/>
              <w:spacing w:line="360" w:lineRule="auto"/>
              <w:ind w:left="0" w:right="0" w:firstLine="0"/>
              <w:textAlignment w:val="auto"/>
              <w:rPr>
                <w:rFonts w:hint="eastAsia" w:ascii="宋体" w:hAnsi="宋体" w:eastAsia="宋体" w:cs="宋体"/>
                <w:color w:val="auto"/>
                <w:sz w:val="24"/>
                <w:szCs w:val="24"/>
                <w:lang w:eastAsia="zh-CN"/>
              </w:rPr>
            </w:pPr>
            <w:r>
              <w:rPr>
                <w:rFonts w:hint="eastAsia" w:ascii="宋体" w:hAnsi="宋体" w:eastAsia="宋体" w:cs="宋体"/>
                <w:color w:val="auto"/>
                <w:spacing w:val="3"/>
                <w:sz w:val="24"/>
                <w:szCs w:val="24"/>
                <w:lang w:eastAsia="zh-CN"/>
              </w:rPr>
              <w:t>14.数据输出的电流信号幅度：0.1–</w:t>
            </w:r>
            <w:r>
              <w:rPr>
                <w:rFonts w:hint="eastAsia" w:ascii="宋体" w:hAnsi="宋体" w:eastAsia="宋体" w:cs="宋体"/>
                <w:color w:val="auto"/>
                <w:spacing w:val="-75"/>
                <w:sz w:val="24"/>
                <w:szCs w:val="24"/>
                <w:lang w:eastAsia="zh-CN"/>
              </w:rPr>
              <w:t xml:space="preserve"> </w:t>
            </w:r>
            <w:r>
              <w:rPr>
                <w:rFonts w:hint="eastAsia" w:ascii="宋体" w:hAnsi="宋体" w:eastAsia="宋体" w:cs="宋体"/>
                <w:color w:val="auto"/>
                <w:spacing w:val="3"/>
                <w:sz w:val="24"/>
                <w:szCs w:val="24"/>
                <w:lang w:eastAsia="zh-CN"/>
              </w:rPr>
              <w:t>10</w:t>
            </w:r>
            <w:r>
              <w:rPr>
                <w:rFonts w:hint="eastAsia" w:ascii="宋体" w:hAnsi="宋体" w:eastAsia="宋体" w:cs="宋体"/>
                <w:color w:val="auto"/>
                <w:sz w:val="24"/>
                <w:szCs w:val="24"/>
                <w:lang w:eastAsia="zh-CN"/>
              </w:rPr>
              <w:t>nA。</w:t>
            </w:r>
          </w:p>
          <w:p w14:paraId="50FC27CC">
            <w:pPr>
              <w:pStyle w:val="16"/>
              <w:keepNext w:val="0"/>
              <w:keepLines w:val="0"/>
              <w:pageBreakBefore w:val="0"/>
              <w:widowControl w:val="0"/>
              <w:kinsoku/>
              <w:overflowPunct/>
              <w:topLinePunct/>
              <w:autoSpaceDE/>
              <w:autoSpaceDN/>
              <w:bidi w:val="0"/>
              <w:adjustRightInd w:val="0"/>
              <w:snapToGrid w:val="0"/>
              <w:spacing w:line="360" w:lineRule="auto"/>
              <w:ind w:left="0" w:right="0" w:firstLine="0"/>
              <w:textAlignment w:val="auto"/>
              <w:rPr>
                <w:rFonts w:hint="eastAsia" w:ascii="宋体" w:hAnsi="宋体" w:eastAsia="宋体" w:cs="宋体"/>
                <w:color w:val="auto"/>
                <w:sz w:val="24"/>
                <w:szCs w:val="24"/>
                <w:lang w:eastAsia="zh-CN"/>
              </w:rPr>
            </w:pPr>
            <w:r>
              <w:rPr>
                <w:rFonts w:hint="eastAsia" w:ascii="宋体" w:hAnsi="宋体" w:eastAsia="宋体" w:cs="宋体"/>
                <w:color w:val="auto"/>
                <w:spacing w:val="-2"/>
                <w:sz w:val="24"/>
                <w:szCs w:val="24"/>
                <w:lang w:eastAsia="zh-CN"/>
              </w:rPr>
              <w:t>15.低噪音放大器：增益范围</w:t>
            </w:r>
            <w:r>
              <w:rPr>
                <w:rFonts w:hint="eastAsia" w:ascii="宋体" w:hAnsi="宋体" w:eastAsia="宋体" w:cs="宋体"/>
                <w:color w:val="auto"/>
                <w:spacing w:val="-50"/>
                <w:sz w:val="24"/>
                <w:szCs w:val="24"/>
                <w:lang w:eastAsia="zh-CN"/>
              </w:rPr>
              <w:t>：</w:t>
            </w:r>
            <w:r>
              <w:rPr>
                <w:rFonts w:hint="eastAsia" w:ascii="宋体" w:hAnsi="宋体" w:eastAsia="宋体" w:cs="宋体"/>
                <w:color w:val="auto"/>
                <w:spacing w:val="-2"/>
                <w:sz w:val="24"/>
                <w:szCs w:val="24"/>
                <w:lang w:eastAsia="zh-CN"/>
              </w:rPr>
              <w:t>10</w:t>
            </w:r>
            <w:r>
              <w:rPr>
                <w:rFonts w:hint="eastAsia" w:ascii="宋体" w:hAnsi="宋体" w:eastAsia="宋体" w:cs="宋体"/>
                <w:color w:val="auto"/>
                <w:spacing w:val="-2"/>
                <w:sz w:val="24"/>
                <w:szCs w:val="24"/>
                <w:vertAlign w:val="superscript"/>
                <w:lang w:eastAsia="zh-CN"/>
              </w:rPr>
              <w:t>8</w:t>
            </w:r>
            <w:r>
              <w:rPr>
                <w:rFonts w:hint="eastAsia" w:ascii="宋体" w:hAnsi="宋体" w:eastAsia="宋体" w:cs="宋体"/>
                <w:color w:val="auto"/>
                <w:spacing w:val="-2"/>
                <w:sz w:val="24"/>
                <w:szCs w:val="24"/>
                <w:lang w:eastAsia="zh-CN"/>
              </w:rPr>
              <w:t>–10</w:t>
            </w:r>
            <w:r>
              <w:rPr>
                <w:rFonts w:hint="eastAsia" w:ascii="宋体" w:hAnsi="宋体" w:eastAsia="宋体" w:cs="宋体"/>
                <w:color w:val="auto"/>
                <w:spacing w:val="-2"/>
                <w:sz w:val="24"/>
                <w:szCs w:val="24"/>
                <w:vertAlign w:val="superscript"/>
                <w:lang w:eastAsia="zh-CN"/>
              </w:rPr>
              <w:t>11</w:t>
            </w:r>
            <w:r>
              <w:rPr>
                <w:rFonts w:hint="eastAsia" w:ascii="宋体" w:hAnsi="宋体" w:eastAsia="宋体" w:cs="宋体"/>
                <w:color w:val="auto"/>
                <w:spacing w:val="-45"/>
                <w:sz w:val="24"/>
                <w:szCs w:val="24"/>
                <w:lang w:eastAsia="zh-CN"/>
              </w:rPr>
              <w:t xml:space="preserve"> </w:t>
            </w:r>
            <w:r>
              <w:rPr>
                <w:rFonts w:hint="eastAsia" w:ascii="宋体" w:hAnsi="宋体" w:eastAsia="宋体" w:cs="宋体"/>
                <w:color w:val="auto"/>
                <w:spacing w:val="-2"/>
                <w:sz w:val="24"/>
                <w:szCs w:val="24"/>
                <w:lang w:eastAsia="zh-CN"/>
              </w:rPr>
              <w:t>V/A，噪音范围</w:t>
            </w:r>
            <w:r>
              <w:rPr>
                <w:rFonts w:hint="eastAsia" w:ascii="宋体" w:hAnsi="宋体" w:eastAsia="宋体" w:cs="宋体"/>
                <w:color w:val="auto"/>
                <w:spacing w:val="-59"/>
                <w:sz w:val="24"/>
                <w:szCs w:val="24"/>
                <w:lang w:eastAsia="zh-CN"/>
              </w:rPr>
              <w:t>：</w:t>
            </w:r>
            <w:r>
              <w:rPr>
                <w:rFonts w:hint="eastAsia" w:ascii="宋体" w:hAnsi="宋体" w:eastAsia="宋体" w:cs="宋体"/>
                <w:color w:val="auto"/>
                <w:sz w:val="24"/>
                <w:szCs w:val="24"/>
                <w:lang w:eastAsia="zh-CN"/>
              </w:rPr>
              <w:t>≤22pA。</w:t>
            </w:r>
          </w:p>
          <w:p w14:paraId="12E2588E">
            <w:pPr>
              <w:pStyle w:val="16"/>
              <w:keepNext w:val="0"/>
              <w:keepLines w:val="0"/>
              <w:pageBreakBefore w:val="0"/>
              <w:widowControl w:val="0"/>
              <w:kinsoku/>
              <w:overflowPunct/>
              <w:topLinePunct/>
              <w:autoSpaceDE/>
              <w:autoSpaceDN/>
              <w:bidi w:val="0"/>
              <w:adjustRightInd w:val="0"/>
              <w:snapToGrid w:val="0"/>
              <w:spacing w:line="360" w:lineRule="auto"/>
              <w:ind w:left="0" w:right="0" w:firstLine="0"/>
              <w:textAlignment w:val="auto"/>
              <w:rPr>
                <w:rFonts w:hint="eastAsia" w:ascii="宋体" w:hAnsi="宋体" w:eastAsia="宋体" w:cs="宋体"/>
                <w:color w:val="auto"/>
                <w:sz w:val="24"/>
                <w:szCs w:val="24"/>
                <w:lang w:eastAsia="zh-CN"/>
              </w:rPr>
            </w:pPr>
            <w:r>
              <w:rPr>
                <w:rFonts w:hint="eastAsia" w:ascii="宋体" w:hAnsi="宋体" w:eastAsia="宋体" w:cs="宋体"/>
                <w:color w:val="auto"/>
                <w:spacing w:val="8"/>
                <w:sz w:val="24"/>
                <w:szCs w:val="24"/>
                <w:lang w:eastAsia="zh-CN"/>
              </w:rPr>
              <w:t>★</w:t>
            </w:r>
            <w:r>
              <w:rPr>
                <w:rFonts w:hint="eastAsia" w:ascii="宋体" w:hAnsi="宋体" w:eastAsia="宋体" w:cs="宋体"/>
                <w:color w:val="auto"/>
                <w:spacing w:val="4"/>
                <w:sz w:val="24"/>
                <w:szCs w:val="24"/>
                <w:lang w:eastAsia="zh-CN"/>
              </w:rPr>
              <w:t>16.测量电极：直径为1</w:t>
            </w:r>
            <w:r>
              <w:rPr>
                <w:rFonts w:hint="eastAsia" w:ascii="宋体" w:hAnsi="宋体" w:eastAsia="宋体" w:cs="宋体"/>
                <w:color w:val="auto"/>
                <w:sz w:val="24"/>
                <w:szCs w:val="24"/>
                <w:lang w:eastAsia="zh-CN"/>
              </w:rPr>
              <w:t>mm</w:t>
            </w:r>
            <w:r>
              <w:rPr>
                <w:rFonts w:hint="eastAsia" w:ascii="宋体" w:hAnsi="宋体" w:eastAsia="宋体" w:cs="宋体"/>
                <w:color w:val="auto"/>
                <w:spacing w:val="-37"/>
                <w:sz w:val="24"/>
                <w:szCs w:val="24"/>
                <w:lang w:eastAsia="zh-CN"/>
              </w:rPr>
              <w:t xml:space="preserve"> </w:t>
            </w:r>
            <w:r>
              <w:rPr>
                <w:rFonts w:hint="eastAsia" w:ascii="宋体" w:hAnsi="宋体" w:eastAsia="宋体" w:cs="宋体"/>
                <w:color w:val="auto"/>
                <w:spacing w:val="4"/>
                <w:sz w:val="24"/>
                <w:szCs w:val="24"/>
                <w:lang w:eastAsia="zh-CN"/>
              </w:rPr>
              <w:t>或3</w:t>
            </w:r>
            <w:r>
              <w:rPr>
                <w:rFonts w:hint="eastAsia" w:ascii="宋体" w:hAnsi="宋体" w:eastAsia="宋体" w:cs="宋体"/>
                <w:color w:val="auto"/>
                <w:spacing w:val="-46"/>
                <w:sz w:val="24"/>
                <w:szCs w:val="24"/>
                <w:lang w:eastAsia="zh-CN"/>
              </w:rPr>
              <w:t xml:space="preserve"> </w:t>
            </w:r>
            <w:r>
              <w:rPr>
                <w:rFonts w:hint="eastAsia" w:ascii="宋体" w:hAnsi="宋体" w:eastAsia="宋体" w:cs="宋体"/>
                <w:color w:val="auto"/>
                <w:sz w:val="24"/>
                <w:szCs w:val="24"/>
                <w:lang w:eastAsia="zh-CN"/>
              </w:rPr>
              <w:t>mm</w:t>
            </w:r>
            <w:r>
              <w:rPr>
                <w:rFonts w:hint="eastAsia" w:ascii="宋体" w:hAnsi="宋体" w:eastAsia="宋体" w:cs="宋体"/>
                <w:color w:val="auto"/>
                <w:spacing w:val="4"/>
                <w:sz w:val="24"/>
                <w:szCs w:val="24"/>
                <w:lang w:eastAsia="zh-CN"/>
              </w:rPr>
              <w:t>的可重复使用的镀金传</w:t>
            </w:r>
            <w:r>
              <w:rPr>
                <w:rFonts w:hint="eastAsia" w:ascii="宋体" w:hAnsi="宋体" w:eastAsia="宋体" w:cs="宋体"/>
                <w:color w:val="auto"/>
                <w:spacing w:val="7"/>
                <w:sz w:val="24"/>
                <w:szCs w:val="24"/>
                <w:lang w:eastAsia="zh-CN"/>
              </w:rPr>
              <w:t>感器芯片。</w:t>
            </w:r>
          </w:p>
          <w:p w14:paraId="359008DB">
            <w:pPr>
              <w:pStyle w:val="16"/>
              <w:keepNext w:val="0"/>
              <w:keepLines w:val="0"/>
              <w:pageBreakBefore w:val="0"/>
              <w:widowControl w:val="0"/>
              <w:kinsoku/>
              <w:overflowPunct/>
              <w:topLinePunct/>
              <w:autoSpaceDE/>
              <w:autoSpaceDN/>
              <w:bidi w:val="0"/>
              <w:adjustRightInd w:val="0"/>
              <w:snapToGrid w:val="0"/>
              <w:spacing w:line="360" w:lineRule="auto"/>
              <w:ind w:left="0" w:right="0" w:firstLine="0"/>
              <w:textAlignment w:val="auto"/>
              <w:rPr>
                <w:rFonts w:hint="eastAsia" w:ascii="宋体" w:hAnsi="宋体" w:eastAsia="宋体" w:cs="宋体"/>
                <w:color w:val="auto"/>
                <w:sz w:val="24"/>
                <w:szCs w:val="24"/>
                <w:lang w:eastAsia="zh-CN"/>
              </w:rPr>
            </w:pPr>
            <w:r>
              <w:rPr>
                <w:rFonts w:hint="eastAsia" w:ascii="宋体" w:hAnsi="宋体" w:eastAsia="宋体" w:cs="宋体"/>
                <w:color w:val="auto"/>
                <w:spacing w:val="6"/>
                <w:sz w:val="24"/>
                <w:szCs w:val="24"/>
                <w:lang w:eastAsia="zh-CN"/>
              </w:rPr>
              <w:t>17.参比电极：铂电极针。</w:t>
            </w:r>
          </w:p>
          <w:p w14:paraId="5FBB242B">
            <w:pPr>
              <w:pStyle w:val="16"/>
              <w:keepNext w:val="0"/>
              <w:keepLines w:val="0"/>
              <w:pageBreakBefore w:val="0"/>
              <w:widowControl w:val="0"/>
              <w:kinsoku/>
              <w:overflowPunct/>
              <w:topLinePunct/>
              <w:autoSpaceDE/>
              <w:autoSpaceDN/>
              <w:bidi w:val="0"/>
              <w:adjustRightInd w:val="0"/>
              <w:snapToGrid w:val="0"/>
              <w:spacing w:line="360" w:lineRule="auto"/>
              <w:ind w:left="0" w:right="0" w:firstLine="0"/>
              <w:textAlignment w:val="auto"/>
              <w:rPr>
                <w:rFonts w:hint="eastAsia" w:ascii="宋体" w:hAnsi="宋体" w:eastAsia="宋体" w:cs="宋体"/>
                <w:color w:val="auto"/>
                <w:sz w:val="24"/>
                <w:szCs w:val="24"/>
                <w:lang w:eastAsia="zh-CN"/>
              </w:rPr>
            </w:pPr>
            <w:r>
              <w:rPr>
                <w:rFonts w:hint="eastAsia" w:ascii="宋体" w:hAnsi="宋体" w:eastAsia="宋体" w:cs="宋体"/>
                <w:color w:val="auto"/>
                <w:spacing w:val="5"/>
                <w:sz w:val="24"/>
                <w:szCs w:val="24"/>
                <w:lang w:eastAsia="zh-CN"/>
              </w:rPr>
              <w:t>18.软件工作站：自带数据记录和分析软件。</w:t>
            </w:r>
          </w:p>
          <w:p w14:paraId="4D22E848">
            <w:pPr>
              <w:pStyle w:val="16"/>
              <w:keepNext w:val="0"/>
              <w:keepLines w:val="0"/>
              <w:pageBreakBefore w:val="0"/>
              <w:widowControl w:val="0"/>
              <w:kinsoku/>
              <w:overflowPunct/>
              <w:topLinePunct/>
              <w:autoSpaceDE/>
              <w:autoSpaceDN/>
              <w:bidi w:val="0"/>
              <w:adjustRightInd w:val="0"/>
              <w:snapToGrid w:val="0"/>
              <w:spacing w:line="360" w:lineRule="auto"/>
              <w:ind w:left="0" w:right="0" w:firstLine="0"/>
              <w:textAlignment w:val="auto"/>
              <w:rPr>
                <w:rFonts w:hint="eastAsia" w:ascii="宋体" w:hAnsi="宋体" w:eastAsia="宋体" w:cs="宋体"/>
                <w:color w:val="auto"/>
                <w:sz w:val="24"/>
                <w:szCs w:val="24"/>
                <w:lang w:eastAsia="zh-CN"/>
              </w:rPr>
            </w:pPr>
            <w:r>
              <w:rPr>
                <w:rFonts w:hint="eastAsia" w:ascii="宋体" w:hAnsi="宋体" w:eastAsia="宋体" w:cs="宋体"/>
                <w:color w:val="auto"/>
                <w:spacing w:val="4"/>
                <w:sz w:val="24"/>
                <w:szCs w:val="24"/>
                <w:lang w:eastAsia="zh-CN"/>
              </w:rPr>
              <w:t>19.灌流速度：≥200</w:t>
            </w:r>
            <w:r>
              <w:rPr>
                <w:rFonts w:hint="eastAsia" w:ascii="宋体" w:hAnsi="宋体" w:eastAsia="宋体" w:cs="宋体"/>
                <w:color w:val="auto"/>
                <w:sz w:val="24"/>
                <w:szCs w:val="24"/>
              </w:rPr>
              <w:t>μ</w:t>
            </w:r>
            <w:r>
              <w:rPr>
                <w:rFonts w:hint="eastAsia" w:ascii="宋体" w:hAnsi="宋体" w:eastAsia="宋体" w:cs="宋体"/>
                <w:color w:val="auto"/>
                <w:sz w:val="24"/>
                <w:szCs w:val="24"/>
                <w:lang w:eastAsia="zh-CN"/>
              </w:rPr>
              <w:t>l</w:t>
            </w:r>
            <w:r>
              <w:rPr>
                <w:rFonts w:hint="eastAsia" w:ascii="宋体" w:hAnsi="宋体" w:eastAsia="宋体" w:cs="宋体"/>
                <w:color w:val="auto"/>
                <w:spacing w:val="4"/>
                <w:sz w:val="24"/>
                <w:szCs w:val="24"/>
                <w:lang w:eastAsia="zh-CN"/>
              </w:rPr>
              <w:t>/s，持续灌流时长：</w:t>
            </w:r>
            <w:r>
              <w:rPr>
                <w:rFonts w:hint="eastAsia" w:ascii="宋体" w:hAnsi="宋体" w:eastAsia="宋体" w:cs="宋体"/>
                <w:color w:val="auto"/>
                <w:spacing w:val="-66"/>
                <w:sz w:val="24"/>
                <w:szCs w:val="24"/>
                <w:lang w:eastAsia="zh-CN"/>
              </w:rPr>
              <w:t xml:space="preserve"> </w:t>
            </w:r>
            <w:r>
              <w:rPr>
                <w:rFonts w:hint="eastAsia" w:ascii="宋体" w:hAnsi="宋体" w:eastAsia="宋体" w:cs="宋体"/>
                <w:color w:val="auto"/>
                <w:spacing w:val="4"/>
                <w:sz w:val="24"/>
                <w:szCs w:val="24"/>
                <w:lang w:eastAsia="zh-CN"/>
              </w:rPr>
              <w:t>≤4s。</w:t>
            </w:r>
          </w:p>
          <w:p w14:paraId="0AC9FDDF">
            <w:pPr>
              <w:pStyle w:val="16"/>
              <w:keepNext w:val="0"/>
              <w:keepLines w:val="0"/>
              <w:pageBreakBefore w:val="0"/>
              <w:widowControl w:val="0"/>
              <w:kinsoku/>
              <w:overflowPunct/>
              <w:topLinePunct/>
              <w:autoSpaceDE/>
              <w:autoSpaceDN/>
              <w:bidi w:val="0"/>
              <w:adjustRightInd w:val="0"/>
              <w:snapToGrid w:val="0"/>
              <w:spacing w:line="360" w:lineRule="auto"/>
              <w:ind w:left="0" w:right="0" w:firstLine="0"/>
              <w:textAlignment w:val="auto"/>
              <w:rPr>
                <w:rFonts w:hint="eastAsia" w:ascii="宋体" w:hAnsi="宋体" w:eastAsia="宋体" w:cs="宋体"/>
                <w:color w:val="auto"/>
                <w:sz w:val="24"/>
                <w:szCs w:val="24"/>
                <w:lang w:eastAsia="zh-CN"/>
              </w:rPr>
            </w:pPr>
            <w:r>
              <w:rPr>
                <w:rFonts w:hint="eastAsia" w:ascii="宋体" w:hAnsi="宋体" w:eastAsia="宋体" w:cs="宋体"/>
                <w:color w:val="auto"/>
                <w:spacing w:val="6"/>
                <w:sz w:val="24"/>
                <w:szCs w:val="24"/>
                <w:lang w:eastAsia="zh-CN"/>
              </w:rPr>
              <w:t>20.玻璃溶液管位置≥50个，每个玻璃管体积≥10</w:t>
            </w:r>
            <w:r>
              <w:rPr>
                <w:rFonts w:hint="eastAsia" w:ascii="宋体" w:hAnsi="宋体" w:eastAsia="宋体" w:cs="宋体"/>
                <w:color w:val="auto"/>
                <w:sz w:val="24"/>
                <w:szCs w:val="24"/>
                <w:lang w:eastAsia="zh-CN"/>
              </w:rPr>
              <w:t>ml</w:t>
            </w:r>
            <w:r>
              <w:rPr>
                <w:rFonts w:hint="eastAsia" w:ascii="宋体" w:hAnsi="宋体" w:eastAsia="宋体" w:cs="宋体"/>
                <w:color w:val="auto"/>
                <w:spacing w:val="6"/>
                <w:sz w:val="24"/>
                <w:szCs w:val="24"/>
                <w:lang w:eastAsia="zh-CN"/>
              </w:rPr>
              <w:t>，</w:t>
            </w:r>
            <w:r>
              <w:rPr>
                <w:rFonts w:hint="eastAsia" w:ascii="宋体" w:hAnsi="宋体" w:eastAsia="宋体" w:cs="宋体"/>
                <w:color w:val="auto"/>
                <w:spacing w:val="8"/>
                <w:sz w:val="24"/>
                <w:szCs w:val="24"/>
                <w:lang w:eastAsia="zh-CN"/>
              </w:rPr>
              <w:t>特氟龙样品槽≥2个，每个槽的体积≥50</w:t>
            </w:r>
            <w:r>
              <w:rPr>
                <w:rFonts w:hint="eastAsia" w:ascii="宋体" w:hAnsi="宋体" w:eastAsia="宋体" w:cs="宋体"/>
                <w:color w:val="auto"/>
                <w:sz w:val="24"/>
                <w:szCs w:val="24"/>
                <w:lang w:eastAsia="zh-CN"/>
              </w:rPr>
              <w:t>ml。</w:t>
            </w:r>
          </w:p>
          <w:p w14:paraId="14E7C06A">
            <w:pPr>
              <w:pStyle w:val="16"/>
              <w:keepNext w:val="0"/>
              <w:keepLines w:val="0"/>
              <w:pageBreakBefore w:val="0"/>
              <w:widowControl w:val="0"/>
              <w:kinsoku/>
              <w:overflowPunct/>
              <w:topLinePunct/>
              <w:autoSpaceDE/>
              <w:autoSpaceDN/>
              <w:bidi w:val="0"/>
              <w:adjustRightInd w:val="0"/>
              <w:snapToGrid w:val="0"/>
              <w:spacing w:line="360" w:lineRule="auto"/>
              <w:ind w:left="0" w:right="0" w:firstLine="0"/>
              <w:textAlignment w:val="auto"/>
              <w:rPr>
                <w:rFonts w:hint="eastAsia" w:ascii="宋体" w:hAnsi="宋体" w:eastAsia="宋体" w:cs="宋体"/>
                <w:b w:val="0"/>
                <w:bCs w:val="0"/>
                <w:color w:val="auto"/>
                <w:kern w:val="2"/>
                <w:sz w:val="24"/>
                <w:szCs w:val="24"/>
                <w:lang w:val="en-US" w:eastAsia="zh-CN" w:bidi="ar-SA"/>
              </w:rPr>
            </w:pPr>
            <w:r>
              <w:rPr>
                <w:rFonts w:hint="eastAsia" w:ascii="宋体" w:hAnsi="宋体" w:eastAsia="宋体" w:cs="宋体"/>
                <w:color w:val="auto"/>
                <w:spacing w:val="8"/>
                <w:sz w:val="24"/>
                <w:szCs w:val="24"/>
                <w:lang w:eastAsia="zh-CN"/>
              </w:rPr>
              <w:t>★</w:t>
            </w:r>
            <w:r>
              <w:rPr>
                <w:rFonts w:hint="eastAsia" w:ascii="宋体" w:hAnsi="宋体" w:eastAsia="宋体" w:cs="宋体"/>
                <w:color w:val="auto"/>
                <w:spacing w:val="10"/>
                <w:sz w:val="24"/>
                <w:szCs w:val="24"/>
                <w:lang w:eastAsia="zh-CN"/>
              </w:rPr>
              <w:t>21.采集软件和控制软件：实时监测电流和趋势观察，软</w:t>
            </w:r>
            <w:r>
              <w:rPr>
                <w:rFonts w:hint="eastAsia" w:ascii="宋体" w:hAnsi="宋体" w:eastAsia="宋体" w:cs="宋体"/>
                <w:color w:val="auto"/>
                <w:spacing w:val="8"/>
                <w:sz w:val="24"/>
                <w:szCs w:val="24"/>
                <w:lang w:eastAsia="zh-CN"/>
              </w:rPr>
              <w:t>件为可视化图形界面；即时分析功能；有效的数据管理系统。</w:t>
            </w:r>
          </w:p>
        </w:tc>
        <w:tc>
          <w:tcPr>
            <w:tcW w:w="734" w:type="dxa"/>
            <w:noWrap w:val="0"/>
            <w:vAlign w:val="center"/>
          </w:tcPr>
          <w:p w14:paraId="761F5F44">
            <w:pPr>
              <w:pStyle w:val="16"/>
              <w:keepNext w:val="0"/>
              <w:keepLines w:val="0"/>
              <w:pageBreakBefore w:val="0"/>
              <w:widowControl w:val="0"/>
              <w:kinsoku/>
              <w:overflowPunct/>
              <w:autoSpaceDE/>
              <w:autoSpaceDN/>
              <w:bidi w:val="0"/>
              <w:adjustRightInd w:val="0"/>
              <w:snapToGrid w:val="0"/>
              <w:spacing w:line="360" w:lineRule="auto"/>
              <w:ind w:left="0" w:right="0" w:firstLine="0"/>
              <w:jc w:val="center"/>
              <w:textAlignment w:val="auto"/>
              <w:rPr>
                <w:rFonts w:hint="eastAsia" w:ascii="宋体" w:hAnsi="宋体" w:eastAsia="宋体" w:cs="宋体"/>
                <w:color w:val="auto"/>
                <w:sz w:val="24"/>
                <w:szCs w:val="24"/>
              </w:rPr>
            </w:pPr>
            <w:r>
              <w:rPr>
                <w:rFonts w:hint="eastAsia" w:ascii="宋体" w:hAnsi="宋体" w:eastAsia="宋体" w:cs="宋体"/>
                <w:color w:val="auto"/>
                <w:spacing w:val="-15"/>
                <w:sz w:val="24"/>
                <w:szCs w:val="24"/>
              </w:rPr>
              <w:t>1台</w:t>
            </w:r>
          </w:p>
        </w:tc>
        <w:tc>
          <w:tcPr>
            <w:tcW w:w="716" w:type="dxa"/>
            <w:noWrap w:val="0"/>
            <w:vAlign w:val="center"/>
          </w:tcPr>
          <w:p w14:paraId="1EE6F1B4">
            <w:pPr>
              <w:pStyle w:val="16"/>
              <w:keepNext w:val="0"/>
              <w:keepLines w:val="0"/>
              <w:pageBreakBefore w:val="0"/>
              <w:widowControl w:val="0"/>
              <w:kinsoku/>
              <w:overflowPunct/>
              <w:autoSpaceDE/>
              <w:autoSpaceDN/>
              <w:bidi w:val="0"/>
              <w:adjustRightInd w:val="0"/>
              <w:snapToGrid w:val="0"/>
              <w:spacing w:line="360" w:lineRule="auto"/>
              <w:ind w:left="0" w:right="0" w:firstLine="0"/>
              <w:jc w:val="center"/>
              <w:textAlignment w:val="auto"/>
              <w:rPr>
                <w:rFonts w:hint="eastAsia" w:ascii="宋体" w:hAnsi="宋体" w:eastAsia="宋体" w:cs="宋体"/>
                <w:color w:val="auto"/>
                <w:sz w:val="24"/>
                <w:szCs w:val="24"/>
              </w:rPr>
            </w:pPr>
            <w:r>
              <w:rPr>
                <w:rFonts w:hint="eastAsia" w:ascii="宋体" w:hAnsi="宋体" w:eastAsia="宋体" w:cs="宋体"/>
                <w:color w:val="auto"/>
                <w:spacing w:val="-15"/>
                <w:sz w:val="24"/>
                <w:szCs w:val="24"/>
                <w:lang w:eastAsia="zh-CN"/>
              </w:rPr>
              <w:t>工业</w:t>
            </w:r>
          </w:p>
        </w:tc>
        <w:tc>
          <w:tcPr>
            <w:tcW w:w="834" w:type="dxa"/>
            <w:noWrap w:val="0"/>
            <w:vAlign w:val="center"/>
          </w:tcPr>
          <w:p w14:paraId="2597630C">
            <w:pPr>
              <w:keepNext w:val="0"/>
              <w:keepLines w:val="0"/>
              <w:pageBreakBefore w:val="0"/>
              <w:widowControl w:val="0"/>
              <w:suppressLineNumbers w:val="0"/>
              <w:kinsoku/>
              <w:overflowPunct/>
              <w:autoSpaceDE/>
              <w:autoSpaceDN/>
              <w:bidi w:val="0"/>
              <w:adjustRightInd w:val="0"/>
              <w:snapToGrid w:val="0"/>
              <w:spacing w:beforeAutospacing="0" w:after="0" w:afterAutospacing="0" w:line="360" w:lineRule="auto"/>
              <w:ind w:left="0" w:right="0" w:firstLine="0"/>
              <w:jc w:val="center"/>
              <w:textAlignment w:val="auto"/>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进口</w:t>
            </w:r>
          </w:p>
        </w:tc>
        <w:tc>
          <w:tcPr>
            <w:tcW w:w="1124" w:type="dxa"/>
            <w:noWrap w:val="0"/>
            <w:vAlign w:val="center"/>
          </w:tcPr>
          <w:p w14:paraId="51B0E87C">
            <w:pPr>
              <w:keepNext w:val="0"/>
              <w:keepLines w:val="0"/>
              <w:pageBreakBefore w:val="0"/>
              <w:widowControl w:val="0"/>
              <w:suppressLineNumbers w:val="0"/>
              <w:kinsoku/>
              <w:overflowPunct/>
              <w:autoSpaceDE/>
              <w:autoSpaceDN/>
              <w:bidi w:val="0"/>
              <w:adjustRightInd w:val="0"/>
              <w:snapToGrid w:val="0"/>
              <w:spacing w:beforeAutospacing="0" w:after="0" w:afterAutospacing="0" w:line="360" w:lineRule="auto"/>
              <w:ind w:left="0" w:right="0" w:firstLine="0"/>
              <w:jc w:val="center"/>
              <w:textAlignment w:val="auto"/>
              <w:rPr>
                <w:rFonts w:hint="default" w:ascii="宋体" w:hAnsi="宋体" w:cs="宋体"/>
                <w:b/>
                <w:bCs/>
                <w:color w:val="auto"/>
                <w:sz w:val="24"/>
                <w:szCs w:val="24"/>
                <w:lang w:val="en-US" w:eastAsia="zh-CN"/>
              </w:rPr>
            </w:pPr>
            <w:r>
              <w:rPr>
                <w:rFonts w:hint="eastAsia" w:ascii="宋体" w:hAnsi="宋体" w:cs="宋体"/>
                <w:b/>
                <w:bCs/>
                <w:color w:val="auto"/>
                <w:sz w:val="24"/>
                <w:szCs w:val="24"/>
                <w:lang w:val="en-US" w:eastAsia="zh-CN"/>
              </w:rPr>
              <w:t>1550000</w:t>
            </w:r>
          </w:p>
        </w:tc>
      </w:tr>
      <w:tr w14:paraId="023F6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74" w:type="dxa"/>
            <w:noWrap w:val="0"/>
            <w:vAlign w:val="center"/>
          </w:tcPr>
          <w:p w14:paraId="2BB4601F">
            <w:pPr>
              <w:keepNext w:val="0"/>
              <w:keepLines w:val="0"/>
              <w:pageBreakBefore w:val="0"/>
              <w:widowControl w:val="0"/>
              <w:kinsoku/>
              <w:overflowPunct/>
              <w:autoSpaceDE/>
              <w:autoSpaceDN/>
              <w:bidi w:val="0"/>
              <w:adjustRightInd w:val="0"/>
              <w:snapToGrid w:val="0"/>
              <w:spacing w:line="360" w:lineRule="auto"/>
              <w:ind w:left="0" w:leftChars="0" w:right="0" w:firstLine="0"/>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2</w:t>
            </w:r>
          </w:p>
        </w:tc>
        <w:tc>
          <w:tcPr>
            <w:tcW w:w="1230" w:type="dxa"/>
            <w:noWrap w:val="0"/>
            <w:vAlign w:val="center"/>
          </w:tcPr>
          <w:p w14:paraId="22F443CA">
            <w:pPr>
              <w:pStyle w:val="16"/>
              <w:keepNext w:val="0"/>
              <w:keepLines w:val="0"/>
              <w:pageBreakBefore w:val="0"/>
              <w:widowControl w:val="0"/>
              <w:kinsoku/>
              <w:overflowPunct/>
              <w:autoSpaceDE/>
              <w:autoSpaceDN/>
              <w:bidi w:val="0"/>
              <w:adjustRightInd w:val="0"/>
              <w:snapToGrid w:val="0"/>
              <w:spacing w:line="360" w:lineRule="auto"/>
              <w:ind w:left="0" w:leftChars="0" w:right="0" w:rightChars="0" w:firstLine="0" w:firstLineChars="0"/>
              <w:jc w:val="both"/>
              <w:textAlignment w:val="auto"/>
              <w:rPr>
                <w:rFonts w:hint="eastAsia" w:ascii="宋体" w:hAnsi="宋体" w:eastAsia="宋体" w:cs="宋体"/>
                <w:b w:val="0"/>
                <w:bCs w:val="0"/>
                <w:color w:val="auto"/>
                <w:kern w:val="2"/>
                <w:sz w:val="24"/>
                <w:szCs w:val="24"/>
                <w:lang w:val="en-US" w:eastAsia="zh-CN" w:bidi="ar-SA"/>
              </w:rPr>
            </w:pPr>
            <w:r>
              <w:rPr>
                <w:rFonts w:hint="eastAsia" w:ascii="宋体" w:hAnsi="宋体" w:eastAsia="宋体" w:cs="宋体"/>
                <w:color w:val="auto"/>
                <w:spacing w:val="6"/>
                <w:sz w:val="24"/>
                <w:szCs w:val="24"/>
              </w:rPr>
              <w:t>单细胞悬液制备器</w:t>
            </w:r>
          </w:p>
        </w:tc>
        <w:tc>
          <w:tcPr>
            <w:tcW w:w="4423" w:type="dxa"/>
            <w:noWrap w:val="0"/>
            <w:vAlign w:val="top"/>
          </w:tcPr>
          <w:p w14:paraId="4EFF002A">
            <w:pPr>
              <w:pStyle w:val="16"/>
              <w:keepNext w:val="0"/>
              <w:keepLines w:val="0"/>
              <w:pageBreakBefore w:val="0"/>
              <w:widowControl w:val="0"/>
              <w:kinsoku/>
              <w:overflowPunct/>
              <w:autoSpaceDE/>
              <w:autoSpaceDN/>
              <w:bidi w:val="0"/>
              <w:adjustRightInd w:val="0"/>
              <w:snapToGrid w:val="0"/>
              <w:spacing w:line="360" w:lineRule="auto"/>
              <w:ind w:left="0" w:right="0" w:firstLine="0"/>
              <w:jc w:val="both"/>
              <w:textAlignment w:val="auto"/>
              <w:rPr>
                <w:rFonts w:hint="eastAsia" w:ascii="宋体" w:hAnsi="宋体" w:eastAsia="宋体" w:cs="宋体"/>
                <w:color w:val="auto"/>
                <w:spacing w:val="10"/>
                <w:sz w:val="24"/>
                <w:szCs w:val="24"/>
                <w:lang w:eastAsia="zh-CN"/>
              </w:rPr>
            </w:pPr>
            <w:r>
              <w:rPr>
                <w:rFonts w:hint="eastAsia" w:ascii="宋体" w:hAnsi="宋体" w:eastAsia="宋体" w:cs="宋体"/>
                <w:color w:val="auto"/>
                <w:spacing w:val="10"/>
                <w:sz w:val="24"/>
                <w:szCs w:val="24"/>
                <w:lang w:eastAsia="zh-CN"/>
              </w:rPr>
              <w:t>一、技术要求</w:t>
            </w:r>
          </w:p>
          <w:p w14:paraId="084DD313">
            <w:pPr>
              <w:pStyle w:val="16"/>
              <w:keepNext w:val="0"/>
              <w:keepLines w:val="0"/>
              <w:pageBreakBefore w:val="0"/>
              <w:widowControl w:val="0"/>
              <w:kinsoku/>
              <w:overflowPunct/>
              <w:autoSpaceDE/>
              <w:autoSpaceDN/>
              <w:bidi w:val="0"/>
              <w:adjustRightInd w:val="0"/>
              <w:snapToGrid w:val="0"/>
              <w:spacing w:line="360" w:lineRule="auto"/>
              <w:ind w:left="0" w:right="0" w:firstLine="0"/>
              <w:jc w:val="both"/>
              <w:textAlignment w:val="auto"/>
              <w:rPr>
                <w:rFonts w:hint="eastAsia" w:ascii="宋体" w:hAnsi="宋体" w:eastAsia="宋体" w:cs="宋体"/>
                <w:color w:val="auto"/>
                <w:spacing w:val="10"/>
                <w:sz w:val="24"/>
                <w:szCs w:val="24"/>
                <w:lang w:eastAsia="zh-CN"/>
              </w:rPr>
            </w:pPr>
            <w:r>
              <w:rPr>
                <w:rFonts w:hint="eastAsia" w:ascii="宋体" w:hAnsi="宋体" w:eastAsia="宋体" w:cs="宋体"/>
                <w:color w:val="auto"/>
                <w:spacing w:val="10"/>
                <w:sz w:val="24"/>
                <w:szCs w:val="24"/>
                <w:lang w:eastAsia="zh-CN"/>
              </w:rPr>
              <w:t>★1.仪器功能：采用酶解+机械切割的原理，可温和高效解离组织样本。处理功能≥4种，同时可进行组织匀浆用于提取蛋白和核酸，还可将组织解离成单核悬液，并能实现组织离体灌注。</w:t>
            </w:r>
          </w:p>
          <w:p w14:paraId="229D6DDF">
            <w:pPr>
              <w:pStyle w:val="16"/>
              <w:keepNext w:val="0"/>
              <w:keepLines w:val="0"/>
              <w:pageBreakBefore w:val="0"/>
              <w:widowControl w:val="0"/>
              <w:kinsoku/>
              <w:overflowPunct/>
              <w:autoSpaceDE/>
              <w:autoSpaceDN/>
              <w:bidi w:val="0"/>
              <w:adjustRightInd w:val="0"/>
              <w:snapToGrid w:val="0"/>
              <w:spacing w:line="360" w:lineRule="auto"/>
              <w:ind w:left="0" w:right="0" w:firstLine="0"/>
              <w:jc w:val="both"/>
              <w:textAlignment w:val="auto"/>
              <w:rPr>
                <w:rFonts w:hint="eastAsia" w:ascii="宋体" w:hAnsi="宋体" w:eastAsia="宋体" w:cs="宋体"/>
                <w:color w:val="auto"/>
                <w:spacing w:val="10"/>
                <w:sz w:val="24"/>
                <w:szCs w:val="24"/>
                <w:lang w:eastAsia="zh-CN"/>
              </w:rPr>
            </w:pPr>
            <w:r>
              <w:rPr>
                <w:rFonts w:hint="eastAsia" w:ascii="宋体" w:hAnsi="宋体" w:eastAsia="宋体" w:cs="宋体"/>
                <w:color w:val="auto"/>
                <w:spacing w:val="10"/>
                <w:sz w:val="24"/>
                <w:szCs w:val="24"/>
                <w:lang w:eastAsia="zh-CN"/>
              </w:rPr>
              <w:t>2.单次样本处理量：20-4000mg；缓冲液体积：0.3-10 mL；电机转速：0-4000rpm，顺时针+逆时针双向转动。</w:t>
            </w:r>
          </w:p>
          <w:p w14:paraId="5030824D">
            <w:pPr>
              <w:pStyle w:val="6"/>
              <w:keepNext w:val="0"/>
              <w:keepLines w:val="0"/>
              <w:pageBreakBefore w:val="0"/>
              <w:widowControl w:val="0"/>
              <w:kinsoku/>
              <w:overflowPunct/>
              <w:autoSpaceDE/>
              <w:autoSpaceDN/>
              <w:bidi w:val="0"/>
              <w:adjustRightInd w:val="0"/>
              <w:snapToGrid w:val="0"/>
              <w:spacing w:line="360" w:lineRule="auto"/>
              <w:ind w:left="0" w:right="0" w:firstLine="0"/>
              <w:textAlignment w:val="auto"/>
              <w:rPr>
                <w:rFonts w:hint="eastAsia" w:ascii="宋体" w:hAnsi="宋体" w:eastAsia="宋体" w:cs="宋体"/>
                <w:color w:val="auto"/>
                <w:spacing w:val="10"/>
                <w:sz w:val="24"/>
                <w:szCs w:val="24"/>
                <w:lang w:eastAsia="zh-CN"/>
              </w:rPr>
            </w:pPr>
            <w:r>
              <w:rPr>
                <w:rFonts w:hint="eastAsia" w:ascii="宋体" w:hAnsi="宋体" w:eastAsia="宋体" w:cs="宋体"/>
                <w:color w:val="auto"/>
                <w:spacing w:val="10"/>
                <w:sz w:val="24"/>
                <w:szCs w:val="24"/>
                <w:lang w:eastAsia="zh-CN"/>
              </w:rPr>
              <w:t>★3.通道及加热套要求：</w:t>
            </w:r>
          </w:p>
          <w:p w14:paraId="3A38A699">
            <w:pPr>
              <w:pStyle w:val="6"/>
              <w:keepNext w:val="0"/>
              <w:keepLines w:val="0"/>
              <w:pageBreakBefore w:val="0"/>
              <w:widowControl w:val="0"/>
              <w:kinsoku/>
              <w:overflowPunct/>
              <w:autoSpaceDE/>
              <w:autoSpaceDN/>
              <w:bidi w:val="0"/>
              <w:adjustRightInd w:val="0"/>
              <w:snapToGrid w:val="0"/>
              <w:spacing w:line="360" w:lineRule="auto"/>
              <w:ind w:left="0" w:right="0" w:firstLine="0"/>
              <w:textAlignment w:val="auto"/>
              <w:rPr>
                <w:rFonts w:hint="eastAsia" w:ascii="宋体" w:hAnsi="宋体" w:eastAsia="宋体" w:cs="宋体"/>
                <w:color w:val="auto"/>
                <w:spacing w:val="10"/>
                <w:sz w:val="24"/>
                <w:szCs w:val="24"/>
                <w:lang w:eastAsia="zh-CN"/>
              </w:rPr>
            </w:pPr>
            <w:r>
              <w:rPr>
                <w:rFonts w:hint="eastAsia" w:ascii="宋体" w:hAnsi="宋体" w:eastAsia="宋体" w:cs="宋体"/>
                <w:color w:val="auto"/>
                <w:spacing w:val="10"/>
                <w:sz w:val="24"/>
                <w:szCs w:val="24"/>
                <w:lang w:eastAsia="zh-CN"/>
              </w:rPr>
              <w:t>3.1通道≥8个，可同时处理≥8个不同组织样本，也可完全独立运行，暂停其中一个通道可继续在原位运行新程序或原程序，无需等待其他通道运行结束才可继续使用该通道。</w:t>
            </w:r>
          </w:p>
          <w:p w14:paraId="514897D3">
            <w:pPr>
              <w:pStyle w:val="6"/>
              <w:keepNext w:val="0"/>
              <w:keepLines w:val="0"/>
              <w:pageBreakBefore w:val="0"/>
              <w:widowControl w:val="0"/>
              <w:kinsoku/>
              <w:overflowPunct/>
              <w:autoSpaceDE/>
              <w:autoSpaceDN/>
              <w:bidi w:val="0"/>
              <w:adjustRightInd w:val="0"/>
              <w:snapToGrid w:val="0"/>
              <w:spacing w:line="360" w:lineRule="auto"/>
              <w:ind w:left="0" w:right="0" w:firstLine="0"/>
              <w:textAlignment w:val="auto"/>
              <w:rPr>
                <w:rFonts w:hint="eastAsia" w:ascii="宋体" w:hAnsi="宋体" w:eastAsia="宋体" w:cs="宋体"/>
                <w:b/>
                <w:bCs/>
                <w:color w:val="auto"/>
                <w:spacing w:val="10"/>
                <w:sz w:val="24"/>
                <w:szCs w:val="24"/>
                <w:lang w:eastAsia="zh-CN"/>
              </w:rPr>
            </w:pPr>
            <w:r>
              <w:rPr>
                <w:rFonts w:hint="eastAsia" w:ascii="宋体" w:hAnsi="宋体" w:eastAsia="宋体" w:cs="宋体"/>
                <w:color w:val="auto"/>
                <w:spacing w:val="10"/>
                <w:sz w:val="24"/>
                <w:szCs w:val="24"/>
                <w:lang w:eastAsia="zh-CN"/>
              </w:rPr>
              <w:t>3.2搭配≥8个可拆卸的加热套，可根据不同实验需求将组织处理全过程维持在37℃或室温运行，加热套设置观察窗，运行过程中可实时查看处理管内组织解离情况。</w:t>
            </w:r>
            <w:r>
              <w:rPr>
                <w:rFonts w:hint="eastAsia" w:ascii="宋体" w:hAnsi="宋体" w:eastAsia="宋体" w:cs="宋体"/>
                <w:b/>
                <w:bCs/>
                <w:color w:val="auto"/>
                <w:spacing w:val="10"/>
                <w:sz w:val="24"/>
                <w:szCs w:val="24"/>
                <w:lang w:eastAsia="zh-CN"/>
              </w:rPr>
              <w:t>（投标文件需提供产品彩页及加热套实物照片）</w:t>
            </w:r>
          </w:p>
          <w:p w14:paraId="5D0002A0">
            <w:pPr>
              <w:pStyle w:val="6"/>
              <w:keepNext w:val="0"/>
              <w:keepLines w:val="0"/>
              <w:pageBreakBefore w:val="0"/>
              <w:widowControl w:val="0"/>
              <w:kinsoku/>
              <w:overflowPunct/>
              <w:autoSpaceDE/>
              <w:autoSpaceDN/>
              <w:bidi w:val="0"/>
              <w:adjustRightInd w:val="0"/>
              <w:snapToGrid w:val="0"/>
              <w:spacing w:line="360" w:lineRule="auto"/>
              <w:ind w:left="0" w:right="0" w:firstLine="0"/>
              <w:textAlignment w:val="auto"/>
              <w:rPr>
                <w:rFonts w:hint="eastAsia" w:ascii="宋体" w:hAnsi="宋体" w:eastAsia="宋体" w:cs="宋体"/>
                <w:color w:val="auto"/>
                <w:spacing w:val="10"/>
                <w:sz w:val="24"/>
                <w:szCs w:val="24"/>
                <w:lang w:eastAsia="zh-CN"/>
              </w:rPr>
            </w:pPr>
            <w:r>
              <w:rPr>
                <w:rFonts w:hint="eastAsia" w:ascii="宋体" w:hAnsi="宋体" w:eastAsia="宋体" w:cs="宋体"/>
                <w:color w:val="auto"/>
                <w:spacing w:val="10"/>
                <w:sz w:val="24"/>
                <w:szCs w:val="24"/>
                <w:lang w:eastAsia="zh-CN"/>
              </w:rPr>
              <w:t>3.3搭配≥8个低温维持配件，不依靠供电保持温度 5℃以下持续≥1小时，保持10℃以下≥2.5h，实现细胞匀浆、细胞核提取的全程低温处理。</w:t>
            </w:r>
            <w:r>
              <w:rPr>
                <w:rFonts w:hint="eastAsia" w:ascii="宋体" w:hAnsi="宋体" w:eastAsia="宋体" w:cs="宋体"/>
                <w:b/>
                <w:bCs/>
                <w:color w:val="auto"/>
                <w:spacing w:val="10"/>
                <w:sz w:val="24"/>
                <w:szCs w:val="24"/>
                <w:lang w:eastAsia="zh-CN"/>
              </w:rPr>
              <w:t>（投标文件需提供产品彩页及低温套实物照片）</w:t>
            </w:r>
          </w:p>
          <w:p w14:paraId="64BF9591">
            <w:pPr>
              <w:pStyle w:val="16"/>
              <w:keepNext w:val="0"/>
              <w:keepLines w:val="0"/>
              <w:pageBreakBefore w:val="0"/>
              <w:widowControl w:val="0"/>
              <w:kinsoku/>
              <w:overflowPunct/>
              <w:autoSpaceDE/>
              <w:autoSpaceDN/>
              <w:bidi w:val="0"/>
              <w:adjustRightInd w:val="0"/>
              <w:snapToGrid w:val="0"/>
              <w:spacing w:line="360" w:lineRule="auto"/>
              <w:ind w:left="0" w:right="0" w:firstLine="0"/>
              <w:jc w:val="both"/>
              <w:textAlignment w:val="auto"/>
              <w:rPr>
                <w:rFonts w:hint="eastAsia" w:ascii="宋体" w:hAnsi="宋体" w:eastAsia="宋体" w:cs="宋体"/>
                <w:color w:val="auto"/>
                <w:spacing w:val="10"/>
                <w:sz w:val="24"/>
                <w:szCs w:val="24"/>
                <w:lang w:eastAsia="zh-CN"/>
              </w:rPr>
            </w:pPr>
            <w:r>
              <w:rPr>
                <w:rFonts w:hint="eastAsia" w:ascii="宋体" w:hAnsi="宋体" w:eastAsia="宋体" w:cs="宋体"/>
                <w:color w:val="auto"/>
                <w:spacing w:val="10"/>
                <w:sz w:val="24"/>
                <w:szCs w:val="24"/>
                <w:lang w:eastAsia="zh-CN"/>
              </w:rPr>
              <w:t>★4.运行程序：仪器内置≥70个组织处理程序，不同组织搭配不同标准化处理程序，其中细胞核提取程序≥1个，组织匀浆程序≥3个；仪器提供自定义程序模版≥3条，同时满足特殊组织的程序可编辑与优化，自定义程序可存储≥500条，适配多样化的组织处理需求。</w:t>
            </w:r>
          </w:p>
          <w:p w14:paraId="58A6E4E0">
            <w:pPr>
              <w:pStyle w:val="16"/>
              <w:keepNext w:val="0"/>
              <w:keepLines w:val="0"/>
              <w:pageBreakBefore w:val="0"/>
              <w:widowControl w:val="0"/>
              <w:kinsoku/>
              <w:overflowPunct/>
              <w:autoSpaceDE/>
              <w:autoSpaceDN/>
              <w:bidi w:val="0"/>
              <w:adjustRightInd w:val="0"/>
              <w:snapToGrid w:val="0"/>
              <w:spacing w:line="360" w:lineRule="auto"/>
              <w:ind w:left="0" w:right="0" w:firstLine="0"/>
              <w:jc w:val="both"/>
              <w:textAlignment w:val="auto"/>
              <w:rPr>
                <w:rFonts w:hint="eastAsia" w:ascii="宋体" w:hAnsi="宋体" w:eastAsia="宋体" w:cs="宋体"/>
                <w:color w:val="auto"/>
                <w:spacing w:val="10"/>
                <w:sz w:val="24"/>
                <w:szCs w:val="24"/>
                <w:lang w:eastAsia="zh-CN"/>
              </w:rPr>
            </w:pPr>
            <w:r>
              <w:rPr>
                <w:rFonts w:hint="eastAsia" w:ascii="宋体" w:hAnsi="宋体" w:eastAsia="宋体" w:cs="宋体"/>
                <w:color w:val="auto"/>
                <w:spacing w:val="10"/>
                <w:sz w:val="24"/>
                <w:szCs w:val="24"/>
                <w:lang w:eastAsia="zh-CN"/>
              </w:rPr>
              <w:t>★5.配套试剂：根据不同组织特性，配套组织专用酶解试剂盒≥14款，可处理包括人肿瘤、脐带以及小鼠肿瘤、肌肉、皮肤、心脏、肠道、脂肪、视网膜、睾丸、骨骼肌、FFPE等多种复杂组织样本；配套一种细胞核提取专用试剂盒；可搭配纳米磁珠细胞分选试剂盒≥20种（不含在本项目采购范围内，后续另行采购），用于制备单细胞悬液后进行特定细胞群的高效分选。</w:t>
            </w:r>
            <w:r>
              <w:rPr>
                <w:rFonts w:hint="eastAsia" w:ascii="宋体" w:hAnsi="宋体" w:eastAsia="宋体" w:cs="宋体"/>
                <w:b/>
                <w:bCs/>
                <w:color w:val="auto"/>
                <w:spacing w:val="10"/>
                <w:sz w:val="24"/>
                <w:szCs w:val="24"/>
                <w:lang w:eastAsia="zh-CN"/>
              </w:rPr>
              <w:t>（投标文件中提供以上试剂盒的彩页或说明书或性能测试数据等材料，证明本品性能）</w:t>
            </w:r>
          </w:p>
          <w:p w14:paraId="731DCB01">
            <w:pPr>
              <w:pStyle w:val="16"/>
              <w:keepNext w:val="0"/>
              <w:keepLines w:val="0"/>
              <w:pageBreakBefore w:val="0"/>
              <w:widowControl w:val="0"/>
              <w:kinsoku/>
              <w:overflowPunct/>
              <w:autoSpaceDE/>
              <w:autoSpaceDN/>
              <w:bidi w:val="0"/>
              <w:adjustRightInd w:val="0"/>
              <w:snapToGrid w:val="0"/>
              <w:spacing w:line="360" w:lineRule="auto"/>
              <w:ind w:left="0" w:right="0" w:firstLine="0"/>
              <w:jc w:val="both"/>
              <w:textAlignment w:val="auto"/>
              <w:rPr>
                <w:rFonts w:hint="eastAsia" w:ascii="宋体" w:hAnsi="宋体" w:eastAsia="宋体" w:cs="宋体"/>
                <w:color w:val="auto"/>
                <w:spacing w:val="10"/>
                <w:sz w:val="24"/>
                <w:szCs w:val="24"/>
                <w:lang w:eastAsia="zh-CN"/>
              </w:rPr>
            </w:pPr>
            <w:r>
              <w:rPr>
                <w:rFonts w:hint="eastAsia" w:ascii="宋体" w:hAnsi="宋体" w:eastAsia="宋体" w:cs="宋体"/>
                <w:color w:val="auto"/>
                <w:spacing w:val="10"/>
                <w:sz w:val="24"/>
                <w:szCs w:val="24"/>
                <w:lang w:eastAsia="zh-CN"/>
              </w:rPr>
              <w:t>★6.配套耗材：配套组织处理管≥2种，一种处理管可同时制备单细胞悬液、组织匀浆和单细胞核悬液等，经灭菌处理，样本不易污染。</w:t>
            </w:r>
          </w:p>
          <w:p w14:paraId="152BDBDA">
            <w:pPr>
              <w:pStyle w:val="16"/>
              <w:keepNext w:val="0"/>
              <w:keepLines w:val="0"/>
              <w:pageBreakBefore w:val="0"/>
              <w:widowControl w:val="0"/>
              <w:kinsoku/>
              <w:wordWrap w:val="0"/>
              <w:overflowPunct/>
              <w:topLinePunct/>
              <w:autoSpaceDE/>
              <w:autoSpaceDN/>
              <w:bidi w:val="0"/>
              <w:adjustRightInd w:val="0"/>
              <w:snapToGrid w:val="0"/>
              <w:spacing w:line="360" w:lineRule="auto"/>
              <w:ind w:left="0" w:right="0" w:firstLine="0"/>
              <w:jc w:val="both"/>
              <w:textAlignment w:val="auto"/>
              <w:rPr>
                <w:rFonts w:hint="eastAsia" w:ascii="宋体" w:hAnsi="宋体" w:eastAsia="宋体" w:cs="宋体"/>
                <w:color w:val="auto"/>
                <w:spacing w:val="10"/>
                <w:sz w:val="24"/>
                <w:szCs w:val="24"/>
                <w:lang w:eastAsia="zh-CN"/>
              </w:rPr>
            </w:pPr>
            <w:r>
              <w:rPr>
                <w:rFonts w:hint="eastAsia" w:ascii="宋体" w:hAnsi="宋体" w:eastAsia="宋体" w:cs="宋体"/>
                <w:color w:val="auto"/>
                <w:spacing w:val="10"/>
                <w:sz w:val="24"/>
                <w:szCs w:val="24"/>
                <w:lang w:eastAsia="zh-CN"/>
              </w:rPr>
              <w:t>7.配置高清可触屏，可自动识别运行通道和加热套是否安装，仪器界面有相关标识提示，界面可实时显示当前程序名称、运行进度、剩余时间，处理程序全程可视化。仪器具有处理管和加热套不在位提示，当处理管和加热套不在位时，程序不可开始运行。仪器程序运行结束后需有蜂鸣音提示，且需即刻开启正计时，帮助确认样本处理时间。</w:t>
            </w:r>
          </w:p>
          <w:p w14:paraId="0F02F501">
            <w:pPr>
              <w:pStyle w:val="16"/>
              <w:keepNext w:val="0"/>
              <w:keepLines w:val="0"/>
              <w:pageBreakBefore w:val="0"/>
              <w:widowControl w:val="0"/>
              <w:kinsoku/>
              <w:overflowPunct/>
              <w:autoSpaceDE/>
              <w:autoSpaceDN/>
              <w:bidi w:val="0"/>
              <w:adjustRightInd w:val="0"/>
              <w:snapToGrid w:val="0"/>
              <w:spacing w:line="360" w:lineRule="auto"/>
              <w:ind w:left="0" w:right="0" w:firstLine="0"/>
              <w:jc w:val="both"/>
              <w:textAlignment w:val="auto"/>
              <w:rPr>
                <w:rFonts w:hint="eastAsia" w:ascii="宋体" w:hAnsi="宋体" w:eastAsia="宋体" w:cs="宋体"/>
                <w:color w:val="auto"/>
                <w:spacing w:val="10"/>
                <w:sz w:val="24"/>
                <w:szCs w:val="24"/>
                <w:lang w:eastAsia="zh-CN"/>
              </w:rPr>
            </w:pPr>
            <w:r>
              <w:rPr>
                <w:rFonts w:hint="eastAsia" w:ascii="宋体" w:hAnsi="宋体" w:eastAsia="宋体" w:cs="宋体"/>
                <w:color w:val="auto"/>
                <w:spacing w:val="10"/>
                <w:sz w:val="24"/>
                <w:szCs w:val="24"/>
                <w:lang w:eastAsia="zh-CN"/>
              </w:rPr>
              <w:t>8.通道：提供8通道型号配置仪器</w:t>
            </w:r>
          </w:p>
          <w:p w14:paraId="7DF5773A">
            <w:pPr>
              <w:pStyle w:val="16"/>
              <w:keepNext w:val="0"/>
              <w:keepLines w:val="0"/>
              <w:pageBreakBefore w:val="0"/>
              <w:widowControl w:val="0"/>
              <w:kinsoku/>
              <w:overflowPunct/>
              <w:autoSpaceDE/>
              <w:autoSpaceDN/>
              <w:bidi w:val="0"/>
              <w:adjustRightInd w:val="0"/>
              <w:snapToGrid w:val="0"/>
              <w:spacing w:line="360" w:lineRule="auto"/>
              <w:ind w:left="0" w:right="0" w:rightChars="0" w:firstLine="0"/>
              <w:jc w:val="both"/>
              <w:textAlignment w:val="auto"/>
              <w:rPr>
                <w:rFonts w:hint="eastAsia" w:ascii="宋体" w:hAnsi="宋体" w:eastAsia="宋体" w:cs="宋体"/>
                <w:b w:val="0"/>
                <w:bCs w:val="0"/>
                <w:color w:val="auto"/>
                <w:kern w:val="2"/>
                <w:sz w:val="24"/>
                <w:szCs w:val="24"/>
                <w:lang w:val="en-US" w:eastAsia="zh-CN" w:bidi="ar-SA"/>
              </w:rPr>
            </w:pPr>
            <w:r>
              <w:rPr>
                <w:rFonts w:hint="eastAsia" w:ascii="宋体" w:hAnsi="宋体" w:eastAsia="宋体" w:cs="宋体"/>
                <w:color w:val="auto"/>
                <w:spacing w:val="10"/>
                <w:sz w:val="24"/>
                <w:szCs w:val="24"/>
                <w:lang w:eastAsia="zh-CN"/>
              </w:rPr>
              <w:t>9.仪器配置双语模式，中文+英文可自由切换。携带 USB 接口，可用于导出或导入解离程序，厂家持续更新优化后的解离程序，免费升级。</w:t>
            </w:r>
          </w:p>
        </w:tc>
        <w:tc>
          <w:tcPr>
            <w:tcW w:w="734" w:type="dxa"/>
            <w:noWrap w:val="0"/>
            <w:vAlign w:val="center"/>
          </w:tcPr>
          <w:p w14:paraId="7349EB31">
            <w:pPr>
              <w:pStyle w:val="16"/>
              <w:keepNext w:val="0"/>
              <w:keepLines w:val="0"/>
              <w:pageBreakBefore w:val="0"/>
              <w:widowControl w:val="0"/>
              <w:kinsoku/>
              <w:overflowPunct/>
              <w:autoSpaceDE/>
              <w:autoSpaceDN/>
              <w:bidi w:val="0"/>
              <w:adjustRightInd w:val="0"/>
              <w:snapToGrid w:val="0"/>
              <w:spacing w:line="360" w:lineRule="auto"/>
              <w:ind w:left="0" w:right="0" w:firstLine="0"/>
              <w:jc w:val="center"/>
              <w:textAlignment w:val="auto"/>
              <w:rPr>
                <w:rFonts w:hint="eastAsia" w:ascii="宋体" w:hAnsi="宋体" w:eastAsia="宋体" w:cs="宋体"/>
                <w:color w:val="auto"/>
                <w:sz w:val="24"/>
                <w:szCs w:val="24"/>
              </w:rPr>
            </w:pPr>
            <w:r>
              <w:rPr>
                <w:rFonts w:hint="eastAsia" w:ascii="宋体" w:hAnsi="宋体" w:eastAsia="宋体" w:cs="宋体"/>
                <w:color w:val="auto"/>
                <w:spacing w:val="-15"/>
                <w:sz w:val="24"/>
                <w:szCs w:val="24"/>
              </w:rPr>
              <w:t>1台</w:t>
            </w:r>
          </w:p>
        </w:tc>
        <w:tc>
          <w:tcPr>
            <w:tcW w:w="716" w:type="dxa"/>
            <w:noWrap w:val="0"/>
            <w:vAlign w:val="center"/>
          </w:tcPr>
          <w:p w14:paraId="0E97C50C">
            <w:pPr>
              <w:pStyle w:val="16"/>
              <w:keepNext w:val="0"/>
              <w:keepLines w:val="0"/>
              <w:pageBreakBefore w:val="0"/>
              <w:widowControl w:val="0"/>
              <w:kinsoku/>
              <w:overflowPunct/>
              <w:autoSpaceDE/>
              <w:autoSpaceDN/>
              <w:bidi w:val="0"/>
              <w:adjustRightInd w:val="0"/>
              <w:snapToGrid w:val="0"/>
              <w:spacing w:line="360" w:lineRule="auto"/>
              <w:ind w:left="0" w:right="0" w:firstLine="0"/>
              <w:jc w:val="center"/>
              <w:textAlignment w:val="auto"/>
              <w:rPr>
                <w:rFonts w:hint="eastAsia" w:ascii="宋体" w:hAnsi="宋体" w:eastAsia="宋体" w:cs="宋体"/>
                <w:color w:val="auto"/>
                <w:sz w:val="24"/>
                <w:szCs w:val="24"/>
              </w:rPr>
            </w:pPr>
            <w:r>
              <w:rPr>
                <w:rFonts w:hint="eastAsia" w:ascii="宋体" w:hAnsi="宋体" w:eastAsia="宋体" w:cs="宋体"/>
                <w:color w:val="auto"/>
                <w:spacing w:val="-15"/>
                <w:sz w:val="24"/>
                <w:szCs w:val="24"/>
                <w:lang w:eastAsia="zh-CN"/>
              </w:rPr>
              <w:t>工业</w:t>
            </w:r>
          </w:p>
        </w:tc>
        <w:tc>
          <w:tcPr>
            <w:tcW w:w="834" w:type="dxa"/>
            <w:noWrap w:val="0"/>
            <w:vAlign w:val="center"/>
          </w:tcPr>
          <w:p w14:paraId="06A7AEF4">
            <w:pPr>
              <w:keepNext w:val="0"/>
              <w:keepLines w:val="0"/>
              <w:pageBreakBefore w:val="0"/>
              <w:widowControl w:val="0"/>
              <w:suppressLineNumbers w:val="0"/>
              <w:kinsoku/>
              <w:overflowPunct/>
              <w:autoSpaceDE/>
              <w:autoSpaceDN/>
              <w:bidi w:val="0"/>
              <w:adjustRightInd w:val="0"/>
              <w:snapToGrid w:val="0"/>
              <w:spacing w:beforeAutospacing="0" w:after="0" w:afterAutospacing="0" w:line="360" w:lineRule="auto"/>
              <w:ind w:left="0" w:right="0" w:firstLine="0"/>
              <w:jc w:val="center"/>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w:t>
            </w:r>
          </w:p>
        </w:tc>
        <w:tc>
          <w:tcPr>
            <w:tcW w:w="1124" w:type="dxa"/>
            <w:noWrap w:val="0"/>
            <w:vAlign w:val="center"/>
          </w:tcPr>
          <w:p w14:paraId="5E8D4BB2">
            <w:pPr>
              <w:keepNext w:val="0"/>
              <w:keepLines w:val="0"/>
              <w:pageBreakBefore w:val="0"/>
              <w:widowControl w:val="0"/>
              <w:suppressLineNumbers w:val="0"/>
              <w:kinsoku/>
              <w:overflowPunct/>
              <w:autoSpaceDE/>
              <w:autoSpaceDN/>
              <w:bidi w:val="0"/>
              <w:adjustRightInd w:val="0"/>
              <w:snapToGrid w:val="0"/>
              <w:spacing w:beforeAutospacing="0" w:after="0" w:afterAutospacing="0" w:line="360" w:lineRule="auto"/>
              <w:ind w:left="0" w:right="0" w:firstLine="0"/>
              <w:jc w:val="center"/>
              <w:textAlignment w:val="auto"/>
              <w:rPr>
                <w:rFonts w:hint="default" w:ascii="宋体" w:hAnsi="宋体" w:cs="宋体"/>
                <w:color w:val="auto"/>
                <w:sz w:val="24"/>
                <w:szCs w:val="24"/>
                <w:lang w:val="en-US" w:eastAsia="zh-CN"/>
              </w:rPr>
            </w:pPr>
            <w:r>
              <w:rPr>
                <w:rFonts w:hint="eastAsia" w:ascii="宋体" w:hAnsi="宋体" w:cs="宋体"/>
                <w:b/>
                <w:bCs/>
                <w:color w:val="auto"/>
                <w:sz w:val="24"/>
                <w:szCs w:val="24"/>
                <w:lang w:val="en-US" w:eastAsia="zh-CN"/>
              </w:rPr>
              <w:t>210000</w:t>
            </w:r>
          </w:p>
        </w:tc>
      </w:tr>
    </w:tbl>
    <w:p w14:paraId="32B13171">
      <w:pPr>
        <w:pStyle w:val="10"/>
        <w:ind w:left="482" w:hanging="482"/>
        <w:rPr>
          <w:rFonts w:hint="eastAsia" w:ascii="宋体" w:hAnsi="宋体" w:cs="宋体"/>
          <w:b/>
          <w:bCs/>
          <w:color w:val="FF0000"/>
          <w:sz w:val="24"/>
        </w:rPr>
      </w:pPr>
    </w:p>
    <w:p w14:paraId="0276F544">
      <w:pPr>
        <w:pStyle w:val="5"/>
        <w:wordWrap w:val="0"/>
        <w:ind w:firstLine="0" w:firstLineChars="0"/>
        <w:rPr>
          <w:rFonts w:hint="eastAsia" w:eastAsia="黑体" w:cs="Times New Roman"/>
        </w:rPr>
      </w:pPr>
      <w:bookmarkStart w:id="17" w:name="_Toc4843"/>
      <w:bookmarkStart w:id="18" w:name="_Toc7421"/>
      <w:r>
        <w:rPr>
          <w:rFonts w:hint="eastAsia" w:eastAsia="黑体" w:cs="Times New Roman"/>
        </w:rPr>
        <w:t>三、报价要求</w:t>
      </w:r>
      <w:bookmarkEnd w:id="17"/>
      <w:bookmarkEnd w:id="18"/>
    </w:p>
    <w:p w14:paraId="27E7895F">
      <w:pPr>
        <w:wordWrap w:val="0"/>
        <w:spacing w:line="360" w:lineRule="auto"/>
        <w:ind w:firstLine="480" w:firstLineChars="200"/>
        <w:rPr>
          <w:rFonts w:hint="eastAsia" w:ascii="宋体" w:hAnsi="宋体" w:eastAsia="宋体" w:cs="宋体"/>
          <w:sz w:val="24"/>
        </w:rPr>
      </w:pPr>
      <w:r>
        <w:rPr>
          <w:rFonts w:hint="eastAsia" w:ascii="宋体" w:hAnsi="宋体" w:eastAsia="宋体" w:cs="宋体"/>
          <w:sz w:val="24"/>
        </w:rPr>
        <w:t>本项目报总价，投标报价包括本项目需求的全部货物及所需附件购置费、包装费、运输费、人工费、安装调试费、各种税费、资料费、售后服务费及完成项目应有的全部费用。</w:t>
      </w:r>
    </w:p>
    <w:p w14:paraId="56F3759E">
      <w:pPr>
        <w:wordWrap w:val="0"/>
        <w:spacing w:line="360" w:lineRule="auto"/>
        <w:ind w:firstLine="480" w:firstLineChars="200"/>
        <w:rPr>
          <w:rFonts w:hint="eastAsia" w:ascii="宋体" w:hAnsi="宋体" w:eastAsia="宋体" w:cs="宋体"/>
          <w:sz w:val="24"/>
        </w:rPr>
      </w:pPr>
      <w:r>
        <w:rPr>
          <w:rFonts w:hint="eastAsia" w:ascii="宋体" w:hAnsi="宋体" w:eastAsia="宋体" w:cs="宋体"/>
          <w:sz w:val="24"/>
          <w:lang w:val="en-US" w:eastAsia="zh-CN"/>
        </w:rPr>
        <w:t>注：采购需求中涉及“免费”表述，均代表相关费用包含在本次投标报价中，采购人不再另行支付。</w:t>
      </w:r>
    </w:p>
    <w:p w14:paraId="6BAFF8F8">
      <w:pPr>
        <w:pStyle w:val="5"/>
        <w:wordWrap w:val="0"/>
        <w:ind w:firstLine="0" w:firstLineChars="0"/>
        <w:rPr>
          <w:rFonts w:hint="eastAsia" w:eastAsia="黑体" w:cs="Times New Roman"/>
          <w:lang w:val="en-US" w:eastAsia="zh-CN"/>
        </w:rPr>
      </w:pPr>
      <w:r>
        <w:rPr>
          <w:rFonts w:hint="eastAsia" w:eastAsia="黑体" w:cs="Times New Roman"/>
          <w:lang w:val="en-US" w:eastAsia="zh-CN"/>
        </w:rPr>
        <w:t>四、其他要求</w:t>
      </w:r>
    </w:p>
    <w:p w14:paraId="1350D1FE">
      <w:pPr>
        <w:wordWrap w:val="0"/>
        <w:spacing w:line="360" w:lineRule="auto"/>
        <w:ind w:firstLine="480" w:firstLineChars="200"/>
        <w:rPr>
          <w:rFonts w:hint="default" w:ascii="宋体" w:hAnsi="宋体" w:eastAsia="宋体" w:cs="宋体"/>
          <w:sz w:val="24"/>
          <w:lang w:val="en-US" w:eastAsia="zh-CN"/>
        </w:rPr>
      </w:pPr>
      <w:r>
        <w:rPr>
          <w:rFonts w:hint="default" w:ascii="宋体" w:hAnsi="宋体" w:eastAsia="宋体" w:cs="宋体"/>
          <w:sz w:val="24"/>
          <w:lang w:val="en-US" w:eastAsia="zh-CN"/>
        </w:rPr>
        <w:t>货物运输至</w:t>
      </w:r>
      <w:r>
        <w:rPr>
          <w:rFonts w:hint="eastAsia" w:ascii="宋体" w:hAnsi="宋体" w:eastAsia="宋体" w:cs="宋体"/>
          <w:sz w:val="24"/>
          <w:lang w:val="en-US" w:eastAsia="zh-CN"/>
        </w:rPr>
        <w:t>采购人</w:t>
      </w:r>
      <w:r>
        <w:rPr>
          <w:rFonts w:hint="default" w:ascii="宋体" w:hAnsi="宋体" w:eastAsia="宋体" w:cs="宋体"/>
          <w:sz w:val="24"/>
          <w:lang w:val="en-US" w:eastAsia="zh-CN"/>
        </w:rPr>
        <w:t>指定地点到货物验收合格前，</w:t>
      </w:r>
      <w:r>
        <w:rPr>
          <w:rFonts w:hint="eastAsia" w:ascii="宋体" w:hAnsi="宋体" w:eastAsia="宋体" w:cs="宋体"/>
          <w:sz w:val="24"/>
          <w:lang w:val="en-US" w:eastAsia="zh-CN"/>
        </w:rPr>
        <w:t>供应商</w:t>
      </w:r>
      <w:r>
        <w:rPr>
          <w:rFonts w:hint="default" w:ascii="宋体" w:hAnsi="宋体" w:eastAsia="宋体" w:cs="宋体"/>
          <w:sz w:val="24"/>
          <w:lang w:val="en-US" w:eastAsia="zh-CN"/>
        </w:rPr>
        <w:t>负责对货物承担安保义务。</w:t>
      </w:r>
    </w:p>
    <w:p w14:paraId="1CD3456C">
      <w:pPr>
        <w:wordWrap w:val="0"/>
        <w:spacing w:line="360" w:lineRule="auto"/>
        <w:ind w:firstLine="480" w:firstLineChars="200"/>
        <w:rPr>
          <w:rFonts w:hint="eastAsia" w:ascii="宋体" w:hAnsi="宋体" w:eastAsia="宋体" w:cs="宋体"/>
          <w:sz w:val="24"/>
          <w:lang w:val="en-US" w:eastAsia="zh-CN"/>
        </w:rPr>
      </w:pPr>
    </w:p>
    <w:p w14:paraId="14AD6593">
      <w:pPr>
        <w:wordWrap w:val="0"/>
        <w:spacing w:line="360" w:lineRule="auto"/>
        <w:ind w:firstLine="480" w:firstLineChars="200"/>
        <w:rPr>
          <w:rFonts w:hint="default" w:ascii="宋体" w:hAnsi="宋体" w:eastAsia="宋体" w:cs="宋体"/>
          <w:b w:val="0"/>
          <w:bCs w:val="0"/>
          <w:kern w:val="2"/>
          <w:sz w:val="24"/>
          <w:szCs w:val="20"/>
          <w:lang w:val="en-US" w:eastAsia="zh-CN" w:bidi="ar-SA"/>
        </w:rPr>
      </w:pPr>
    </w:p>
    <w:bookmarkEnd w:id="0"/>
    <w:p w14:paraId="5EA4AF7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C85CAC8-8E4F-4B0C-BA17-C431E42C27E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A127E857-1652-48F3-BB0A-344008792BF1}"/>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script"/>
    <w:pitch w:val="default"/>
    <w:sig w:usb0="A00002BF" w:usb1="38CF7CFA" w:usb2="00082016" w:usb3="00000000" w:csb0="00040001" w:csb1="00000000"/>
    <w:embedRegular r:id="rId3" w:fontKey="{7A6684E9-7B46-46DC-9B72-D043D3432136}"/>
  </w:font>
  <w:font w:name="方正黑体_GBK">
    <w:panose1 w:val="02010600010101010101"/>
    <w:charset w:val="86"/>
    <w:family w:val="script"/>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华文中宋">
    <w:panose1 w:val="02010600040101010101"/>
    <w:charset w:val="86"/>
    <w:family w:val="auto"/>
    <w:pitch w:val="default"/>
    <w:sig w:usb0="00000287" w:usb1="080F0000" w:usb2="00000000" w:usb3="00000000" w:csb0="0004009F" w:csb1="DFD70000"/>
    <w:embedRegular r:id="rId4" w:fontKey="{56B5F972-F407-4D63-BB1F-0EE5E6C716F7}"/>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3A66EB4"/>
    <w:rsid w:val="23A66E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iPriority="99"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仿宋_GB2312" w:hAnsi="@仿宋_GB2312" w:eastAsia="宋体" w:cs="@仿宋_GB2312"/>
      <w:kern w:val="2"/>
      <w:sz w:val="21"/>
      <w:lang w:val="en-US" w:eastAsia="zh-CN" w:bidi="ar-SA"/>
    </w:rPr>
  </w:style>
  <w:style w:type="paragraph" w:styleId="4">
    <w:name w:val="heading 1"/>
    <w:basedOn w:val="1"/>
    <w:next w:val="1"/>
    <w:qFormat/>
    <w:uiPriority w:val="9"/>
    <w:pPr>
      <w:keepNext/>
      <w:keepLines/>
      <w:spacing w:line="360" w:lineRule="auto"/>
      <w:jc w:val="center"/>
      <w:outlineLvl w:val="0"/>
    </w:pPr>
    <w:rPr>
      <w:rFonts w:ascii="Times New Roman" w:hAnsi="Times New Roman" w:eastAsia="方正小标宋_GBK" w:cs="Times New Roman"/>
      <w:bCs/>
      <w:kern w:val="44"/>
      <w:sz w:val="44"/>
      <w:szCs w:val="44"/>
    </w:rPr>
  </w:style>
  <w:style w:type="paragraph" w:styleId="5">
    <w:name w:val="heading 2"/>
    <w:basedOn w:val="1"/>
    <w:next w:val="1"/>
    <w:qFormat/>
    <w:uiPriority w:val="0"/>
    <w:pPr>
      <w:keepNext/>
      <w:keepLines/>
      <w:spacing w:before="240" w:line="360" w:lineRule="auto"/>
      <w:ind w:firstLine="640" w:firstLineChars="200"/>
      <w:jc w:val="left"/>
      <w:outlineLvl w:val="1"/>
    </w:pPr>
    <w:rPr>
      <w:rFonts w:ascii="Arial" w:hAnsi="Arial" w:eastAsia="方正黑体_GBK" w:cs="Times New Roman"/>
      <w:bCs/>
      <w:kern w:val="0"/>
      <w:sz w:val="28"/>
      <w:szCs w:val="32"/>
    </w:rPr>
  </w:style>
  <w:style w:type="character" w:default="1" w:styleId="13">
    <w:name w:val="Default Paragraph Font"/>
    <w:semiHidden/>
    <w:qFormat/>
    <w:uiPriority w:val="0"/>
  </w:style>
  <w:style w:type="table" w:default="1" w:styleId="12">
    <w:name w:val="Normal Table"/>
    <w:semiHidden/>
    <w:uiPriority w:val="0"/>
    <w:tblPr>
      <w:tblCellMar>
        <w:top w:w="0" w:type="dxa"/>
        <w:left w:w="108" w:type="dxa"/>
        <w:bottom w:w="0" w:type="dxa"/>
        <w:right w:w="108" w:type="dxa"/>
      </w:tblCellMar>
    </w:tblPr>
  </w:style>
  <w:style w:type="paragraph" w:customStyle="1" w:styleId="2">
    <w:name w:val="Default"/>
    <w:next w:val="3"/>
    <w:qFormat/>
    <w:uiPriority w:val="0"/>
    <w:pPr>
      <w:widowControl w:val="0"/>
      <w:autoSpaceDE w:val="0"/>
      <w:autoSpaceDN w:val="0"/>
      <w:adjustRightInd w:val="0"/>
    </w:pPr>
    <w:rPr>
      <w:rFonts w:ascii="黑体" w:hAnsi="Calibri" w:eastAsia="黑体" w:cs="黑体"/>
      <w:color w:val="000000"/>
      <w:sz w:val="24"/>
      <w:szCs w:val="24"/>
      <w:lang w:val="en-US" w:eastAsia="zh-CN" w:bidi="ar-SA"/>
    </w:rPr>
  </w:style>
  <w:style w:type="paragraph" w:customStyle="1" w:styleId="3">
    <w:name w:val="目录 71"/>
    <w:next w:val="1"/>
    <w:qFormat/>
    <w:uiPriority w:val="0"/>
    <w:pPr>
      <w:wordWrap w:val="0"/>
      <w:ind w:left="2550"/>
      <w:jc w:val="both"/>
    </w:pPr>
    <w:rPr>
      <w:rFonts w:ascii="Calibri" w:hAnsi="Calibri" w:eastAsia="宋体" w:cs="Times New Roman"/>
      <w:sz w:val="21"/>
      <w:szCs w:val="22"/>
      <w:lang w:val="en-US" w:eastAsia="zh-CN" w:bidi="ar-SA"/>
    </w:rPr>
  </w:style>
  <w:style w:type="paragraph" w:styleId="6">
    <w:name w:val="annotation text"/>
    <w:basedOn w:val="1"/>
    <w:unhideWhenUsed/>
    <w:qFormat/>
    <w:uiPriority w:val="99"/>
    <w:pPr>
      <w:jc w:val="left"/>
    </w:pPr>
  </w:style>
  <w:style w:type="paragraph" w:styleId="7">
    <w:name w:val="Body Text Indent"/>
    <w:basedOn w:val="1"/>
    <w:next w:val="8"/>
    <w:unhideWhenUsed/>
    <w:qFormat/>
    <w:uiPriority w:val="99"/>
    <w:pPr>
      <w:ind w:firstLine="645"/>
    </w:pPr>
    <w:rPr>
      <w:rFonts w:ascii="楷体_GB2312" w:eastAsia="楷体_GB2312"/>
      <w:sz w:val="32"/>
    </w:rPr>
  </w:style>
  <w:style w:type="paragraph" w:styleId="8">
    <w:name w:val="envelope return"/>
    <w:basedOn w:val="1"/>
    <w:qFormat/>
    <w:uiPriority w:val="99"/>
    <w:pPr>
      <w:snapToGrid w:val="0"/>
    </w:pPr>
    <w:rPr>
      <w:rFonts w:ascii="Arial" w:hAnsi="Arial" w:cs="Arial"/>
    </w:rPr>
  </w:style>
  <w:style w:type="paragraph" w:styleId="9">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List"/>
    <w:basedOn w:val="1"/>
    <w:unhideWhenUsed/>
    <w:qFormat/>
    <w:uiPriority w:val="99"/>
    <w:pPr>
      <w:ind w:left="200" w:hanging="200" w:hangingChars="200"/>
      <w:contextualSpacing/>
    </w:pPr>
    <w:rPr>
      <w:rFonts w:ascii="Times New Roman" w:hAnsi="Times New Roman" w:eastAsia="宋体" w:cs="Times New Roman"/>
      <w:szCs w:val="24"/>
    </w:rPr>
  </w:style>
  <w:style w:type="paragraph" w:styleId="11">
    <w:name w:val="Body Text First Indent 2"/>
    <w:basedOn w:val="7"/>
    <w:unhideWhenUsed/>
    <w:qFormat/>
    <w:uiPriority w:val="99"/>
    <w:pPr>
      <w:ind w:left="420" w:firstLine="420" w:firstLineChars="200"/>
    </w:pPr>
    <w:rPr>
      <w:rFonts w:ascii="Times New Roman" w:cs="Times New Roman"/>
    </w:rPr>
  </w:style>
  <w:style w:type="paragraph" w:customStyle="1" w:styleId="14">
    <w:name w:val="D&amp;L"/>
    <w:basedOn w:val="9"/>
    <w:qFormat/>
    <w:uiPriority w:val="0"/>
    <w:pPr>
      <w:pBdr>
        <w:bottom w:val="thinThickSmallGap" w:color="auto" w:sz="18" w:space="1"/>
      </w:pBdr>
      <w:adjustRightInd w:val="0"/>
      <w:snapToGrid/>
      <w:spacing w:line="240" w:lineRule="atLeast"/>
      <w:textAlignment w:val="baseline"/>
    </w:pPr>
    <w:rPr>
      <w:kern w:val="0"/>
      <w:sz w:val="24"/>
      <w:szCs w:val="20"/>
    </w:rPr>
  </w:style>
  <w:style w:type="paragraph" w:customStyle="1" w:styleId="15">
    <w:name w:val="xl31"/>
    <w:basedOn w:val="1"/>
    <w:qFormat/>
    <w:uiPriority w:val="0"/>
    <w:pPr>
      <w:widowControl/>
      <w:spacing w:before="100" w:beforeAutospacing="1" w:after="100" w:afterAutospacing="1"/>
      <w:jc w:val="center"/>
    </w:pPr>
    <w:rPr>
      <w:b/>
      <w:bCs/>
      <w:kern w:val="0"/>
      <w:sz w:val="28"/>
      <w:szCs w:val="28"/>
    </w:rPr>
  </w:style>
  <w:style w:type="paragraph" w:customStyle="1" w:styleId="16">
    <w:name w:val="Table Text"/>
    <w:basedOn w:val="1"/>
    <w:semiHidden/>
    <w:qFormat/>
    <w:uiPriority w:val="0"/>
    <w:rPr>
      <w:rFonts w:ascii="宋体" w:hAnsi="宋体" w:eastAsia="宋体" w:cs="宋体"/>
      <w:sz w:val="20"/>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2026-09-08T03:02:00Z</dcterms:created>
  <dc:creator>审阅</dc:creator>
  <cp:lastModifiedBy>审阅</cp:lastModifiedBy>
  <dcterms:modified xsi:type="dcterms:W3CDTF">2026-09-08T03:03:47Z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38B06E0E654047598728C6AE0B7C5B30_11</vt:lpwstr>
  </property>
  <property fmtid="{D5CDD505-2E9C-101B-9397-08002B2CF9AE}" pid="4" name="KSOTemplateDocerSaveRecord">
    <vt:lpwstr>eyJoZGlkIjoiZWJjNjZmNTVkZTA2MzRiMTE5NTEwNzk1MzVhYWVkYTQiLCJ1c2VySWQiOiIzMjQ4MTEwODkifQ==</vt:lpwstr>
  </property>
</Properties>
</file>