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6347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</w:rPr>
      </w:pPr>
      <w:bookmarkStart w:id="0" w:name="_Toc8946"/>
      <w:r>
        <w:rPr>
          <w:rFonts w:hint="eastAsia" w:ascii="宋体" w:hAnsi="宋体"/>
          <w:color w:val="000000"/>
        </w:rPr>
        <w:t>第三章  采购需求及技术规格要求</w:t>
      </w:r>
      <w:bookmarkEnd w:id="0"/>
    </w:p>
    <w:p w14:paraId="35B9E6DC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总则：</w:t>
      </w:r>
    </w:p>
    <w:p w14:paraId="5863A469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37549E22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1.2 中标产品的名称、品牌、规格型号、数量、单价等将予以公布。</w:t>
      </w:r>
    </w:p>
    <w:p w14:paraId="53EC8E04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一、商务条款：</w:t>
      </w:r>
    </w:p>
    <w:tbl>
      <w:tblPr>
        <w:tblStyle w:val="9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29"/>
        <w:gridCol w:w="7216"/>
      </w:tblGrid>
      <w:tr w14:paraId="55F3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1" w:type="dxa"/>
            <w:noWrap w:val="0"/>
            <w:vAlign w:val="center"/>
          </w:tcPr>
          <w:p w14:paraId="74132FA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 w14:paraId="1FB68E72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商务条款内容</w:t>
            </w:r>
          </w:p>
        </w:tc>
      </w:tr>
      <w:tr w14:paraId="173F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4C4D037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1</w:t>
            </w:r>
          </w:p>
        </w:tc>
        <w:tc>
          <w:tcPr>
            <w:tcW w:w="1529" w:type="dxa"/>
            <w:vMerge w:val="restart"/>
            <w:noWrap w:val="0"/>
            <w:vAlign w:val="center"/>
          </w:tcPr>
          <w:p w14:paraId="0E69515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62904807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投标人为制造商的，须具有相应的医疗器械生产备案获取的备案编号（属于一类时）。</w:t>
            </w:r>
          </w:p>
        </w:tc>
      </w:tr>
      <w:tr w14:paraId="1B98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11" w:type="dxa"/>
            <w:noWrap w:val="0"/>
            <w:vAlign w:val="center"/>
          </w:tcPr>
          <w:p w14:paraId="3A82199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2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6FE11CE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2846A963">
            <w:pPr>
              <w:pStyle w:val="12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7473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5B29D18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7E6F3A8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4C030BF9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6F46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0605D59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4</w:t>
            </w:r>
          </w:p>
        </w:tc>
        <w:tc>
          <w:tcPr>
            <w:tcW w:w="8745" w:type="dxa"/>
            <w:gridSpan w:val="2"/>
            <w:noWrap w:val="0"/>
            <w:vAlign w:val="top"/>
          </w:tcPr>
          <w:p w14:paraId="3DED9A86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1、投标人所投设备须与医院信息系统连接，由此产生的费用包含在投标总报价中，采购人不另行支付。</w:t>
            </w:r>
          </w:p>
          <w:p w14:paraId="0FE46A88">
            <w:pPr>
              <w:pStyle w:val="8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2、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  <w:tr w14:paraId="33FC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5E2B7BA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5</w:t>
            </w:r>
          </w:p>
        </w:tc>
        <w:tc>
          <w:tcPr>
            <w:tcW w:w="8745" w:type="dxa"/>
            <w:gridSpan w:val="2"/>
            <w:noWrap w:val="0"/>
            <w:vAlign w:val="top"/>
          </w:tcPr>
          <w:p w14:paraId="00E0A3E9"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中标人所投设备的</w:t>
            </w:r>
            <w:r>
              <w:rPr>
                <w:rFonts w:hint="eastAsia" w:ascii="仿宋" w:hAnsi="仿宋" w:eastAsia="仿宋" w:cs="仿宋"/>
                <w:b/>
                <w:lang w:bidi="ar"/>
              </w:rPr>
              <w:t>放射、CT、MR图像与报告质量自动评价控制软件，须满足5个院区（感院、中院区、南院区、西院区、北院区）。</w:t>
            </w:r>
          </w:p>
          <w:p w14:paraId="38AE1B96"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中标人需负责</w:t>
            </w:r>
            <w:r>
              <w:rPr>
                <w:rFonts w:hint="eastAsia" w:ascii="仿宋" w:hAnsi="仿宋" w:eastAsia="仿宋" w:cs="仿宋"/>
                <w:b/>
                <w:lang w:bidi="ar"/>
              </w:rPr>
              <w:t>磁共振机房改造装修（含机房屏蔽及精密空调）、DR机房改造及移机）。</w:t>
            </w:r>
          </w:p>
          <w:p w14:paraId="7DC9BF3D"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中标人需提供</w:t>
            </w:r>
            <w:r>
              <w:rPr>
                <w:rFonts w:hint="eastAsia" w:ascii="仿宋" w:hAnsi="仿宋" w:eastAsia="仿宋" w:cs="仿宋"/>
                <w:b/>
                <w:lang w:bidi="ar"/>
              </w:rPr>
              <w:t>磁共振移机至少1次，所需费用包含在投标报价中。</w:t>
            </w:r>
          </w:p>
          <w:p w14:paraId="194A5A2E"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中标人需负责</w:t>
            </w:r>
            <w:r>
              <w:rPr>
                <w:rFonts w:hint="eastAsia" w:ascii="仿宋" w:hAnsi="仿宋" w:eastAsia="仿宋" w:cs="仿宋"/>
                <w:b/>
                <w:lang w:bidi="ar"/>
              </w:rPr>
              <w:t>磁共振操作提前培训2人，时长1个月。</w:t>
            </w:r>
          </w:p>
        </w:tc>
      </w:tr>
    </w:tbl>
    <w:p w14:paraId="208ECC1F">
      <w:pPr>
        <w:spacing w:line="360" w:lineRule="auto"/>
        <w:rPr>
          <w:rFonts w:hint="eastAsia" w:ascii="仿宋" w:hAnsi="仿宋" w:eastAsia="仿宋" w:cs="仿宋"/>
          <w:b/>
          <w:color w:val="000000"/>
          <w:sz w:val="24"/>
        </w:rPr>
      </w:pPr>
    </w:p>
    <w:p w14:paraId="4336E05C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注：上述</w:t>
      </w:r>
      <w:r>
        <w:rPr>
          <w:rFonts w:hint="eastAsia" w:ascii="仿宋" w:hAnsi="仿宋" w:eastAsia="仿宋" w:cs="仿宋"/>
          <w:b/>
          <w:sz w:val="24"/>
        </w:rPr>
        <w:t>商务条款必须全部满足，否则做无效标处理。</w:t>
      </w:r>
    </w:p>
    <w:p w14:paraId="596AD8A3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5FDCF7D8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5DE5786A">
      <w:pPr>
        <w:pStyle w:val="5"/>
        <w:rPr>
          <w:rFonts w:hint="eastAsia" w:ascii="仿宋" w:hAnsi="仿宋" w:eastAsia="仿宋" w:cs="仿宋"/>
          <w:b/>
          <w:sz w:val="24"/>
        </w:rPr>
      </w:pPr>
    </w:p>
    <w:p w14:paraId="336F442F">
      <w:pPr>
        <w:pStyle w:val="4"/>
        <w:numPr>
          <w:ilvl w:val="0"/>
          <w:numId w:val="2"/>
        </w:num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kern w:val="44"/>
          <w:sz w:val="24"/>
          <w:lang w:val="zh-CN"/>
        </w:rPr>
      </w:pPr>
      <w:r>
        <w:rPr>
          <w:rFonts w:hint="eastAsia" w:ascii="仿宋" w:hAnsi="仿宋" w:eastAsia="仿宋" w:cs="仿宋"/>
          <w:b/>
          <w:bCs/>
          <w:kern w:val="44"/>
          <w:sz w:val="24"/>
        </w:rPr>
        <w:t>项目技术</w:t>
      </w:r>
      <w:r>
        <w:rPr>
          <w:rFonts w:hint="eastAsia" w:ascii="仿宋" w:hAnsi="仿宋" w:eastAsia="仿宋" w:cs="仿宋"/>
          <w:b/>
          <w:bCs/>
          <w:kern w:val="44"/>
          <w:sz w:val="24"/>
          <w:lang w:val="zh-CN"/>
        </w:rPr>
        <w:t>需求：</w:t>
      </w:r>
    </w:p>
    <w:p w14:paraId="2D20B267">
      <w:pPr>
        <w:pStyle w:val="4"/>
        <w:ind w:firstLine="0" w:firstLineChars="0"/>
        <w:rPr>
          <w:b/>
          <w:bCs/>
          <w:lang w:val="zh-CN"/>
        </w:rPr>
      </w:pPr>
    </w:p>
    <w:p w14:paraId="622F969E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（一）</w:t>
      </w:r>
      <w:r>
        <w:rPr>
          <w:rFonts w:hint="eastAsia" w:ascii="仿宋" w:hAnsi="仿宋" w:eastAsia="仿宋" w:cs="仿宋"/>
          <w:b/>
          <w:bCs/>
          <w:kern w:val="44"/>
          <w:sz w:val="24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重要性表述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744C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11" w:type="dxa"/>
            <w:noWrap w:val="0"/>
            <w:vAlign w:val="center"/>
          </w:tcPr>
          <w:p w14:paraId="51150A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14B4EA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65F1C0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代表意思</w:t>
            </w:r>
          </w:p>
        </w:tc>
      </w:tr>
      <w:tr w14:paraId="4992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3046678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关键指标项</w:t>
            </w:r>
          </w:p>
        </w:tc>
        <w:tc>
          <w:tcPr>
            <w:tcW w:w="2180" w:type="dxa"/>
            <w:noWrap w:val="0"/>
            <w:vAlign w:val="center"/>
          </w:tcPr>
          <w:p w14:paraId="640FB46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★</w:t>
            </w:r>
          </w:p>
        </w:tc>
        <w:tc>
          <w:tcPr>
            <w:tcW w:w="5463" w:type="dxa"/>
            <w:noWrap w:val="0"/>
            <w:vAlign w:val="center"/>
          </w:tcPr>
          <w:p w14:paraId="6C02D6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未响应或负偏离的，则作为无效标处理</w:t>
            </w:r>
          </w:p>
        </w:tc>
      </w:tr>
      <w:tr w14:paraId="766F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5E6A21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重要指标项</w:t>
            </w:r>
          </w:p>
        </w:tc>
        <w:tc>
          <w:tcPr>
            <w:tcW w:w="2180" w:type="dxa"/>
            <w:noWrap w:val="0"/>
            <w:vAlign w:val="center"/>
          </w:tcPr>
          <w:p w14:paraId="739353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▲</w:t>
            </w:r>
          </w:p>
        </w:tc>
        <w:tc>
          <w:tcPr>
            <w:tcW w:w="5463" w:type="dxa"/>
            <w:noWrap w:val="0"/>
            <w:vAlign w:val="center"/>
          </w:tcPr>
          <w:p w14:paraId="62833B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</w:t>
            </w:r>
          </w:p>
        </w:tc>
      </w:tr>
      <w:tr w14:paraId="5664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0FC143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08CD33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251C40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</w:t>
            </w:r>
          </w:p>
        </w:tc>
      </w:tr>
      <w:tr w14:paraId="66C4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7CC8D10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03D53E8D">
      <w:pPr>
        <w:numPr>
          <w:ilvl w:val="0"/>
          <w:numId w:val="3"/>
        </w:numPr>
        <w:wordWrap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技术要求</w:t>
      </w:r>
    </w:p>
    <w:tbl>
      <w:tblPr>
        <w:tblStyle w:val="9"/>
        <w:tblW w:w="5017" w:type="pct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79"/>
        <w:gridCol w:w="5382"/>
      </w:tblGrid>
      <w:tr w14:paraId="06BE6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90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3E6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技术参数名称</w:t>
            </w:r>
          </w:p>
        </w:tc>
        <w:tc>
          <w:tcPr>
            <w:tcW w:w="62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F98B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规格要求</w:t>
            </w:r>
          </w:p>
        </w:tc>
      </w:tr>
      <w:tr w14:paraId="7D478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B7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D7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设备先进性总体要求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65C9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C51E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54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▲1.1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D7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技术完整性要求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2A9F3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磁体系统、梯度系统、射频系统为原厂生产，与磁共振整机为同一品牌，不采用第三方产品替代</w:t>
            </w:r>
          </w:p>
        </w:tc>
      </w:tr>
      <w:tr w14:paraId="11066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E0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▲1.2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0F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技术先进性要求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436F85">
            <w:pPr>
              <w:pStyle w:val="7"/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要求联影提供uMR 588机型；东软提供NeuMR Rena C机型；西门子 Mica机型；GE Prime Elite机型及以上，其他品牌提供同档次机型，且须提供相关证明材料，由评标委员会进行评审并认可。</w:t>
            </w:r>
          </w:p>
        </w:tc>
      </w:tr>
      <w:tr w14:paraId="7DF89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E9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FF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582B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F967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11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★2.1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2F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磁场强度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A9B1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1.5T</w:t>
            </w:r>
          </w:p>
        </w:tc>
      </w:tr>
      <w:tr w14:paraId="18D01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E4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CB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磁体类型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80A1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超导磁体</w:t>
            </w:r>
          </w:p>
        </w:tc>
      </w:tr>
      <w:tr w14:paraId="6077D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CF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▲2.3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00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净磁体长度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0BAF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≤170cm</w:t>
            </w:r>
          </w:p>
        </w:tc>
      </w:tr>
      <w:tr w14:paraId="1762E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42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▲2.4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FC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孔径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FED0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≥60cm</w:t>
            </w:r>
          </w:p>
        </w:tc>
      </w:tr>
      <w:tr w14:paraId="14E5A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16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C7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磁体线圈冷却方式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D29E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液氦制冷</w:t>
            </w:r>
          </w:p>
        </w:tc>
      </w:tr>
      <w:tr w14:paraId="79DE2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D8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F2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磁体稳定性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F57A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＜0.1 ppm /h</w:t>
            </w:r>
          </w:p>
        </w:tc>
      </w:tr>
      <w:tr w14:paraId="57A4E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1A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17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磁场均匀度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AFE5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典型值采用V-RMS 测量法。</w:t>
            </w:r>
          </w:p>
        </w:tc>
      </w:tr>
      <w:tr w14:paraId="4E7CC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B0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2.7.1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C1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 cm DSV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4ACB6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≤ 0.002 ppm </w:t>
            </w:r>
          </w:p>
        </w:tc>
      </w:tr>
      <w:tr w14:paraId="7E1CF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5B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2.7.2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8B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 cm DSV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6C4B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≤ 0.01 ppm </w:t>
            </w:r>
          </w:p>
        </w:tc>
      </w:tr>
      <w:tr w14:paraId="62C09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348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2.7.3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A3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 cm DSV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319E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≤ 0.04 ppm </w:t>
            </w:r>
          </w:p>
        </w:tc>
      </w:tr>
      <w:tr w14:paraId="643EC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71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2.7.4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D0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 cm DSV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9DC9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≤ 0.29 ppm </w:t>
            </w:r>
          </w:p>
        </w:tc>
      </w:tr>
      <w:tr w14:paraId="039B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86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63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主磁场均匀度补偿技术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C03E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E9F0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57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6B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匀场方式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47F0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主动匀场 + 被动匀场 </w:t>
            </w:r>
          </w:p>
        </w:tc>
      </w:tr>
      <w:tr w14:paraId="10C8C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9F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AE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磁体重量（含液氦）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5F93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≥3900kg</w:t>
            </w:r>
          </w:p>
        </w:tc>
      </w:tr>
      <w:tr w14:paraId="1220F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5D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37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液氦消耗率（正常使用状态）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9C8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0.0升/年</w:t>
            </w:r>
          </w:p>
        </w:tc>
      </w:tr>
      <w:tr w14:paraId="58627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AC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2.12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72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液氦腔最大容积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73C7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≤1200L</w:t>
            </w:r>
          </w:p>
        </w:tc>
      </w:tr>
      <w:tr w14:paraId="78A29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E5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7B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梯度系统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667A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2604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37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AD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梯度控制技术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71E0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全数字实时 </w:t>
            </w:r>
          </w:p>
        </w:tc>
      </w:tr>
      <w:tr w14:paraId="79879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1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8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梯度冷却方式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14F4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水冷</w:t>
            </w:r>
          </w:p>
        </w:tc>
      </w:tr>
      <w:tr w14:paraId="3C0CA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0B3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8F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最大单轴梯度场强度（非有效值）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22C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≥33 mT/m </w:t>
            </w:r>
          </w:p>
        </w:tc>
      </w:tr>
      <w:tr w14:paraId="081D6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E1F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C5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最大单轴梯度切换率（非有效值）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587C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≥125 T/m/s</w:t>
            </w:r>
          </w:p>
        </w:tc>
      </w:tr>
      <w:tr w14:paraId="75DFE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BD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4B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最短梯度爬升时间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B3F3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≤0.264 ms</w:t>
            </w:r>
          </w:p>
        </w:tc>
      </w:tr>
      <w:tr w14:paraId="7DB56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B3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E2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射频系统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053A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6056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65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▲4.1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49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射频最大发射功率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F533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≥12kW</w:t>
            </w:r>
          </w:p>
        </w:tc>
      </w:tr>
      <w:tr w14:paraId="4FEB4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56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▲4.2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E0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独立射频接收通道数（非正交通道数，一个扫描视野下最大传输通道数）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7780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≥24</w:t>
            </w:r>
          </w:p>
        </w:tc>
      </w:tr>
      <w:tr w14:paraId="1C6C8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FD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▲4.3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A3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最高接收动态范围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01E7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≥160dB</w:t>
            </w:r>
          </w:p>
        </w:tc>
      </w:tr>
      <w:tr w14:paraId="040F8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BB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61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射频接收线圈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B764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线圈为原厂（与整机同品牌）线圈；线圈单元数计算不得组合累加，为独立线圈单元数。</w:t>
            </w:r>
          </w:p>
        </w:tc>
      </w:tr>
      <w:tr w14:paraId="0BA33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17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4.4.1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F1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原厂正交发射/接收体线圈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FEBD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F8F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E7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4.4.2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3C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原厂头颈联合线圈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51F1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≥24单元</w:t>
            </w:r>
          </w:p>
        </w:tc>
      </w:tr>
      <w:tr w14:paraId="3C57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A4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4.4.3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95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原厂体部相控阵线圈 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C021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≥12单元</w:t>
            </w:r>
          </w:p>
        </w:tc>
      </w:tr>
      <w:tr w14:paraId="145CE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F6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4.4.4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51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原厂脊柱相控阵线圈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E914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≥24单元（非组合）</w:t>
            </w:r>
          </w:p>
        </w:tc>
      </w:tr>
      <w:tr w14:paraId="7492B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FB0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4.4.5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E4F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原厂柔性多功能线圈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67FC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≥4单元</w:t>
            </w:r>
          </w:p>
        </w:tc>
      </w:tr>
      <w:tr w14:paraId="736BD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71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3F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线圈接口数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5E1FA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≥3个，可同时接驳使用</w:t>
            </w:r>
          </w:p>
        </w:tc>
      </w:tr>
      <w:tr w14:paraId="07F36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E16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7B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膝关节线圈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703C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≥12单元</w:t>
            </w:r>
          </w:p>
        </w:tc>
      </w:tr>
      <w:tr w14:paraId="6FB17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3DB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D1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肩关节线圈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32ED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≥12单元</w:t>
            </w:r>
          </w:p>
        </w:tc>
      </w:tr>
      <w:tr w14:paraId="72A50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60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56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射频发射带宽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E7BC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≥700kHz</w:t>
            </w:r>
          </w:p>
        </w:tc>
      </w:tr>
      <w:tr w14:paraId="47812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36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C1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D39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F880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70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2E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主控计算机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F43A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A2F7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4F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5D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中央处理器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0BEC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≥四核，主频≥3.5GHz</w:t>
            </w:r>
          </w:p>
        </w:tc>
      </w:tr>
      <w:tr w14:paraId="1AF6A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D0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C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中央处理器位数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5B10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≥64位</w:t>
            </w:r>
          </w:p>
        </w:tc>
      </w:tr>
      <w:tr w14:paraId="53269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05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FE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内存容量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AEEC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≥24GB</w:t>
            </w:r>
          </w:p>
        </w:tc>
      </w:tr>
      <w:tr w14:paraId="224A2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8B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E7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硬盘容量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7DAA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≥1TB</w:t>
            </w:r>
          </w:p>
        </w:tc>
      </w:tr>
      <w:tr w14:paraId="74D44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A7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E9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图像存储容量（256×256）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A239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≥500万幅</w:t>
            </w:r>
          </w:p>
        </w:tc>
      </w:tr>
      <w:tr w14:paraId="67AF6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81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B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显示器分辨率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E1416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≥1920 x 1200</w:t>
            </w:r>
          </w:p>
        </w:tc>
      </w:tr>
      <w:tr w14:paraId="48D5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98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5.1.7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C1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显示器大小及规格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A53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≥24英寸，医用级彩色显示器</w:t>
            </w:r>
          </w:p>
        </w:tc>
      </w:tr>
      <w:tr w14:paraId="53B51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D2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42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控制重建计算机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D142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36ED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CA5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02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中央处理器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65C8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总核心数≥8，主频≥2.0GHz</w:t>
            </w:r>
          </w:p>
        </w:tc>
      </w:tr>
      <w:tr w14:paraId="4E08D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34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79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控制重建计算机内存容量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924A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≥32GB</w:t>
            </w:r>
          </w:p>
        </w:tc>
      </w:tr>
      <w:tr w14:paraId="73C43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7D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3B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控制重建计算机硬盘容量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D67A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≥1TB</w:t>
            </w:r>
          </w:p>
        </w:tc>
      </w:tr>
      <w:tr w14:paraId="7400F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27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2D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图像重建速度(256×256，全FOV)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88AF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≥30000幅/秒</w:t>
            </w:r>
          </w:p>
        </w:tc>
      </w:tr>
      <w:tr w14:paraId="5F695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E2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B9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最大采集矩阵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AA56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≥1024 × 1024</w:t>
            </w:r>
          </w:p>
        </w:tc>
      </w:tr>
      <w:tr w14:paraId="180D6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39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F8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最大重建矩阵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4344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≥1024 × 1024</w:t>
            </w:r>
          </w:p>
        </w:tc>
      </w:tr>
      <w:tr w14:paraId="7A6D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D5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2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同步扫描重建功能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CECF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扫描、采集、重建时可同时进行阅片、后处理、照相和存盘功能</w:t>
            </w:r>
          </w:p>
        </w:tc>
      </w:tr>
      <w:tr w14:paraId="07E9D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F5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5.2.8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E1B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集成式软件操作系统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92DB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主机操作系统可一站式完成患者信息管理、登记、扫描、图像浏览、后处理分析及打印胶片、存档管理等全流程功能</w:t>
            </w:r>
          </w:p>
        </w:tc>
      </w:tr>
      <w:tr w14:paraId="33EEA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CD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49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后处理接口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8B46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F772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41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DB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软件控制照相技术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5E9A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0DFD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5F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AE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DICOM 3.0接口及与PACS网络连接（包括打印，传输，接收，查,Worklist ,MPPS等功能）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6E3C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B4B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F4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13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标准激光相机数字接口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855D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0951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02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44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扫描参数 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0FB3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586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BB9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2E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X轴最大FOV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FEDCEB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≥500mm</w:t>
            </w:r>
          </w:p>
        </w:tc>
      </w:tr>
      <w:tr w14:paraId="6840C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51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9F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Y轴最大FOV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4FC78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≥500mm</w:t>
            </w:r>
          </w:p>
        </w:tc>
      </w:tr>
      <w:tr w14:paraId="73DC3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46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8A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Z轴最大FOV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B97D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≥500mm</w:t>
            </w:r>
          </w:p>
        </w:tc>
      </w:tr>
      <w:tr w14:paraId="556DC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72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3E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最小FOV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85B7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≤5mm</w:t>
            </w:r>
          </w:p>
        </w:tc>
      </w:tr>
      <w:tr w14:paraId="5DE9D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E94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F6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最薄层厚2D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338D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≤0.2mm</w:t>
            </w:r>
          </w:p>
        </w:tc>
      </w:tr>
      <w:tr w14:paraId="5336A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4C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8A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最薄层厚3D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8E74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≤0.05mm</w:t>
            </w:r>
          </w:p>
        </w:tc>
      </w:tr>
      <w:tr w14:paraId="772FB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256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36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SE序列最短TR时间（128矩阵）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9CFF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≤6.8ms</w:t>
            </w:r>
          </w:p>
        </w:tc>
      </w:tr>
      <w:tr w14:paraId="67CF9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F06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A9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SE序列最短TE时间（128矩阵）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9C02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≤2.4ms</w:t>
            </w:r>
          </w:p>
        </w:tc>
      </w:tr>
      <w:tr w14:paraId="30F35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DC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18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FSE序列最小回波间距（128矩阵）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E8B3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≤2.4ms</w:t>
            </w:r>
          </w:p>
        </w:tc>
      </w:tr>
      <w:tr w14:paraId="5CEF1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3C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17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FSE序列最大回波链长度（ETL）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A275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≥1024</w:t>
            </w:r>
          </w:p>
        </w:tc>
      </w:tr>
      <w:tr w14:paraId="2204B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A9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27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GRE序列最短TR时间（128矩阵）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BC95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≤1.0ms</w:t>
            </w:r>
          </w:p>
        </w:tc>
      </w:tr>
      <w:tr w14:paraId="0DA86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9E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9B6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GRE序列最短TE时间（128矩阵）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B7DE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≤0.4ms</w:t>
            </w:r>
          </w:p>
        </w:tc>
      </w:tr>
      <w:tr w14:paraId="7A87A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42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15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EPI序列最小回波间距（128矩阵）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E6D8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≤0.4ms</w:t>
            </w:r>
          </w:p>
        </w:tc>
      </w:tr>
      <w:tr w14:paraId="4486C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2D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EAF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EPI序列最大回波链长度（ETL）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3283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≥512</w:t>
            </w:r>
          </w:p>
        </w:tc>
      </w:tr>
      <w:tr w14:paraId="345D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58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1F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最大弥散加权b值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D78D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≥10000</w:t>
            </w:r>
          </w:p>
        </w:tc>
      </w:tr>
      <w:tr w14:paraId="4A0EB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54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7.16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3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软件界面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5EC9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中文/英文可切换界面</w:t>
            </w:r>
          </w:p>
        </w:tc>
      </w:tr>
      <w:tr w14:paraId="4D838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B7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5D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扫描技术与序列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F686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F033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AB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57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自旋回波序列（FSE），包括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E2E2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9A30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35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C2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2D/3D快速自旋回波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85F6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5067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62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C96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组织弛豫时间测量自选回波序列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06BE3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E50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44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A81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可选择角度的自旋回波序列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BBD0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C4B2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BD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DB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单回波、双回波、多回波技术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73BC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480B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B6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8E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单次激发快速自选回波序列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622E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A14A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31C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9C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脂肪抑制序列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68A3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ECF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94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56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快速脂肪饱和技术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4A40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2DEE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20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1A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水抑制序列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9F4E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10C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8E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BCB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反转恢复（IR）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8950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A45E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A1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C4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常规反转恢复序列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B8AA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95F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38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8C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快速自由水抑制序列（FLAIR）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4FA3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5002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89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366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快速自由水抑制序列T1W成像技术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7DB3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FD9A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AC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4E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快速自由水抑制序列T2W成像技术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3CEB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A23F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A5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23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快速反转恢复序列（脂肪、水抑制）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22FD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F9E6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F2E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98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短TI反转回波水脂分离成像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D7B5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5B59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75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8.1.16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74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真实影像反转恢复序列（灰白质强对比成像）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4123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AEDF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25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DF6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梯度回波(2D/3D)，包括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5017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56D9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4E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2C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多层面梯度回波（MPGR）：T1和PD加权像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CE97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CEE3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72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D80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2D/3D去除剩余磁化梯度回波技术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5354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7CC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71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2C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2D/3D利用剩余磁化梯度回波技术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F989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43E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87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92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重T2加权高对比序列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FCA2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7FC0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1E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17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3D梯度回波技术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7598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7421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E1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65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快速稳态进动梯度回波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0202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8C93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B0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8F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超快速场回波序列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CA40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8D5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64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2F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三维成像技术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3E95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6827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FF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D7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平面回波成像技术（EPI），包括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9856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2D25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F6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4D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单次激发平面回波成像技术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CB8E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886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0C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DB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多次激发平面回波成像技术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3EE5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8C73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2A0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DC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自旋回波EPI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E78D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CED3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CF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FD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梯度回波EPI 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A48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00A6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A8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EC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反转EPI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FC98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71F3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6B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8.3.6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83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高分辨EPI采集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032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3B70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3C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45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神经系统成像技术，包括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FB33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3B4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72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8.4.1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EA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高分辨解剖成像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7D030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55A0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D7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8.4.2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FA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高分辨率内耳三维成像技术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2DC8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BE2C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C8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8.4.3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77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全脊髓成像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1189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8480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A9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AD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弥散成像技术，包括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E9E7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3FEF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3D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B2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ADC成像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05298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49AD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56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96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各向同性采集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6832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3850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60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136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各向异性采集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70E1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DAA3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9C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E40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ADC值测量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2C54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D43B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9C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4E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ADC-map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468B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C1CA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77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C3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自动采集处理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ED4F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CCBC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501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DC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单次激发EPI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A7D6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CF8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FB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DD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多次激发EPI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3255E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DE1A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08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9D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实时弥散成像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6279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9EA0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66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B98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自动生成ADC图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9DF8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83F7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69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8.5.11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8F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可选优化B值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ABFE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1BC6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1C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48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血管与水成像技术，包括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451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FFBA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29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05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时飞法技术(2D/3D)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2592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B9B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C8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8F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流入法采集技术（2D/3D）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5324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F554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482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59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连续多层3D时飞法技术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0FCE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3CE2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1EB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BC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动静脉分离成像技术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31A7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5ED1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B2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A2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磁转移(MTC)对比技术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8A06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4EE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06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63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最大密度投影技术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5AA4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6C67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86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3C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可变翻转角度射频技术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B622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DEF1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A1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34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多层层面重建技术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6401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CA30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18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0E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2D/3D水成像技术（MRCP, MRU）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D957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844C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B9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DF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电影采集回放功能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87C6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A84D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D0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8.6.11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24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实时互动最大密度投影技术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831F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EE0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BC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FB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伪影消除技术，包括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F8AD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E1EB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7C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E4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流体补偿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20CD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3F43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F6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900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呼吸补偿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9524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C839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B3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7F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呼吸导航技术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78EC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E133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2DC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1C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流动校正梯度波形技术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A3D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2241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99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FB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区域饱和技术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0009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945F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92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4F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卷积伪影去除技术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53AA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3CF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F0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6A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自旋回波运动伪影消除技术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08A1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提供ARMS、Blade、 Propeller或 Multivane等技术。</w:t>
            </w:r>
          </w:p>
        </w:tc>
      </w:tr>
      <w:tr w14:paraId="003DB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06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FD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自由呼吸技术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E801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提供StarVibe、uFreeR等径向采集梯度回波运动伪影抑制技术。</w:t>
            </w:r>
          </w:p>
        </w:tc>
      </w:tr>
      <w:tr w14:paraId="305B2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49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87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图像滤波增强技术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103D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1A87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1E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A6C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K空间降噪技术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827B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371D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B3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8.7.9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DA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环形伪影抑制技术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214D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198A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06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93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节时技术，包括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D125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875C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80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D1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半扫描技术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8FDD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7A8A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9F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A5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全方向部分编码采集技术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3502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F224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00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4A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矩形视野采集技术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744A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1208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C4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F3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三维重叠连续采集技术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4752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9ECE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31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6C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并行采集重建技术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9700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5F9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C8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8.8.6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35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部分回波采集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91C8F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42B1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1B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FE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其他成像技术，包括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CC0F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5269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2D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565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短TR TE快速成像功能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C6FA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BFCD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53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C9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三维定位系统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4013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4685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86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A5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放射状片层定位技术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25C9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C980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4C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F5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扫描暂停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A811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B17B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0F6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42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可变带宽技术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3BFB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D58C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84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77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预扫描技术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83C8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FB3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95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F6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信噪比显示功能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FC14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CED9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9D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13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实时交互式成像功能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68A0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7252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49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06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磁共振实时定位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4299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259F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32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24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磁共振实时交互式参数改变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75B3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518E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EE2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76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高分辨成像检查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094B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B28B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A1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9A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组合扫描功能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0261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6B4A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E4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FE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水饱和技术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7847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2DB8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D5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07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预饱和技术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D99F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CEE9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A9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F4E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饱和带数目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CF20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≥6</w:t>
            </w:r>
          </w:p>
        </w:tc>
      </w:tr>
      <w:tr w14:paraId="459EA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90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2B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平行饱和带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A1C7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22D2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DD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93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伴随饱和带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E67F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C8B5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B2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1D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脂肪饱和技术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A2E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193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03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8.9.19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51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信号平均技术，包含内模式和外模式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850A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D10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F0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BE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频率编码方向扩大采集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087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759D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F4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5C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相位编码方向扩大采集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810A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2623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9C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D9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偏中心扫描技术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37BB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F8E1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47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04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可变K空间填写方式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B6C1A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6C1B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0D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FA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K空间快速采集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5519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A01F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F7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9C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线圈灵敏度校正技术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7C8A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52AA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17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D1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肝脏动态增强技术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A889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CEC6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621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52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图像亮度均一化校正技术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4E40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7FC7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09A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F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自动中心扫描技术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1D6A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1EDD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C1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8.9.29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53B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图像插值放大技术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EFB1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6D39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49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8.9.30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88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图像变形校正技术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BB49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9FAA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05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4D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高级临床应用软件包，包括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40DD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CE64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2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8.10.1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1D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神经成像软件包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E9C35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ACDD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62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8.10.2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C8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体部系统软件包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1389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4791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71E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8.10.3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0D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骨关节成像软件包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1A21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CA64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B70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8.10.4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243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肿瘤成像软件包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F52D4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40D7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3FF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8.10.5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89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血管成像软件包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D847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ADEA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BA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九、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A3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高级应用平台及软件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F30D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8EF4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FB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▲9.1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58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全身压缩感知技术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7B0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具备压缩感知技术，不可用其他技术如并行采集技术替代。</w:t>
            </w:r>
          </w:p>
        </w:tc>
      </w:tr>
      <w:tr w14:paraId="10BE5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82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92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波谱成像技术及高级后处理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3EAF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具备单体素和多体素波谱</w:t>
            </w:r>
          </w:p>
        </w:tc>
      </w:tr>
      <w:tr w14:paraId="21C1E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92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1B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三维多体素波谱成像技术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36A14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5BC6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3F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59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磁化率加权成像技术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5722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具备，支持幅值图、相位图、薄层块MinIP重建等多计算结果显示</w:t>
            </w:r>
          </w:p>
        </w:tc>
      </w:tr>
      <w:tr w14:paraId="41E21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F4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AF3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调制翻转角三维容积成像技术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0351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903E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7FC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7A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螺旋式K空间填充运动伪影校正技术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739F9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0082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6A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23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脑灌注成像及后处理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6AF7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46B9E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FF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64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水脂分离成像技术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9479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2BF3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FF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39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快速3D T1体部动态增强序列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2F0A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D9DD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BA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45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脂肪定量成像技术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D8A0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40F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40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25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多梯度合并关节软骨成像技术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2357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A7D3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C5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E8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参数定量成像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1FA1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226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17B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08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去金属伪影成像技术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39C3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52989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9C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76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二维加速成像技术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0972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DDD9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25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74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“类PET”全身弥散加权成像技术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46E6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2B89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CB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4E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智能扫描技术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F129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69D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8D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9.17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5C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小视野弥散成像技术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15AC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9A67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18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十、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52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病人检查环境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2C7B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7CC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83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C3A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双向病人通话系统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E2D63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3CD11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A76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82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提供防磁耳机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D8ED1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内置双向沟通装置,能进行通话指示和音乐播放;可减噪</w:t>
            </w:r>
          </w:p>
        </w:tc>
      </w:tr>
      <w:tr w14:paraId="6EC0A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7E6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614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磁体内可调试病人通风系统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A745E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2AF2E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35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933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可调试磁孔内病人照明系统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3A966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7C6D8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F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DA77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磁体内病人双向通话麦克风及扩音器系统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7C44C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61CC3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0A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10.6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E3E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检查床最大承重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BE8FF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≥200KG</w:t>
            </w:r>
          </w:p>
        </w:tc>
      </w:tr>
      <w:tr w14:paraId="129A8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17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10.7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1DD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扫描床水平进床最大速度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37AAD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≥20cm/s</w:t>
            </w:r>
          </w:p>
        </w:tc>
      </w:tr>
      <w:tr w14:paraId="0F43F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C70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10.8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5F7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检查床床面最大宽度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68573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≥55cm</w:t>
            </w:r>
          </w:p>
        </w:tc>
      </w:tr>
      <w:tr w14:paraId="03293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6B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10.9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AF9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病人监视系统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6B2FD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  <w:tr w14:paraId="07ACA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F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10.10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DF7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无磁推床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0B71B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1台</w:t>
            </w:r>
          </w:p>
        </w:tc>
      </w:tr>
      <w:tr w14:paraId="02A99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3D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10.11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BF1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无磁轮椅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60C71D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1台</w:t>
            </w:r>
          </w:p>
        </w:tc>
      </w:tr>
      <w:tr w14:paraId="15845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8B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58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磁共振专用高压注射器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603605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1台</w:t>
            </w:r>
          </w:p>
        </w:tc>
      </w:tr>
      <w:tr w14:paraId="5B73A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92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D2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独立后处理工作站（除主机工作站外）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9DEBF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1台</w:t>
            </w:r>
          </w:p>
        </w:tc>
      </w:tr>
      <w:tr w14:paraId="152C3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D5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AD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磁共振弹性成像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0695DD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</w:t>
            </w:r>
          </w:p>
        </w:tc>
      </w:tr>
    </w:tbl>
    <w:p w14:paraId="4A2F796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7D95"/>
    <w:multiLevelType w:val="singleLevel"/>
    <w:tmpl w:val="8D217D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BEE5BA"/>
    <w:multiLevelType w:val="singleLevel"/>
    <w:tmpl w:val="B9BEE5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06E6CD"/>
    <w:multiLevelType w:val="singleLevel"/>
    <w:tmpl w:val="2F06E6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107BD"/>
    <w:rsid w:val="45E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annotation text"/>
    <w:basedOn w:val="1"/>
    <w:qFormat/>
    <w:uiPriority w:val="99"/>
    <w:pPr>
      <w:jc w:val="left"/>
    </w:p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2025-10-30T02:52:47Z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