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B80B3">
      <w:pPr>
        <w:pStyle w:val="2"/>
        <w:widowControl/>
        <w:snapToGrid w:val="0"/>
        <w:spacing w:before="0" w:after="0" w:line="360" w:lineRule="auto"/>
        <w:jc w:val="center"/>
        <w:rPr>
          <w:rFonts w:hint="eastAsia" w:ascii="宋体" w:hAnsi="宋体" w:eastAsia="仿宋"/>
          <w:color w:val="auto"/>
        </w:rPr>
      </w:pPr>
      <w:bookmarkStart w:id="0" w:name="_Toc445554746"/>
      <w:bookmarkStart w:id="1" w:name="_Toc466024555"/>
      <w:bookmarkStart w:id="2" w:name="_Toc28978"/>
      <w:r>
        <w:rPr>
          <w:rFonts w:hint="eastAsia" w:ascii="宋体" w:hAnsi="宋体" w:eastAsia="仿宋"/>
          <w:color w:val="auto"/>
        </w:rPr>
        <w:t>采购需求</w:t>
      </w:r>
      <w:bookmarkEnd w:id="0"/>
      <w:bookmarkEnd w:id="1"/>
      <w:bookmarkEnd w:id="2"/>
    </w:p>
    <w:p w14:paraId="45AD25EF">
      <w:pPr>
        <w:pStyle w:val="3"/>
        <w:rPr>
          <w:rStyle w:val="7"/>
          <w:rFonts w:ascii="宋体" w:hAnsi="宋体" w:eastAsia="仿宋"/>
          <w:b/>
          <w:bCs/>
          <w:color w:val="auto"/>
          <w:sz w:val="24"/>
          <w:szCs w:val="24"/>
        </w:rPr>
      </w:pPr>
      <w:bookmarkStart w:id="3" w:name="_Toc455587273"/>
      <w:bookmarkStart w:id="4" w:name="_Toc466024556"/>
      <w:bookmarkStart w:id="5" w:name="_Toc455587089"/>
      <w:bookmarkStart w:id="6" w:name="_Toc445554747"/>
      <w:r>
        <w:rPr>
          <w:rStyle w:val="7"/>
          <w:rFonts w:hint="eastAsia" w:ascii="宋体" w:hAnsi="宋体" w:eastAsia="仿宋"/>
          <w:b/>
          <w:bCs/>
          <w:color w:val="auto"/>
          <w:sz w:val="24"/>
          <w:szCs w:val="24"/>
        </w:rPr>
        <w:t xml:space="preserve">1. </w:t>
      </w:r>
      <w:bookmarkEnd w:id="3"/>
      <w:bookmarkEnd w:id="4"/>
      <w:bookmarkEnd w:id="5"/>
      <w:r>
        <w:rPr>
          <w:rStyle w:val="7"/>
          <w:rFonts w:hint="eastAsia" w:ascii="宋体" w:hAnsi="宋体" w:eastAsia="仿宋"/>
          <w:b/>
          <w:bCs/>
          <w:color w:val="auto"/>
          <w:sz w:val="24"/>
          <w:szCs w:val="24"/>
        </w:rPr>
        <w:t>总体说明</w:t>
      </w:r>
    </w:p>
    <w:p w14:paraId="75D0425D">
      <w:pPr>
        <w:widowControl/>
        <w:tabs>
          <w:tab w:val="left" w:pos="1406"/>
        </w:tabs>
        <w:snapToGrid w:val="0"/>
        <w:spacing w:line="360" w:lineRule="auto"/>
        <w:ind w:firstLine="480" w:firstLineChars="200"/>
        <w:rPr>
          <w:rFonts w:hint="eastAsia" w:ascii="宋体" w:hAnsi="宋体" w:eastAsia="仿宋"/>
          <w:color w:val="auto"/>
          <w:sz w:val="24"/>
        </w:rPr>
      </w:pPr>
      <w:r>
        <w:rPr>
          <w:rFonts w:hint="eastAsia" w:ascii="宋体" w:hAnsi="宋体" w:eastAsia="仿宋"/>
          <w:color w:val="auto"/>
          <w:sz w:val="24"/>
        </w:rPr>
        <w:t>1.1 本章所提出的技术要求是对本次采购的基本要求，并未涉及所有技术细节，也未充分引述有关标准、规范的全部条款。供应商应保证除了满足本技术要求外，还应符合中国国家、行业、地方或</w:t>
      </w:r>
      <w:r>
        <w:rPr>
          <w:rFonts w:hint="eastAsia" w:ascii="仿宋" w:hAnsi="仿宋" w:eastAsia="仿宋" w:cs="仿宋"/>
          <w:color w:val="auto"/>
          <w:sz w:val="24"/>
        </w:rPr>
        <w:t>服务提供商</w:t>
      </w:r>
      <w:r>
        <w:rPr>
          <w:rFonts w:hint="eastAsia" w:ascii="宋体" w:hAnsi="宋体" w:eastAsia="仿宋"/>
          <w:color w:val="auto"/>
          <w:sz w:val="24"/>
        </w:rPr>
        <w:t>所在国的有关强制性标准、规范。当上述标准、规范的有关规定之间存在差异时，应以要求高的为准。</w:t>
      </w:r>
    </w:p>
    <w:p w14:paraId="514AE5D8">
      <w:pPr>
        <w:widowControl/>
        <w:tabs>
          <w:tab w:val="left" w:pos="1406"/>
        </w:tabs>
        <w:snapToGrid w:val="0"/>
        <w:spacing w:line="360" w:lineRule="auto"/>
        <w:ind w:firstLine="480" w:firstLineChars="200"/>
        <w:rPr>
          <w:rFonts w:hint="eastAsia" w:ascii="宋体" w:hAnsi="宋体" w:eastAsia="仿宋"/>
          <w:color w:val="auto"/>
          <w:sz w:val="24"/>
        </w:rPr>
      </w:pPr>
      <w:r>
        <w:rPr>
          <w:rFonts w:hint="eastAsia" w:ascii="宋体" w:hAnsi="宋体" w:eastAsia="仿宋"/>
          <w:color w:val="auto"/>
          <w:sz w:val="24"/>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6C96536A">
      <w:pPr>
        <w:widowControl/>
        <w:tabs>
          <w:tab w:val="left" w:pos="1406"/>
        </w:tabs>
        <w:snapToGrid w:val="0"/>
        <w:spacing w:line="360" w:lineRule="auto"/>
        <w:ind w:firstLine="480" w:firstLineChars="200"/>
        <w:rPr>
          <w:rFonts w:hint="eastAsia" w:ascii="宋体" w:hAnsi="宋体" w:eastAsia="仿宋"/>
          <w:color w:val="auto"/>
          <w:sz w:val="24"/>
        </w:rPr>
      </w:pPr>
      <w:r>
        <w:rPr>
          <w:rFonts w:hint="eastAsia" w:ascii="宋体" w:hAnsi="宋体" w:eastAsia="仿宋"/>
          <w:color w:val="auto"/>
          <w:sz w:val="24"/>
        </w:rPr>
        <w:t>1.3 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484B7FCC">
      <w:pPr>
        <w:widowControl/>
        <w:tabs>
          <w:tab w:val="left" w:pos="1406"/>
        </w:tabs>
        <w:snapToGrid w:val="0"/>
        <w:spacing w:line="360" w:lineRule="auto"/>
        <w:ind w:firstLine="480" w:firstLineChars="200"/>
        <w:rPr>
          <w:rFonts w:ascii="宋体" w:hAnsi="宋体" w:eastAsia="仿宋"/>
          <w:color w:val="auto"/>
          <w:sz w:val="24"/>
        </w:rPr>
      </w:pPr>
      <w:r>
        <w:rPr>
          <w:rFonts w:hint="eastAsia" w:ascii="宋体" w:hAnsi="宋体" w:eastAsia="仿宋"/>
          <w:color w:val="auto"/>
          <w:sz w:val="24"/>
        </w:rPr>
        <w:t>1.4 对于标注“※”条款（如有）的规定见第二章供应商须知前附表第6.2.3项；实质性变动的内容，须经采购人代表确认。</w:t>
      </w:r>
    </w:p>
    <w:p w14:paraId="6175E939">
      <w:pPr>
        <w:pStyle w:val="3"/>
        <w:rPr>
          <w:rFonts w:hint="eastAsia" w:ascii="仿宋" w:hAnsi="仿宋" w:eastAsia="仿宋" w:cs="仿宋"/>
          <w:color w:val="auto"/>
          <w:sz w:val="24"/>
          <w:szCs w:val="24"/>
        </w:rPr>
      </w:pPr>
      <w:r>
        <w:rPr>
          <w:rFonts w:ascii="宋体" w:hAnsi="宋体" w:eastAsia="仿宋"/>
          <w:color w:val="auto"/>
          <w:sz w:val="24"/>
        </w:rPr>
        <w:t xml:space="preserve">2. </w:t>
      </w:r>
      <w:r>
        <w:rPr>
          <w:rFonts w:hint="eastAsia" w:ascii="仿宋" w:hAnsi="仿宋" w:eastAsia="仿宋" w:cs="仿宋"/>
          <w:color w:val="auto"/>
          <w:sz w:val="24"/>
          <w:szCs w:val="24"/>
        </w:rPr>
        <w:t>项目概况及总体要求</w:t>
      </w:r>
    </w:p>
    <w:p w14:paraId="252A1C50">
      <w:pPr>
        <w:spacing w:before="120" w:after="120" w:line="360" w:lineRule="auto"/>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2.1 项目概况</w:t>
      </w:r>
    </w:p>
    <w:p w14:paraId="1D0F288B">
      <w:pPr>
        <w:spacing w:before="120" w:after="120" w:line="360" w:lineRule="auto"/>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lang w:eastAsia="zh-CN"/>
        </w:rPr>
        <w:t>安徽开放大学校园运动场所改造工程。本项目位于安徽开放大学九华山路3号校区，针对校区内原实训大棚及其北小广场进行装修改造，实验实训大棚（约950平方米）改造为室内运动场，大棚外墙面装饰、水电安装及北小广场地面（约600平方米）修整等。</w:t>
      </w:r>
    </w:p>
    <w:p w14:paraId="34039973">
      <w:pPr>
        <w:spacing w:before="120" w:after="120" w:line="360" w:lineRule="auto"/>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2.2 施工范围</w:t>
      </w:r>
    </w:p>
    <w:p w14:paraId="5C0FA6D6">
      <w:pPr>
        <w:spacing w:before="120" w:after="120" w:line="360" w:lineRule="auto"/>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本次</w:t>
      </w:r>
      <w:r>
        <w:rPr>
          <w:rFonts w:hint="eastAsia" w:ascii="仿宋" w:hAnsi="仿宋" w:eastAsia="仿宋" w:cs="仿宋"/>
          <w:color w:val="auto"/>
          <w:sz w:val="24"/>
          <w:lang w:val="en-US" w:eastAsia="zh-CN"/>
        </w:rPr>
        <w:t>装修</w:t>
      </w:r>
      <w:r>
        <w:rPr>
          <w:rFonts w:hint="eastAsia" w:ascii="仿宋" w:hAnsi="仿宋" w:eastAsia="仿宋" w:cs="仿宋"/>
          <w:color w:val="auto"/>
          <w:sz w:val="24"/>
        </w:rPr>
        <w:t>工程建设内容主要包括校区内原实训大棚及其北小广场进行装修改造，实验实训大棚（约950平方米）改造为室内运动场，大棚外墙面装饰、水电安装及北小广场地面（约600平方米）修整等。详见采购文件、工程量清单及答疑文件。</w:t>
      </w:r>
    </w:p>
    <w:p w14:paraId="6188D761">
      <w:pPr>
        <w:spacing w:before="120" w:after="120" w:line="360" w:lineRule="auto"/>
        <w:ind w:firstLine="480" w:firstLineChars="200"/>
        <w:textAlignment w:val="baseline"/>
        <w:rPr>
          <w:rFonts w:ascii="仿宋" w:hAnsi="仿宋" w:eastAsia="仿宋" w:cs="仿宋"/>
          <w:b/>
          <w:bCs/>
          <w:color w:val="auto"/>
          <w:sz w:val="24"/>
        </w:rPr>
      </w:pPr>
      <w:r>
        <w:rPr>
          <w:rFonts w:hint="eastAsia" w:ascii="仿宋" w:hAnsi="仿宋" w:eastAsia="仿宋" w:cs="仿宋"/>
          <w:color w:val="auto"/>
          <w:sz w:val="24"/>
        </w:rPr>
        <w:t>2.3 采购包（标段）划分：1个包</w:t>
      </w:r>
    </w:p>
    <w:p w14:paraId="47B37953">
      <w:pPr>
        <w:pStyle w:val="3"/>
        <w:rPr>
          <w:rFonts w:ascii="宋体" w:hAnsi="宋体" w:eastAsia="仿宋"/>
          <w:color w:val="auto"/>
          <w:sz w:val="24"/>
        </w:rPr>
      </w:pPr>
      <w:r>
        <w:rPr>
          <w:rFonts w:hint="eastAsia" w:ascii="宋体" w:hAnsi="宋体" w:eastAsia="仿宋"/>
          <w:color w:val="auto"/>
          <w:sz w:val="24"/>
        </w:rPr>
        <w:t>3</w:t>
      </w:r>
      <w:r>
        <w:rPr>
          <w:rFonts w:ascii="宋体" w:hAnsi="宋体" w:eastAsia="仿宋"/>
          <w:color w:val="auto"/>
          <w:sz w:val="24"/>
        </w:rPr>
        <w:t>. 商务要求</w:t>
      </w:r>
    </w:p>
    <w:p w14:paraId="514AF2D9">
      <w:pPr>
        <w:rPr>
          <w:rFonts w:hint="eastAsia" w:ascii="仿宋" w:hAnsi="仿宋" w:eastAsia="仿宋" w:cs="仿宋"/>
          <w:b/>
          <w:bCs/>
          <w:color w:val="auto"/>
          <w:sz w:val="24"/>
          <w:szCs w:val="32"/>
        </w:rPr>
      </w:pPr>
      <w:r>
        <w:rPr>
          <w:rFonts w:hint="eastAsia" w:ascii="仿宋" w:hAnsi="仿宋" w:eastAsia="仿宋" w:cs="仿宋"/>
          <w:b/>
          <w:bCs/>
          <w:color w:val="auto"/>
          <w:sz w:val="24"/>
          <w:szCs w:val="32"/>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3E97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5AF2E38A">
            <w:pPr>
              <w:widowControl/>
              <w:jc w:val="center"/>
              <w:rPr>
                <w:rFonts w:hint="eastAsia" w:ascii="宋体" w:hAnsi="宋体" w:eastAsia="仿宋"/>
                <w:color w:val="auto"/>
                <w:sz w:val="24"/>
              </w:rPr>
            </w:pPr>
            <w:r>
              <w:rPr>
                <w:rFonts w:hint="eastAsia" w:ascii="宋体" w:hAnsi="宋体" w:eastAsia="仿宋"/>
                <w:color w:val="auto"/>
                <w:sz w:val="24"/>
              </w:rPr>
              <w:t>合同履行期限（工期）</w:t>
            </w:r>
          </w:p>
        </w:tc>
        <w:tc>
          <w:tcPr>
            <w:tcW w:w="7479" w:type="dxa"/>
            <w:noWrap w:val="0"/>
            <w:vAlign w:val="top"/>
          </w:tcPr>
          <w:p w14:paraId="14310578">
            <w:pPr>
              <w:widowControl/>
              <w:adjustRightInd w:val="0"/>
              <w:snapToGrid w:val="0"/>
              <w:spacing w:line="288" w:lineRule="auto"/>
              <w:rPr>
                <w:rFonts w:ascii="楷体" w:hAnsi="楷体" w:eastAsia="仿宋" w:cs="Calibri"/>
                <w:color w:val="auto"/>
                <w:sz w:val="24"/>
              </w:rPr>
            </w:pPr>
            <w:r>
              <w:rPr>
                <w:rFonts w:hint="eastAsia" w:ascii="宋体" w:hAnsi="宋体" w:eastAsia="仿宋" w:cs="Calibri"/>
                <w:color w:val="auto"/>
                <w:sz w:val="24"/>
                <w:u w:val="single"/>
                <w:lang w:val="en-US" w:eastAsia="zh-CN"/>
              </w:rPr>
              <w:t>35</w:t>
            </w:r>
            <w:r>
              <w:rPr>
                <w:rFonts w:hint="eastAsia" w:ascii="宋体" w:hAnsi="宋体" w:eastAsia="仿宋" w:cs="Calibri"/>
                <w:color w:val="auto"/>
                <w:sz w:val="24"/>
              </w:rPr>
              <w:t>日历天</w:t>
            </w:r>
          </w:p>
          <w:p w14:paraId="4391D6C1">
            <w:pPr>
              <w:widowControl/>
              <w:adjustRightInd w:val="0"/>
              <w:snapToGrid w:val="0"/>
              <w:spacing w:line="288" w:lineRule="auto"/>
              <w:rPr>
                <w:rFonts w:hint="eastAsia" w:ascii="楷体" w:hAnsi="楷体" w:eastAsia="仿宋" w:cs="Calibri"/>
                <w:color w:val="auto"/>
                <w:sz w:val="24"/>
              </w:rPr>
            </w:pPr>
            <w:r>
              <w:rPr>
                <w:rFonts w:hint="eastAsia" w:ascii="宋体" w:hAnsi="宋体" w:eastAsia="仿宋" w:cs="Calibri"/>
                <w:color w:val="auto"/>
                <w:sz w:val="24"/>
              </w:rPr>
              <w:t>是否接受负偏离：</w:t>
            </w:r>
            <w:r>
              <w:rPr>
                <w:rFonts w:hint="eastAsia" w:ascii="楷体" w:hAnsi="楷体" w:eastAsia="仿宋" w:cs="Calibri"/>
                <w:color w:val="auto"/>
                <w:sz w:val="24"/>
              </w:rPr>
              <w:t>☑不接受</w:t>
            </w:r>
          </w:p>
          <w:p w14:paraId="05CBBE02">
            <w:pPr>
              <w:pStyle w:val="8"/>
              <w:ind w:firstLine="480"/>
              <w:rPr>
                <w:rFonts w:hint="eastAsia" w:ascii="楷体" w:hAnsi="楷体" w:eastAsia="仿宋" w:cs="Calibri"/>
                <w:color w:val="auto"/>
                <w:sz w:val="24"/>
              </w:rPr>
            </w:pPr>
            <w:r>
              <w:rPr>
                <w:rFonts w:hint="eastAsia" w:ascii="楷体" w:hAnsi="楷体" w:eastAsia="仿宋" w:cs="Calibri"/>
                <w:color w:val="auto"/>
                <w:sz w:val="24"/>
              </w:rPr>
              <w:t xml:space="preserve">            □接受：</w:t>
            </w:r>
          </w:p>
          <w:p w14:paraId="1935890F">
            <w:pPr>
              <w:pStyle w:val="8"/>
              <w:ind w:firstLine="2160" w:firstLineChars="900"/>
              <w:rPr>
                <w:rFonts w:hint="eastAsia" w:ascii="宋体" w:hAnsi="宋体" w:eastAsia="仿宋"/>
                <w:color w:val="auto"/>
                <w:sz w:val="24"/>
              </w:rPr>
            </w:pPr>
            <w:r>
              <w:rPr>
                <w:rFonts w:hint="eastAsia" w:ascii="楷体" w:hAnsi="楷体" w:eastAsia="仿宋" w:cs="Calibri"/>
                <w:color w:val="auto"/>
                <w:sz w:val="24"/>
              </w:rPr>
              <w:t>允许偏离的幅度：</w:t>
            </w:r>
            <w:r>
              <w:rPr>
                <w:rFonts w:hint="eastAsia" w:ascii="宋体" w:hAnsi="宋体" w:eastAsia="仿宋" w:cs="Calibri"/>
                <w:color w:val="auto"/>
                <w:sz w:val="24"/>
              </w:rPr>
              <w:t>/</w:t>
            </w:r>
          </w:p>
        </w:tc>
      </w:tr>
      <w:tr w14:paraId="1DFF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7DD17DA4">
            <w:pPr>
              <w:widowControl/>
              <w:jc w:val="center"/>
              <w:rPr>
                <w:rFonts w:ascii="宋体" w:hAnsi="宋体" w:eastAsia="仿宋"/>
                <w:color w:val="auto"/>
                <w:sz w:val="24"/>
              </w:rPr>
            </w:pPr>
            <w:r>
              <w:rPr>
                <w:rFonts w:hint="eastAsia" w:ascii="宋体" w:hAnsi="宋体" w:eastAsia="仿宋"/>
                <w:color w:val="auto"/>
                <w:sz w:val="24"/>
              </w:rPr>
              <w:t>工程地点</w:t>
            </w:r>
          </w:p>
        </w:tc>
        <w:tc>
          <w:tcPr>
            <w:tcW w:w="7479" w:type="dxa"/>
            <w:noWrap w:val="0"/>
            <w:vAlign w:val="top"/>
          </w:tcPr>
          <w:p w14:paraId="1D07F269">
            <w:pPr>
              <w:pStyle w:val="8"/>
              <w:ind w:firstLine="0" w:firstLineChars="0"/>
              <w:rPr>
                <w:rFonts w:ascii="宋体" w:hAnsi="宋体" w:eastAsia="仿宋"/>
                <w:color w:val="auto"/>
                <w:sz w:val="24"/>
              </w:rPr>
            </w:pPr>
            <w:r>
              <w:rPr>
                <w:rFonts w:hint="eastAsia" w:ascii="宋体" w:hAnsi="宋体" w:eastAsia="仿宋"/>
                <w:color w:val="auto"/>
                <w:sz w:val="24"/>
                <w:lang w:eastAsia="zh-CN"/>
              </w:rPr>
              <w:t>安徽开放大学</w:t>
            </w:r>
            <w:r>
              <w:rPr>
                <w:rFonts w:hint="eastAsia" w:ascii="宋体" w:hAnsi="宋体" w:eastAsia="仿宋"/>
                <w:color w:val="auto"/>
                <w:sz w:val="24"/>
              </w:rPr>
              <w:t>，采购人指定地点</w:t>
            </w:r>
          </w:p>
        </w:tc>
      </w:tr>
      <w:tr w14:paraId="5990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46ED5138">
            <w:pPr>
              <w:pStyle w:val="8"/>
              <w:ind w:firstLine="0" w:firstLineChars="0"/>
              <w:jc w:val="center"/>
              <w:rPr>
                <w:rFonts w:ascii="宋体" w:hAnsi="宋体" w:eastAsia="仿宋"/>
                <w:color w:val="auto"/>
                <w:sz w:val="24"/>
                <w:highlight w:val="none"/>
              </w:rPr>
            </w:pPr>
            <w:r>
              <w:rPr>
                <w:rFonts w:hint="eastAsia" w:ascii="宋体" w:hAnsi="宋体" w:eastAsia="仿宋"/>
                <w:color w:val="auto"/>
                <w:sz w:val="24"/>
                <w:highlight w:val="none"/>
              </w:rPr>
              <w:t>付款方式</w:t>
            </w:r>
          </w:p>
        </w:tc>
        <w:tc>
          <w:tcPr>
            <w:tcW w:w="7479" w:type="dxa"/>
            <w:noWrap w:val="0"/>
            <w:vAlign w:val="top"/>
          </w:tcPr>
          <w:p w14:paraId="01E433D1">
            <w:pPr>
              <w:rPr>
                <w:color w:val="auto"/>
                <w:highlight w:val="none"/>
              </w:rPr>
            </w:pPr>
            <w:r>
              <w:rPr>
                <w:rFonts w:hint="eastAsia" w:ascii="宋体" w:hAnsi="宋体" w:eastAsia="仿宋" w:cs="Calibri"/>
                <w:color w:val="auto"/>
                <w:sz w:val="24"/>
                <w:highlight w:val="none"/>
              </w:rPr>
              <w:t>支付方式：项目施工结束，验收合格后支付合同金额85%；审计结束后，支付审计价的97.5%（扣除已支付的合同价款85%），余款缺陷责任期满后退还，缺陷责任期2年。</w:t>
            </w:r>
            <w:r>
              <w:rPr>
                <w:rFonts w:hint="eastAsia" w:ascii="仿宋" w:hAnsi="仿宋" w:eastAsia="仿宋" w:cs="仿宋"/>
                <w:iCs/>
                <w:color w:val="auto"/>
                <w:sz w:val="24"/>
                <w:highlight w:val="none"/>
              </w:rPr>
              <w:t xml:space="preserve"> </w:t>
            </w:r>
          </w:p>
          <w:p w14:paraId="64EAF68C">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69274430">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539D3016">
            <w:pPr>
              <w:widowControl/>
              <w:adjustRightInd w:val="0"/>
              <w:snapToGrid w:val="0"/>
              <w:spacing w:line="288" w:lineRule="auto"/>
              <w:ind w:firstLine="1920" w:firstLineChars="8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r w14:paraId="2072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46D8B531">
            <w:pPr>
              <w:pStyle w:val="9"/>
              <w:widowControl w:val="0"/>
              <w:spacing w:before="0" w:beforeAutospacing="0" w:after="0" w:afterAutospacing="0"/>
              <w:rPr>
                <w:rFonts w:ascii="宋体" w:hAnsi="宋体" w:eastAsia="仿宋"/>
                <w:color w:val="auto"/>
                <w:sz w:val="24"/>
              </w:rPr>
            </w:pPr>
            <w:r>
              <w:rPr>
                <w:rFonts w:hint="eastAsia" w:ascii="宋体" w:hAnsi="宋体" w:eastAsia="仿宋" w:cs="Calibri"/>
                <w:b w:val="0"/>
                <w:bCs w:val="0"/>
                <w:color w:val="auto"/>
                <w:kern w:val="2"/>
                <w:sz w:val="24"/>
                <w:szCs w:val="24"/>
              </w:rPr>
              <w:t>本项目采购标的所属行业</w:t>
            </w:r>
          </w:p>
        </w:tc>
        <w:tc>
          <w:tcPr>
            <w:tcW w:w="7479" w:type="dxa"/>
            <w:noWrap w:val="0"/>
            <w:vAlign w:val="center"/>
          </w:tcPr>
          <w:p w14:paraId="11D66E12">
            <w:pPr>
              <w:rPr>
                <w:rFonts w:ascii="宋体" w:hAnsi="宋体" w:eastAsia="仿宋"/>
                <w:color w:val="auto"/>
                <w:sz w:val="24"/>
              </w:rPr>
            </w:pPr>
            <w:r>
              <w:rPr>
                <w:rFonts w:hint="eastAsia" w:ascii="宋体" w:hAnsi="宋体" w:eastAsia="仿宋" w:cs="Calibri"/>
                <w:color w:val="auto"/>
                <w:sz w:val="24"/>
              </w:rPr>
              <w:t>所属行业：</w:t>
            </w:r>
            <w:r>
              <w:rPr>
                <w:rFonts w:hint="eastAsia" w:ascii="仿宋" w:hAnsi="仿宋" w:eastAsia="仿宋" w:cs="仿宋"/>
                <w:iCs/>
                <w:color w:val="auto"/>
                <w:sz w:val="24"/>
              </w:rPr>
              <w:t>建筑业</w:t>
            </w:r>
          </w:p>
        </w:tc>
      </w:tr>
    </w:tbl>
    <w:p w14:paraId="45AD7D1C">
      <w:pPr>
        <w:pStyle w:val="8"/>
        <w:ind w:firstLine="480"/>
        <w:rPr>
          <w:rFonts w:ascii="宋体" w:hAnsi="宋体" w:eastAsia="仿宋"/>
          <w:color w:val="auto"/>
          <w:sz w:val="24"/>
        </w:rPr>
      </w:pPr>
    </w:p>
    <w:bookmarkEnd w:id="6"/>
    <w:p w14:paraId="6886E524">
      <w:pPr>
        <w:pStyle w:val="4"/>
        <w:widowControl/>
        <w:snapToGrid w:val="0"/>
        <w:spacing w:line="360" w:lineRule="auto"/>
        <w:outlineLvl w:val="1"/>
        <w:rPr>
          <w:rStyle w:val="7"/>
          <w:rFonts w:hint="eastAsia" w:ascii="宋体" w:hAnsi="宋体" w:eastAsia="仿宋"/>
          <w:color w:val="auto"/>
          <w:sz w:val="24"/>
          <w:szCs w:val="24"/>
          <w:highlight w:val="none"/>
        </w:rPr>
      </w:pPr>
      <w:bookmarkStart w:id="7" w:name="_Toc445554749"/>
      <w:bookmarkStart w:id="8" w:name="_Toc455587275"/>
      <w:bookmarkStart w:id="9" w:name="_Toc466024558"/>
      <w:bookmarkStart w:id="10" w:name="_Toc455587091"/>
      <w:r>
        <w:rPr>
          <w:rStyle w:val="7"/>
          <w:rFonts w:hint="eastAsia" w:ascii="宋体" w:hAnsi="宋体" w:eastAsia="仿宋"/>
          <w:color w:val="auto"/>
          <w:sz w:val="24"/>
          <w:szCs w:val="24"/>
        </w:rPr>
        <w:t xml:space="preserve">4. </w:t>
      </w:r>
      <w:r>
        <w:rPr>
          <w:rStyle w:val="7"/>
          <w:rFonts w:hint="eastAsia" w:ascii="宋体" w:hAnsi="宋体" w:eastAsia="仿宋"/>
          <w:color w:val="auto"/>
          <w:sz w:val="24"/>
          <w:szCs w:val="24"/>
          <w:highlight w:val="none"/>
        </w:rPr>
        <w:t>技术要求</w:t>
      </w:r>
      <w:bookmarkEnd w:id="7"/>
      <w:bookmarkEnd w:id="8"/>
      <w:bookmarkEnd w:id="9"/>
      <w:bookmarkEnd w:id="10"/>
    </w:p>
    <w:p w14:paraId="29CAC4C2">
      <w:pPr>
        <w:pStyle w:val="4"/>
        <w:widowControl/>
        <w:snapToGrid w:val="0"/>
        <w:spacing w:line="360" w:lineRule="auto"/>
        <w:ind w:firstLine="482" w:firstLineChars="200"/>
        <w:rPr>
          <w:rFonts w:hint="eastAsia" w:hAnsi="宋体" w:eastAsia="仿宋"/>
          <w:b/>
          <w:bCs/>
          <w:color w:val="auto"/>
          <w:sz w:val="24"/>
          <w:szCs w:val="24"/>
          <w:highlight w:val="none"/>
        </w:rPr>
      </w:pPr>
      <w:r>
        <w:rPr>
          <w:rFonts w:hint="eastAsia" w:hAnsi="宋体" w:eastAsia="仿宋"/>
          <w:b/>
          <w:bCs/>
          <w:color w:val="auto"/>
          <w:sz w:val="24"/>
          <w:szCs w:val="24"/>
          <w:highlight w:val="none"/>
        </w:rPr>
        <w:t>符合国家及地方现行的相关行业标准。</w:t>
      </w:r>
      <w:r>
        <w:rPr>
          <w:rFonts w:hint="eastAsia" w:hAnsi="宋体" w:eastAsia="仿宋"/>
          <w:b/>
          <w:bCs/>
          <w:color w:val="auto"/>
          <w:sz w:val="24"/>
          <w:szCs w:val="24"/>
          <w:highlight w:val="none"/>
          <w:lang w:val="en-US" w:eastAsia="zh-CN"/>
        </w:rPr>
        <w:t>成交供应商</w:t>
      </w:r>
      <w:r>
        <w:rPr>
          <w:rFonts w:hint="eastAsia" w:hAnsi="宋体" w:eastAsia="仿宋"/>
          <w:b/>
          <w:bCs/>
          <w:color w:val="auto"/>
          <w:sz w:val="24"/>
          <w:szCs w:val="24"/>
          <w:highlight w:val="none"/>
        </w:rPr>
        <w:t>须提供正规合法发票，严格按图施工、采用符合国家标准材料；不以次充好，保证装修质量，按期施工，如出现上述问题，</w:t>
      </w:r>
      <w:r>
        <w:rPr>
          <w:rFonts w:hint="eastAsia" w:hAnsi="宋体" w:eastAsia="仿宋"/>
          <w:b/>
          <w:bCs/>
          <w:color w:val="auto"/>
          <w:sz w:val="24"/>
          <w:szCs w:val="24"/>
          <w:highlight w:val="none"/>
          <w:lang w:val="en-US" w:eastAsia="zh-CN"/>
        </w:rPr>
        <w:t>采购人</w:t>
      </w:r>
      <w:r>
        <w:rPr>
          <w:rFonts w:hint="eastAsia" w:hAnsi="宋体" w:eastAsia="仿宋"/>
          <w:b/>
          <w:bCs/>
          <w:color w:val="auto"/>
          <w:sz w:val="24"/>
          <w:szCs w:val="24"/>
          <w:highlight w:val="none"/>
        </w:rPr>
        <w:t>有权取消</w:t>
      </w:r>
      <w:r>
        <w:rPr>
          <w:rFonts w:hint="eastAsia" w:hAnsi="宋体" w:eastAsia="仿宋"/>
          <w:b/>
          <w:bCs/>
          <w:color w:val="auto"/>
          <w:sz w:val="24"/>
          <w:szCs w:val="24"/>
          <w:highlight w:val="none"/>
          <w:lang w:val="en-US" w:eastAsia="zh-CN"/>
        </w:rPr>
        <w:t>成交</w:t>
      </w:r>
      <w:r>
        <w:rPr>
          <w:rFonts w:hint="eastAsia" w:hAnsi="宋体" w:eastAsia="仿宋"/>
          <w:b/>
          <w:bCs/>
          <w:color w:val="auto"/>
          <w:sz w:val="24"/>
          <w:szCs w:val="24"/>
          <w:highlight w:val="none"/>
        </w:rPr>
        <w:t>资格。</w:t>
      </w:r>
    </w:p>
    <w:p w14:paraId="5C468A34">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报价要求</w:t>
      </w:r>
    </w:p>
    <w:p w14:paraId="2C2D10F3">
      <w:pPr>
        <w:pStyle w:val="4"/>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总价包干，供应商须自行考察现场。供应商应认真核对采购人提供的工程量清单，发现工程量存在项目划分误差、计量单位误差、数量误差、遗漏项目的，必须在采购文件规定的时间内向采购人提出异议或修正要求，否则采购人可不予答复，工程结算时不再调整；供应商应了解项目的实际情况与需求，并考虑一切风险后合理报价。</w:t>
      </w:r>
    </w:p>
    <w:p w14:paraId="3A097507">
      <w:pPr>
        <w:pStyle w:val="3"/>
        <w:rPr>
          <w:rFonts w:hint="eastAsia" w:ascii="仿宋" w:hAnsi="仿宋" w:eastAsia="仿宋" w:cs="仿宋"/>
          <w:color w:val="auto"/>
          <w:sz w:val="24"/>
          <w:szCs w:val="24"/>
          <w:highlight w:val="none"/>
        </w:rPr>
      </w:pPr>
      <w:bookmarkStart w:id="11" w:name="_Toc527541657"/>
      <w:r>
        <w:rPr>
          <w:rFonts w:hint="eastAsia" w:ascii="仿宋" w:hAnsi="仿宋" w:eastAsia="仿宋" w:cs="仿宋"/>
          <w:color w:val="auto"/>
          <w:sz w:val="24"/>
          <w:szCs w:val="24"/>
          <w:highlight w:val="none"/>
        </w:rPr>
        <w:t>6. 工程内容一览表</w:t>
      </w:r>
      <w:bookmarkEnd w:id="11"/>
    </w:p>
    <w:p w14:paraId="5217D7C1">
      <w:pPr>
        <w:ind w:firstLine="480" w:firstLineChars="200"/>
        <w:rPr>
          <w:rFonts w:ascii="仿宋" w:hAnsi="仿宋" w:eastAsia="仿宋" w:cs="仿宋"/>
          <w:color w:val="auto"/>
          <w:sz w:val="24"/>
        </w:rPr>
      </w:pPr>
      <w:r>
        <w:rPr>
          <w:rFonts w:hint="eastAsia" w:ascii="仿宋" w:hAnsi="仿宋" w:eastAsia="仿宋" w:cs="仿宋"/>
          <w:color w:val="auto"/>
          <w:sz w:val="24"/>
        </w:rPr>
        <w:t>详见工程量清单</w:t>
      </w:r>
    </w:p>
    <w:p w14:paraId="0B1E0D3D">
      <w:pPr>
        <w:pStyle w:val="3"/>
        <w:rPr>
          <w:rFonts w:hint="eastAsia" w:ascii="仿宋" w:hAnsi="仿宋" w:eastAsia="仿宋" w:cs="仿宋"/>
          <w:color w:val="auto"/>
          <w:sz w:val="24"/>
          <w:szCs w:val="24"/>
        </w:rPr>
      </w:pPr>
      <w:bookmarkStart w:id="12" w:name="_Toc512544437"/>
      <w:bookmarkStart w:id="13" w:name="_Toc517011817"/>
      <w:bookmarkStart w:id="14" w:name="_Toc493440979"/>
      <w:bookmarkStart w:id="15" w:name="_Toc525819970"/>
      <w:bookmarkStart w:id="16" w:name="_Toc493432674"/>
      <w:bookmarkStart w:id="17" w:name="_Toc493440811"/>
      <w:bookmarkStart w:id="18" w:name="_Toc515539875"/>
      <w:bookmarkStart w:id="19" w:name="_Toc512611692"/>
      <w:bookmarkStart w:id="20" w:name="_Toc527541659"/>
      <w:r>
        <w:rPr>
          <w:rFonts w:hint="eastAsia" w:ascii="仿宋" w:hAnsi="仿宋" w:eastAsia="仿宋" w:cs="仿宋"/>
          <w:color w:val="auto"/>
          <w:sz w:val="24"/>
          <w:szCs w:val="24"/>
        </w:rPr>
        <w:t xml:space="preserve">7. </w:t>
      </w:r>
      <w:bookmarkEnd w:id="12"/>
      <w:bookmarkEnd w:id="13"/>
      <w:bookmarkEnd w:id="14"/>
      <w:bookmarkEnd w:id="15"/>
      <w:bookmarkEnd w:id="16"/>
      <w:bookmarkEnd w:id="17"/>
      <w:bookmarkEnd w:id="18"/>
      <w:bookmarkEnd w:id="19"/>
      <w:r>
        <w:rPr>
          <w:rFonts w:hint="eastAsia" w:ascii="仿宋" w:hAnsi="仿宋" w:eastAsia="仿宋" w:cs="仿宋"/>
          <w:color w:val="auto"/>
          <w:sz w:val="24"/>
          <w:szCs w:val="24"/>
        </w:rPr>
        <w:t>图纸</w:t>
      </w:r>
      <w:bookmarkEnd w:id="20"/>
      <w:bookmarkStart w:id="21" w:name="_GoBack"/>
      <w:bookmarkEnd w:id="21"/>
    </w:p>
    <w:p w14:paraId="47B6B34F">
      <w:pPr>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详见</w:t>
      </w:r>
      <w:r>
        <w:rPr>
          <w:rFonts w:hint="eastAsia" w:ascii="仿宋" w:hAnsi="仿宋" w:eastAsia="仿宋" w:cs="仿宋"/>
          <w:color w:val="auto"/>
          <w:sz w:val="24"/>
          <w:lang w:val="en-US" w:eastAsia="zh-CN"/>
        </w:rPr>
        <w:t>图纸（如有）</w:t>
      </w:r>
    </w:p>
    <w:p w14:paraId="6455DE49">
      <w:pPr>
        <w:pStyle w:val="3"/>
        <w:numPr>
          <w:ilvl w:val="0"/>
          <w:numId w:val="1"/>
        </w:num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rPr>
        <w:t>其他</w:t>
      </w:r>
    </w:p>
    <w:p w14:paraId="028DCE26">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pPr>
      <w:r>
        <w:rPr>
          <w:rFonts w:hint="eastAsia" w:ascii="仿宋" w:hAnsi="仿宋" w:eastAsia="仿宋" w:cs="仿宋"/>
          <w:color w:val="auto"/>
          <w:sz w:val="24"/>
          <w:szCs w:val="24"/>
          <w:lang w:val="en-US" w:eastAsia="zh-CN"/>
        </w:rPr>
        <w:t>供应商必须对现场和其周围环境进行考察，以获取编制响应文件和签署实施工程合同所需的各项资料。供应商应对施工现场的位置、施工因素以及困难条件进行周密的踏勘和认真的分析研究，做出自己的判断和估价，并在响应时充分考虑上述因素。由于踏勘过程中所发生一切意外损失、损坏等费用，采购人不负任何责任。踏勘所发生的费用由供应商自行承担。成交供应商不得以不了解现场情况为由，提出任何形式增加工程价款或索赔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A287E"/>
    <w:multiLevelType w:val="singleLevel"/>
    <w:tmpl w:val="C01A287E"/>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23F21"/>
    <w:rsid w:val="17C0399D"/>
    <w:rsid w:val="497526AF"/>
    <w:rsid w:val="57223F21"/>
    <w:rsid w:val="7783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character" w:customStyle="1" w:styleId="7">
    <w:name w:val="标题 2 Char Char"/>
    <w:qFormat/>
    <w:uiPriority w:val="0"/>
    <w:rPr>
      <w:rFonts w:ascii="Arial" w:hAnsi="Arial" w:eastAsia="黑体" w:cs="Times New Roman"/>
      <w:b/>
      <w:bCs/>
      <w:kern w:val="2"/>
      <w:sz w:val="32"/>
      <w:szCs w:val="32"/>
      <w:lang w:val="en-US" w:eastAsia="zh-CN" w:bidi="ar-SA"/>
    </w:rPr>
  </w:style>
  <w:style w:type="paragraph" w:customStyle="1" w:styleId="8">
    <w:name w:val="列出段落1"/>
    <w:basedOn w:val="1"/>
    <w:qFormat/>
    <w:uiPriority w:val="0"/>
    <w:pPr>
      <w:ind w:firstLine="420" w:firstLineChars="200"/>
    </w:p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2025-07-24T12:07:00Z</dcterms:created>
  <dc:creator>校对-王兆峰</dc:creator>
  <cp:lastModifiedBy>校对-王兆峰</cp:lastModifiedBy>
  <dcterms:modified xsi:type="dcterms:W3CDTF">2025-07-24T12:11:37Z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B197F540E0474CE2BE6AC9B9D830D021_11</vt:lpwstr>
  </property>
  <property fmtid="{D5CDD505-2E9C-101B-9397-08002B2CF9AE}" pid="4" name="KSOTemplateDocerSaveRecord">
    <vt:lpwstr>eyJoZGlkIjoiMTNkOTgwYzRiMTU0NDFjYzdlMGY4NDI2MTRmM2NjMTUiLCJ1c2VySWQiOiIzOTY0MDU5NzUifQ==</vt:lpwstr>
  </property>
</Properties>
</file>