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3F2F3">
      <w:pPr>
        <w:spacing w:line="360" w:lineRule="auto"/>
        <w:jc w:val="center"/>
        <w:outlineLvl w:val="0"/>
        <w:rPr>
          <w:rFonts w:asciiTheme="minorEastAsia" w:hAnsiTheme="minorEastAsia" w:eastAsiaTheme="minorEastAsia"/>
          <w:b/>
          <w:color w:val="auto"/>
          <w:sz w:val="28"/>
        </w:rPr>
      </w:pPr>
      <w:bookmarkStart w:id="0" w:name="_Toc17037"/>
      <w:r>
        <w:rPr>
          <w:rFonts w:hint="eastAsia" w:asciiTheme="minorEastAsia" w:hAnsiTheme="minorEastAsia" w:eastAsiaTheme="minorEastAsia"/>
          <w:b/>
          <w:color w:val="auto"/>
          <w:sz w:val="28"/>
        </w:rPr>
        <w:t>第三章  采购需求</w:t>
      </w:r>
      <w:bookmarkEnd w:id="0"/>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6EBD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F0D75E4">
            <w:pPr>
              <w:spacing w:line="360" w:lineRule="auto"/>
              <w:jc w:val="center"/>
              <w:rPr>
                <w:rFonts w:hint="eastAsia" w:asciiTheme="minorEastAsia" w:hAnsiTheme="minorEastAsia" w:eastAsiaTheme="minorEastAsia" w:cstheme="minorEastAsia"/>
                <w:b/>
                <w:color w:val="auto"/>
                <w:kern w:val="2"/>
                <w:sz w:val="24"/>
                <w:szCs w:val="22"/>
              </w:rPr>
            </w:pPr>
            <w:r>
              <w:rPr>
                <w:rFonts w:hint="eastAsia" w:asciiTheme="minorEastAsia" w:hAnsiTheme="minorEastAsia" w:eastAsiaTheme="minorEastAsia" w:cstheme="minorEastAsia"/>
                <w:b/>
                <w:color w:val="auto"/>
                <w:kern w:val="2"/>
                <w:sz w:val="24"/>
                <w:szCs w:val="22"/>
              </w:rPr>
              <w:t>序号</w:t>
            </w:r>
          </w:p>
        </w:tc>
        <w:tc>
          <w:tcPr>
            <w:tcW w:w="1277" w:type="dxa"/>
            <w:vAlign w:val="center"/>
          </w:tcPr>
          <w:p w14:paraId="38334128">
            <w:pPr>
              <w:spacing w:line="360" w:lineRule="auto"/>
              <w:ind w:firstLine="435"/>
              <w:jc w:val="center"/>
              <w:rPr>
                <w:rFonts w:hint="eastAsia" w:asciiTheme="minorEastAsia" w:hAnsiTheme="minorEastAsia" w:eastAsiaTheme="minorEastAsia" w:cstheme="minorEastAsia"/>
                <w:b/>
                <w:color w:val="auto"/>
                <w:kern w:val="2"/>
                <w:sz w:val="24"/>
                <w:szCs w:val="22"/>
              </w:rPr>
            </w:pPr>
            <w:r>
              <w:rPr>
                <w:rFonts w:hint="eastAsia" w:asciiTheme="minorEastAsia" w:hAnsiTheme="minorEastAsia" w:eastAsiaTheme="minorEastAsia" w:cstheme="minorEastAsia"/>
                <w:b/>
                <w:color w:val="auto"/>
                <w:kern w:val="2"/>
                <w:sz w:val="24"/>
                <w:szCs w:val="22"/>
              </w:rPr>
              <w:t>内容</w:t>
            </w:r>
          </w:p>
        </w:tc>
        <w:tc>
          <w:tcPr>
            <w:tcW w:w="6287" w:type="dxa"/>
            <w:vAlign w:val="center"/>
          </w:tcPr>
          <w:p w14:paraId="179A6CC7">
            <w:pPr>
              <w:spacing w:line="360" w:lineRule="auto"/>
              <w:ind w:firstLine="435"/>
              <w:jc w:val="center"/>
              <w:rPr>
                <w:rFonts w:hint="eastAsia" w:asciiTheme="minorEastAsia" w:hAnsiTheme="minorEastAsia" w:eastAsiaTheme="minorEastAsia" w:cstheme="minorEastAsia"/>
                <w:b/>
                <w:color w:val="auto"/>
                <w:kern w:val="2"/>
                <w:sz w:val="24"/>
                <w:szCs w:val="22"/>
              </w:rPr>
            </w:pPr>
            <w:r>
              <w:rPr>
                <w:rFonts w:hint="eastAsia" w:asciiTheme="minorEastAsia" w:hAnsiTheme="minorEastAsia" w:eastAsiaTheme="minorEastAsia" w:cstheme="minorEastAsia"/>
                <w:b/>
                <w:color w:val="auto"/>
                <w:kern w:val="2"/>
                <w:sz w:val="24"/>
                <w:szCs w:val="22"/>
              </w:rPr>
              <w:t>说明和要求</w:t>
            </w:r>
          </w:p>
        </w:tc>
      </w:tr>
      <w:tr w14:paraId="6C8D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6C25DC3">
            <w:pPr>
              <w:spacing w:line="360" w:lineRule="auto"/>
              <w:jc w:val="center"/>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1</w:t>
            </w:r>
          </w:p>
        </w:tc>
        <w:tc>
          <w:tcPr>
            <w:tcW w:w="1277" w:type="dxa"/>
            <w:vAlign w:val="center"/>
          </w:tcPr>
          <w:p w14:paraId="3BCB2BB7">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人员到岗及履约要求</w:t>
            </w:r>
          </w:p>
        </w:tc>
        <w:tc>
          <w:tcPr>
            <w:tcW w:w="6287" w:type="dxa"/>
            <w:vAlign w:val="center"/>
          </w:tcPr>
          <w:p w14:paraId="6BD48E22">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1）供应商一旦成交，磋商时所报的本项目的项目经理、施工现场技术负责人、各专业负责工程师及施工机械等在整个项目施工期内必须在位，否则采购人有权解除合同。由此造成的损失，成交供应商自行承担并赔偿可能给采购人造成的损失。</w:t>
            </w:r>
          </w:p>
          <w:p w14:paraId="7716883B">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18746BC9">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3）成交供应商未能按照承诺到岗尽职的，采购人将视情况严重程度对其作出相应处理，并发出整改通知。如仍未及时整改，采购人有权责令其停工整改、直至解除合同，引进新的承包人。采购人还将停止支付工程款项，扣留任何未付的工程进度款项补偿建设单位的有关损失或工期延误的损失，并就此向承包人索赔。</w:t>
            </w:r>
          </w:p>
        </w:tc>
      </w:tr>
      <w:tr w14:paraId="75DB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7B31A9B">
            <w:pPr>
              <w:spacing w:line="360" w:lineRule="auto"/>
              <w:jc w:val="center"/>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2</w:t>
            </w:r>
          </w:p>
        </w:tc>
        <w:tc>
          <w:tcPr>
            <w:tcW w:w="1277" w:type="dxa"/>
            <w:vAlign w:val="center"/>
          </w:tcPr>
          <w:p w14:paraId="1E7580B8">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材料要求</w:t>
            </w:r>
          </w:p>
        </w:tc>
        <w:tc>
          <w:tcPr>
            <w:tcW w:w="6287" w:type="dxa"/>
            <w:vAlign w:val="center"/>
          </w:tcPr>
          <w:p w14:paraId="6F7E176C">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3D2A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CDB389B">
            <w:pPr>
              <w:spacing w:line="360" w:lineRule="auto"/>
              <w:jc w:val="center"/>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3</w:t>
            </w:r>
          </w:p>
        </w:tc>
        <w:tc>
          <w:tcPr>
            <w:tcW w:w="1277" w:type="dxa"/>
            <w:vAlign w:val="center"/>
          </w:tcPr>
          <w:p w14:paraId="75DFB2F2">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工程施工重点难点</w:t>
            </w:r>
          </w:p>
        </w:tc>
        <w:tc>
          <w:tcPr>
            <w:tcW w:w="6287" w:type="dxa"/>
            <w:vAlign w:val="center"/>
          </w:tcPr>
          <w:p w14:paraId="4CC74528">
            <w:pPr>
              <w:spacing w:line="360" w:lineRule="auto"/>
              <w:rPr>
                <w:rFonts w:hint="eastAsia" w:asciiTheme="minorEastAsia" w:hAnsiTheme="minorEastAsia" w:eastAsiaTheme="minorEastAsia" w:cstheme="minorEastAsia"/>
                <w:color w:val="auto"/>
                <w:kern w:val="2"/>
                <w:sz w:val="24"/>
                <w:szCs w:val="22"/>
                <w:lang w:eastAsia="zh-CN"/>
              </w:rPr>
            </w:pPr>
            <w:r>
              <w:rPr>
                <w:rFonts w:hint="eastAsia" w:asciiTheme="minorEastAsia" w:hAnsiTheme="minorEastAsia" w:eastAsiaTheme="minorEastAsia" w:cstheme="minorEastAsia"/>
                <w:color w:val="auto"/>
                <w:kern w:val="2"/>
                <w:sz w:val="24"/>
                <w:szCs w:val="22"/>
                <w:lang w:val="en-US" w:eastAsia="zh-CN"/>
              </w:rPr>
              <w:t>/</w:t>
            </w:r>
          </w:p>
        </w:tc>
      </w:tr>
      <w:tr w14:paraId="3E3B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D53D6A7">
            <w:pPr>
              <w:spacing w:line="360" w:lineRule="auto"/>
              <w:jc w:val="center"/>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4</w:t>
            </w:r>
          </w:p>
        </w:tc>
        <w:tc>
          <w:tcPr>
            <w:tcW w:w="1277" w:type="dxa"/>
            <w:vAlign w:val="center"/>
          </w:tcPr>
          <w:p w14:paraId="203460FA">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报价须知</w:t>
            </w:r>
          </w:p>
        </w:tc>
        <w:tc>
          <w:tcPr>
            <w:tcW w:w="6287" w:type="dxa"/>
            <w:vAlign w:val="center"/>
          </w:tcPr>
          <w:p w14:paraId="645BEDEC">
            <w:pPr>
              <w:spacing w:line="360" w:lineRule="auto"/>
              <w:rPr>
                <w:rFonts w:hint="eastAsia" w:asciiTheme="minorEastAsia" w:hAnsiTheme="minorEastAsia" w:eastAsiaTheme="minorEastAsia" w:cstheme="minorEastAsia"/>
                <w:color w:val="auto"/>
                <w:kern w:val="2"/>
                <w:sz w:val="21"/>
                <w:szCs w:val="22"/>
              </w:rPr>
            </w:pPr>
            <w:r>
              <w:rPr>
                <w:rFonts w:hint="eastAsia" w:asciiTheme="minorEastAsia" w:hAnsiTheme="minorEastAsia" w:eastAsiaTheme="minorEastAsia" w:cstheme="minorEastAsia"/>
                <w:color w:val="auto"/>
                <w:kern w:val="2"/>
                <w:sz w:val="24"/>
                <w:szCs w:val="22"/>
              </w:rPr>
              <w:t>供应商最后报价均不得高于磋商文件（公告）列明的项目预算、最高限价，否则其响应文件将被认定为响应无效。</w:t>
            </w:r>
          </w:p>
        </w:tc>
      </w:tr>
      <w:tr w14:paraId="6B0E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B09C297">
            <w:pPr>
              <w:spacing w:line="360" w:lineRule="auto"/>
              <w:jc w:val="center"/>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5</w:t>
            </w:r>
          </w:p>
        </w:tc>
        <w:tc>
          <w:tcPr>
            <w:tcW w:w="1277" w:type="dxa"/>
            <w:vAlign w:val="center"/>
          </w:tcPr>
          <w:p w14:paraId="40A82916">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重要说明</w:t>
            </w:r>
          </w:p>
        </w:tc>
        <w:tc>
          <w:tcPr>
            <w:tcW w:w="6287" w:type="dxa"/>
            <w:vAlign w:val="center"/>
          </w:tcPr>
          <w:p w14:paraId="2801E633">
            <w:pPr>
              <w:spacing w:line="360" w:lineRule="auto"/>
              <w:rPr>
                <w:rFonts w:hint="eastAsia" w:asciiTheme="minorEastAsia" w:hAnsiTheme="minorEastAsia" w:eastAsiaTheme="minorEastAsia" w:cstheme="minorEastAsia"/>
                <w:color w:val="auto"/>
                <w:kern w:val="2"/>
                <w:sz w:val="24"/>
                <w:szCs w:val="18"/>
              </w:rPr>
            </w:pPr>
            <w:bookmarkStart w:id="1" w:name="OLE_LINK3"/>
            <w:r>
              <w:rPr>
                <w:rFonts w:hint="eastAsia" w:asciiTheme="minorEastAsia" w:hAnsiTheme="minorEastAsia" w:eastAsiaTheme="minorEastAsia" w:cstheme="minorEastAsia"/>
                <w:color w:val="auto"/>
                <w:kern w:val="2"/>
                <w:sz w:val="24"/>
                <w:szCs w:val="24"/>
              </w:rPr>
              <w:t>政府采购政策（包括但不限于下列具体政策要求）</w:t>
            </w:r>
            <w:r>
              <w:rPr>
                <w:rFonts w:hint="eastAsia" w:asciiTheme="minorEastAsia" w:hAnsiTheme="minorEastAsia" w:eastAsiaTheme="minorEastAsia" w:cstheme="minorEastAsia"/>
                <w:color w:val="auto"/>
                <w:kern w:val="2"/>
                <w:sz w:val="24"/>
                <w:szCs w:val="18"/>
              </w:rPr>
              <w:t>：</w:t>
            </w:r>
          </w:p>
          <w:p w14:paraId="583DD97B">
            <w:pPr>
              <w:spacing w:line="360" w:lineRule="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75D4E6AF">
            <w:pPr>
              <w:spacing w:line="360" w:lineRule="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D742CE2">
            <w:pPr>
              <w:spacing w:line="360" w:lineRule="auto"/>
              <w:rPr>
                <w:rFonts w:hint="eastAsia" w:asciiTheme="minorEastAsia" w:hAnsiTheme="minorEastAsia" w:eastAsiaTheme="minorEastAsia" w:cstheme="minorEastAsia"/>
                <w:color w:val="auto"/>
                <w:kern w:val="2"/>
                <w:sz w:val="24"/>
                <w:szCs w:val="22"/>
                <w:lang w:val="en-US" w:eastAsia="zh-CN"/>
              </w:rPr>
            </w:pPr>
            <w:bookmarkStart w:id="2" w:name="OLE_LINK5"/>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3</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2"/>
                <w:lang w:val="en-US"/>
              </w:rPr>
              <w:t>根据《关于进一步做好政府采购支持绿色建材促进建筑品质提升相关工作的通知》（</w:t>
            </w:r>
            <w:r>
              <w:rPr>
                <w:rFonts w:hint="eastAsia" w:asciiTheme="minorEastAsia" w:hAnsiTheme="minorEastAsia" w:eastAsiaTheme="minorEastAsia" w:cstheme="minorEastAsia"/>
                <w:color w:val="auto"/>
                <w:kern w:val="2"/>
                <w:sz w:val="24"/>
                <w:szCs w:val="22"/>
              </w:rPr>
              <w:t>合财购〔2025〕167号</w:t>
            </w:r>
            <w:r>
              <w:rPr>
                <w:rFonts w:hint="eastAsia" w:asciiTheme="minorEastAsia" w:hAnsiTheme="minorEastAsia" w:eastAsiaTheme="minorEastAsia" w:cstheme="minorEastAsia"/>
                <w:color w:val="auto"/>
                <w:kern w:val="2"/>
                <w:sz w:val="24"/>
                <w:szCs w:val="22"/>
                <w:lang w:val="en-US"/>
              </w:rPr>
              <w:t>）、《</w:t>
            </w:r>
            <w:r>
              <w:rPr>
                <w:rFonts w:hint="eastAsia" w:asciiTheme="minorEastAsia" w:hAnsiTheme="minorEastAsia" w:eastAsiaTheme="minorEastAsia" w:cstheme="minorEastAsia"/>
                <w:color w:val="auto"/>
                <w:kern w:val="2"/>
                <w:sz w:val="24"/>
                <w:szCs w:val="22"/>
              </w:rPr>
              <w:t>合肥市政府采购支持绿色建材促进建筑品质提升试点实施方案</w:t>
            </w:r>
            <w:r>
              <w:rPr>
                <w:rFonts w:hint="eastAsia" w:asciiTheme="minorEastAsia" w:hAnsiTheme="minorEastAsia" w:eastAsiaTheme="minorEastAsia" w:cstheme="minorEastAsia"/>
                <w:color w:val="auto"/>
                <w:kern w:val="2"/>
                <w:sz w:val="24"/>
                <w:szCs w:val="22"/>
                <w:lang w:val="en-US"/>
              </w:rPr>
              <w:t>》，属于实施范围内的政府采购工程项目，</w:t>
            </w:r>
            <w:r>
              <w:rPr>
                <w:rFonts w:hint="eastAsia" w:asciiTheme="minorEastAsia" w:hAnsiTheme="minorEastAsia" w:eastAsiaTheme="minorEastAsia" w:cstheme="minorEastAsia"/>
                <w:color w:val="auto"/>
                <w:kern w:val="2"/>
                <w:sz w:val="24"/>
                <w:szCs w:val="22"/>
              </w:rPr>
              <w:t>应</w:t>
            </w:r>
            <w:r>
              <w:rPr>
                <w:rFonts w:hint="eastAsia" w:asciiTheme="minorEastAsia" w:hAnsiTheme="minorEastAsia" w:eastAsiaTheme="minorEastAsia" w:cstheme="minorEastAsia"/>
                <w:color w:val="auto"/>
                <w:kern w:val="2"/>
                <w:sz w:val="24"/>
                <w:szCs w:val="22"/>
                <w:lang w:val="en-US"/>
              </w:rPr>
              <w:t>按照</w:t>
            </w:r>
            <w:r>
              <w:rPr>
                <w:rFonts w:hint="eastAsia" w:asciiTheme="minorEastAsia" w:hAnsiTheme="minorEastAsia" w:eastAsiaTheme="minorEastAsia" w:cstheme="minorEastAsia"/>
                <w:color w:val="auto"/>
                <w:kern w:val="2"/>
                <w:sz w:val="24"/>
                <w:szCs w:val="22"/>
              </w:rPr>
              <w:t>财政部、住建部、工信部联合印发的《绿色建筑和绿色建材政府采购需求标准》</w:t>
            </w:r>
            <w:r>
              <w:rPr>
                <w:rFonts w:hint="eastAsia" w:asciiTheme="minorEastAsia" w:hAnsiTheme="minorEastAsia" w:eastAsiaTheme="minorEastAsia" w:cstheme="minorEastAsia"/>
                <w:color w:val="auto"/>
                <w:kern w:val="2"/>
                <w:sz w:val="24"/>
                <w:szCs w:val="22"/>
                <w:lang w:val="en-US"/>
              </w:rPr>
              <w:t>和</w:t>
            </w:r>
            <w:r>
              <w:rPr>
                <w:rFonts w:hint="eastAsia" w:asciiTheme="minorEastAsia" w:hAnsiTheme="minorEastAsia" w:eastAsiaTheme="minorEastAsia" w:cstheme="minorEastAsia"/>
                <w:color w:val="auto"/>
                <w:kern w:val="2"/>
                <w:sz w:val="24"/>
                <w:szCs w:val="22"/>
              </w:rPr>
              <w:t>《政府采购支持绿色建材促进建筑品质提升政策项目实施指南》</w:t>
            </w:r>
            <w:r>
              <w:rPr>
                <w:rFonts w:hint="eastAsia" w:asciiTheme="minorEastAsia" w:hAnsiTheme="minorEastAsia" w:eastAsiaTheme="minorEastAsia" w:cstheme="minorEastAsia"/>
                <w:color w:val="auto"/>
                <w:kern w:val="2"/>
                <w:sz w:val="24"/>
                <w:szCs w:val="22"/>
                <w:lang w:val="en-US"/>
              </w:rPr>
              <w:t>应</w:t>
            </w:r>
            <w:r>
              <w:rPr>
                <w:rFonts w:hint="eastAsia" w:asciiTheme="minorEastAsia" w:hAnsiTheme="minorEastAsia" w:eastAsiaTheme="minorEastAsia" w:cstheme="minorEastAsia"/>
                <w:color w:val="auto"/>
                <w:kern w:val="2"/>
                <w:sz w:val="24"/>
                <w:szCs w:val="22"/>
              </w:rPr>
              <w:t>用绿色建筑和绿色建材</w:t>
            </w:r>
            <w:r>
              <w:rPr>
                <w:rFonts w:hint="eastAsia" w:asciiTheme="minorEastAsia" w:hAnsiTheme="minorEastAsia" w:eastAsiaTheme="minorEastAsia" w:cstheme="minorEastAsia"/>
                <w:color w:val="auto"/>
                <w:kern w:val="2"/>
                <w:sz w:val="24"/>
                <w:szCs w:val="24"/>
                <w:lang w:val="en-US" w:eastAsia="zh-CN"/>
              </w:rPr>
              <w:t>。</w:t>
            </w:r>
            <w:bookmarkEnd w:id="1"/>
            <w:bookmarkEnd w:id="2"/>
          </w:p>
        </w:tc>
      </w:tr>
      <w:tr w14:paraId="0682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1B0F8A9">
            <w:pPr>
              <w:spacing w:line="360" w:lineRule="auto"/>
              <w:jc w:val="center"/>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6</w:t>
            </w:r>
          </w:p>
        </w:tc>
        <w:tc>
          <w:tcPr>
            <w:tcW w:w="1277" w:type="dxa"/>
            <w:vAlign w:val="center"/>
          </w:tcPr>
          <w:p w14:paraId="28550CB5">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项目经理、设计负责人、施工负责人</w:t>
            </w:r>
          </w:p>
        </w:tc>
        <w:tc>
          <w:tcPr>
            <w:tcW w:w="6287" w:type="dxa"/>
            <w:vAlign w:val="center"/>
          </w:tcPr>
          <w:p w14:paraId="3CDD0928">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lang w:eastAsia="zh-CN"/>
              </w:rPr>
              <w:t>（</w:t>
            </w:r>
            <w:r>
              <w:rPr>
                <w:rFonts w:hint="eastAsia" w:asciiTheme="minorEastAsia" w:hAnsiTheme="minorEastAsia" w:eastAsiaTheme="minorEastAsia" w:cstheme="minorEastAsia"/>
                <w:color w:val="auto"/>
                <w:kern w:val="2"/>
                <w:sz w:val="24"/>
                <w:szCs w:val="22"/>
                <w:lang w:val="en-US" w:eastAsia="zh-CN"/>
              </w:rPr>
              <w:t>1</w:t>
            </w:r>
            <w:r>
              <w:rPr>
                <w:rFonts w:hint="eastAsia" w:asciiTheme="minorEastAsia" w:hAnsiTheme="minorEastAsia" w:eastAsiaTheme="minorEastAsia" w:cstheme="minorEastAsia"/>
                <w:color w:val="auto"/>
                <w:kern w:val="2"/>
                <w:sz w:val="24"/>
                <w:szCs w:val="22"/>
                <w:lang w:eastAsia="zh-CN"/>
              </w:rPr>
              <w:t>）</w:t>
            </w:r>
            <w:r>
              <w:rPr>
                <w:rFonts w:hint="eastAsia" w:asciiTheme="minorEastAsia" w:hAnsiTheme="minorEastAsia" w:eastAsiaTheme="minorEastAsia" w:cstheme="minorEastAsia"/>
                <w:color w:val="auto"/>
                <w:kern w:val="2"/>
                <w:sz w:val="24"/>
                <w:szCs w:val="22"/>
              </w:rPr>
              <w:t>符合竞争性磋商公告中“项目经理、设计负责人、施工负责人资格要求”</w:t>
            </w:r>
            <w:r>
              <w:rPr>
                <w:rFonts w:hint="eastAsia" w:asciiTheme="minorEastAsia" w:hAnsiTheme="minorEastAsia" w:eastAsiaTheme="minorEastAsia" w:cstheme="minorEastAsia"/>
                <w:color w:val="auto"/>
                <w:kern w:val="2"/>
                <w:sz w:val="24"/>
                <w:szCs w:val="22"/>
                <w:lang w:eastAsia="zh-CN"/>
              </w:rPr>
              <w:t>，</w:t>
            </w:r>
            <w:r>
              <w:rPr>
                <w:rFonts w:hint="eastAsia" w:ascii="Times New Roman" w:hAnsi="Times New Roman" w:cs="楷体"/>
                <w:bCs/>
                <w:snapToGrid w:val="0"/>
                <w:color w:val="auto"/>
                <w:kern w:val="0"/>
                <w:sz w:val="24"/>
                <w:szCs w:val="24"/>
              </w:rPr>
              <w:t>且必须是本单位人员（</w:t>
            </w:r>
            <w:r>
              <w:rPr>
                <w:rFonts w:hint="eastAsia" w:asciiTheme="minorEastAsia" w:hAnsiTheme="minorEastAsia" w:eastAsiaTheme="minorEastAsia" w:cstheme="minorEastAsia"/>
                <w:color w:val="auto"/>
                <w:kern w:val="2"/>
                <w:sz w:val="24"/>
                <w:szCs w:val="22"/>
              </w:rPr>
              <w:t>竞争性磋商公告</w:t>
            </w:r>
            <w:r>
              <w:rPr>
                <w:rFonts w:hint="eastAsia" w:ascii="Times New Roman" w:hAnsi="Times New Roman" w:cs="楷体"/>
                <w:bCs/>
                <w:snapToGrid w:val="0"/>
                <w:color w:val="auto"/>
                <w:kern w:val="0"/>
                <w:sz w:val="24"/>
                <w:szCs w:val="24"/>
              </w:rPr>
              <w:t>中要求的注册证书注册单位应当与</w:t>
            </w:r>
            <w:r>
              <w:rPr>
                <w:rFonts w:hint="eastAsia" w:ascii="Times New Roman" w:hAnsi="Times New Roman" w:cs="楷体"/>
                <w:bCs/>
                <w:snapToGrid w:val="0"/>
                <w:color w:val="auto"/>
                <w:kern w:val="0"/>
                <w:sz w:val="24"/>
                <w:szCs w:val="24"/>
                <w:lang w:val="en-US" w:eastAsia="zh-CN"/>
              </w:rPr>
              <w:t>供应商</w:t>
            </w:r>
            <w:r>
              <w:rPr>
                <w:rFonts w:hint="eastAsia" w:ascii="Times New Roman" w:hAnsi="Times New Roman" w:cs="楷体"/>
                <w:bCs/>
                <w:snapToGrid w:val="0"/>
                <w:color w:val="auto"/>
                <w:kern w:val="0"/>
                <w:sz w:val="24"/>
                <w:szCs w:val="24"/>
              </w:rPr>
              <w:t>名称一致）</w:t>
            </w:r>
            <w:r>
              <w:rPr>
                <w:rFonts w:hint="eastAsia" w:asciiTheme="minorEastAsia" w:hAnsiTheme="minorEastAsia" w:eastAsiaTheme="minorEastAsia" w:cstheme="minorEastAsia"/>
                <w:color w:val="auto"/>
                <w:kern w:val="2"/>
                <w:sz w:val="24"/>
                <w:szCs w:val="22"/>
              </w:rPr>
              <w:t>。</w:t>
            </w:r>
          </w:p>
          <w:p w14:paraId="2A98DB98">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lang w:eastAsia="zh-CN"/>
              </w:rPr>
              <w:t>（</w:t>
            </w:r>
            <w:r>
              <w:rPr>
                <w:rFonts w:hint="eastAsia" w:asciiTheme="minorEastAsia" w:hAnsiTheme="minorEastAsia" w:eastAsiaTheme="minorEastAsia" w:cstheme="minorEastAsia"/>
                <w:color w:val="auto"/>
                <w:kern w:val="2"/>
                <w:sz w:val="24"/>
                <w:szCs w:val="22"/>
                <w:lang w:val="en-US" w:eastAsia="zh-CN"/>
              </w:rPr>
              <w:t>2</w:t>
            </w:r>
            <w:r>
              <w:rPr>
                <w:rFonts w:hint="eastAsia" w:asciiTheme="minorEastAsia" w:hAnsiTheme="minorEastAsia" w:eastAsiaTheme="minorEastAsia" w:cstheme="minorEastAsia"/>
                <w:color w:val="auto"/>
                <w:kern w:val="2"/>
                <w:sz w:val="24"/>
                <w:szCs w:val="22"/>
                <w:lang w:eastAsia="zh-CN"/>
              </w:rPr>
              <w:t>）</w:t>
            </w:r>
            <w:r>
              <w:rPr>
                <w:rFonts w:hint="eastAsia" w:asciiTheme="minorEastAsia" w:hAnsiTheme="minorEastAsia" w:eastAsiaTheme="minorEastAsia" w:cstheme="minorEastAsia"/>
                <w:color w:val="auto"/>
                <w:kern w:val="2"/>
                <w:sz w:val="24"/>
                <w:szCs w:val="22"/>
                <w:lang w:val="en-US" w:eastAsia="zh-CN"/>
              </w:rPr>
              <w:t>项目经理不得同时在两个或者两个以上工程项目担任工程总承包项目经理、施工项目负责人</w:t>
            </w:r>
            <w:r>
              <w:rPr>
                <w:rFonts w:hint="eastAsia" w:asciiTheme="minorEastAsia" w:hAnsiTheme="minorEastAsia" w:eastAsiaTheme="minorEastAsia" w:cstheme="minorEastAsia"/>
                <w:color w:val="auto"/>
                <w:kern w:val="2"/>
                <w:sz w:val="24"/>
                <w:szCs w:val="22"/>
              </w:rPr>
              <w:t>，以下情形除外：</w:t>
            </w:r>
          </w:p>
          <w:p w14:paraId="276866E2">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fldChar w:fldCharType="begin"/>
            </w:r>
            <w:r>
              <w:rPr>
                <w:rFonts w:hint="eastAsia" w:asciiTheme="minorEastAsia" w:hAnsiTheme="minorEastAsia" w:eastAsiaTheme="minorEastAsia" w:cstheme="minorEastAsia"/>
                <w:color w:val="auto"/>
                <w:kern w:val="2"/>
                <w:sz w:val="24"/>
                <w:szCs w:val="22"/>
              </w:rPr>
              <w:instrText xml:space="preserve"> = 1 \* GB3 \* MERGEFORMAT </w:instrText>
            </w:r>
            <w:r>
              <w:rPr>
                <w:rFonts w:hint="eastAsia" w:asciiTheme="minorEastAsia" w:hAnsiTheme="minorEastAsia" w:eastAsiaTheme="minorEastAsia" w:cstheme="minorEastAsia"/>
                <w:color w:val="auto"/>
                <w:kern w:val="2"/>
                <w:sz w:val="24"/>
                <w:szCs w:val="22"/>
              </w:rPr>
              <w:fldChar w:fldCharType="separate"/>
            </w:r>
            <w:r>
              <w:rPr>
                <w:rFonts w:hint="eastAsia" w:asciiTheme="minorEastAsia" w:hAnsiTheme="minorEastAsia" w:eastAsiaTheme="minorEastAsia" w:cstheme="minorEastAsia"/>
                <w:color w:val="auto"/>
                <w:kern w:val="2"/>
                <w:sz w:val="24"/>
                <w:szCs w:val="22"/>
              </w:rPr>
              <w:t>①</w:t>
            </w:r>
            <w:r>
              <w:rPr>
                <w:rFonts w:hint="eastAsia" w:asciiTheme="minorEastAsia" w:hAnsiTheme="minorEastAsia" w:eastAsiaTheme="minorEastAsia" w:cstheme="minorEastAsia"/>
                <w:color w:val="auto"/>
                <w:kern w:val="2"/>
                <w:sz w:val="24"/>
                <w:szCs w:val="22"/>
              </w:rPr>
              <w:fldChar w:fldCharType="end"/>
            </w:r>
            <w:r>
              <w:rPr>
                <w:rFonts w:hint="eastAsia" w:asciiTheme="minorEastAsia" w:hAnsiTheme="minorEastAsia" w:eastAsiaTheme="minorEastAsia" w:cstheme="minorEastAsia"/>
                <w:color w:val="auto"/>
                <w:kern w:val="2"/>
                <w:sz w:val="24"/>
                <w:szCs w:val="22"/>
              </w:rPr>
              <w:t>法定情形；</w:t>
            </w:r>
          </w:p>
          <w:p w14:paraId="6B7C0DD7">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fldChar w:fldCharType="begin"/>
            </w:r>
            <w:r>
              <w:rPr>
                <w:rFonts w:hint="eastAsia" w:asciiTheme="minorEastAsia" w:hAnsiTheme="minorEastAsia" w:eastAsiaTheme="minorEastAsia" w:cstheme="minorEastAsia"/>
                <w:color w:val="auto"/>
                <w:kern w:val="2"/>
                <w:sz w:val="24"/>
                <w:szCs w:val="22"/>
              </w:rPr>
              <w:instrText xml:space="preserve"> = 2 \* GB3 \* MERGEFORMAT </w:instrText>
            </w:r>
            <w:r>
              <w:rPr>
                <w:rFonts w:hint="eastAsia" w:asciiTheme="minorEastAsia" w:hAnsiTheme="minorEastAsia" w:eastAsiaTheme="minorEastAsia" w:cstheme="minorEastAsia"/>
                <w:color w:val="auto"/>
                <w:kern w:val="2"/>
                <w:sz w:val="24"/>
                <w:szCs w:val="22"/>
              </w:rPr>
              <w:fldChar w:fldCharType="separate"/>
            </w:r>
            <w:r>
              <w:rPr>
                <w:rFonts w:hint="eastAsia" w:asciiTheme="minorEastAsia" w:hAnsiTheme="minorEastAsia" w:eastAsiaTheme="minorEastAsia" w:cstheme="minorEastAsia"/>
                <w:color w:val="auto"/>
                <w:kern w:val="2"/>
                <w:sz w:val="24"/>
                <w:szCs w:val="22"/>
              </w:rPr>
              <w:t>②</w:t>
            </w:r>
            <w:r>
              <w:rPr>
                <w:rFonts w:hint="eastAsia" w:asciiTheme="minorEastAsia" w:hAnsiTheme="minorEastAsia" w:eastAsiaTheme="minorEastAsia" w:cstheme="minorEastAsia"/>
                <w:color w:val="auto"/>
                <w:kern w:val="2"/>
                <w:sz w:val="24"/>
                <w:szCs w:val="22"/>
              </w:rPr>
              <w:fldChar w:fldCharType="end"/>
            </w:r>
            <w:r>
              <w:rPr>
                <w:rFonts w:hint="eastAsia" w:asciiTheme="minorEastAsia" w:hAnsiTheme="minorEastAsia" w:eastAsiaTheme="minorEastAsia" w:cstheme="minorEastAsia"/>
                <w:color w:val="auto"/>
                <w:kern w:val="2"/>
                <w:sz w:val="24"/>
                <w:szCs w:val="22"/>
              </w:rPr>
              <w:t>虽在其他项目上担任</w:t>
            </w:r>
            <w:r>
              <w:rPr>
                <w:rFonts w:hint="eastAsia" w:asciiTheme="minorEastAsia" w:hAnsiTheme="minorEastAsia" w:eastAsiaTheme="minorEastAsia" w:cstheme="minorEastAsia"/>
                <w:color w:val="auto"/>
                <w:kern w:val="2"/>
                <w:sz w:val="24"/>
                <w:szCs w:val="22"/>
                <w:lang w:val="en-US" w:eastAsia="zh-CN"/>
              </w:rPr>
              <w:t>工程总承包项目经理或施工项目负责人</w:t>
            </w:r>
            <w:r>
              <w:rPr>
                <w:rFonts w:hint="eastAsia" w:asciiTheme="minorEastAsia" w:hAnsiTheme="minorEastAsia" w:eastAsiaTheme="minorEastAsia" w:cstheme="minorEastAsia"/>
                <w:color w:val="auto"/>
                <w:kern w:val="2"/>
                <w:sz w:val="24"/>
                <w:szCs w:val="22"/>
              </w:rPr>
              <w:t>岗位，但承诺在本项目成交后合同签订前能够从其他项目变更至本项目并全面履约。</w:t>
            </w:r>
          </w:p>
          <w:p w14:paraId="263B2989">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lang w:eastAsia="zh-CN"/>
              </w:rPr>
              <w:t>（</w:t>
            </w:r>
            <w:r>
              <w:rPr>
                <w:rFonts w:hint="eastAsia" w:asciiTheme="minorEastAsia" w:hAnsiTheme="minorEastAsia" w:eastAsiaTheme="minorEastAsia" w:cstheme="minorEastAsia"/>
                <w:color w:val="auto"/>
                <w:kern w:val="2"/>
                <w:sz w:val="24"/>
                <w:szCs w:val="22"/>
                <w:lang w:val="en-US" w:eastAsia="zh-CN"/>
              </w:rPr>
              <w:t>3</w:t>
            </w:r>
            <w:r>
              <w:rPr>
                <w:rFonts w:hint="eastAsia" w:asciiTheme="minorEastAsia" w:hAnsiTheme="minorEastAsia" w:eastAsiaTheme="minorEastAsia" w:cstheme="minorEastAsia"/>
                <w:color w:val="auto"/>
                <w:kern w:val="2"/>
                <w:sz w:val="24"/>
                <w:szCs w:val="22"/>
                <w:lang w:eastAsia="zh-CN"/>
              </w:rPr>
              <w:t>）施工负责人</w:t>
            </w:r>
            <w:r>
              <w:rPr>
                <w:rFonts w:hint="eastAsia" w:asciiTheme="minorEastAsia" w:hAnsiTheme="minorEastAsia" w:eastAsiaTheme="minorEastAsia" w:cstheme="minorEastAsia"/>
                <w:color w:val="auto"/>
                <w:kern w:val="2"/>
                <w:sz w:val="24"/>
                <w:szCs w:val="22"/>
              </w:rPr>
              <w:t>不得同时担任两个及以上建设工程施工项目经理，以下情形除外：</w:t>
            </w:r>
          </w:p>
          <w:p w14:paraId="44D0CAFB">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fldChar w:fldCharType="begin"/>
            </w:r>
            <w:r>
              <w:rPr>
                <w:rFonts w:hint="eastAsia" w:asciiTheme="minorEastAsia" w:hAnsiTheme="minorEastAsia" w:eastAsiaTheme="minorEastAsia" w:cstheme="minorEastAsia"/>
                <w:color w:val="auto"/>
                <w:kern w:val="2"/>
                <w:sz w:val="24"/>
                <w:szCs w:val="22"/>
              </w:rPr>
              <w:instrText xml:space="preserve"> = 1 \* GB3 \* MERGEFORMAT </w:instrText>
            </w:r>
            <w:r>
              <w:rPr>
                <w:rFonts w:hint="eastAsia" w:asciiTheme="minorEastAsia" w:hAnsiTheme="minorEastAsia" w:eastAsiaTheme="minorEastAsia" w:cstheme="minorEastAsia"/>
                <w:color w:val="auto"/>
                <w:kern w:val="2"/>
                <w:sz w:val="24"/>
                <w:szCs w:val="22"/>
              </w:rPr>
              <w:fldChar w:fldCharType="separate"/>
            </w:r>
            <w:r>
              <w:rPr>
                <w:rFonts w:hint="eastAsia" w:asciiTheme="minorEastAsia" w:hAnsiTheme="minorEastAsia" w:eastAsiaTheme="minorEastAsia" w:cstheme="minorEastAsia"/>
                <w:color w:val="auto"/>
                <w:kern w:val="2"/>
                <w:sz w:val="24"/>
                <w:szCs w:val="22"/>
              </w:rPr>
              <w:t>①</w:t>
            </w:r>
            <w:r>
              <w:rPr>
                <w:rFonts w:hint="eastAsia" w:asciiTheme="minorEastAsia" w:hAnsiTheme="minorEastAsia" w:eastAsiaTheme="minorEastAsia" w:cstheme="minorEastAsia"/>
                <w:color w:val="auto"/>
                <w:kern w:val="2"/>
                <w:sz w:val="24"/>
                <w:szCs w:val="22"/>
              </w:rPr>
              <w:fldChar w:fldCharType="end"/>
            </w:r>
            <w:r>
              <w:rPr>
                <w:rFonts w:hint="eastAsia" w:asciiTheme="minorEastAsia" w:hAnsiTheme="minorEastAsia" w:eastAsiaTheme="minorEastAsia" w:cstheme="minorEastAsia"/>
                <w:color w:val="auto"/>
                <w:kern w:val="2"/>
                <w:sz w:val="24"/>
                <w:szCs w:val="22"/>
              </w:rPr>
              <w:t>法定情形；</w:t>
            </w:r>
          </w:p>
          <w:p w14:paraId="417C8F50">
            <w:pPr>
              <w:spacing w:line="360" w:lineRule="auto"/>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fldChar w:fldCharType="begin"/>
            </w:r>
            <w:r>
              <w:rPr>
                <w:rFonts w:hint="eastAsia" w:asciiTheme="minorEastAsia" w:hAnsiTheme="minorEastAsia" w:eastAsiaTheme="minorEastAsia" w:cstheme="minorEastAsia"/>
                <w:color w:val="auto"/>
                <w:kern w:val="2"/>
                <w:sz w:val="24"/>
                <w:szCs w:val="22"/>
              </w:rPr>
              <w:instrText xml:space="preserve"> = 2 \* GB3 \* MERGEFORMAT </w:instrText>
            </w:r>
            <w:r>
              <w:rPr>
                <w:rFonts w:hint="eastAsia" w:asciiTheme="minorEastAsia" w:hAnsiTheme="minorEastAsia" w:eastAsiaTheme="minorEastAsia" w:cstheme="minorEastAsia"/>
                <w:color w:val="auto"/>
                <w:kern w:val="2"/>
                <w:sz w:val="24"/>
                <w:szCs w:val="22"/>
              </w:rPr>
              <w:fldChar w:fldCharType="separate"/>
            </w:r>
            <w:r>
              <w:rPr>
                <w:rFonts w:hint="eastAsia" w:asciiTheme="minorEastAsia" w:hAnsiTheme="minorEastAsia" w:eastAsiaTheme="minorEastAsia" w:cstheme="minorEastAsia"/>
                <w:color w:val="auto"/>
                <w:kern w:val="2"/>
                <w:sz w:val="24"/>
                <w:szCs w:val="22"/>
              </w:rPr>
              <w:t>②</w:t>
            </w:r>
            <w:r>
              <w:rPr>
                <w:rFonts w:hint="eastAsia" w:asciiTheme="minorEastAsia" w:hAnsiTheme="minorEastAsia" w:eastAsiaTheme="minorEastAsia" w:cstheme="minorEastAsia"/>
                <w:color w:val="auto"/>
                <w:kern w:val="2"/>
                <w:sz w:val="24"/>
                <w:szCs w:val="22"/>
              </w:rPr>
              <w:fldChar w:fldCharType="end"/>
            </w:r>
            <w:r>
              <w:rPr>
                <w:rFonts w:hint="eastAsia" w:asciiTheme="minorEastAsia" w:hAnsiTheme="minorEastAsia" w:eastAsiaTheme="minorEastAsia" w:cstheme="minorEastAsia"/>
                <w:color w:val="auto"/>
                <w:kern w:val="2"/>
                <w:sz w:val="24"/>
                <w:szCs w:val="22"/>
              </w:rPr>
              <w:t>虽在其他项目上担任项目经理岗位，但承诺在本项目成交后合同签订前能够从其他项目变更至本项目并全面履约。</w:t>
            </w:r>
          </w:p>
        </w:tc>
      </w:tr>
      <w:tr w14:paraId="35D9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EAE6ED7">
            <w:pPr>
              <w:spacing w:line="360" w:lineRule="auto"/>
              <w:jc w:val="center"/>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7</w:t>
            </w:r>
          </w:p>
        </w:tc>
        <w:tc>
          <w:tcPr>
            <w:tcW w:w="1277" w:type="dxa"/>
            <w:vAlign w:val="center"/>
          </w:tcPr>
          <w:p w14:paraId="5EDC263B">
            <w:pPr>
              <w:pStyle w:val="7"/>
              <w:widowControl w:val="0"/>
              <w:spacing w:before="0" w:beforeAutospacing="0" w:after="0" w:afterAutospacing="0" w:line="360" w:lineRule="auto"/>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b w:val="0"/>
                <w:color w:val="auto"/>
                <w:kern w:val="2"/>
                <w:sz w:val="24"/>
              </w:rPr>
              <w:t>本项目采购标的名称及所属行业</w:t>
            </w:r>
          </w:p>
        </w:tc>
        <w:tc>
          <w:tcPr>
            <w:tcW w:w="6287" w:type="dxa"/>
            <w:vAlign w:val="center"/>
          </w:tcPr>
          <w:p w14:paraId="0F181CC4">
            <w:pPr>
              <w:spacing w:line="360" w:lineRule="auto"/>
              <w:jc w:val="left"/>
              <w:rPr>
                <w:rFonts w:hint="eastAsia" w:asciiTheme="minorEastAsia" w:hAnsiTheme="minorEastAsia" w:eastAsiaTheme="minorEastAsia" w:cstheme="minorEastAsia"/>
                <w:color w:val="auto"/>
                <w:kern w:val="2"/>
                <w:sz w:val="24"/>
                <w:szCs w:val="22"/>
                <w:lang w:eastAsia="zh-CN"/>
              </w:rPr>
            </w:pPr>
            <w:r>
              <w:rPr>
                <w:rFonts w:hint="eastAsia" w:asciiTheme="minorEastAsia" w:hAnsiTheme="minorEastAsia" w:eastAsiaTheme="minorEastAsia" w:cstheme="minorEastAsia"/>
                <w:color w:val="auto"/>
                <w:kern w:val="2"/>
                <w:sz w:val="24"/>
                <w:szCs w:val="22"/>
              </w:rPr>
              <w:t>标的名称：</w:t>
            </w:r>
            <w:r>
              <w:rPr>
                <w:rFonts w:hint="eastAsia" w:asciiTheme="minorEastAsia" w:hAnsiTheme="minorEastAsia" w:eastAsiaTheme="minorEastAsia" w:cstheme="minorEastAsia"/>
                <w:color w:val="auto"/>
                <w:kern w:val="2"/>
                <w:sz w:val="24"/>
                <w:szCs w:val="18"/>
                <w:lang w:eastAsia="zh-CN"/>
              </w:rPr>
              <w:t>安徽省农业科学院本部及岗集基地安防监控改造升级项目</w:t>
            </w:r>
          </w:p>
          <w:p w14:paraId="02ECED34">
            <w:pPr>
              <w:rPr>
                <w:rFonts w:hint="eastAsia" w:asciiTheme="minorEastAsia" w:hAnsiTheme="minorEastAsia" w:eastAsiaTheme="minorEastAsia" w:cstheme="minorEastAsia"/>
                <w:color w:val="auto"/>
                <w:kern w:val="2"/>
                <w:sz w:val="24"/>
                <w:szCs w:val="22"/>
              </w:rPr>
            </w:pPr>
            <w:r>
              <w:rPr>
                <w:rFonts w:hint="eastAsia" w:asciiTheme="minorEastAsia" w:hAnsiTheme="minorEastAsia" w:eastAsiaTheme="minorEastAsia" w:cstheme="minorEastAsia"/>
                <w:color w:val="auto"/>
                <w:kern w:val="2"/>
                <w:sz w:val="24"/>
                <w:szCs w:val="22"/>
              </w:rPr>
              <w:t>所属行业：建筑业</w:t>
            </w:r>
          </w:p>
        </w:tc>
      </w:tr>
    </w:tbl>
    <w:p w14:paraId="33AA0ADF">
      <w:pPr>
        <w:pStyle w:val="3"/>
        <w:spacing w:before="0" w:after="0" w:line="360" w:lineRule="auto"/>
        <w:rPr>
          <w:rFonts w:asciiTheme="minorEastAsia" w:hAnsiTheme="minorEastAsia" w:eastAsiaTheme="minorEastAsia" w:cstheme="minorEastAsia"/>
          <w:color w:val="auto"/>
          <w:sz w:val="24"/>
          <w:szCs w:val="24"/>
        </w:rPr>
      </w:pPr>
      <w:bookmarkStart w:id="3" w:name="_Toc9139"/>
      <w:bookmarkStart w:id="4" w:name="_Toc15645"/>
      <w:bookmarkStart w:id="5" w:name="_Toc23730"/>
      <w:bookmarkStart w:id="6" w:name="_Toc2835"/>
      <w:r>
        <w:rPr>
          <w:rFonts w:hint="eastAsia" w:asciiTheme="minorEastAsia" w:hAnsiTheme="minorEastAsia" w:eastAsiaTheme="minorEastAsia" w:cstheme="minorEastAsia"/>
          <w:color w:val="auto"/>
          <w:sz w:val="24"/>
          <w:szCs w:val="24"/>
          <w:lang w:val="en-US"/>
        </w:rPr>
        <w:t>一、</w:t>
      </w:r>
      <w:r>
        <w:rPr>
          <w:rFonts w:hint="eastAsia" w:asciiTheme="minorEastAsia" w:hAnsiTheme="minorEastAsia" w:eastAsiaTheme="minorEastAsia" w:cstheme="minorEastAsia"/>
          <w:color w:val="auto"/>
          <w:sz w:val="24"/>
          <w:szCs w:val="24"/>
        </w:rPr>
        <w:t>项目概况及总体要求</w:t>
      </w:r>
      <w:bookmarkEnd w:id="3"/>
      <w:bookmarkEnd w:id="4"/>
      <w:bookmarkEnd w:id="5"/>
    </w:p>
    <w:p w14:paraId="381773CE">
      <w:pPr>
        <w:spacing w:line="360" w:lineRule="auto"/>
        <w:ind w:firstLine="480" w:firstLineChars="200"/>
        <w:textAlignment w:val="baseline"/>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val="0"/>
          <w:bCs w:val="0"/>
          <w:color w:val="auto"/>
          <w:sz w:val="24"/>
          <w:szCs w:val="24"/>
        </w:rPr>
        <w:t>拟对安徽省农业科学院院本部和安徽省农业科学院岗集生态农业试验示范基地的视频监控进行整体升级改造。安徽省农业科学院院本部位于合肥市庐阳区农科南路40号，占地</w:t>
      </w:r>
      <w:r>
        <w:rPr>
          <w:rFonts w:hint="eastAsia" w:asciiTheme="minorEastAsia" w:hAnsiTheme="minorEastAsia" w:eastAsiaTheme="minorEastAsia" w:cstheme="minorEastAsia"/>
          <w:b w:val="0"/>
          <w:bCs w:val="0"/>
          <w:color w:val="auto"/>
          <w:sz w:val="24"/>
          <w:szCs w:val="24"/>
          <w:lang w:val="en-US" w:eastAsia="zh-CN"/>
        </w:rPr>
        <w:t>约</w:t>
      </w:r>
      <w:r>
        <w:rPr>
          <w:rFonts w:hint="eastAsia" w:asciiTheme="minorEastAsia" w:hAnsiTheme="minorEastAsia" w:eastAsiaTheme="minorEastAsia" w:cstheme="minorEastAsia"/>
          <w:b w:val="0"/>
          <w:bCs w:val="0"/>
          <w:color w:val="auto"/>
          <w:sz w:val="24"/>
          <w:szCs w:val="24"/>
        </w:rPr>
        <w:t>700余亩，部分区域建有地下弱电管路，已建监控点202个，需整合原有视频监控、相关设备；岗集生态农业试验示范基地位于合肥市长丰县岗集镇，占地</w:t>
      </w:r>
      <w:r>
        <w:rPr>
          <w:rFonts w:hint="eastAsia" w:asciiTheme="minorEastAsia" w:hAnsiTheme="minorEastAsia" w:eastAsiaTheme="minorEastAsia" w:cstheme="minorEastAsia"/>
          <w:b w:val="0"/>
          <w:bCs w:val="0"/>
          <w:color w:val="auto"/>
          <w:sz w:val="24"/>
          <w:szCs w:val="24"/>
          <w:lang w:val="en-US" w:eastAsia="zh-CN"/>
        </w:rPr>
        <w:t>约</w:t>
      </w:r>
      <w:r>
        <w:rPr>
          <w:rFonts w:hint="eastAsia" w:asciiTheme="minorEastAsia" w:hAnsiTheme="minorEastAsia" w:eastAsiaTheme="minorEastAsia" w:cstheme="minorEastAsia"/>
          <w:b w:val="0"/>
          <w:bCs w:val="0"/>
          <w:color w:val="auto"/>
          <w:sz w:val="24"/>
          <w:szCs w:val="24"/>
        </w:rPr>
        <w:t>600余亩。本项目属于设计施工一体化工程，需对建设区域开展整体线路规划，完成新建监控点位的接入及汇聚层网络架构优化搭建，健全安防专网运维管理体系，强化网络数据安全防护能力。项目将构建业务规范统一、技术架构先进、应用效能高效的视频图像智能化应用体系，助力打造更高水平的平安院区，全面提升院本部及岗集基地在安全防控中的事前预警、事中处置、事后溯源综合能力，夯实区域整体安全防护水平。</w:t>
      </w:r>
    </w:p>
    <w:p w14:paraId="6107A0FC">
      <w:pPr>
        <w:spacing w:line="360" w:lineRule="auto"/>
        <w:ind w:firstLine="480" w:firstLineChars="200"/>
        <w:textAlignment w:val="baseline"/>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设计范围：本项目的设计阶段（施工图设计及设计经济测算（含总体投资、清单预算编制等）工作以及后续配合服务）。</w:t>
      </w:r>
    </w:p>
    <w:p w14:paraId="1090F0B5">
      <w:pPr>
        <w:spacing w:line="360" w:lineRule="auto"/>
        <w:ind w:firstLine="480" w:firstLineChars="200"/>
        <w:textAlignment w:val="baseline"/>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施工范围：本工程的施工内容包括但不限于：本工程的全部施工设计图纸所表达的范围，直至竣工验收合格和整体移交及工程缺陷责任期内的保修工作。</w:t>
      </w:r>
      <w:r>
        <w:rPr>
          <w:rFonts w:hint="eastAsia" w:asciiTheme="minorEastAsia" w:hAnsiTheme="minorEastAsia" w:eastAsiaTheme="minorEastAsia" w:cstheme="minorEastAsia"/>
          <w:b/>
          <w:bCs/>
          <w:color w:val="auto"/>
          <w:kern w:val="2"/>
          <w:sz w:val="24"/>
          <w:szCs w:val="24"/>
          <w:lang w:val="en-US" w:eastAsia="zh-CN" w:bidi="ar-SA"/>
        </w:rPr>
        <w:br w:type="textWrapping"/>
      </w:r>
      <w:r>
        <w:rPr>
          <w:rFonts w:hint="eastAsia" w:asciiTheme="minorEastAsia" w:hAnsiTheme="minorEastAsia" w:eastAsiaTheme="minorEastAsia" w:cstheme="minorEastAsia"/>
          <w:b/>
          <w:bCs/>
          <w:color w:val="auto"/>
          <w:kern w:val="2"/>
          <w:sz w:val="24"/>
          <w:szCs w:val="24"/>
          <w:lang w:val="en-US" w:eastAsia="zh-CN" w:bidi="ar-SA"/>
        </w:rPr>
        <w:t>二、项目需求</w:t>
      </w:r>
    </w:p>
    <w:p w14:paraId="5F0A4CF4">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2.1设计服务要求</w:t>
      </w:r>
    </w:p>
    <w:p w14:paraId="18C83292">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对安徽省农业科学院院本部和岗集生态农业试验示范基地的视频监控进行整体规划设计。本次建设范围包括但不限于对院本部围墙内的办公楼宇、试验田、出入口，岗集基地围墙内的主要道路、试验田等区域安防升级改造的进行统一的方案设计、整体的规划设计、初步设计、施工图设计，包含计算机网络系统、安防系统（视频监控、周界防范等）、监控中心等信息化系统内容。形成一套《安徽省农业科学院院本部及岗集基地安防升级改造初步设计方案》，包括但不局限于以下内容：</w:t>
      </w:r>
    </w:p>
    <w:p w14:paraId="044D3151">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（1）院本部及岗集基地安防的现状和总体需求分析</w:t>
      </w:r>
    </w:p>
    <w:p w14:paraId="0F03B1A1">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（2）院本部及岗集基地安防系统总体架构设计</w:t>
      </w:r>
    </w:p>
    <w:p w14:paraId="451BB712">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（3）院本部及岗集基地安防各子系统设计方案</w:t>
      </w:r>
    </w:p>
    <w:p w14:paraId="5A969E70">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（4）院本部及岗集基地安防系统前端感知设备部署、中间网络传输、后端存储等设计</w:t>
      </w:r>
    </w:p>
    <w:p w14:paraId="44EB2C57">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（5）院本部及岗集基地视频监控平台设计</w:t>
      </w:r>
    </w:p>
    <w:p w14:paraId="5607FC78">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（6）设计调研过程中我院认为需要增加的项目</w:t>
      </w:r>
    </w:p>
    <w:p w14:paraId="4EC42EB6">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2.2总体建设要求</w:t>
      </w:r>
    </w:p>
    <w:p w14:paraId="65F9B773">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院本部及岗集基地分别建设监控平台。其中，院本部需整合建设范围内原有视频监控、相关设备，重新规划替换及新建点位的接入、汇聚层网络架构，优化安防专网管理及运维，完善网络数据安全防护体系，建设统一的一体化视频监控综合管理平台，采用微服务架构。要求实现前端监控设备统一接入、资源汇聚、权限分级管理。具备实时预览、录像回放、智能研判、告警联动等功能，兼容多码流解码，至少满足等保2.0三级安全标准，平台预留扩容接口，确保系统兼容性、稳定性及可扩展性。</w:t>
      </w:r>
    </w:p>
    <w:p w14:paraId="670E5205">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岗集基地本次新建视频监控点，统一纳入岗集基地监控平台，平台支持远程调用，移动查看，管理人员可通过平台查看实时视频，回放录像，监测设备状态，接受报警信息，可通过平台对关键区域发起语音示警。</w:t>
      </w:r>
    </w:p>
    <w:p w14:paraId="22F7BE55">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2.3室外监控布放原则</w:t>
      </w:r>
    </w:p>
    <w:p w14:paraId="3160E95B">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2.3.1安装位置（枪机、球机）：安装在停车场出入口、停车区域及通道、重要通道、电瓶车停车棚、楼宇四周、试验田及水塘等需重点监控位置，确保整个院区全覆盖无死角。</w:t>
      </w:r>
    </w:p>
    <w:p w14:paraId="4998B562">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2.3.2取电防雷：前端相机全部由POE交换机通过网线直接供电，交换机拉电源线供电，室外交换机布放位置全部设计了室外防水箱。所有室外相机全部配备二合一防雷器。</w:t>
      </w:r>
    </w:p>
    <w:p w14:paraId="013B5706">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2.3.3线路铺设设计：本项目所有线路铺设全部设计为管道埋地布设，没有高空走线部分。室外线材铺设全部用PE管穿线，过路时铺设过路钢管，确保线材不单独裸露在外面，保护线材。</w:t>
      </w:r>
    </w:p>
    <w:p w14:paraId="47651D86">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2.4 室内监控布放原则</w:t>
      </w:r>
    </w:p>
    <w:p w14:paraId="3E64AF83">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2.4.1安装位置（半球机、枪机）：安装在一楼大厅出入口等人员出入频繁位置。有吊顶的选用半球，无吊顶的选用枪机+支架。</w:t>
      </w:r>
    </w:p>
    <w:p w14:paraId="018F612E">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2.4.2取电：前端相机全部由POE交换机通过网线直接供电，POE交换机布设在弱电井里。</w:t>
      </w:r>
    </w:p>
    <w:p w14:paraId="2DD2D74A">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2.4.3线路铺设设计：相机网线走线时，尽量走暗线，放置在桥架或者天花板上，保证线材不会露出来，无法走暗线的部分，配置跟墙体同一颜色的PVC管，网线布设在PVC管里，保护线材的同时不影响整体美观。</w:t>
      </w:r>
    </w:p>
    <w:p w14:paraId="73994BDF">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POE交换机布设在弱电井里。</w:t>
      </w:r>
    </w:p>
    <w:p w14:paraId="79B1B10F">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2.5 相机功能设计原则</w:t>
      </w:r>
    </w:p>
    <w:p w14:paraId="6049F47B">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室外监控具有移动侦测、越界侦测、遮挡报警，区域入侵侦测、PoE供电，不低于IP67级防水防尘等功能，适配室外园区环境；</w:t>
      </w:r>
    </w:p>
    <w:p w14:paraId="77167D44">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室内监控支持背光补偿，强光抑制，3D数字降噪，适应不同监控环境，具有移动侦测功能，能够清晰拍到大楼内出入人员人脸。</w:t>
      </w:r>
    </w:p>
    <w:p w14:paraId="24D27D62">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2.5.1红外枪机参数：需选用不低于以下参数的红外枪机。</w:t>
      </w:r>
    </w:p>
    <w:p w14:paraId="5E306117">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（1）图像传感器：1/3" CMOS，400万像素，最大分辨率2560×1440；</w:t>
      </w:r>
    </w:p>
    <w:p w14:paraId="5CA2DA99">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（2）镜头：4/6/8mm可选，红外距离50米，星光级低照度，0.005Lux彩色成像；</w:t>
      </w:r>
    </w:p>
    <w:p w14:paraId="11576B57">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（3）编码格式：H.265+/H.265/Smart265；</w:t>
      </w:r>
    </w:p>
    <w:p w14:paraId="3E1A5E17">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（4）接口：1个RJ45网口，支持PoE供电，无需额外布电源线。</w:t>
      </w:r>
    </w:p>
    <w:p w14:paraId="7D984AE7">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2.5.2红外球机参数：需选用不低于以下参数的红外球机。</w:t>
      </w:r>
    </w:p>
    <w:p w14:paraId="760A7A0A">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（1）图像性能：400万像素，23倍光学变焦，16倍数字变倍，红外距离100米；</w:t>
      </w:r>
    </w:p>
    <w:p w14:paraId="48FA0A59">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（2）云台功能：水平360°连续旋转，垂直-15°-90°，支持自动巡航、预置点设置；</w:t>
      </w:r>
    </w:p>
    <w:p w14:paraId="7AB75C87">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（3）环境适配：不低于IP66级防水，适配室外高低温环境；</w:t>
      </w:r>
    </w:p>
    <w:p w14:paraId="481FF7F9">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（4）兼容协议：支持GB/T28181协议，对接硬盘录像机。</w:t>
      </w:r>
    </w:p>
    <w:p w14:paraId="5AEBFAB1">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2.6 平台功能设计</w:t>
      </w:r>
    </w:p>
    <w:p w14:paraId="5D761FE6">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院岗集基地新建监控平台具备区域入侵等报警功能，针对突发事件，可实时推送至安防人员移动终端。</w:t>
      </w:r>
    </w:p>
    <w:p w14:paraId="5BEF9EB4">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2.6.1‌视频参数‌：支持多种视频分辨率，包括3840*2160/30Hz, 2560*1440/60Hz, 1920*1080/60Hz等。视频解码格式包括H.265, Smart265, H.264, Smart264等。‌录像管理‌：支持手动录像、定时录像、时间录像、移动侦测录像、报警录像等多种录像方式。录像帧率支持8MP至QCIF等多种分辨率。‌回放方式‌：支持即时回放、常规回放、时间回放、标签回放、智能回访、外部文件回访和日志回访。‌备份方式‌：支持常规备份、时间备份和录像剪辑备份。</w:t>
      </w:r>
    </w:p>
    <w:p w14:paraId="5A7F976F">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2.6.2‌网络协议‌：支持IPv6、UPnP（即插即用）、NTP（网络校时）、SADP（设备网络搜索）、PPPoE（拨号上网）和DHCP（自动获取IP地址）。</w:t>
      </w:r>
    </w:p>
    <w:p w14:paraId="3E80F2D9">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2.6.3‌其他特性‌：支持H.265和H.264混合解码，最大支持8MP高清IPC接入。</w:t>
      </w:r>
    </w:p>
    <w:p w14:paraId="425E12F7">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2.7存储和系统传输要求</w:t>
      </w:r>
    </w:p>
    <w:p w14:paraId="10FAB894">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为了保证存储数据的稳定性，本次采用后端存储方式，视频存储在后台本地存储设备中，用户有需求时可远程预览或查看录像，存储时间要求不低于30天。</w:t>
      </w:r>
    </w:p>
    <w:p w14:paraId="27AA9246">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传输线路原则上必须采用管道埋地敷设，建设时确实不具备入地条件的应在院有关部门批准及采购人同意后方可临时采用架空敷设接入，但经过杆件的传输线路必须采用杆件内部穿管的方式连线机箱和前端设备。</w:t>
      </w:r>
    </w:p>
    <w:p w14:paraId="49A87FFE">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2.8 施工服务有关技术要求</w:t>
      </w:r>
    </w:p>
    <w:p w14:paraId="6BCEFFC3">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2.8.1监控前端杆件要求</w:t>
      </w:r>
    </w:p>
    <w:p w14:paraId="54C77C51">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（1）动态视频监控杆件选型的建议</w:t>
      </w:r>
    </w:p>
    <w:p w14:paraId="206C5B55">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根据所需监控的范围、角度、场景以及现场条件来选择摄像机的安装方法，摄像机的安装要求固定立杆。杆底端焊接固定法兰盘，预留拉线孔，地基应是硬质，同时根据现场安装点的地质的实际情况，调整相应的尺寸。立杆的安装应牢固，不得歪斜，需用水平仪来测定；制作要美观，其顶部应做防水帽。立杆应有较高强度，抗台风、防摄像机抖动、防攀爬、防腐。立杆基础规格按不同的杆体进行分别设计。</w:t>
      </w:r>
    </w:p>
    <w:p w14:paraId="1E092390">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监控杆选型：摄像机的安装高度根据安装区域的实际情况选择相应的高度，并考虑将人为破坏因素减到最低。设备箱宜就低放置或置于地面；如需要在灯杆上开孔引线，口径应小于50mm，并应作好后续焊接工作。</w:t>
      </w:r>
    </w:p>
    <w:p w14:paraId="663918D7">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立杆结构：立杆采用镀锌钢管制成，在杆的顶部设有避雷针，能够引导直击雷入地；在杆的上部设有摄像机安装横杆，可吊装球型摄像机；杆的中下部有电源变压器及防雷设备箱，为加强散热效果。</w:t>
      </w:r>
    </w:p>
    <w:p w14:paraId="56D06AF8">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立杆底部用螺栓与基础固定，电源线和光缆从立杆底部进入，基础下面装有接地电极以及由扁钢和角钢组成的接地网，接地电阻≦10Ω。</w:t>
      </w:r>
    </w:p>
    <w:p w14:paraId="2E2EFAB2">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杆件涂装颜色要求：动态视频监控杆件进行统一涂装，具体要求按照实际施工甲方要求。</w:t>
      </w:r>
    </w:p>
    <w:p w14:paraId="1E8C3BE2">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（2）动态视频监控基础设计建议</w:t>
      </w:r>
    </w:p>
    <w:p w14:paraId="37CAFD01">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用途：固定摄像杆；</w:t>
      </w:r>
    </w:p>
    <w:p w14:paraId="6E1772BB">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制作要求：应符合现行国家标准《电气装置安装工程电缆线路施工及验收规范》的有关规定；基础与窨井之间应有穿线管，且放置铁丝；基础钢板上钢筋按M20标准攻丝，配镀锌螺丝两个、平光垫圈和弹簧垫圈各一个。</w:t>
      </w:r>
    </w:p>
    <w:p w14:paraId="1C197A87">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2.8.2户外机箱要求</w:t>
      </w:r>
    </w:p>
    <w:p w14:paraId="7EB8F9CC">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前端的户外机箱是保证前端系统安全工作的重要组成部分，机箱采用密封设计。机箱采用1mm以上优质不锈钢板，采取底部进线设计，箱体防护等级应能达到IP66防护等级。具有良好的防水、防尘、防锈、散热、防盗、防寒、防曝晒的结构。机箱能适应室外抗高温环境，机箱侧面下部设计换气百叶窗，箱体顶部设置换气轴流风扇，设计温控开关实现高温时的通风换气，以降低机箱内的温度。为了保证设备的安全，机箱具有很强的防橇性能。</w:t>
      </w:r>
    </w:p>
    <w:p w14:paraId="241260AE">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2.8.3前端防雷要求</w:t>
      </w:r>
    </w:p>
    <w:p w14:paraId="430678C8">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接地网布置依据地形进行设计，由于系统处于雷雨多发地域，为了保证设备的安全，本系统需全面考虑整个监控网络的防雷问题，特别是前端摄像点的防雷。</w:t>
      </w:r>
    </w:p>
    <w:p w14:paraId="7105CC3B">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2.8.4前端供电要求</w:t>
      </w:r>
    </w:p>
    <w:p w14:paraId="30253768">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本次项目前端的供电方式遵循就近单独落火取电原则，同一取电点提供给监控接入点用电不得超过3个。</w:t>
      </w:r>
    </w:p>
    <w:p w14:paraId="30A14316">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2.9本次视频监控建设及原有监控对接说明</w:t>
      </w:r>
    </w:p>
    <w:p w14:paraId="35D17E05">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2.9.1院本部安防平台至少满足450路视频接入，具备后续继续扩容能力，相机和平台均支持GB/T28181协议。本次计划新建设监控点位不少于200路，利旧接入监控点202路（包括综合实验楼107路，省种质资源中心库60路，植保科苑楼2路、食堂13路、文体中心13路、老水产所楼前水塘7路），已建监控通过汇聚交换机接入到本项目核心交换机上，全部监控接入到同一平台中。充分利用利旧的监控点已建监控存储，不足部分由本次项目补齐。（利旧设备清单附后）</w:t>
      </w:r>
    </w:p>
    <w:p w14:paraId="1B281E1C">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2.9.2院岗集生态农业实验示范基地视频监控系统说明</w:t>
      </w:r>
    </w:p>
    <w:p w14:paraId="2B3B50B4">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针对安徽省农科院岗集生态农业实验示范基地打造一体化智能视频监控系统，结合农业基地占地面积广、户外环境复杂、需全域安防管控的特点，实现基地全方位视频监控、周界入侵报警、语音广播提醒、集中存储与大屏可视化管控。院岗集生态农业试验示范基地安防平台至少满足64路视频接入，具备后续继续扩容能力，相机和平台均支持GB/T28181协议。本次计划系统覆盖基地实验田、道路、出入口、仓储区、办公区等全区域，新建设监控点位不少于40路，搭配专业存储、解码显示、传输及辅助设备，同时实现入侵检测与语音广播联动，建设集中监控点，监控大屏1个（4块46寸液晶拼接屏，46寸，3.5mm拼缝，500cd/㎡亮度，1080P高清，含安装支架）。实现园区实验区域、道路及关键点位24小时不间断视频监控、录像存储、实时预览与远程管理，保障基地科研实验、财产及人员安全，满足农业示范基地规范化管理与应急追溯需求。</w:t>
      </w:r>
    </w:p>
    <w:p w14:paraId="03FC0C43">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2.9.3特别服务说明</w:t>
      </w:r>
    </w:p>
    <w:p w14:paraId="1D0CD697">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本次项目的要求供应商必须提供配套的应用软件、运维管理软件、中心平台等相关配套硬件设备以及传输链路等内容。</w:t>
      </w:r>
    </w:p>
    <w:p w14:paraId="305B170A">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建设完成通过验收后进入运行质保期（3年），运行维护包括前端设备维护、光纤线路、系统管理平台等维护服务，运维单位需要确保系统的正常运行和维护工作，确保前端各点每年正常运行率98%以上、网络正常运行率99%以上（纳入运维考核）。</w:t>
      </w:r>
    </w:p>
    <w:p w14:paraId="6976269F">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故障恢复时间：对一般性设备故障在1小时内响应，4小时以内到现场，8小时以内解决问题；不能当场修复的，必须采取提供备品、备件或备机等措施，前端系统24小时内保证系统投入正常使用，网络要求24小时内恢复。</w:t>
      </w:r>
    </w:p>
    <w:p w14:paraId="7821C645">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所投设备及主要部件均须非停产设备，应是目前市场上的主流设备，符合国家技术规范和质量标准，通过国家有关部门检测合格的原产地设备，能够与采购人现有设备正常连接；设备安装调试完毕后，能在其功能范围内保障用户的系统安全、稳定运行。</w:t>
      </w:r>
    </w:p>
    <w:p w14:paraId="0A992BE8">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建立专业运维团队。外场要求配备1组及以上日常巡检的维护队伍和相关设备，提供7*24小时服务。</w:t>
      </w:r>
    </w:p>
    <w:p w14:paraId="7F17B0C1">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本项目的所有软、硬件(如线缆、软件、硬件模块等，包括未列出而系统实施又必需的软件、硬件)需配齐以构成一套完整实用系统，设计方案中如有任何遗漏，由供应商补齐。投标方案中的硬件设备如需使用特别接头、插座等，由供应商提供。</w:t>
      </w:r>
    </w:p>
    <w:p w14:paraId="4DB5B9BB">
      <w:pPr>
        <w:spacing w:line="360" w:lineRule="auto"/>
        <w:ind w:firstLine="480" w:firstLineChars="200"/>
        <w:textAlignment w:val="baseline"/>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本系统产生的任何照片、视频、文字等信息数据产权归招标人所有，不得擅自截留，用作商业开发利用。</w:t>
      </w:r>
    </w:p>
    <w:p w14:paraId="666F0EA8">
      <w:pPr>
        <w:spacing w:line="360" w:lineRule="auto"/>
        <w:textAlignment w:val="baseline"/>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附件：</w:t>
      </w:r>
    </w:p>
    <w:p w14:paraId="6F21ED51">
      <w:pPr>
        <w:spacing w:line="360" w:lineRule="auto"/>
        <w:ind w:firstLine="482" w:firstLineChars="200"/>
        <w:textAlignment w:val="baseline"/>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1.利旧的设备清单</w:t>
      </w:r>
    </w:p>
    <w:p w14:paraId="657899C5">
      <w:pPr>
        <w:spacing w:line="360" w:lineRule="auto"/>
        <w:ind w:firstLine="482" w:firstLineChars="200"/>
        <w:textAlignment w:val="baseline"/>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2.安徽省农科院本部地形图</w:t>
      </w:r>
    </w:p>
    <w:p w14:paraId="213FBE70">
      <w:pPr>
        <w:spacing w:line="360" w:lineRule="auto"/>
        <w:ind w:firstLine="482" w:firstLineChars="200"/>
        <w:textAlignment w:val="baseline"/>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3.安徽省农科院岗集基地地形图</w:t>
      </w:r>
    </w:p>
    <w:p w14:paraId="2AD46C64">
      <w:pPr>
        <w:spacing w:line="360" w:lineRule="auto"/>
        <w:textAlignment w:val="baseline"/>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三、设计成果要求</w:t>
      </w:r>
    </w:p>
    <w:p w14:paraId="17C20A26">
      <w:pPr>
        <w:spacing w:line="360" w:lineRule="auto"/>
        <w:ind w:firstLine="480" w:firstLineChars="200"/>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1、设计最终成果包括设计方案、施工图。设计方案需提供平面布置图和关键部位节点图</w:t>
      </w:r>
      <w:r>
        <w:rPr>
          <w:rFonts w:hint="eastAsia" w:asciiTheme="minorEastAsia" w:hAnsiTheme="minorEastAsia" w:eastAsiaTheme="minorEastAsia" w:cstheme="minorEastAsia"/>
          <w:color w:val="auto"/>
          <w:sz w:val="24"/>
          <w:szCs w:val="24"/>
          <w:lang w:val="en-US" w:eastAsia="zh-CN"/>
        </w:rPr>
        <w:t>等</w:t>
      </w:r>
      <w:r>
        <w:rPr>
          <w:rFonts w:hint="eastAsia" w:asciiTheme="minorEastAsia" w:hAnsiTheme="minorEastAsia" w:eastAsiaTheme="minorEastAsia" w:cstheme="minorEastAsia"/>
          <w:color w:val="auto"/>
          <w:sz w:val="24"/>
          <w:szCs w:val="24"/>
          <w:lang w:val="en-US"/>
        </w:rPr>
        <w:t xml:space="preserve">，设计成果应满足施工需求。成交供应商在项目实施过程中应配合相关方做好图纸会审、技术交底、设计变更、竣工验收等阶段相关工作。 </w:t>
      </w:r>
    </w:p>
    <w:p w14:paraId="7D68EC44">
      <w:pPr>
        <w:spacing w:line="360" w:lineRule="auto"/>
        <w:ind w:firstLine="480" w:firstLineChars="200"/>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2、按采购人需求提供项目概算。</w:t>
      </w:r>
    </w:p>
    <w:p w14:paraId="74ED7434">
      <w:pPr>
        <w:spacing w:line="360" w:lineRule="auto"/>
        <w:ind w:firstLine="480" w:firstLineChars="200"/>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3、设计成果文件须提供：</w:t>
      </w:r>
    </w:p>
    <w:p w14:paraId="4A6E7648">
      <w:pPr>
        <w:spacing w:line="360" w:lineRule="auto"/>
        <w:ind w:firstLine="480" w:firstLineChars="200"/>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（1）电子版1份，包括但不限于设计方案、施工图；</w:t>
      </w:r>
    </w:p>
    <w:p w14:paraId="47A0034C">
      <w:pPr>
        <w:spacing w:line="360" w:lineRule="auto"/>
        <w:ind w:firstLine="480" w:firstLineChars="200"/>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（2）设计方案、施工图纸质版各3份。</w:t>
      </w:r>
    </w:p>
    <w:p w14:paraId="7D80C606">
      <w:pPr>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lang w:val="en-US"/>
        </w:rPr>
        <w:t>4、设计成果文件知识产权归采购人，采购人有权无偿使用</w:t>
      </w:r>
      <w:r>
        <w:rPr>
          <w:rFonts w:hint="eastAsia" w:asciiTheme="minorEastAsia" w:hAnsiTheme="minorEastAsia" w:eastAsiaTheme="minorEastAsia" w:cstheme="minorEastAsia"/>
          <w:bCs/>
          <w:color w:val="auto"/>
          <w:sz w:val="24"/>
          <w:szCs w:val="24"/>
        </w:rPr>
        <w:t>。</w:t>
      </w:r>
    </w:p>
    <w:p w14:paraId="3270C99D">
      <w:pPr>
        <w:keepNext/>
        <w:keepLines/>
        <w:widowControl w:val="0"/>
        <w:spacing w:before="0" w:after="0" w:line="360" w:lineRule="auto"/>
        <w:jc w:val="both"/>
        <w:outlineLvl w:val="1"/>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四、技术要求</w:t>
      </w:r>
    </w:p>
    <w:p w14:paraId="598759F1">
      <w:pPr>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按照最新国家相关标准、规范要求执行。</w:t>
      </w:r>
    </w:p>
    <w:p w14:paraId="5DB16135">
      <w:pPr>
        <w:keepNext/>
        <w:keepLines/>
        <w:widowControl w:val="0"/>
        <w:spacing w:before="0" w:after="0" w:line="360" w:lineRule="auto"/>
        <w:jc w:val="both"/>
        <w:outlineLvl w:val="1"/>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五、最高限价、计价及结算原则</w:t>
      </w:r>
    </w:p>
    <w:p w14:paraId="4193EB05">
      <w:pPr>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1、本项目最高限价</w:t>
      </w:r>
      <w:r>
        <w:rPr>
          <w:rFonts w:hint="eastAsia" w:asciiTheme="minorEastAsia" w:hAnsiTheme="minorEastAsia" w:eastAsiaTheme="minorEastAsia" w:cstheme="minorEastAsia"/>
          <w:bCs/>
          <w:color w:val="auto"/>
          <w:sz w:val="24"/>
          <w:szCs w:val="24"/>
          <w:lang w:val="en-US" w:eastAsia="zh-CN"/>
        </w:rPr>
        <w:t>140</w:t>
      </w:r>
      <w:r>
        <w:rPr>
          <w:rFonts w:hint="eastAsia" w:asciiTheme="minorEastAsia" w:hAnsiTheme="minorEastAsia" w:eastAsiaTheme="minorEastAsia" w:cstheme="minorEastAsia"/>
          <w:bCs/>
          <w:color w:val="auto"/>
          <w:sz w:val="24"/>
          <w:szCs w:val="24"/>
        </w:rPr>
        <w:t>万元，包括设计费用最高限价</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万元、施工费用最高限价</w:t>
      </w:r>
      <w:r>
        <w:rPr>
          <w:rFonts w:hint="eastAsia" w:asciiTheme="minorEastAsia" w:hAnsiTheme="minorEastAsia" w:eastAsiaTheme="minorEastAsia" w:cstheme="minorEastAsia"/>
          <w:bCs/>
          <w:color w:val="auto"/>
          <w:sz w:val="24"/>
          <w:szCs w:val="24"/>
          <w:lang w:val="en-US" w:eastAsia="zh-CN"/>
        </w:rPr>
        <w:t>135</w:t>
      </w:r>
      <w:r>
        <w:rPr>
          <w:rFonts w:hint="eastAsia" w:asciiTheme="minorEastAsia" w:hAnsiTheme="minorEastAsia" w:eastAsiaTheme="minorEastAsia" w:cstheme="minorEastAsia"/>
          <w:bCs/>
          <w:color w:val="auto"/>
          <w:sz w:val="24"/>
          <w:szCs w:val="24"/>
        </w:rPr>
        <w:t>万元。供应商所投报价不得超出最高限价。</w:t>
      </w:r>
    </w:p>
    <w:p w14:paraId="29A9D557">
      <w:pPr>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设计费用：设计费用采用总价包干模式，由供应商报价，不得超过</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万元。需完成本项目要求中所有设计内容，后期不予调整。</w:t>
      </w:r>
    </w:p>
    <w:p w14:paraId="4FCF33D6">
      <w:pPr>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施工费用：总价报价。需完成本项目要求中施工直至验收合格。供应商需综合考虑报价。</w:t>
      </w:r>
    </w:p>
    <w:p w14:paraId="28878EBC">
      <w:pPr>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2、签约合同价=本项目成交金额=设计费用成交价+施工费用成交价。</w:t>
      </w:r>
    </w:p>
    <w:p w14:paraId="634A937D">
      <w:pPr>
        <w:spacing w:line="360" w:lineRule="auto"/>
        <w:ind w:firstLine="480" w:firstLineChars="200"/>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3、竣工结算审计价=设计费用+施工费用</w:t>
      </w:r>
    </w:p>
    <w:p w14:paraId="72C02B5C">
      <w:pPr>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其中，施工费用=∑（审定工程量×结算单价）±经济签证（如有）×工程综合费率±材料调差（如有）±其他按合同约定发生的价格变化，且不得超过施工费用最高限价，超过部分视为优惠。</w:t>
      </w:r>
    </w:p>
    <w:p w14:paraId="2B445109">
      <w:pPr>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结算单价=审计审核后的清单控制单价×工程综合费率。</w:t>
      </w:r>
    </w:p>
    <w:p w14:paraId="1EAFEA07">
      <w:pPr>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工程综合费率=施工费用成交价/施工费用最高限价。</w:t>
      </w:r>
    </w:p>
    <w:p w14:paraId="25634CF0">
      <w:pPr>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4、施工费用清单计价原则</w:t>
      </w:r>
    </w:p>
    <w:p w14:paraId="3EF44799">
      <w:pPr>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（1）工程总承包单位编制施工图，经采购人审核合格后，</w:t>
      </w:r>
      <w:r>
        <w:rPr>
          <w:rFonts w:hint="eastAsia" w:asciiTheme="minorEastAsia" w:hAnsiTheme="minorEastAsia" w:eastAsiaTheme="minorEastAsia" w:cstheme="minorEastAsia"/>
          <w:b/>
          <w:bCs w:val="0"/>
          <w:color w:val="auto"/>
          <w:sz w:val="24"/>
          <w:szCs w:val="24"/>
        </w:rPr>
        <w:t>由采购人委托第三方造价咨询机构编制清单控制价</w:t>
      </w:r>
      <w:r>
        <w:rPr>
          <w:rFonts w:hint="eastAsia" w:asciiTheme="minorEastAsia" w:hAnsiTheme="minorEastAsia" w:eastAsiaTheme="minorEastAsia" w:cstheme="minorEastAsia"/>
          <w:bCs/>
          <w:color w:val="auto"/>
          <w:sz w:val="24"/>
          <w:szCs w:val="24"/>
        </w:rPr>
        <w:t>；</w:t>
      </w:r>
    </w:p>
    <w:p w14:paraId="50AA95AA">
      <w:pPr>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第三方造价咨询机构清单控制价编制完成后，报采购人审核，采购人审核无误后，将清单控制价发至承包人，承包人可在5日内提出异议，采购人及其委托的造价咨询机构将在3日内对承包人提出的异议作出回复；双方意见不一致之处以采购人及其委托的造价咨询机构回复为准；</w:t>
      </w:r>
    </w:p>
    <w:p w14:paraId="66184DF3">
      <w:r>
        <w:rPr>
          <w:rFonts w:hint="eastAsia" w:asciiTheme="minorEastAsia" w:hAnsiTheme="minorEastAsia" w:eastAsiaTheme="minorEastAsia" w:cstheme="minorEastAsia"/>
          <w:bCs/>
          <w:color w:val="auto"/>
          <w:sz w:val="24"/>
          <w:szCs w:val="24"/>
        </w:rPr>
        <w:t>（3）控制价编制时以采购人审核合格后的施工图当月的合肥地区信息价为基础编制；无信息价的采用三方（采购人、承包人、第三方造价咨询机构）询价确定，不能达成一致的，采购人有最终确定权。询价部分均参与下浮。</w:t>
      </w:r>
      <w:bookmarkEnd w:id="6"/>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51DFB"/>
    <w:rsid w:val="25D5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table" w:customStyle="1" w:styleId="6">
    <w:name w:val="网格型2"/>
    <w:basedOn w:val="4"/>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xl31"/>
    <w:basedOn w:val="1"/>
    <w:qFormat/>
    <w:uiPriority w:val="0"/>
    <w:pPr>
      <w:widowControl/>
      <w:spacing w:before="100" w:beforeAutospacing="1" w:after="100" w:afterAutospacing="1"/>
      <w:jc w:val="center"/>
    </w:pPr>
    <w:rPr>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2026-05-21T10:30:00Z</dcterms:created>
  <dc:creator>WPS_1679751922</dc:creator>
  <cp:lastModifiedBy>WPS_1679751922</cp:lastModifiedBy>
  <dcterms:modified xsi:type="dcterms:W3CDTF">2026-05-21T10:30:16Z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0C514DFB28944E5B9AFC9127997FA6DC_11</vt:lpwstr>
  </property>
  <property fmtid="{D5CDD505-2E9C-101B-9397-08002B2CF9AE}" pid="4" name="KSOTemplateDocerSaveRecord">
    <vt:lpwstr>eyJoZGlkIjoiNTg2NDI0ZjQ3ZDRiYmEyNmVmYmQ3MDk3OTVkNWZlODAiLCJ1c2VySWQiOiIxNDgxOTk2NTQ4In0=</vt:lpwstr>
  </property>
</Properties>
</file>