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44F31">
      <w:pPr>
        <w:keepNext w:val="0"/>
        <w:keepLines w:val="0"/>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sz w:val="28"/>
          <w:szCs w:val="20"/>
          <w:lang w:val="en-US"/>
        </w:rPr>
      </w:pPr>
      <w:bookmarkStart w:id="0" w:name="_Toc178465409"/>
      <w:r>
        <w:rPr>
          <w:rFonts w:hint="eastAsia" w:ascii="宋体" w:hAnsi="宋体" w:eastAsia="宋体" w:cs="宋体"/>
          <w:b/>
          <w:bCs w:val="0"/>
          <w:kern w:val="2"/>
          <w:sz w:val="28"/>
          <w:szCs w:val="20"/>
          <w:lang w:val="en-US" w:eastAsia="zh-CN" w:bidi="ar"/>
        </w:rPr>
        <w:t>第三章  采购需求</w:t>
      </w:r>
      <w:bookmarkEnd w:id="0"/>
    </w:p>
    <w:p w14:paraId="101EB6A5">
      <w:pPr>
        <w:keepNext w:val="0"/>
        <w:keepLines w:val="0"/>
        <w:widowControl w:val="0"/>
        <w:suppressLineNumbers w:val="0"/>
        <w:adjustRightInd w:val="0"/>
        <w:snapToGrid w:val="0"/>
        <w:spacing w:before="0" w:beforeAutospacing="0" w:after="0" w:afterAutospacing="0" w:line="360" w:lineRule="auto"/>
        <w:ind w:left="0" w:right="0" w:firstLine="422"/>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前注：</w:t>
      </w:r>
    </w:p>
    <w:p w14:paraId="01A87EB0">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8A01A40">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2.政府采购政策（包括但不限于下列具体政策要求）：</w:t>
      </w:r>
    </w:p>
    <w:p w14:paraId="2E2BD626">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00E91CC">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2972835">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3.如采购人允许采用分包方式履行合同的，应当明确可以分包履行的相关内容。</w:t>
      </w:r>
    </w:p>
    <w:p w14:paraId="49EC768B">
      <w:pPr>
        <w:keepNext w:val="0"/>
        <w:keepLines w:val="0"/>
        <w:widowControl w:val="0"/>
        <w:suppressLineNumbers w:val="0"/>
        <w:adjustRightInd w:val="0"/>
        <w:snapToGrid w:val="0"/>
        <w:spacing w:before="0" w:beforeAutospacing="0" w:after="0" w:afterAutospacing="0" w:line="360" w:lineRule="auto"/>
        <w:ind w:left="0" w:right="0" w:firstLine="420"/>
        <w:jc w:val="both"/>
        <w:rPr>
          <w:szCs w:val="21"/>
          <w:lang w:val="en-US"/>
        </w:rPr>
      </w:pPr>
      <w:r>
        <w:rPr>
          <w:rFonts w:hint="eastAsia" w:ascii="宋体" w:hAnsi="宋体" w:eastAsia="宋体" w:cs="宋体"/>
          <w:kern w:val="2"/>
          <w:sz w:val="21"/>
          <w:szCs w:val="21"/>
          <w:lang w:val="en-US" w:eastAsia="zh-CN" w:bidi="ar"/>
        </w:rPr>
        <w:t>4.下列采购需求中：标注▲的产品（核心产品），投标人在投标文件《主要中标标的承诺函》中填写名称、品牌、规格、型号、数量、单价等信息。</w:t>
      </w:r>
    </w:p>
    <w:p w14:paraId="3497E94B">
      <w:pPr>
        <w:keepNext w:val="0"/>
        <w:keepLines w:val="0"/>
        <w:widowControl w:val="0"/>
        <w:suppressLineNumbers w:val="0"/>
        <w:adjustRightInd w:val="0"/>
        <w:snapToGrid w:val="0"/>
        <w:spacing w:before="0" w:beforeAutospacing="0" w:after="0" w:afterAutospacing="0" w:line="360" w:lineRule="auto"/>
        <w:ind w:left="0" w:right="0" w:firstLine="482"/>
        <w:jc w:val="both"/>
        <w:outlineLvl w:val="1"/>
        <w:rPr>
          <w:rFonts w:hint="eastAsia" w:ascii="宋体" w:hAnsi="宋体" w:eastAsia="宋体" w:cs="宋体"/>
          <w:b/>
          <w:bCs w:val="0"/>
          <w:szCs w:val="21"/>
          <w:lang w:val="en-US"/>
        </w:rPr>
      </w:pPr>
      <w:bookmarkStart w:id="1" w:name="_Toc178465410"/>
      <w:bookmarkStart w:id="2" w:name="_Toc2554"/>
      <w:bookmarkStart w:id="3" w:name="_Toc32151"/>
      <w:r>
        <w:rPr>
          <w:rFonts w:hint="eastAsia" w:ascii="宋体" w:hAnsi="宋体" w:eastAsia="宋体" w:cs="宋体"/>
          <w:b/>
          <w:bCs w:val="0"/>
          <w:kern w:val="2"/>
          <w:sz w:val="21"/>
          <w:szCs w:val="21"/>
          <w:lang w:val="en-US" w:eastAsia="zh-CN" w:bidi="ar"/>
        </w:rPr>
        <w:t>一、采购需求前附表</w:t>
      </w:r>
      <w:bookmarkEnd w:id="1"/>
      <w:bookmarkEnd w:id="2"/>
      <w:bookmarkEnd w:id="3"/>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07"/>
        <w:gridCol w:w="2032"/>
        <w:gridCol w:w="5483"/>
      </w:tblGrid>
      <w:tr w14:paraId="6A8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jc w:val="center"/>
        </w:trPr>
        <w:tc>
          <w:tcPr>
            <w:tcW w:w="1007" w:type="dxa"/>
            <w:tcBorders>
              <w:top w:val="single" w:color="auto" w:sz="4" w:space="0"/>
              <w:left w:val="single" w:color="auto" w:sz="4" w:space="0"/>
              <w:bottom w:val="single" w:color="auto" w:sz="4" w:space="0"/>
              <w:right w:val="single" w:color="auto" w:sz="4" w:space="0"/>
            </w:tcBorders>
            <w:shd w:val="clear"/>
            <w:vAlign w:val="center"/>
          </w:tcPr>
          <w:p w14:paraId="5D1CC6E8">
            <w:pPr>
              <w:pStyle w:val="7"/>
              <w:widowControl/>
              <w:tabs>
                <w:tab w:val="center" w:pos="4153"/>
                <w:tab w:val="right" w:pos="8306"/>
              </w:tabs>
              <w:adjustRightInd w:val="0"/>
              <w:snapToGrid w:val="0"/>
              <w:spacing w:line="300" w:lineRule="auto"/>
              <w:rPr>
                <w:rFonts w:cs="@仿宋_GB2312"/>
                <w:b/>
                <w:bCs/>
                <w:kern w:val="2"/>
                <w:sz w:val="21"/>
                <w:szCs w:val="21"/>
                <w:bdr w:val="none" w:color="auto" w:sz="0" w:space="0"/>
                <w:lang w:val="en-US"/>
              </w:rPr>
            </w:pPr>
            <w:r>
              <w:rPr>
                <w:rFonts w:cs="@仿宋_GB2312"/>
                <w:b/>
                <w:bCs/>
                <w:kern w:val="2"/>
                <w:sz w:val="21"/>
                <w:szCs w:val="21"/>
                <w:bdr w:val="none" w:color="auto" w:sz="0" w:space="0"/>
              </w:rPr>
              <w:t>序号</w:t>
            </w:r>
          </w:p>
        </w:tc>
        <w:tc>
          <w:tcPr>
            <w:tcW w:w="2032" w:type="dxa"/>
            <w:tcBorders>
              <w:top w:val="single" w:color="auto" w:sz="4" w:space="0"/>
              <w:left w:val="single" w:color="auto" w:sz="4" w:space="0"/>
              <w:bottom w:val="single" w:color="auto" w:sz="4" w:space="0"/>
              <w:right w:val="single" w:color="auto" w:sz="4" w:space="0"/>
            </w:tcBorders>
            <w:shd w:val="clear"/>
            <w:vAlign w:val="center"/>
          </w:tcPr>
          <w:p w14:paraId="58F18229">
            <w:pPr>
              <w:pStyle w:val="9"/>
              <w:widowControl/>
              <w:jc w:val="center"/>
              <w:rPr>
                <w:b/>
                <w:bCs/>
                <w:color w:val="auto"/>
                <w:bdr w:val="none" w:color="auto" w:sz="0" w:space="0"/>
                <w:lang w:val="en-US"/>
              </w:rPr>
            </w:pPr>
            <w:r>
              <w:rPr>
                <w:b/>
                <w:bCs/>
                <w:color w:val="auto"/>
                <w:bdr w:val="none" w:color="auto" w:sz="0" w:space="0"/>
              </w:rPr>
              <w:t>条款名称</w:t>
            </w:r>
          </w:p>
        </w:tc>
        <w:tc>
          <w:tcPr>
            <w:tcW w:w="5483" w:type="dxa"/>
            <w:tcBorders>
              <w:top w:val="single" w:color="auto" w:sz="4" w:space="0"/>
              <w:left w:val="single" w:color="auto" w:sz="4" w:space="0"/>
              <w:bottom w:val="single" w:color="auto" w:sz="4" w:space="0"/>
              <w:right w:val="single" w:color="auto" w:sz="4" w:space="0"/>
            </w:tcBorders>
            <w:shd w:val="clear"/>
            <w:vAlign w:val="center"/>
          </w:tcPr>
          <w:p w14:paraId="3578EB34">
            <w:pPr>
              <w:pStyle w:val="9"/>
              <w:widowControl/>
              <w:jc w:val="center"/>
              <w:rPr>
                <w:b/>
                <w:bCs/>
                <w:color w:val="auto"/>
                <w:bdr w:val="none" w:color="auto" w:sz="0" w:space="0"/>
                <w:lang w:val="en-US"/>
              </w:rPr>
            </w:pPr>
            <w:r>
              <w:rPr>
                <w:b/>
                <w:bCs/>
                <w:color w:val="auto"/>
                <w:bdr w:val="none" w:color="auto" w:sz="0" w:space="0"/>
              </w:rPr>
              <w:t>内容、说明与要求</w:t>
            </w:r>
          </w:p>
        </w:tc>
      </w:tr>
      <w:tr w14:paraId="4E26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jc w:val="center"/>
        </w:trPr>
        <w:tc>
          <w:tcPr>
            <w:tcW w:w="1007" w:type="dxa"/>
            <w:tcBorders>
              <w:top w:val="single" w:color="auto" w:sz="4" w:space="0"/>
              <w:left w:val="single" w:color="auto" w:sz="4" w:space="0"/>
              <w:bottom w:val="single" w:color="auto" w:sz="4" w:space="0"/>
              <w:right w:val="single" w:color="auto" w:sz="4" w:space="0"/>
            </w:tcBorders>
            <w:shd w:val="clear"/>
            <w:vAlign w:val="center"/>
          </w:tcPr>
          <w:p w14:paraId="462340D4">
            <w:pPr>
              <w:pStyle w:val="7"/>
              <w:widowControl/>
              <w:tabs>
                <w:tab w:val="center" w:pos="4153"/>
                <w:tab w:val="right" w:pos="8306"/>
              </w:tabs>
              <w:adjustRightInd w:val="0"/>
              <w:snapToGrid w:val="0"/>
              <w:spacing w:line="300" w:lineRule="auto"/>
              <w:rPr>
                <w:rFonts w:cs="@仿宋_GB2312"/>
                <w:kern w:val="2"/>
                <w:sz w:val="21"/>
                <w:szCs w:val="21"/>
                <w:bdr w:val="none" w:color="auto" w:sz="0" w:space="0"/>
                <w:lang w:val="en-US"/>
              </w:rPr>
            </w:pPr>
            <w:r>
              <w:rPr>
                <w:rFonts w:cs="@仿宋_GB2312"/>
                <w:kern w:val="2"/>
                <w:sz w:val="21"/>
                <w:szCs w:val="21"/>
                <w:bdr w:val="none" w:color="auto" w:sz="0" w:space="0"/>
                <w:lang w:val="en-US"/>
              </w:rPr>
              <w:t>1</w:t>
            </w:r>
          </w:p>
        </w:tc>
        <w:tc>
          <w:tcPr>
            <w:tcW w:w="2032" w:type="dxa"/>
            <w:tcBorders>
              <w:top w:val="single" w:color="auto" w:sz="4" w:space="0"/>
              <w:left w:val="single" w:color="auto" w:sz="4" w:space="0"/>
              <w:bottom w:val="single" w:color="auto" w:sz="4" w:space="0"/>
              <w:right w:val="single" w:color="auto" w:sz="4" w:space="0"/>
            </w:tcBorders>
            <w:shd w:val="clear"/>
            <w:vAlign w:val="center"/>
          </w:tcPr>
          <w:p w14:paraId="2732B361">
            <w:pPr>
              <w:pStyle w:val="9"/>
              <w:widowControl/>
              <w:rPr>
                <w:b/>
                <w:bCs/>
                <w:color w:val="000000"/>
                <w:bdr w:val="none" w:color="auto" w:sz="0" w:space="0"/>
                <w:lang w:val="en-US"/>
              </w:rPr>
            </w:pPr>
            <w:r>
              <w:rPr>
                <w:color w:val="000000"/>
                <w:bdr w:val="none" w:color="auto" w:sz="0" w:space="0"/>
              </w:rPr>
              <w:t>付款方式</w:t>
            </w:r>
          </w:p>
        </w:tc>
        <w:tc>
          <w:tcPr>
            <w:tcW w:w="5483" w:type="dxa"/>
            <w:tcBorders>
              <w:top w:val="single" w:color="auto" w:sz="4" w:space="0"/>
              <w:left w:val="single" w:color="auto" w:sz="4" w:space="0"/>
              <w:bottom w:val="single" w:color="auto" w:sz="4" w:space="0"/>
              <w:right w:val="single" w:color="auto" w:sz="4" w:space="0"/>
            </w:tcBorders>
            <w:shd w:val="clear"/>
            <w:vAlign w:val="center"/>
          </w:tcPr>
          <w:p w14:paraId="3881303C">
            <w:pPr>
              <w:pStyle w:val="9"/>
              <w:widowControl/>
              <w:rPr>
                <w:color w:val="000000"/>
                <w:bdr w:val="none" w:color="auto" w:sz="0" w:space="0"/>
                <w:lang w:val="en-US"/>
              </w:rPr>
            </w:pPr>
            <w:r>
              <w:rPr>
                <w:color w:val="000000"/>
                <w:bdr w:val="none" w:color="auto" w:sz="0" w:space="0"/>
              </w:rPr>
              <w:t>合同生效并具备实施条件</w:t>
            </w:r>
            <w:r>
              <w:rPr>
                <w:color w:val="000000"/>
                <w:bdr w:val="none" w:color="auto" w:sz="0" w:space="0"/>
                <w:lang w:val="en-US"/>
              </w:rPr>
              <w:t>5</w:t>
            </w:r>
            <w:r>
              <w:rPr>
                <w:color w:val="000000"/>
                <w:bdr w:val="none" w:color="auto" w:sz="0" w:space="0"/>
              </w:rPr>
              <w:t>个工作日内，采购人付至合同价的</w:t>
            </w:r>
            <w:r>
              <w:rPr>
                <w:color w:val="000000"/>
                <w:bdr w:val="none" w:color="auto" w:sz="0" w:space="0"/>
                <w:lang w:val="en-US"/>
              </w:rPr>
              <w:t>70%(</w:t>
            </w:r>
            <w:r>
              <w:rPr>
                <w:color w:val="000000"/>
                <w:bdr w:val="none" w:color="auto" w:sz="0" w:space="0"/>
              </w:rPr>
              <w:t>中标人须提供等额预付款担保</w:t>
            </w:r>
            <w:r>
              <w:rPr>
                <w:color w:val="000000"/>
                <w:bdr w:val="none" w:color="auto" w:sz="0" w:space="0"/>
                <w:lang w:val="en-US"/>
              </w:rPr>
              <w:t>)</w:t>
            </w:r>
            <w:r>
              <w:rPr>
                <w:color w:val="000000"/>
                <w:bdr w:val="none" w:color="auto" w:sz="0" w:space="0"/>
              </w:rPr>
              <w:t>，项目经验收合格且相关资料齐备已移交后，一次性付清合同余款。</w:t>
            </w:r>
          </w:p>
          <w:p w14:paraId="08B631DB">
            <w:pPr>
              <w:pStyle w:val="9"/>
              <w:widowControl/>
              <w:rPr>
                <w:color w:val="000000"/>
                <w:bdr w:val="none" w:color="auto" w:sz="0" w:space="0"/>
                <w:lang w:val="en-US"/>
              </w:rPr>
            </w:pPr>
            <w:r>
              <w:rPr>
                <w:color w:val="000000"/>
                <w:bdr w:val="none" w:color="auto" w:sz="0" w:space="0"/>
              </w:rPr>
              <w:t>注：</w:t>
            </w:r>
          </w:p>
          <w:p w14:paraId="6DDD13E6">
            <w:pPr>
              <w:pStyle w:val="9"/>
              <w:widowControl/>
              <w:rPr>
                <w:color w:val="000000"/>
                <w:bdr w:val="none" w:color="auto" w:sz="0" w:space="0"/>
                <w:lang w:val="en-US"/>
              </w:rPr>
            </w:pPr>
            <w:r>
              <w:rPr>
                <w:color w:val="000000"/>
                <w:bdr w:val="none" w:color="auto" w:sz="0" w:space="0"/>
                <w:lang w:val="en-US"/>
              </w:rPr>
              <w:t>(1)</w:t>
            </w:r>
            <w:r>
              <w:rPr>
                <w:color w:val="000000"/>
                <w:bdr w:val="none" w:color="auto" w:sz="0" w:space="0"/>
              </w:rPr>
              <w:t>中标人未按规定提供预付款担保的</w:t>
            </w:r>
            <w:r>
              <w:rPr>
                <w:color w:val="000000"/>
                <w:bdr w:val="none" w:color="auto" w:sz="0" w:space="0"/>
                <w:lang w:val="en-US"/>
              </w:rPr>
              <w:t>,</w:t>
            </w:r>
            <w:r>
              <w:rPr>
                <w:color w:val="000000"/>
                <w:bdr w:val="none" w:color="auto" w:sz="0" w:space="0"/>
              </w:rPr>
              <w:t>视为放弃预付款；</w:t>
            </w:r>
            <w:r>
              <w:rPr>
                <w:color w:val="000000"/>
                <w:bdr w:val="none" w:color="auto" w:sz="0" w:space="0"/>
                <w:lang w:val="en-US"/>
              </w:rPr>
              <w:t>(2)</w:t>
            </w:r>
            <w:r>
              <w:rPr>
                <w:color w:val="000000"/>
                <w:bdr w:val="none" w:color="auto" w:sz="0" w:space="0"/>
              </w:rPr>
              <w:t>预付款担保要求</w:t>
            </w:r>
            <w:r>
              <w:rPr>
                <w:color w:val="000000"/>
                <w:bdr w:val="none" w:color="auto" w:sz="0" w:space="0"/>
                <w:lang w:val="en-US"/>
              </w:rPr>
              <w:t>:</w:t>
            </w:r>
            <w:r>
              <w:rPr>
                <w:color w:val="000000"/>
                <w:bdr w:val="none" w:color="auto" w:sz="0" w:space="0"/>
              </w:rPr>
              <w:t>如采用银行保函、担保机构出具的保函</w:t>
            </w:r>
            <w:r>
              <w:rPr>
                <w:color w:val="000000"/>
                <w:bdr w:val="none" w:color="auto" w:sz="0" w:space="0"/>
                <w:lang w:val="en-US"/>
              </w:rPr>
              <w:t>(</w:t>
            </w:r>
            <w:r>
              <w:rPr>
                <w:color w:val="000000"/>
                <w:bdr w:val="none" w:color="auto" w:sz="0" w:space="0"/>
              </w:rPr>
              <w:t>担保机构担保</w:t>
            </w:r>
            <w:r>
              <w:rPr>
                <w:color w:val="000000"/>
                <w:bdr w:val="none" w:color="auto" w:sz="0" w:space="0"/>
                <w:lang w:val="en-US"/>
              </w:rPr>
              <w:t>)</w:t>
            </w:r>
            <w:r>
              <w:rPr>
                <w:color w:val="000000"/>
                <w:bdr w:val="none" w:color="auto" w:sz="0" w:space="0"/>
              </w:rPr>
              <w:t>均须满足无条件见索即付条件。</w:t>
            </w:r>
          </w:p>
        </w:tc>
      </w:tr>
      <w:tr w14:paraId="48A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jc w:val="center"/>
        </w:trPr>
        <w:tc>
          <w:tcPr>
            <w:tcW w:w="1007" w:type="dxa"/>
            <w:tcBorders>
              <w:top w:val="single" w:color="auto" w:sz="4" w:space="0"/>
              <w:left w:val="single" w:color="auto" w:sz="4" w:space="0"/>
              <w:bottom w:val="single" w:color="auto" w:sz="4" w:space="0"/>
              <w:right w:val="single" w:color="auto" w:sz="4" w:space="0"/>
            </w:tcBorders>
            <w:shd w:val="clear"/>
            <w:vAlign w:val="center"/>
          </w:tcPr>
          <w:p w14:paraId="5EA5BE4C">
            <w:pPr>
              <w:pStyle w:val="7"/>
              <w:widowControl/>
              <w:tabs>
                <w:tab w:val="center" w:pos="4153"/>
                <w:tab w:val="right" w:pos="8306"/>
              </w:tabs>
              <w:adjustRightInd w:val="0"/>
              <w:snapToGrid w:val="0"/>
              <w:spacing w:line="300" w:lineRule="auto"/>
              <w:rPr>
                <w:rFonts w:cs="@仿宋_GB2312"/>
                <w:kern w:val="2"/>
                <w:sz w:val="21"/>
                <w:szCs w:val="21"/>
                <w:bdr w:val="none" w:color="auto" w:sz="0" w:space="0"/>
                <w:lang w:val="en-US"/>
              </w:rPr>
            </w:pPr>
            <w:r>
              <w:rPr>
                <w:rFonts w:cs="@仿宋_GB2312"/>
                <w:kern w:val="2"/>
                <w:sz w:val="21"/>
                <w:szCs w:val="21"/>
                <w:bdr w:val="none" w:color="auto" w:sz="0" w:space="0"/>
                <w:lang w:val="en-US"/>
              </w:rPr>
              <w:t>2</w:t>
            </w:r>
          </w:p>
        </w:tc>
        <w:tc>
          <w:tcPr>
            <w:tcW w:w="2032" w:type="dxa"/>
            <w:tcBorders>
              <w:top w:val="single" w:color="auto" w:sz="4" w:space="0"/>
              <w:left w:val="single" w:color="auto" w:sz="4" w:space="0"/>
              <w:bottom w:val="single" w:color="auto" w:sz="4" w:space="0"/>
              <w:right w:val="single" w:color="auto" w:sz="4" w:space="0"/>
            </w:tcBorders>
            <w:shd w:val="clear"/>
            <w:vAlign w:val="center"/>
          </w:tcPr>
          <w:p w14:paraId="64F7518A">
            <w:pPr>
              <w:pStyle w:val="9"/>
              <w:widowControl/>
              <w:rPr>
                <w:b/>
                <w:bCs/>
                <w:color w:val="000000"/>
                <w:bdr w:val="none" w:color="auto" w:sz="0" w:space="0"/>
                <w:lang w:val="en-US"/>
              </w:rPr>
            </w:pPr>
            <w:r>
              <w:rPr>
                <w:color w:val="000000"/>
                <w:bdr w:val="none" w:color="auto" w:sz="0" w:space="0"/>
              </w:rPr>
              <w:t>供货及安装地点</w:t>
            </w:r>
          </w:p>
        </w:tc>
        <w:tc>
          <w:tcPr>
            <w:tcW w:w="5483" w:type="dxa"/>
            <w:tcBorders>
              <w:top w:val="single" w:color="auto" w:sz="4" w:space="0"/>
              <w:left w:val="single" w:color="auto" w:sz="4" w:space="0"/>
              <w:bottom w:val="single" w:color="auto" w:sz="4" w:space="0"/>
              <w:right w:val="single" w:color="auto" w:sz="4" w:space="0"/>
            </w:tcBorders>
            <w:shd w:val="clear"/>
            <w:vAlign w:val="center"/>
          </w:tcPr>
          <w:p w14:paraId="53C5145F">
            <w:pPr>
              <w:pStyle w:val="9"/>
              <w:widowControl/>
              <w:rPr>
                <w:color w:val="000000"/>
                <w:bdr w:val="none" w:color="auto" w:sz="0" w:space="0"/>
                <w:lang w:val="en-US"/>
              </w:rPr>
            </w:pPr>
            <w:r>
              <w:rPr>
                <w:color w:val="000000"/>
                <w:bdr w:val="none" w:color="auto" w:sz="0" w:space="0"/>
              </w:rPr>
              <w:t>安徽省合肥市芜湖路</w:t>
            </w:r>
            <w:r>
              <w:rPr>
                <w:color w:val="000000"/>
                <w:bdr w:val="none" w:color="auto" w:sz="0" w:space="0"/>
                <w:lang w:val="en-US"/>
              </w:rPr>
              <w:t>74</w:t>
            </w:r>
            <w:r>
              <w:rPr>
                <w:color w:val="000000"/>
                <w:bdr w:val="none" w:color="auto" w:sz="0" w:space="0"/>
              </w:rPr>
              <w:t>号安徽省图书馆，具体按采购人要求。</w:t>
            </w:r>
          </w:p>
        </w:tc>
      </w:tr>
      <w:tr w14:paraId="25FB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jc w:val="center"/>
        </w:trPr>
        <w:tc>
          <w:tcPr>
            <w:tcW w:w="1007" w:type="dxa"/>
            <w:tcBorders>
              <w:top w:val="single" w:color="auto" w:sz="4" w:space="0"/>
              <w:left w:val="single" w:color="auto" w:sz="4" w:space="0"/>
              <w:bottom w:val="single" w:color="auto" w:sz="4" w:space="0"/>
              <w:right w:val="single" w:color="auto" w:sz="4" w:space="0"/>
            </w:tcBorders>
            <w:shd w:val="clear"/>
            <w:vAlign w:val="center"/>
          </w:tcPr>
          <w:p w14:paraId="41BA4A64">
            <w:pPr>
              <w:pStyle w:val="7"/>
              <w:widowControl/>
              <w:tabs>
                <w:tab w:val="center" w:pos="4153"/>
                <w:tab w:val="right" w:pos="8306"/>
              </w:tabs>
              <w:adjustRightInd w:val="0"/>
              <w:snapToGrid w:val="0"/>
              <w:spacing w:line="300" w:lineRule="auto"/>
              <w:rPr>
                <w:rFonts w:cs="@仿宋_GB2312"/>
                <w:kern w:val="2"/>
                <w:sz w:val="21"/>
                <w:szCs w:val="21"/>
                <w:bdr w:val="none" w:color="auto" w:sz="0" w:space="0"/>
                <w:lang w:val="en-US"/>
              </w:rPr>
            </w:pPr>
            <w:r>
              <w:rPr>
                <w:rFonts w:cs="@仿宋_GB2312"/>
                <w:kern w:val="2"/>
                <w:sz w:val="21"/>
                <w:szCs w:val="21"/>
                <w:bdr w:val="none" w:color="auto" w:sz="0" w:space="0"/>
                <w:lang w:val="en-US"/>
              </w:rPr>
              <w:t>3</w:t>
            </w:r>
          </w:p>
        </w:tc>
        <w:tc>
          <w:tcPr>
            <w:tcW w:w="2032" w:type="dxa"/>
            <w:tcBorders>
              <w:top w:val="single" w:color="auto" w:sz="4" w:space="0"/>
              <w:left w:val="single" w:color="auto" w:sz="4" w:space="0"/>
              <w:bottom w:val="single" w:color="auto" w:sz="4" w:space="0"/>
              <w:right w:val="single" w:color="auto" w:sz="4" w:space="0"/>
            </w:tcBorders>
            <w:shd w:val="clear"/>
            <w:vAlign w:val="center"/>
          </w:tcPr>
          <w:p w14:paraId="5F8A50C2">
            <w:pPr>
              <w:pStyle w:val="9"/>
              <w:widowControl/>
              <w:rPr>
                <w:b/>
                <w:bCs/>
                <w:color w:val="000000"/>
                <w:bdr w:val="none" w:color="auto" w:sz="0" w:space="0"/>
                <w:lang w:val="en-US"/>
              </w:rPr>
            </w:pPr>
            <w:r>
              <w:rPr>
                <w:color w:val="000000"/>
                <w:bdr w:val="none" w:color="auto" w:sz="0" w:space="0"/>
              </w:rPr>
              <w:t>供货及安装期限</w:t>
            </w:r>
          </w:p>
        </w:tc>
        <w:tc>
          <w:tcPr>
            <w:tcW w:w="5483" w:type="dxa"/>
            <w:tcBorders>
              <w:top w:val="single" w:color="auto" w:sz="4" w:space="0"/>
              <w:left w:val="single" w:color="auto" w:sz="4" w:space="0"/>
              <w:bottom w:val="single" w:color="auto" w:sz="4" w:space="0"/>
              <w:right w:val="single" w:color="auto" w:sz="4" w:space="0"/>
            </w:tcBorders>
            <w:shd w:val="clear"/>
            <w:vAlign w:val="center"/>
          </w:tcPr>
          <w:p w14:paraId="309D758F">
            <w:pPr>
              <w:pStyle w:val="9"/>
              <w:widowControl/>
              <w:rPr>
                <w:color w:val="auto"/>
                <w:bdr w:val="none" w:color="auto" w:sz="0" w:space="0"/>
                <w:lang w:val="en-US"/>
              </w:rPr>
            </w:pPr>
            <w:r>
              <w:rPr>
                <w:color w:val="auto"/>
                <w:bdr w:val="none" w:color="auto" w:sz="0" w:space="0"/>
              </w:rPr>
              <w:t>合同生效之日起，</w:t>
            </w:r>
            <w:r>
              <w:rPr>
                <w:color w:val="auto"/>
                <w:bdr w:val="none" w:color="auto" w:sz="0" w:space="0"/>
                <w:lang w:val="en-US"/>
              </w:rPr>
              <w:t>30</w:t>
            </w:r>
            <w:r>
              <w:rPr>
                <w:color w:val="auto"/>
                <w:bdr w:val="none" w:color="auto" w:sz="0" w:space="0"/>
              </w:rPr>
              <w:t>个工作日内完成供货、安装、调试、培训等所有工作内容。</w:t>
            </w:r>
          </w:p>
        </w:tc>
      </w:tr>
      <w:tr w14:paraId="6127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2" w:hRule="atLeast"/>
          <w:jc w:val="center"/>
        </w:trPr>
        <w:tc>
          <w:tcPr>
            <w:tcW w:w="1007" w:type="dxa"/>
            <w:tcBorders>
              <w:top w:val="single" w:color="auto" w:sz="4" w:space="0"/>
              <w:left w:val="single" w:color="auto" w:sz="4" w:space="0"/>
              <w:bottom w:val="single" w:color="auto" w:sz="4" w:space="0"/>
              <w:right w:val="single" w:color="auto" w:sz="4" w:space="0"/>
            </w:tcBorders>
            <w:shd w:val="clear"/>
            <w:vAlign w:val="center"/>
          </w:tcPr>
          <w:p w14:paraId="2F1D2432">
            <w:pPr>
              <w:pStyle w:val="7"/>
              <w:widowControl/>
              <w:tabs>
                <w:tab w:val="center" w:pos="4153"/>
                <w:tab w:val="right" w:pos="8306"/>
              </w:tabs>
              <w:adjustRightInd w:val="0"/>
              <w:snapToGrid w:val="0"/>
              <w:spacing w:line="300" w:lineRule="auto"/>
              <w:rPr>
                <w:rFonts w:cs="@仿宋_GB2312"/>
                <w:kern w:val="2"/>
                <w:sz w:val="21"/>
                <w:szCs w:val="21"/>
                <w:bdr w:val="none" w:color="auto" w:sz="0" w:space="0"/>
                <w:lang w:val="en-US"/>
              </w:rPr>
            </w:pPr>
            <w:r>
              <w:rPr>
                <w:rFonts w:cs="@仿宋_GB2312"/>
                <w:kern w:val="2"/>
                <w:sz w:val="21"/>
                <w:szCs w:val="21"/>
                <w:bdr w:val="none" w:color="auto" w:sz="0" w:space="0"/>
                <w:lang w:val="en-US"/>
              </w:rPr>
              <w:t>4</w:t>
            </w:r>
          </w:p>
        </w:tc>
        <w:tc>
          <w:tcPr>
            <w:tcW w:w="2032" w:type="dxa"/>
            <w:tcBorders>
              <w:top w:val="single" w:color="auto" w:sz="4" w:space="0"/>
              <w:left w:val="single" w:color="auto" w:sz="4" w:space="0"/>
              <w:bottom w:val="single" w:color="auto" w:sz="4" w:space="0"/>
              <w:right w:val="single" w:color="auto" w:sz="4" w:space="0"/>
            </w:tcBorders>
            <w:shd w:val="clear"/>
            <w:vAlign w:val="center"/>
          </w:tcPr>
          <w:p w14:paraId="7BD00670">
            <w:pPr>
              <w:pStyle w:val="9"/>
              <w:widowControl/>
              <w:rPr>
                <w:b/>
                <w:bCs/>
                <w:color w:val="000000"/>
                <w:bdr w:val="none" w:color="auto" w:sz="0" w:space="0"/>
                <w:lang w:val="en-US"/>
              </w:rPr>
            </w:pPr>
            <w:r>
              <w:rPr>
                <w:color w:val="000000"/>
                <w:bdr w:val="none" w:color="auto" w:sz="0" w:space="0"/>
              </w:rPr>
              <w:t>免费质保期</w:t>
            </w:r>
          </w:p>
        </w:tc>
        <w:tc>
          <w:tcPr>
            <w:tcW w:w="5483" w:type="dxa"/>
            <w:tcBorders>
              <w:top w:val="single" w:color="auto" w:sz="4" w:space="0"/>
              <w:left w:val="single" w:color="auto" w:sz="4" w:space="0"/>
              <w:bottom w:val="single" w:color="auto" w:sz="4" w:space="0"/>
              <w:right w:val="single" w:color="auto" w:sz="4" w:space="0"/>
            </w:tcBorders>
            <w:shd w:val="clear"/>
            <w:vAlign w:val="center"/>
          </w:tcPr>
          <w:p w14:paraId="53CBC3BE">
            <w:pPr>
              <w:pStyle w:val="9"/>
              <w:widowControl/>
              <w:rPr>
                <w:color w:val="auto"/>
                <w:bdr w:val="none" w:color="auto" w:sz="0" w:space="0"/>
                <w:lang w:val="en-US"/>
              </w:rPr>
            </w:pPr>
            <w:r>
              <w:rPr>
                <w:color w:val="auto"/>
                <w:bdr w:val="none" w:color="auto" w:sz="0" w:space="0"/>
                <w:lang w:val="en-US"/>
              </w:rPr>
              <w:t>“</w:t>
            </w:r>
            <w:r>
              <w:rPr>
                <w:rFonts w:cs="Times New Roman"/>
                <w:bCs w:val="0"/>
                <w:color w:val="auto"/>
                <w:bdr w:val="none" w:color="auto" w:sz="0" w:space="0"/>
              </w:rPr>
              <w:t>最低</w:t>
            </w:r>
            <w:r>
              <w:rPr>
                <w:color w:val="auto"/>
                <w:bdr w:val="none" w:color="auto" w:sz="0" w:space="0"/>
              </w:rPr>
              <w:t>技术参数及要求</w:t>
            </w:r>
            <w:r>
              <w:rPr>
                <w:color w:val="auto"/>
                <w:bdr w:val="none" w:color="auto" w:sz="0" w:space="0"/>
                <w:lang w:val="en-US"/>
              </w:rPr>
              <w:t>”</w:t>
            </w:r>
            <w:r>
              <w:rPr>
                <w:color w:val="auto"/>
                <w:bdr w:val="none" w:color="auto" w:sz="0" w:space="0"/>
              </w:rPr>
              <w:t>中未明确的，免费质保期为自验收合格之日起</w:t>
            </w:r>
            <w:r>
              <w:rPr>
                <w:color w:val="auto"/>
                <w:bdr w:val="none" w:color="auto" w:sz="0" w:space="0"/>
                <w:lang w:val="en-US"/>
              </w:rPr>
              <w:t>3</w:t>
            </w:r>
            <w:r>
              <w:rPr>
                <w:color w:val="auto"/>
                <w:bdr w:val="none" w:color="auto" w:sz="0" w:space="0"/>
              </w:rPr>
              <w:t>年；</w:t>
            </w:r>
            <w:r>
              <w:rPr>
                <w:color w:val="auto"/>
                <w:bdr w:val="none" w:color="auto" w:sz="0" w:space="0"/>
                <w:lang w:val="en-US"/>
              </w:rPr>
              <w:t>“</w:t>
            </w:r>
            <w:r>
              <w:rPr>
                <w:rFonts w:cs="Times New Roman"/>
                <w:bCs w:val="0"/>
                <w:color w:val="auto"/>
                <w:bdr w:val="none" w:color="auto" w:sz="0" w:space="0"/>
              </w:rPr>
              <w:t>最低</w:t>
            </w:r>
            <w:r>
              <w:rPr>
                <w:color w:val="auto"/>
                <w:bdr w:val="none" w:color="auto" w:sz="0" w:space="0"/>
              </w:rPr>
              <w:t>技术参数及要求</w:t>
            </w:r>
            <w:r>
              <w:rPr>
                <w:color w:val="auto"/>
                <w:bdr w:val="none" w:color="auto" w:sz="0" w:space="0"/>
                <w:lang w:val="en-US"/>
              </w:rPr>
              <w:t>”</w:t>
            </w:r>
            <w:r>
              <w:rPr>
                <w:color w:val="auto"/>
                <w:bdr w:val="none" w:color="auto" w:sz="0" w:space="0"/>
              </w:rPr>
              <w:t>中明确的，免费质保期按</w:t>
            </w:r>
            <w:r>
              <w:rPr>
                <w:color w:val="auto"/>
                <w:bdr w:val="none" w:color="auto" w:sz="0" w:space="0"/>
                <w:lang w:val="en-US"/>
              </w:rPr>
              <w:t>“</w:t>
            </w:r>
            <w:r>
              <w:rPr>
                <w:color w:val="auto"/>
                <w:bdr w:val="none" w:color="auto" w:sz="0" w:space="0"/>
              </w:rPr>
              <w:t>技术参数及要求</w:t>
            </w:r>
            <w:r>
              <w:rPr>
                <w:color w:val="auto"/>
                <w:bdr w:val="none" w:color="auto" w:sz="0" w:space="0"/>
                <w:lang w:val="en-US"/>
              </w:rPr>
              <w:t>”</w:t>
            </w:r>
            <w:r>
              <w:rPr>
                <w:color w:val="auto"/>
                <w:bdr w:val="none" w:color="auto" w:sz="0" w:space="0"/>
              </w:rPr>
              <w:t>执行。</w:t>
            </w:r>
          </w:p>
        </w:tc>
      </w:tr>
    </w:tbl>
    <w:p w14:paraId="20263FFD">
      <w:pPr>
        <w:pStyle w:val="2"/>
        <w:widowControl/>
        <w:adjustRightInd w:val="0"/>
        <w:snapToGrid w:val="0"/>
        <w:spacing w:before="0" w:beforeAutospacing="0" w:after="0" w:afterAutospacing="0" w:line="360" w:lineRule="auto"/>
        <w:ind w:left="0" w:right="0"/>
        <w:rPr>
          <w:rFonts w:hint="eastAsia" w:ascii="宋体" w:hAnsi="宋体" w:eastAsia="宋体" w:cs="宋体"/>
          <w:bCs w:val="0"/>
          <w:sz w:val="21"/>
          <w:szCs w:val="21"/>
          <w:lang w:val="en-US"/>
        </w:rPr>
      </w:pPr>
      <w:bookmarkStart w:id="4" w:name="_Toc626387511"/>
      <w:bookmarkStart w:id="5" w:name="_Toc302804901"/>
      <w:bookmarkStart w:id="6" w:name="_Toc717369146"/>
      <w:bookmarkStart w:id="7" w:name="_Toc1693477008"/>
      <w:bookmarkStart w:id="8" w:name="_Toc58935147"/>
      <w:bookmarkStart w:id="9" w:name="_Toc1191965283_WPSOffice_Level2"/>
      <w:bookmarkStart w:id="10" w:name="_Toc1715351726"/>
      <w:bookmarkStart w:id="11" w:name="_Toc369119811"/>
      <w:r>
        <w:rPr>
          <w:rFonts w:hint="eastAsia" w:ascii="宋体" w:hAnsi="宋体" w:eastAsia="宋体" w:cs="宋体"/>
          <w:bCs w:val="0"/>
          <w:sz w:val="21"/>
          <w:szCs w:val="21"/>
          <w:lang w:eastAsia="zh-CN"/>
        </w:rPr>
        <w:t>二、货物需求</w:t>
      </w:r>
      <w:bookmarkEnd w:id="4"/>
      <w:bookmarkEnd w:id="5"/>
      <w:bookmarkEnd w:id="6"/>
      <w:bookmarkEnd w:id="7"/>
      <w:bookmarkEnd w:id="8"/>
      <w:bookmarkEnd w:id="9"/>
      <w:bookmarkEnd w:id="10"/>
      <w:bookmarkEnd w:id="11"/>
    </w:p>
    <w:p w14:paraId="13367A8F">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kern w:val="0"/>
          <w:szCs w:val="21"/>
          <w:lang w:val="en-US"/>
        </w:rPr>
      </w:pPr>
      <w:r>
        <w:rPr>
          <w:rFonts w:hint="eastAsia" w:ascii="宋体" w:hAnsi="宋体" w:eastAsia="宋体" w:cs="宋体"/>
          <w:kern w:val="2"/>
          <w:sz w:val="21"/>
          <w:szCs w:val="21"/>
          <w:lang w:val="en-US" w:eastAsia="zh-CN" w:bidi="ar"/>
        </w:rPr>
        <w:t>1、</w:t>
      </w:r>
      <w:r>
        <w:rPr>
          <w:rFonts w:hint="eastAsia" w:ascii="宋体" w:hAnsi="宋体" w:eastAsia="宋体" w:cs="宋体"/>
          <w:color w:val="000000"/>
          <w:kern w:val="0"/>
          <w:sz w:val="21"/>
          <w:szCs w:val="21"/>
          <w:lang w:val="en-US" w:eastAsia="zh-CN" w:bidi="ar"/>
        </w:rPr>
        <w:t>采购范围：</w:t>
      </w:r>
    </w:p>
    <w:p w14:paraId="38BCAE5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本次采购基础设施统一管控平台采用三层架构：应用层、网关层、感知层来实现设备统一管控和数据获取分析，以实现智慧物联的数字智能化管控，要求：平台能实现定时控制、策略控制、巡检、告警等自动管控要求，平台后期能支持更多设备接入及功能实现，包含但不限于：智能电表、智能水表、路灯管控、机房漏水监测、水箱水位监测等，具体采购内容如下（此内容与“</w:t>
      </w:r>
      <w:r>
        <w:rPr>
          <w:rFonts w:hint="eastAsia" w:ascii="宋体" w:hAnsi="宋体" w:eastAsia="宋体" w:cs="宋体"/>
          <w:kern w:val="2"/>
          <w:sz w:val="21"/>
          <w:szCs w:val="21"/>
          <w:lang w:val="en-US" w:eastAsia="zh-CN" w:bidi="ar"/>
        </w:rPr>
        <w:t>货物需求</w:t>
      </w:r>
      <w:r>
        <w:rPr>
          <w:rFonts w:hint="eastAsia" w:ascii="宋体" w:hAnsi="宋体" w:eastAsia="宋体" w:cs="宋体"/>
          <w:color w:val="000000"/>
          <w:kern w:val="0"/>
          <w:sz w:val="21"/>
          <w:szCs w:val="21"/>
          <w:lang w:val="en-US" w:eastAsia="zh-CN" w:bidi="ar"/>
        </w:rPr>
        <w:t>”如有不一致，以“</w:t>
      </w:r>
      <w:r>
        <w:rPr>
          <w:rFonts w:hint="eastAsia" w:ascii="宋体" w:hAnsi="宋体" w:eastAsia="宋体" w:cs="宋体"/>
          <w:kern w:val="2"/>
          <w:sz w:val="21"/>
          <w:szCs w:val="21"/>
          <w:lang w:val="en-US" w:eastAsia="zh-CN" w:bidi="ar"/>
        </w:rPr>
        <w:t>货物需求</w:t>
      </w:r>
      <w:r>
        <w:rPr>
          <w:rFonts w:hint="eastAsia" w:ascii="宋体" w:hAnsi="宋体" w:eastAsia="宋体" w:cs="宋体"/>
          <w:color w:val="000000"/>
          <w:kern w:val="0"/>
          <w:sz w:val="21"/>
          <w:szCs w:val="21"/>
          <w:lang w:val="en-US" w:eastAsia="zh-CN" w:bidi="ar"/>
        </w:rPr>
        <w:t>”中内容为准）：</w:t>
      </w:r>
    </w:p>
    <w:p w14:paraId="43DECB9A">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color w:val="000000"/>
          <w:kern w:val="0"/>
          <w:szCs w:val="21"/>
          <w:lang w:val="en-US"/>
        </w:rPr>
      </w:pPr>
      <w:r>
        <w:rPr>
          <w:rFonts w:hint="eastAsia" w:ascii="宋体" w:hAnsi="宋体" w:eastAsia="宋体" w:cs="宋体"/>
          <w:b/>
          <w:bCs/>
          <w:color w:val="000000"/>
          <w:kern w:val="0"/>
          <w:sz w:val="21"/>
          <w:szCs w:val="21"/>
          <w:lang w:val="en-US" w:eastAsia="zh-CN" w:bidi="ar"/>
        </w:rPr>
        <w:t>（1）智慧空调管控</w:t>
      </w:r>
    </w:p>
    <w:p w14:paraId="3C1922C6">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lang w:val="en-US"/>
        </w:rPr>
      </w:pPr>
      <w:r>
        <w:rPr>
          <w:rFonts w:hint="eastAsia" w:ascii="宋体" w:hAnsi="宋体" w:eastAsia="宋体" w:cs="宋体"/>
          <w:color w:val="000000"/>
          <w:kern w:val="0"/>
          <w:sz w:val="21"/>
          <w:szCs w:val="21"/>
          <w:lang w:val="en-US" w:eastAsia="zh-CN" w:bidi="ar"/>
        </w:rPr>
        <w:t>实现对馆内空</w:t>
      </w:r>
      <w:r>
        <w:rPr>
          <w:rFonts w:hint="eastAsia" w:ascii="宋体" w:hAnsi="宋体" w:eastAsia="宋体" w:cs="宋体"/>
          <w:kern w:val="0"/>
          <w:sz w:val="21"/>
          <w:szCs w:val="21"/>
          <w:lang w:val="en-US" w:eastAsia="zh-CN" w:bidi="ar"/>
        </w:rPr>
        <w:t>调的统一控制，本次空调通过数据采集器实现控制及数据获取</w:t>
      </w:r>
      <w:bookmarkStart w:id="12" w:name="OLE_LINK15"/>
      <w:bookmarkStart w:id="13" w:name="OLE_LINK16"/>
      <w:r>
        <w:rPr>
          <w:rFonts w:hint="eastAsia" w:ascii="宋体" w:hAnsi="宋体" w:eastAsia="宋体" w:cs="宋体"/>
          <w:kern w:val="0"/>
          <w:sz w:val="21"/>
          <w:szCs w:val="21"/>
          <w:lang w:val="en-US" w:eastAsia="zh-CN" w:bidi="ar"/>
        </w:rPr>
        <w:t>，通过空调控制主机的RS485接口对接实现，按采购人需求可以实现空调主机本身对外提供的所有功能，采用数据采集器通过RS485协议接口对设备进行控制，一台空调主机配置1个通信网关进行控制。</w:t>
      </w:r>
      <w:bookmarkEnd w:id="12"/>
      <w:r>
        <w:rPr>
          <w:rFonts w:hint="eastAsia" w:ascii="宋体" w:hAnsi="宋体" w:eastAsia="宋体" w:cs="宋体"/>
          <w:kern w:val="0"/>
          <w:sz w:val="21"/>
          <w:szCs w:val="21"/>
          <w:lang w:val="en-US" w:eastAsia="zh-CN" w:bidi="ar"/>
        </w:rPr>
        <w:t>空调主机对外应提供的功能包含但不限于：空调开关、模式设置、风速设置、温度设置以及空调状态监测等。本次共部署通信网关2套。</w:t>
      </w:r>
    </w:p>
    <w:bookmarkEnd w:id="13"/>
    <w:p w14:paraId="0207E14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kern w:val="0"/>
          <w:szCs w:val="21"/>
          <w:lang w:val="en-US"/>
        </w:rPr>
      </w:pPr>
      <w:r>
        <w:rPr>
          <w:rFonts w:hint="eastAsia" w:ascii="宋体" w:hAnsi="宋体" w:eastAsia="宋体" w:cs="宋体"/>
          <w:b/>
          <w:bCs/>
          <w:kern w:val="0"/>
          <w:sz w:val="21"/>
          <w:szCs w:val="21"/>
          <w:lang w:val="en-US" w:eastAsia="zh-CN" w:bidi="ar"/>
        </w:rPr>
        <w:t>（2）智慧环境监测</w:t>
      </w:r>
    </w:p>
    <w:p w14:paraId="733C1B6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实现对馆内环境温湿度及相关空气质量数据的监测，温湿度监测通过物联网空气质量传感器实现。空气质量传感器</w:t>
      </w:r>
      <w:bookmarkStart w:id="14" w:name="OLE_LINK18"/>
      <w:r>
        <w:rPr>
          <w:rFonts w:hint="eastAsia" w:ascii="宋体" w:hAnsi="宋体" w:eastAsia="宋体" w:cs="宋体"/>
          <w:kern w:val="0"/>
          <w:sz w:val="21"/>
          <w:szCs w:val="21"/>
          <w:lang w:val="en-US" w:eastAsia="zh-CN" w:bidi="ar"/>
        </w:rPr>
        <w:t>不仅可以监测环境温度、湿度，还可以监测CO₂、甲醛、PM2.5、TVOC空气粉尘颗粒度等属性；</w:t>
      </w:r>
      <w:bookmarkEnd w:id="14"/>
      <w:r>
        <w:rPr>
          <w:rFonts w:hint="eastAsia" w:ascii="宋体" w:hAnsi="宋体" w:eastAsia="宋体" w:cs="宋体"/>
          <w:kern w:val="0"/>
          <w:sz w:val="21"/>
          <w:szCs w:val="21"/>
          <w:lang w:val="en-US" w:eastAsia="zh-CN" w:bidi="ar"/>
        </w:rPr>
        <w:t>每层1000㎡平均部署大概3个监测点。分布原则是按环境差异而非空间大小。每层平均2个网关，根据空气质量传感器位置部署。本次共部署空气传感器21个，物联网关13个。</w:t>
      </w:r>
    </w:p>
    <w:p w14:paraId="57744743">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kern w:val="0"/>
          <w:szCs w:val="21"/>
          <w:lang w:val="en-US"/>
        </w:rPr>
      </w:pPr>
      <w:r>
        <w:rPr>
          <w:rFonts w:hint="eastAsia" w:ascii="宋体" w:hAnsi="宋体" w:eastAsia="宋体" w:cs="宋体"/>
          <w:b/>
          <w:bCs/>
          <w:kern w:val="0"/>
          <w:sz w:val="21"/>
          <w:szCs w:val="21"/>
          <w:lang w:val="en-US" w:eastAsia="zh-CN" w:bidi="ar"/>
        </w:rPr>
        <w:t>（3）智慧配电室监测</w:t>
      </w:r>
    </w:p>
    <w:p w14:paraId="1F7C28B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kern w:val="0"/>
          <w:szCs w:val="21"/>
          <w:lang w:val="en-US"/>
        </w:rPr>
      </w:pPr>
      <w:bookmarkStart w:id="15" w:name="OLE_LINK17"/>
      <w:r>
        <w:rPr>
          <w:rFonts w:hint="eastAsia" w:ascii="宋体" w:hAnsi="宋体" w:eastAsia="宋体" w:cs="宋体"/>
          <w:kern w:val="0"/>
          <w:sz w:val="21"/>
          <w:szCs w:val="21"/>
          <w:lang w:val="en-US" w:eastAsia="zh-CN" w:bidi="ar"/>
        </w:rPr>
        <w:t>实现对馆内配电室相关电力数据的监测，配电室监测通过数据采集器对接融通柜实现。通过融通柜的API接口对接实现，按采购人需求可以实现融通柜对外提供的所有功能。</w:t>
      </w:r>
      <w:bookmarkEnd w:id="15"/>
      <w:r>
        <w:rPr>
          <w:rFonts w:hint="eastAsia" w:ascii="宋体" w:hAnsi="宋体" w:eastAsia="宋体" w:cs="宋体"/>
          <w:kern w:val="0"/>
          <w:sz w:val="21"/>
          <w:szCs w:val="21"/>
          <w:lang w:val="en-US" w:eastAsia="zh-CN" w:bidi="ar"/>
        </w:rPr>
        <w:t>通过部署的融通柜1套（含通信管理机）同时，物联网平台会接入配电室网络摄像机，实时监测配电室现状。</w:t>
      </w:r>
    </w:p>
    <w:p w14:paraId="7C80779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kern w:val="0"/>
          <w:szCs w:val="21"/>
          <w:lang w:val="en-US"/>
        </w:rPr>
      </w:pPr>
      <w:r>
        <w:rPr>
          <w:rFonts w:hint="eastAsia" w:ascii="宋体" w:hAnsi="宋体" w:eastAsia="宋体" w:cs="宋体"/>
          <w:b/>
          <w:bCs/>
          <w:kern w:val="0"/>
          <w:sz w:val="21"/>
          <w:szCs w:val="21"/>
          <w:lang w:val="en-US" w:eastAsia="zh-CN" w:bidi="ar"/>
        </w:rPr>
        <w:t>（4）智慧电梯监控</w:t>
      </w:r>
    </w:p>
    <w:p w14:paraId="459E9221">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kern w:val="0"/>
          <w:szCs w:val="21"/>
          <w:lang w:val="en-US"/>
        </w:rPr>
      </w:pPr>
      <w:r>
        <w:rPr>
          <w:rFonts w:hint="eastAsia" w:ascii="宋体" w:hAnsi="宋体" w:eastAsia="宋体" w:cs="宋体"/>
          <w:kern w:val="0"/>
          <w:sz w:val="21"/>
          <w:szCs w:val="21"/>
          <w:lang w:val="en-US" w:eastAsia="zh-CN" w:bidi="ar"/>
        </w:rPr>
        <w:t>实现对馆内电梯运行状态的统一监控，通过电梯控制主机的RS485接口对接实现，按采购人需求可以实现电梯主机本身对外提供的所有功能：如电梯上下停梯状态、门开关状态、系统报故障等状态。本次共部署通信网关5套。</w:t>
      </w:r>
    </w:p>
    <w:p w14:paraId="65428B62">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2、标识符号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020"/>
        <w:gridCol w:w="1217"/>
        <w:gridCol w:w="5518"/>
      </w:tblGrid>
      <w:tr w14:paraId="16ED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0" w:type="dxa"/>
            <w:tcBorders>
              <w:top w:val="single" w:color="auto" w:sz="4" w:space="0"/>
              <w:left w:val="single" w:color="auto" w:sz="4" w:space="0"/>
              <w:bottom w:val="single" w:color="auto" w:sz="4" w:space="0"/>
              <w:right w:val="single" w:color="auto" w:sz="4" w:space="0"/>
            </w:tcBorders>
            <w:shd w:val="clear"/>
            <w:noWrap/>
            <w:vAlign w:val="center"/>
          </w:tcPr>
          <w:p w14:paraId="226D4D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标识类型</w:t>
            </w:r>
          </w:p>
        </w:tc>
        <w:tc>
          <w:tcPr>
            <w:tcW w:w="1217" w:type="dxa"/>
            <w:tcBorders>
              <w:top w:val="single" w:color="auto" w:sz="4" w:space="0"/>
              <w:left w:val="single" w:color="auto" w:sz="4" w:space="0"/>
              <w:bottom w:val="single" w:color="auto" w:sz="4" w:space="0"/>
              <w:right w:val="single" w:color="auto" w:sz="4" w:space="0"/>
            </w:tcBorders>
            <w:shd w:val="clear"/>
            <w:noWrap/>
            <w:vAlign w:val="center"/>
          </w:tcPr>
          <w:p w14:paraId="3D58B9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宋体"/>
                <w:b/>
                <w:bCs/>
                <w:color w:val="000000"/>
                <w:kern w:val="0"/>
                <w:sz w:val="21"/>
                <w:szCs w:val="21"/>
                <w:bdr w:val="none" w:color="auto" w:sz="0" w:space="0"/>
                <w:lang w:val="en-US" w:eastAsia="zh-CN" w:bidi="ar"/>
              </w:rPr>
              <w:t>标识符号</w:t>
            </w:r>
          </w:p>
        </w:tc>
        <w:tc>
          <w:tcPr>
            <w:tcW w:w="5518" w:type="dxa"/>
            <w:tcBorders>
              <w:top w:val="single" w:color="auto" w:sz="4" w:space="0"/>
              <w:left w:val="single" w:color="auto" w:sz="4" w:space="0"/>
              <w:bottom w:val="single" w:color="auto" w:sz="4" w:space="0"/>
              <w:right w:val="single" w:color="auto" w:sz="4" w:space="0"/>
            </w:tcBorders>
            <w:shd w:val="clear"/>
            <w:noWrap/>
            <w:vAlign w:val="center"/>
          </w:tcPr>
          <w:p w14:paraId="1D2C93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标识符号含义</w:t>
            </w:r>
          </w:p>
        </w:tc>
      </w:tr>
      <w:tr w14:paraId="4639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20" w:type="dxa"/>
            <w:tcBorders>
              <w:top w:val="single" w:color="auto" w:sz="4" w:space="0"/>
              <w:left w:val="single" w:color="auto" w:sz="4" w:space="0"/>
              <w:bottom w:val="single" w:color="auto" w:sz="4" w:space="0"/>
              <w:right w:val="single" w:color="auto" w:sz="4" w:space="0"/>
            </w:tcBorders>
            <w:shd w:val="clear"/>
            <w:noWrap/>
            <w:vAlign w:val="center"/>
          </w:tcPr>
          <w:p w14:paraId="32BEF6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关键指标项</w:t>
            </w:r>
          </w:p>
        </w:tc>
        <w:tc>
          <w:tcPr>
            <w:tcW w:w="1217" w:type="dxa"/>
            <w:tcBorders>
              <w:top w:val="single" w:color="auto" w:sz="4" w:space="0"/>
              <w:left w:val="single" w:color="auto" w:sz="4" w:space="0"/>
              <w:bottom w:val="single" w:color="auto" w:sz="4" w:space="0"/>
              <w:right w:val="single" w:color="auto" w:sz="4" w:space="0"/>
            </w:tcBorders>
            <w:shd w:val="clear"/>
            <w:noWrap/>
            <w:vAlign w:val="center"/>
          </w:tcPr>
          <w:p w14:paraId="44DF3E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w:t>
            </w:r>
          </w:p>
        </w:tc>
        <w:tc>
          <w:tcPr>
            <w:tcW w:w="5518" w:type="dxa"/>
            <w:tcBorders>
              <w:top w:val="single" w:color="auto" w:sz="4" w:space="0"/>
              <w:left w:val="single" w:color="auto" w:sz="4" w:space="0"/>
              <w:bottom w:val="single" w:color="auto" w:sz="4" w:space="0"/>
              <w:right w:val="single" w:color="auto" w:sz="4" w:space="0"/>
            </w:tcBorders>
            <w:shd w:val="clear"/>
            <w:noWrap/>
            <w:vAlign w:val="center"/>
          </w:tcPr>
          <w:p w14:paraId="7815B3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不响应或负偏离的</w:t>
            </w:r>
            <w:r>
              <w:rPr>
                <w:rFonts w:hint="eastAsia" w:ascii="宋体" w:hAnsi="宋体" w:eastAsia="宋体" w:cs="宋体"/>
                <w:b/>
                <w:bCs/>
                <w:color w:val="000000"/>
                <w:kern w:val="0"/>
                <w:sz w:val="21"/>
                <w:szCs w:val="21"/>
                <w:bdr w:val="none" w:color="auto" w:sz="0" w:space="0"/>
                <w:lang w:val="en-US" w:eastAsia="zh-CN" w:bidi="ar"/>
              </w:rPr>
              <w:t>，投标无效</w:t>
            </w:r>
          </w:p>
        </w:tc>
      </w:tr>
      <w:tr w14:paraId="5AEA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4" w:hRule="atLeast"/>
          <w:jc w:val="center"/>
        </w:trPr>
        <w:tc>
          <w:tcPr>
            <w:tcW w:w="2020" w:type="dxa"/>
            <w:tcBorders>
              <w:top w:val="single" w:color="auto" w:sz="4" w:space="0"/>
              <w:left w:val="single" w:color="auto" w:sz="4" w:space="0"/>
              <w:bottom w:val="single" w:color="auto" w:sz="4" w:space="0"/>
              <w:right w:val="single" w:color="auto" w:sz="4" w:space="0"/>
            </w:tcBorders>
            <w:shd w:val="clear"/>
            <w:noWrap/>
            <w:vAlign w:val="center"/>
          </w:tcPr>
          <w:p w14:paraId="7BCF53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重要指标项</w:t>
            </w:r>
          </w:p>
        </w:tc>
        <w:tc>
          <w:tcPr>
            <w:tcW w:w="1217" w:type="dxa"/>
            <w:tcBorders>
              <w:top w:val="single" w:color="auto" w:sz="4" w:space="0"/>
              <w:left w:val="single" w:color="auto" w:sz="4" w:space="0"/>
              <w:bottom w:val="single" w:color="auto" w:sz="4" w:space="0"/>
              <w:right w:val="single" w:color="auto" w:sz="4" w:space="0"/>
            </w:tcBorders>
            <w:shd w:val="clear"/>
            <w:noWrap/>
            <w:vAlign w:val="center"/>
          </w:tcPr>
          <w:p w14:paraId="6BCDF8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w:t>
            </w:r>
          </w:p>
        </w:tc>
        <w:tc>
          <w:tcPr>
            <w:tcW w:w="5518" w:type="dxa"/>
            <w:tcBorders>
              <w:top w:val="single" w:color="auto" w:sz="4" w:space="0"/>
              <w:left w:val="single" w:color="auto" w:sz="4" w:space="0"/>
              <w:bottom w:val="single" w:color="auto" w:sz="4" w:space="0"/>
              <w:right w:val="single" w:color="auto" w:sz="4" w:space="0"/>
            </w:tcBorders>
            <w:shd w:val="clear"/>
            <w:noWrap/>
            <w:vAlign w:val="center"/>
          </w:tcPr>
          <w:p w14:paraId="73EA92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评分项，详见评分细则</w:t>
            </w:r>
          </w:p>
        </w:tc>
      </w:tr>
      <w:tr w14:paraId="09E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20" w:type="dxa"/>
            <w:tcBorders>
              <w:top w:val="single" w:color="auto" w:sz="4" w:space="0"/>
              <w:left w:val="single" w:color="auto" w:sz="4" w:space="0"/>
              <w:bottom w:val="single" w:color="auto" w:sz="4" w:space="0"/>
              <w:right w:val="single" w:color="auto" w:sz="4" w:space="0"/>
            </w:tcBorders>
            <w:shd w:val="clear"/>
            <w:noWrap/>
            <w:vAlign w:val="center"/>
          </w:tcPr>
          <w:p w14:paraId="6A1012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一般指标项</w:t>
            </w:r>
          </w:p>
        </w:tc>
        <w:tc>
          <w:tcPr>
            <w:tcW w:w="1217" w:type="dxa"/>
            <w:tcBorders>
              <w:top w:val="single" w:color="auto" w:sz="4" w:space="0"/>
              <w:left w:val="single" w:color="auto" w:sz="4" w:space="0"/>
              <w:bottom w:val="single" w:color="auto" w:sz="4" w:space="0"/>
              <w:right w:val="single" w:color="auto" w:sz="4" w:space="0"/>
            </w:tcBorders>
            <w:shd w:val="clear"/>
            <w:noWrap/>
            <w:vAlign w:val="center"/>
          </w:tcPr>
          <w:p w14:paraId="0A9390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w:t>
            </w:r>
          </w:p>
        </w:tc>
        <w:tc>
          <w:tcPr>
            <w:tcW w:w="5518" w:type="dxa"/>
            <w:tcBorders>
              <w:top w:val="single" w:color="auto" w:sz="4" w:space="0"/>
              <w:left w:val="single" w:color="auto" w:sz="4" w:space="0"/>
              <w:bottom w:val="single" w:color="auto" w:sz="4" w:space="0"/>
              <w:right w:val="single" w:color="auto" w:sz="4" w:space="0"/>
            </w:tcBorders>
            <w:shd w:val="clear"/>
            <w:noWrap/>
            <w:vAlign w:val="center"/>
          </w:tcPr>
          <w:p w14:paraId="177379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评分项，详见评分细则</w:t>
            </w:r>
          </w:p>
        </w:tc>
      </w:tr>
      <w:tr w14:paraId="2B33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20" w:type="dxa"/>
            <w:tcBorders>
              <w:top w:val="single" w:color="auto" w:sz="4" w:space="0"/>
              <w:left w:val="single" w:color="auto" w:sz="4" w:space="0"/>
              <w:bottom w:val="single" w:color="auto" w:sz="4" w:space="0"/>
              <w:right w:val="single" w:color="auto" w:sz="4" w:space="0"/>
            </w:tcBorders>
            <w:shd w:val="clear"/>
            <w:noWrap/>
            <w:vAlign w:val="center"/>
          </w:tcPr>
          <w:p w14:paraId="28E8D8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无标识项</w:t>
            </w:r>
          </w:p>
        </w:tc>
        <w:tc>
          <w:tcPr>
            <w:tcW w:w="1217" w:type="dxa"/>
            <w:tcBorders>
              <w:top w:val="single" w:color="auto" w:sz="4" w:space="0"/>
              <w:left w:val="single" w:color="auto" w:sz="4" w:space="0"/>
              <w:bottom w:val="single" w:color="auto" w:sz="4" w:space="0"/>
              <w:right w:val="single" w:color="auto" w:sz="4" w:space="0"/>
            </w:tcBorders>
            <w:shd w:val="clear"/>
            <w:noWrap/>
            <w:vAlign w:val="center"/>
          </w:tcPr>
          <w:p w14:paraId="65D5A3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p>
        </w:tc>
        <w:tc>
          <w:tcPr>
            <w:tcW w:w="5518" w:type="dxa"/>
            <w:tcBorders>
              <w:top w:val="single" w:color="auto" w:sz="4" w:space="0"/>
              <w:left w:val="single" w:color="auto" w:sz="4" w:space="0"/>
              <w:bottom w:val="single" w:color="auto" w:sz="4" w:space="0"/>
              <w:right w:val="single" w:color="auto" w:sz="4" w:space="0"/>
            </w:tcBorders>
            <w:shd w:val="clear"/>
            <w:noWrap/>
            <w:vAlign w:val="center"/>
          </w:tcPr>
          <w:p w14:paraId="12B1E1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3条及以上不响应或负偏离的</w:t>
            </w:r>
            <w:r>
              <w:rPr>
                <w:rFonts w:hint="eastAsia" w:ascii="宋体" w:hAnsi="宋体" w:eastAsia="宋体" w:cs="宋体"/>
                <w:b/>
                <w:bCs/>
                <w:color w:val="000000"/>
                <w:kern w:val="0"/>
                <w:sz w:val="21"/>
                <w:szCs w:val="21"/>
                <w:bdr w:val="none" w:color="auto" w:sz="0" w:space="0"/>
                <w:lang w:val="en-US" w:eastAsia="zh-CN" w:bidi="ar"/>
              </w:rPr>
              <w:t>，投标无效</w:t>
            </w:r>
          </w:p>
        </w:tc>
      </w:tr>
      <w:tr w14:paraId="4D88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8" w:hRule="atLeast"/>
          <w:jc w:val="center"/>
        </w:trPr>
        <w:tc>
          <w:tcPr>
            <w:tcW w:w="8755" w:type="dxa"/>
            <w:gridSpan w:val="3"/>
            <w:tcBorders>
              <w:top w:val="single" w:color="auto" w:sz="4" w:space="0"/>
              <w:left w:val="single" w:color="auto" w:sz="4" w:space="0"/>
              <w:bottom w:val="single" w:color="auto" w:sz="4" w:space="0"/>
              <w:right w:val="single" w:color="auto" w:sz="4" w:space="0"/>
            </w:tcBorders>
            <w:shd w:val="clear"/>
            <w:noWrap/>
            <w:vAlign w:val="center"/>
          </w:tcPr>
          <w:p w14:paraId="77387AAF">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注：</w:t>
            </w:r>
          </w:p>
          <w:p w14:paraId="7C038314">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1.如某项标识中包含多条技术参数或要求，则该项标识所含内容均需满足或优于招标文件要求，否则不予认可。</w:t>
            </w:r>
          </w:p>
          <w:p w14:paraId="7167E9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kern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2.“所属行业”栏标注为“/”的项为所投产品配套的工程或服务，无需在《中小企业声明函》中列明。</w:t>
            </w:r>
          </w:p>
        </w:tc>
      </w:tr>
    </w:tbl>
    <w:p w14:paraId="083621B7">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p>
    <w:p w14:paraId="3A202CF0">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3、货物需求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3"/>
        <w:gridCol w:w="765"/>
        <w:gridCol w:w="4548"/>
        <w:gridCol w:w="817"/>
        <w:gridCol w:w="936"/>
        <w:gridCol w:w="921"/>
      </w:tblGrid>
      <w:tr w14:paraId="4F2A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9"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15A875D3">
            <w:pPr>
              <w:keepNext w:val="0"/>
              <w:keepLines w:val="0"/>
              <w:widowControl w:val="0"/>
              <w:suppressLineNumbers w:val="0"/>
              <w:tabs>
                <w:tab w:val="left" w:pos="3600"/>
              </w:tabs>
              <w:adjustRightInd w:val="0"/>
              <w:snapToGrid w:val="0"/>
              <w:spacing w:before="0" w:beforeAutospacing="0" w:after="0" w:afterAutospacing="0" w:line="30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序号</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1D95F1A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货物名称</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50EDD91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最低技术参数及要求</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66E731BC">
            <w:pPr>
              <w:keepNext w:val="0"/>
              <w:keepLines w:val="0"/>
              <w:widowControl w:val="0"/>
              <w:suppressLineNumbers w:val="0"/>
              <w:tabs>
                <w:tab w:val="left" w:pos="3600"/>
              </w:tabs>
              <w:adjustRightInd w:val="0"/>
              <w:snapToGrid w:val="0"/>
              <w:spacing w:before="0" w:beforeAutospacing="0" w:after="0" w:afterAutospacing="0" w:line="30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数量（台/套）</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2D47A6C5">
            <w:pPr>
              <w:keepNext w:val="0"/>
              <w:keepLines w:val="0"/>
              <w:widowControl w:val="0"/>
              <w:suppressLineNumbers w:val="0"/>
              <w:tabs>
                <w:tab w:val="left" w:pos="3600"/>
              </w:tabs>
              <w:adjustRightInd w:val="0"/>
              <w:snapToGrid w:val="0"/>
              <w:spacing w:before="0" w:beforeAutospacing="0" w:after="0" w:afterAutospacing="0" w:line="30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所属行业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4EA80110">
            <w:pPr>
              <w:keepNext w:val="0"/>
              <w:keepLines w:val="0"/>
              <w:widowControl w:val="0"/>
              <w:suppressLineNumbers w:val="0"/>
              <w:tabs>
                <w:tab w:val="left" w:pos="3600"/>
              </w:tabs>
              <w:adjustRightInd w:val="0"/>
              <w:snapToGrid w:val="0"/>
              <w:spacing w:before="0" w:beforeAutospacing="0" w:after="0" w:afterAutospacing="0" w:line="300" w:lineRule="auto"/>
              <w:ind w:left="0" w:right="0"/>
              <w:jc w:val="center"/>
              <w:rPr>
                <w:rFonts w:hint="eastAsia" w:ascii="宋体" w:hAnsi="宋体" w:eastAsia="宋体" w:cs="宋体"/>
                <w:b/>
                <w:bCs/>
                <w:color w:val="000000"/>
                <w:kern w:val="0"/>
                <w:szCs w:val="21"/>
                <w:bdr w:val="none" w:color="auto" w:sz="0" w:space="0"/>
                <w:lang w:val="en-US"/>
              </w:rPr>
            </w:pPr>
            <w:r>
              <w:rPr>
                <w:rFonts w:hint="eastAsia" w:ascii="宋体" w:hAnsi="宋体" w:eastAsia="宋体" w:cs="Times New Roman"/>
                <w:b/>
                <w:bCs/>
                <w:kern w:val="2"/>
                <w:sz w:val="21"/>
                <w:szCs w:val="21"/>
                <w:bdr w:val="none" w:color="auto" w:sz="0" w:space="0"/>
                <w:lang w:val="en-US" w:eastAsia="zh-CN" w:bidi="ar"/>
              </w:rPr>
              <w:t>是否为核心产品</w:t>
            </w:r>
          </w:p>
        </w:tc>
      </w:tr>
      <w:tr w14:paraId="04E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022F6CC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4D82D33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物联网控制中心</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6C83A3D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■1、硬件要求：千兆以太网口数≥8个；千兆SFP光口数≥4个；</w:t>
            </w:r>
            <w:r>
              <w:rPr>
                <w:rFonts w:hint="eastAsia" w:ascii="宋体" w:hAnsi="宋体" w:eastAsia="宋体" w:cs="宋体"/>
                <w:b/>
                <w:bCs/>
                <w:kern w:val="2"/>
                <w:sz w:val="21"/>
                <w:szCs w:val="21"/>
                <w:bdr w:val="none" w:color="auto" w:sz="0" w:space="0"/>
                <w:lang w:val="en-US" w:eastAsia="zh-CN" w:bidi="ar"/>
              </w:rPr>
              <w:t>（投标文件中提供所投产品实物图片证明）</w:t>
            </w:r>
          </w:p>
          <w:p w14:paraId="3722BC3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2、内存≥16G；存储≥512G SSD；</w:t>
            </w:r>
          </w:p>
          <w:p w14:paraId="7E6E63B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bCs/>
                <w:szCs w:val="21"/>
                <w:bdr w:val="none" w:color="auto" w:sz="0" w:space="0"/>
                <w:lang w:val="en-US"/>
              </w:rPr>
            </w:pPr>
            <w:r>
              <w:rPr>
                <w:rFonts w:hint="eastAsia" w:ascii="宋体" w:hAnsi="宋体" w:eastAsia="宋体" w:cs="宋体"/>
                <w:kern w:val="2"/>
                <w:sz w:val="21"/>
                <w:szCs w:val="21"/>
                <w:bdr w:val="none" w:color="auto" w:sz="0" w:space="0"/>
                <w:lang w:val="en-US" w:eastAsia="zh-CN" w:bidi="ar"/>
              </w:rPr>
              <w:t>●3、系统具有物联大屏、空间漫游、智慧应用、智慧物联、智能策略、AI分析、数据中心、系统管理等功能；</w:t>
            </w:r>
            <w:r>
              <w:rPr>
                <w:rFonts w:hint="eastAsia" w:ascii="宋体" w:hAnsi="宋体" w:eastAsia="宋体" w:cs="宋体"/>
                <w:b/>
                <w:bCs/>
                <w:kern w:val="2"/>
                <w:sz w:val="21"/>
                <w:szCs w:val="21"/>
                <w:bdr w:val="none" w:color="auto" w:sz="0" w:space="0"/>
                <w:lang w:val="en-US" w:eastAsia="zh-CN" w:bidi="ar"/>
              </w:rPr>
              <w:t>（投标文件中提供软件功能截图）</w:t>
            </w:r>
          </w:p>
          <w:p w14:paraId="23DD5A0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4、物联大屏：</w:t>
            </w:r>
          </w:p>
          <w:p w14:paraId="05958A0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●①具备空间总览、设备信息、设备分类数据展示，支持设备状态展示、告警信息展示等；</w:t>
            </w:r>
            <w:r>
              <w:rPr>
                <w:rFonts w:hint="eastAsia" w:ascii="宋体" w:hAnsi="宋体" w:eastAsia="宋体" w:cs="宋体"/>
                <w:b/>
                <w:bCs/>
                <w:kern w:val="2"/>
                <w:sz w:val="21"/>
                <w:szCs w:val="21"/>
                <w:bdr w:val="none" w:color="auto" w:sz="0" w:space="0"/>
                <w:lang w:val="en-US" w:eastAsia="zh-CN" w:bidi="ar"/>
              </w:rPr>
              <w:t>（投标文件中提供软件功能截图）</w:t>
            </w:r>
          </w:p>
          <w:p w14:paraId="2609EE5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②大屏数据展示可通过后台按需配置，比如温度趋势数据、电量趋势数据等；</w:t>
            </w:r>
          </w:p>
          <w:p w14:paraId="10624CA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5、空间漫游：</w:t>
            </w:r>
          </w:p>
          <w:p w14:paraId="6864ADF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①支持空间区域、空间设备、空间策略等空间部署功能；</w:t>
            </w:r>
          </w:p>
          <w:p w14:paraId="4DA9748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②VR全景方式展示，通过空间热点切换到具体楼栋的全景方式展示，再切换到具体楼栋的具体楼层，具体房间的全景方式展示；</w:t>
            </w:r>
          </w:p>
          <w:p w14:paraId="1BFDC09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③VR全景展示过程中支持指南针功能，指南针可跟随视角变换，VR全景中支持显示整个空间区域的树状结构目录，在具体空间VR全景界面上可实现对空调的管控操作：电源开关、模式设置、风速设置、温度设置；</w:t>
            </w:r>
          </w:p>
          <w:p w14:paraId="0883EE7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6、智慧应用：</w:t>
            </w:r>
          </w:p>
          <w:p w14:paraId="112CAB5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①设备管控：一个页面展示所有空间主要设备状态，包含但不限于灯、空调，且可以进行快速开关操作；</w:t>
            </w:r>
          </w:p>
          <w:p w14:paraId="45B7952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②可以通过选择楼栋、楼层展示对应的空间，可以进入到具体空间，查看当前空间所有设备的详细信息并精细化管控；</w:t>
            </w:r>
          </w:p>
          <w:p w14:paraId="57CA094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●③视频巡查：实现一个页面即可展示所有空间当前摄像头视频图像，可以通过选择楼栋、楼层展示对应空间的视频图像；</w:t>
            </w:r>
            <w:r>
              <w:rPr>
                <w:rFonts w:hint="eastAsia" w:ascii="宋体" w:hAnsi="宋体" w:eastAsia="宋体" w:cs="宋体"/>
                <w:b/>
                <w:bCs/>
                <w:kern w:val="2"/>
                <w:sz w:val="21"/>
                <w:szCs w:val="21"/>
                <w:bdr w:val="none" w:color="auto" w:sz="0" w:space="0"/>
                <w:lang w:val="en-US" w:eastAsia="zh-CN" w:bidi="ar"/>
              </w:rPr>
              <w:t>（投标文件中提供软件功能截图）</w:t>
            </w:r>
          </w:p>
          <w:p w14:paraId="5E2AAA9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④具备智慧空调系统、智慧电梯系统、智慧阅览室环境系统、智慧配电室系统等智慧应用子系统。</w:t>
            </w:r>
          </w:p>
          <w:p w14:paraId="4576EAF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7、智慧物联：</w:t>
            </w:r>
          </w:p>
          <w:p w14:paraId="0389208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①支持设备统一管理，可以通过平台对所有传感器进行统一管理； </w:t>
            </w:r>
          </w:p>
          <w:p w14:paraId="02C7F67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●②支持空间统一管理，可以实现多级空间配置，实现设备空间关联配置；（</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355832E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③支持向管理人员展示整体物联网设备运行状态，包括空间设备应用情况、具体设备当前状态、告警情况等信息，实现管理可视化；</w:t>
            </w:r>
          </w:p>
          <w:p w14:paraId="2C47B0E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8、智能策略：</w:t>
            </w:r>
          </w:p>
          <w:p w14:paraId="0542BCC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①具备情景策略、定时策略、巡检策略、联动策略等功能；</w:t>
            </w:r>
          </w:p>
          <w:p w14:paraId="16B50D5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●②具备情景模式配置功能，不同空间配置不同的模式，每个模式的名称和内容可以自定义配置；（</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40CC94C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③具备巡检策略设定功能，记录并存储巡检报告，比如平台定时对全部设备进行巡检，及时发现异常设备，消除隐患；</w:t>
            </w:r>
          </w:p>
          <w:p w14:paraId="6FFD1D2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9、AI分析：</w:t>
            </w:r>
          </w:p>
          <w:p w14:paraId="43B1A56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①支持应用大数据分析、设备运行时长分析等；</w:t>
            </w:r>
          </w:p>
          <w:p w14:paraId="17D238C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●②节能减排：支持智慧用电分析，包含区域用电分析、设备用电分析、用电同比分析、用电环比分析；</w:t>
            </w:r>
            <w:r>
              <w:rPr>
                <w:rFonts w:hint="eastAsia" w:ascii="宋体" w:hAnsi="宋体" w:eastAsia="宋体" w:cs="宋体"/>
                <w:b/>
                <w:bCs/>
                <w:kern w:val="2"/>
                <w:sz w:val="21"/>
                <w:szCs w:val="21"/>
                <w:bdr w:val="none" w:color="auto" w:sz="0" w:space="0"/>
                <w:lang w:val="en-US" w:eastAsia="zh-CN" w:bidi="ar"/>
              </w:rPr>
              <w:t>（投标文件中提供软件功能截图）</w:t>
            </w:r>
          </w:p>
          <w:p w14:paraId="2136ED2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10、数据中心：</w:t>
            </w:r>
          </w:p>
          <w:p w14:paraId="41D9B71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①支持设备状态数据、设备操作数据、设备传感器数据、设备上下线日志数据；支持设备类型统计、设备属性统计功能；</w:t>
            </w:r>
          </w:p>
          <w:p w14:paraId="1C5E7E7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●②支持数据专业化分析图表展示，图表形式包括且不限于折线图、扇形图、柱状图、动态统计图、对比图等；（</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348F92F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11、系统管理：</w:t>
            </w:r>
          </w:p>
          <w:p w14:paraId="5C01660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①具备用户管理、角色管理，菜单管理、部门管理等功能； </w:t>
            </w:r>
          </w:p>
          <w:p w14:paraId="5B70D68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■②支持管理员分权分级，不同管理员拥有不同的管辖权限，方便平台的维护管理，比如后勤管理人员可以管理所有楼栋的空调；（</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2ACDADD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12、APP运维：</w:t>
            </w:r>
          </w:p>
          <w:p w14:paraId="0B9937F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①实现手机APP运维，APP主要包含空间、设备、策略等功能；</w:t>
            </w:r>
          </w:p>
          <w:p w14:paraId="1D8802E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②通过手机APP即可进行空间查询、设备管理、策略配置、系统告警、设备巡检等功能；</w:t>
            </w:r>
          </w:p>
          <w:p w14:paraId="69771AB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★13、本次须配置WEB界面管理和APP管理系统软件各一套；</w:t>
            </w:r>
          </w:p>
          <w:p w14:paraId="5300581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★14、平台开放API接口以供第三方系统调用，该项费用包含在本项目投标报价中；</w:t>
            </w:r>
          </w:p>
          <w:p w14:paraId="143891A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●15、投标文件提供所投产品物联网智慧控制平台类计算机软件著作权登记证书扫描件。</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6CB2FE2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1套</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29B13DE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051F5D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6065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6011B4E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2509B28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▲物联网网关</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64114B0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■1、Zigbee3.0、315MHz和433MHz通信协议；（</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5D4C5AF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2、支持POE供电或DC 5V供电；</w:t>
            </w:r>
          </w:p>
          <w:p w14:paraId="6901D85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3、网关支持WEB界面管理，支持网关信息显示，支持网关配置等；</w:t>
            </w:r>
          </w:p>
          <w:p w14:paraId="05FE700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4、具备智慧用电、智慧照明、智慧空调等功能。支持对灯的开关控制及状态监测，支持设置空调的电源开关、温度、风速和模式等功能；</w:t>
            </w:r>
          </w:p>
          <w:p w14:paraId="1AEB20D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5、支持通过物联网协议接入终端传感器，并将数据发送到物联网管控平台；支持接收物联网管控平台发送的命令并实现对终端设备的控制； </w:t>
            </w:r>
          </w:p>
          <w:p w14:paraId="29B666E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●6、并发接入物理设备数：≥40个；并发接入逻辑设备数：≥120个；（</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3EEC031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■7、智慧网关在断网情况下，本地触控屏可以控制灯、空调等设备的开关；（</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5039BC8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8、支持状态灯显示网关与平台连接状态；</w:t>
            </w:r>
          </w:p>
          <w:p w14:paraId="25AE03A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9、支持通过ssh及telnet进行远程调；</w:t>
            </w:r>
          </w:p>
          <w:p w14:paraId="5C6E221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●10、投标文件提供所投产品物联网智慧网关类计算机软件著作权登记证书扫描件。</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03301E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13个</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1DC7ED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6284A57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是</w:t>
            </w:r>
          </w:p>
        </w:tc>
      </w:tr>
      <w:tr w14:paraId="02D9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3037500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4390A85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通信网关</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1353D81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★1、无线连接：Zigbee协议；</w:t>
            </w:r>
          </w:p>
          <w:p w14:paraId="4619F72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2、有线端口：RS485/RS232可选；</w:t>
            </w:r>
          </w:p>
          <w:p w14:paraId="7A90567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3、无线距离：≥100m(室外，无遮蔽)；</w:t>
            </w:r>
          </w:p>
          <w:p w14:paraId="1B4E29F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4、供电方式：DC 5V或AC 220V；</w:t>
            </w:r>
          </w:p>
          <w:p w14:paraId="4A2CB1A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5、重启按钮：按住按钮后设备将重启；</w:t>
            </w:r>
          </w:p>
          <w:p w14:paraId="4B390C7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6、指示灯：标配工作状态指示灯；</w:t>
            </w:r>
          </w:p>
          <w:p w14:paraId="1EAE619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7、具备数据采集功能及设备控制功能；</w:t>
            </w:r>
          </w:p>
          <w:p w14:paraId="2A54682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■8、采集232协议或485协议的设备数据，通过Zigbee协议发送到物联网关及物联网管控平台；（</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6EDDAE4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●9、通过Zigbee协议接收到物联网管控平台及网关发送的命令，控制232协议或485协议的设备；（</w:t>
            </w:r>
            <w:r>
              <w:rPr>
                <w:rFonts w:hint="eastAsia" w:ascii="宋体" w:hAnsi="宋体" w:eastAsia="宋体" w:cs="宋体"/>
                <w:b/>
                <w:bCs/>
                <w:kern w:val="2"/>
                <w:sz w:val="21"/>
                <w:szCs w:val="21"/>
                <w:bdr w:val="none" w:color="auto" w:sz="0" w:space="0"/>
                <w:lang w:val="en-US" w:eastAsia="zh-CN" w:bidi="ar"/>
              </w:rPr>
              <w:t>投标文件中提供第三方机构出具的具有CMA标识的检测报告扫描件</w:t>
            </w:r>
            <w:r>
              <w:rPr>
                <w:rFonts w:hint="eastAsia" w:ascii="宋体" w:hAnsi="宋体" w:eastAsia="宋体" w:cs="宋体"/>
                <w:kern w:val="2"/>
                <w:sz w:val="21"/>
                <w:szCs w:val="21"/>
                <w:bdr w:val="none" w:color="auto" w:sz="0" w:space="0"/>
                <w:lang w:val="en-US" w:eastAsia="zh-CN" w:bidi="ar"/>
              </w:rPr>
              <w:t>）</w:t>
            </w:r>
          </w:p>
          <w:p w14:paraId="6C1C437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10、支持232协议或485协议的第三方设备自有命令码的定制开发接入；</w:t>
            </w:r>
          </w:p>
          <w:p w14:paraId="3B54C1B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11、按采购人要求实现空调、电梯对外提供的接口功能；</w:t>
            </w:r>
          </w:p>
          <w:p w14:paraId="6B6A705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●12、</w:t>
            </w:r>
            <w:r>
              <w:rPr>
                <w:rFonts w:hint="eastAsia" w:ascii="宋体" w:hAnsi="宋体" w:eastAsia="宋体" w:cs="宋体"/>
                <w:b/>
                <w:bCs/>
                <w:kern w:val="2"/>
                <w:sz w:val="21"/>
                <w:szCs w:val="21"/>
                <w:bdr w:val="none" w:color="auto" w:sz="0" w:space="0"/>
                <w:lang w:val="en-US" w:eastAsia="zh-CN" w:bidi="ar"/>
              </w:rPr>
              <w:t>投标文件提供所投产品通信中间件类计算机软件著作权登记证书扫描件。</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7DC4FB1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7个</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59AB710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4A6657C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756D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0A309B6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5FB1ED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空气质量传感器</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683CFDA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★1、Zigbee通信协议；</w:t>
            </w:r>
          </w:p>
          <w:p w14:paraId="352C642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2、用于监测温度、湿度、CO₂、甲醛、PM2.5、TVOC空气粉尘颗粒度等；</w:t>
            </w:r>
          </w:p>
          <w:p w14:paraId="7C11719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3、温度采集：范围为0-60℃，分辨率≤0.1℃；</w:t>
            </w:r>
          </w:p>
          <w:p w14:paraId="56993E8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4、湿度采集：范围为0-95%RH，分辨率≤0.1%RH； </w:t>
            </w:r>
          </w:p>
          <w:p w14:paraId="72417AD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5、甲醛采集：范围为0-10mg/m³，分辨率≤0.001mg/m³； </w:t>
            </w:r>
          </w:p>
          <w:p w14:paraId="7233F28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6、PM2.5采集：范围为0-1000ug/m³；分辨率≤1ug/m³；</w:t>
            </w:r>
          </w:p>
          <w:p w14:paraId="6AEB387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7、CO₂采集：范围为0-1000ppm；分辨率≤1ppm；</w:t>
            </w:r>
          </w:p>
          <w:p w14:paraId="6D9F4E4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8、TVOC采集：范围为0-99.9ppm，分辨率≤0.001ppm； </w:t>
            </w:r>
          </w:p>
          <w:p w14:paraId="2188CDE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9、支持告警策略，当检测值超过阈值触发自动告警；</w:t>
            </w:r>
          </w:p>
          <w:p w14:paraId="28D552E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10、支持联动策略，如温度值与空调联动，湿度值与加湿器、除湿器联动，触发条件时则执行空调开关，加湿器、除湿器开关等动作； </w:t>
            </w:r>
          </w:p>
          <w:p w14:paraId="140B477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11、工作电压：DC 24V。</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2352A30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21个</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2F7C35F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0D6177F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6A3F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62FC81C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7C4017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通信管理机</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744FBEF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1、兼容协议：支持485通讯（Modbus）、M-bus、104/101/103等；</w:t>
            </w:r>
          </w:p>
          <w:p w14:paraId="0CCF9F5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2、通讯方式:有线/4G（可选）；</w:t>
            </w:r>
          </w:p>
          <w:p w14:paraId="461ACB6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 xml:space="preserve">3、数据接口：符合国标，本次配置不低于2个网络接口，4个串口； </w:t>
            </w:r>
          </w:p>
          <w:p w14:paraId="4B581D7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4、管理容量：≥100个设备；</w:t>
            </w:r>
          </w:p>
          <w:p w14:paraId="6E6B024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5、同时支持RS232、TCP/IP等多种数据上传方式；</w:t>
            </w:r>
          </w:p>
          <w:p w14:paraId="7AA3446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6、电源电压：380/220±20%；</w:t>
            </w:r>
          </w:p>
          <w:p w14:paraId="282F18A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7、电源频率：50HZ±5%。</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672639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4台</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6D678EF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140AE22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7D7C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773803C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536700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综合能耗监测柜</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7857D91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1、支持多种操作系统：Windows系统、linux系统；</w:t>
            </w:r>
          </w:p>
          <w:p w14:paraId="5E38531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2、系统采用分布式微服务架构系统，按业务进行划分为独立的服务单元，模块化组成，具备电力监控、能耗管理、两部制电价管理以及事故告警等功能；</w:t>
            </w:r>
          </w:p>
          <w:p w14:paraId="7231E8A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3、实时数据：实时曲线，显示厂站设备的三相无功、有功、电压、电压谐波、电流、电流谐波、计数、铜排温度、功率因数等等实时数据；</w:t>
            </w:r>
          </w:p>
          <w:p w14:paraId="5E0E1D6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4、历史数据：历史曲线，显示厂站设备的三相无功、有功、电压、电流、功率因数等等实时数据；</w:t>
            </w:r>
          </w:p>
          <w:p w14:paraId="485BED3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5、在线设备：查看厂站设备在线状态，显示厂站号、厂站名称、线路名称、在线状态（离线/在线）；</w:t>
            </w:r>
          </w:p>
          <w:p w14:paraId="047FB29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6、监测并显示高压进线的电流、三向电压、有功功率、无功功率、视在功率、功率因数、频率等电气参数；</w:t>
            </w:r>
          </w:p>
          <w:p w14:paraId="640A0FA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7、监测并显示高压出线的电流、有功功率、无功功率、视在功率、功率因数、频率等电气参数；</w:t>
            </w:r>
          </w:p>
          <w:p w14:paraId="37591DC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8、系统每月可生成月度安全用电报告、能耗用电报告，统计配电室运行情况；</w:t>
            </w:r>
          </w:p>
          <w:p w14:paraId="0099DA3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9、当系统监测到遥测越限、遥信变位等事件时，主动以声音、短信、移动端、PC端等形式告知采购人，并记录相关事件，方便后期查询统计；</w:t>
            </w:r>
          </w:p>
          <w:p w14:paraId="0685265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10、系统可扩展移动运维功能，采购人可通过移动客户端或者PC客户端访问，实现配电系统的在线监测、故障录波、视频监控以及告警、巡检、抢修、缺陷管理等功能。</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1ECFD13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1套</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15BF67C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500E535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640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5E1798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4BF56C1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交换机</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56F50B6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1、≥10口全千兆POE交换机；</w:t>
            </w:r>
          </w:p>
          <w:p w14:paraId="39C926C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2、≥8个千兆POE电口，≥2个SFP千兆光口；</w:t>
            </w:r>
          </w:p>
          <w:p w14:paraId="31D174C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3、单端口最大输出功率30W；</w:t>
            </w:r>
          </w:p>
          <w:p w14:paraId="2C2A357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4、包转发率≥14.88Mpps。</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063D6A0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11个</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566C70A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5677FC3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6C14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5CFEB5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8</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32B480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智慧应用</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41F1BF5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1、物联网平台智慧应用模块实现；</w:t>
            </w:r>
          </w:p>
          <w:p w14:paraId="3B4C26C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智慧空调系统：实现一个页面展示所有空间所有空调，可以通过选择楼栋、楼层展示对应空间的空调，显示当前空调状态并快捷开关空调，也可以批量执行一键开空调一键关空调，可以进入空调详细管理界面进行空调电源开关、模式设置、风速设置、温度设置等功能；（</w:t>
            </w:r>
            <w:r>
              <w:rPr>
                <w:rFonts w:hint="eastAsia" w:ascii="宋体" w:hAnsi="宋体" w:eastAsia="宋体" w:cs="宋体"/>
                <w:b/>
                <w:bCs/>
                <w:kern w:val="2"/>
                <w:sz w:val="21"/>
                <w:szCs w:val="21"/>
                <w:bdr w:val="none" w:color="auto" w:sz="0" w:space="0"/>
                <w:lang w:val="en-US" w:eastAsia="zh-CN" w:bidi="ar"/>
              </w:rPr>
              <w:t>投标文件中提供软件功能截图</w:t>
            </w:r>
            <w:r>
              <w:rPr>
                <w:rFonts w:hint="eastAsia" w:ascii="宋体" w:hAnsi="宋体" w:eastAsia="宋体" w:cs="宋体"/>
                <w:kern w:val="2"/>
                <w:sz w:val="21"/>
                <w:szCs w:val="21"/>
                <w:bdr w:val="none" w:color="auto" w:sz="0" w:space="0"/>
                <w:lang w:val="en-US" w:eastAsia="zh-CN" w:bidi="ar"/>
              </w:rPr>
              <w:t>）</w:t>
            </w:r>
          </w:p>
          <w:p w14:paraId="4D511210">
            <w:pPr>
              <w:keepNext w:val="0"/>
              <w:keepLines w:val="0"/>
              <w:widowControl/>
              <w:numPr>
                <w:ilvl w:val="0"/>
                <w:numId w:val="1"/>
              </w:numPr>
              <w:suppressLineNumbers w:val="0"/>
              <w:spacing w:before="0" w:beforeAutospacing="0" w:after="0" w:afterAutospacing="0" w:line="360" w:lineRule="auto"/>
              <w:ind w:left="0" w:right="0" w:firstLine="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智慧阅览室环境系统：实现一个页面展示所有空气质量传感器设备，可以通过选择楼栋、楼层展示对应空间的空气质量传感器，并显示相关检测数值；</w:t>
            </w:r>
          </w:p>
          <w:p w14:paraId="230C212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4、智慧配电室系统：实现配电室高低压设备的电力数据展示，包含但不限于：电流、有功功率、无功功率、频率等电气参数；</w:t>
            </w:r>
          </w:p>
          <w:p w14:paraId="6D9F41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5、智慧电梯系统：实现一个页面展示所有电梯设备，可以选择到具体电梯，实时展示电梯当前具体运行参数；</w:t>
            </w:r>
          </w:p>
          <w:p w14:paraId="0D5A7C3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6、最终实现效果以满足用户需求为准。</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6E7F7C2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1套</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729C9B1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47FD084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2E9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75921A1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9</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392B9E8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显示屏</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461050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1、屏幕尺寸：≥65英寸；</w:t>
            </w:r>
          </w:p>
          <w:p w14:paraId="684C686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2、屏幕比例：16:9；</w:t>
            </w:r>
          </w:p>
          <w:p w14:paraId="0B7ACDD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3、显示类型：LED显示；</w:t>
            </w:r>
          </w:p>
          <w:p w14:paraId="0808057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4、运行内存/RAM：≥2GB；</w:t>
            </w:r>
          </w:p>
          <w:p w14:paraId="000F729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5、CPU核心数：四核；</w:t>
            </w:r>
          </w:p>
          <w:p w14:paraId="6C4B465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6、存储容量：≥32GB；</w:t>
            </w:r>
          </w:p>
          <w:p w14:paraId="2D4DEA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7、HDMI接口数：≥2个；</w:t>
            </w:r>
          </w:p>
          <w:p w14:paraId="3169A8F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highlight w:val="yellow"/>
                <w:bdr w:val="none" w:color="auto" w:sz="0" w:space="0"/>
                <w:lang w:val="en-US"/>
              </w:rPr>
            </w:pPr>
            <w:r>
              <w:rPr>
                <w:rFonts w:hint="eastAsia" w:ascii="宋体" w:hAnsi="宋体" w:eastAsia="宋体" w:cs="宋体"/>
                <w:kern w:val="2"/>
                <w:sz w:val="21"/>
                <w:szCs w:val="21"/>
                <w:bdr w:val="none" w:color="auto" w:sz="0" w:space="0"/>
                <w:lang w:val="en-US" w:eastAsia="zh-CN" w:bidi="ar"/>
              </w:rPr>
              <w:t>8、USB接口数：≥2个。</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6589055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1台</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1D5AA48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工业</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3080ACC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r w14:paraId="6D1F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5" w:hRule="atLeast"/>
          <w:jc w:val="center"/>
        </w:trPr>
        <w:tc>
          <w:tcPr>
            <w:tcW w:w="533" w:type="dxa"/>
            <w:tcBorders>
              <w:top w:val="single" w:color="auto" w:sz="4" w:space="0"/>
              <w:left w:val="single" w:color="auto" w:sz="4" w:space="0"/>
              <w:bottom w:val="single" w:color="auto" w:sz="4" w:space="0"/>
              <w:right w:val="single" w:color="auto" w:sz="4" w:space="0"/>
            </w:tcBorders>
            <w:shd w:val="clear"/>
            <w:vAlign w:val="center"/>
          </w:tcPr>
          <w:p w14:paraId="6234D0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10</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68A279D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综合布线</w:t>
            </w:r>
          </w:p>
        </w:tc>
        <w:tc>
          <w:tcPr>
            <w:tcW w:w="4548" w:type="dxa"/>
            <w:tcBorders>
              <w:top w:val="single" w:color="auto" w:sz="4" w:space="0"/>
              <w:left w:val="single" w:color="auto" w:sz="4" w:space="0"/>
              <w:bottom w:val="single" w:color="auto" w:sz="4" w:space="0"/>
              <w:right w:val="single" w:color="auto" w:sz="4" w:space="0"/>
            </w:tcBorders>
            <w:shd w:val="clear"/>
            <w:vAlign w:val="center"/>
          </w:tcPr>
          <w:p w14:paraId="303B930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1、综合布线</w:t>
            </w:r>
          </w:p>
          <w:p w14:paraId="029D8F7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1）物联网控制器、网关、传感器及交换机之间的综合布线工程；</w:t>
            </w:r>
          </w:p>
          <w:p w14:paraId="125C577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2）通信管理机、配电室多功能仪表及交换机之间的综合布线工程；</w:t>
            </w:r>
          </w:p>
          <w:p w14:paraId="6C480DF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3）其他强弱电综合布线工程；</w:t>
            </w:r>
          </w:p>
          <w:p w14:paraId="656034B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4）含综合布线涉及的所有主辅材；</w:t>
            </w:r>
          </w:p>
          <w:p w14:paraId="4F2970A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2、设备安装</w:t>
            </w:r>
          </w:p>
          <w:p w14:paraId="5D051D8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3、设备调试、系统调试；</w:t>
            </w:r>
          </w:p>
          <w:p w14:paraId="24B7557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4、负责对采购人进行全面的技术培训（培训费用包含在总报价中），使采购人达到能独立进行管理、维护和故障处理等工作。</w:t>
            </w:r>
          </w:p>
        </w:tc>
        <w:tc>
          <w:tcPr>
            <w:tcW w:w="817" w:type="dxa"/>
            <w:tcBorders>
              <w:top w:val="single" w:color="auto" w:sz="4" w:space="0"/>
              <w:left w:val="single" w:color="auto" w:sz="4" w:space="0"/>
              <w:bottom w:val="single" w:color="auto" w:sz="4" w:space="0"/>
              <w:right w:val="single" w:color="auto" w:sz="4" w:space="0"/>
            </w:tcBorders>
            <w:shd w:val="clear"/>
            <w:vAlign w:val="center"/>
          </w:tcPr>
          <w:p w14:paraId="472F9A4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1套</w:t>
            </w:r>
          </w:p>
        </w:tc>
        <w:tc>
          <w:tcPr>
            <w:tcW w:w="936" w:type="dxa"/>
            <w:tcBorders>
              <w:top w:val="single" w:color="auto" w:sz="4" w:space="0"/>
              <w:left w:val="single" w:color="auto" w:sz="4" w:space="0"/>
              <w:bottom w:val="single" w:color="auto" w:sz="4" w:space="0"/>
              <w:right w:val="single" w:color="auto" w:sz="4" w:space="0"/>
            </w:tcBorders>
            <w:shd w:val="clear"/>
            <w:vAlign w:val="center"/>
          </w:tcPr>
          <w:p w14:paraId="6372DD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1E55A8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否</w:t>
            </w:r>
          </w:p>
        </w:tc>
      </w:tr>
    </w:tbl>
    <w:p w14:paraId="3C79397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Cs w:val="21"/>
          <w:lang w:val="en-US"/>
        </w:rPr>
      </w:pPr>
    </w:p>
    <w:p w14:paraId="4A895AA3">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三、备品备件及专用工具</w:t>
      </w:r>
    </w:p>
    <w:p w14:paraId="60D073B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16" w:name="_Toc455587277"/>
      <w:bookmarkStart w:id="17" w:name="_Toc455587093"/>
      <w:bookmarkStart w:id="18" w:name="_Toc445554752"/>
      <w:r>
        <w:rPr>
          <w:rFonts w:hint="eastAsia" w:ascii="宋体" w:hAnsi="宋体" w:eastAsia="宋体" w:cs="宋体"/>
          <w:kern w:val="2"/>
          <w:sz w:val="21"/>
          <w:szCs w:val="21"/>
          <w:lang w:val="en-US" w:eastAsia="zh-CN" w:bidi="ar"/>
        </w:rPr>
        <w:t>1、备品备件：中标人提供能够满足质量保证期内的设备维修要求的备品备件，备品备件应是新品。</w:t>
      </w:r>
    </w:p>
    <w:p w14:paraId="41FF04F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2、专用工具：中标人提供设备安装、调试、验收、维修、保养所必要的专用工具、仪器、仪表等工具。</w:t>
      </w:r>
    </w:p>
    <w:bookmarkEnd w:id="16"/>
    <w:bookmarkEnd w:id="17"/>
    <w:bookmarkEnd w:id="18"/>
    <w:p w14:paraId="3B741C22">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19" w:name="_Toc532199625"/>
      <w:bookmarkStart w:id="20" w:name="_Toc455587278"/>
      <w:bookmarkStart w:id="21" w:name="_Toc445554753"/>
      <w:bookmarkStart w:id="22" w:name="_Toc455587094"/>
      <w:r>
        <w:rPr>
          <w:rFonts w:hint="eastAsia" w:ascii="宋体" w:hAnsi="宋体" w:eastAsia="宋体" w:cs="宋体"/>
          <w:b/>
          <w:bCs/>
          <w:kern w:val="2"/>
          <w:sz w:val="21"/>
          <w:szCs w:val="21"/>
          <w:lang w:val="en-US" w:eastAsia="zh-CN" w:bidi="ar"/>
        </w:rPr>
        <w:t>四、安装调试、验收试验及质量保证</w:t>
      </w:r>
      <w:bookmarkEnd w:id="19"/>
    </w:p>
    <w:p w14:paraId="5D01572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1、中标人在设备安装地点负责安装、调试。</w:t>
      </w:r>
    </w:p>
    <w:p w14:paraId="319FD77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2、具体设备验收标准和程序按采购人要求执行，下列验收程序可参照执行：</w:t>
      </w:r>
    </w:p>
    <w:p w14:paraId="4A7772B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36FEF5B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EE3617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 中标人应根据采购人使用单位的技术要求提供相应的产品。由中标人所提供的设备部件间的连线和插接件均应视为设备内部器件，包含在相应的设备之中。</w:t>
      </w:r>
    </w:p>
    <w:p w14:paraId="53B5C22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 运行测试及最终验收。在系统安装、调试结束后，采购人对其进行全面的测试，对测试中暴露出来的问题，中标人应及时进行整改，系统最终测试完毕经验收合格后，采购人应向中标人签发最终验收证明。</w:t>
      </w:r>
    </w:p>
    <w:p w14:paraId="5105F80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257F522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20"/>
    <w:bookmarkEnd w:id="21"/>
    <w:bookmarkEnd w:id="22"/>
    <w:p w14:paraId="2D8D4814">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23" w:name="_Toc532199626"/>
      <w:r>
        <w:rPr>
          <w:rFonts w:hint="eastAsia" w:ascii="宋体" w:hAnsi="宋体" w:eastAsia="宋体" w:cs="宋体"/>
          <w:b/>
          <w:bCs/>
          <w:kern w:val="2"/>
          <w:sz w:val="21"/>
          <w:szCs w:val="21"/>
          <w:lang w:val="en-US" w:eastAsia="zh-CN" w:bidi="ar"/>
        </w:rPr>
        <w:t>五、包装运输</w:t>
      </w:r>
      <w:bookmarkEnd w:id="23"/>
    </w:p>
    <w:p w14:paraId="1CDDAC2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24" w:name="_Toc455587279"/>
      <w:bookmarkStart w:id="25" w:name="_Toc445554754"/>
      <w:bookmarkStart w:id="26" w:name="_Toc455587095"/>
      <w:r>
        <w:rPr>
          <w:rFonts w:hint="eastAsia" w:ascii="宋体" w:hAnsi="宋体" w:eastAsia="宋体" w:cs="宋体"/>
          <w:kern w:val="2"/>
          <w:sz w:val="21"/>
          <w:szCs w:val="21"/>
          <w:lang w:val="en-US" w:eastAsia="zh-CN" w:bidi="ar"/>
        </w:rPr>
        <w:t>1、中标人负责设备包装、办理运输和保险，将设备安全运抵交货地点。</w:t>
      </w:r>
    </w:p>
    <w:p w14:paraId="45E9DC8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2、设备制造完成并通过试验后应及时包装，否则应得到切实的保护，确保其不受污损。</w:t>
      </w:r>
    </w:p>
    <w:p w14:paraId="6F006AA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3、在包装箱外应标明采购人的订货号、发货号。</w:t>
      </w:r>
    </w:p>
    <w:p w14:paraId="42B1E8F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4、各种包装应能确保各零部件在运输过程中不致遭到损坏、丢失、变形、受潮和腐蚀。</w:t>
      </w:r>
    </w:p>
    <w:p w14:paraId="035D4F4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5、包装箱上应有明显的包装储运图示标志。</w:t>
      </w:r>
    </w:p>
    <w:p w14:paraId="55A2E64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6、整体产品或分别运输的部件都要适应运输和装载的要求。</w:t>
      </w:r>
    </w:p>
    <w:p w14:paraId="4E5620F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7、随产品提供的技术资料应完整无缺。</w:t>
      </w:r>
    </w:p>
    <w:p w14:paraId="01315FD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27" w:name="_Toc532199627"/>
      <w:r>
        <w:rPr>
          <w:rFonts w:hint="eastAsia" w:ascii="宋体" w:hAnsi="宋体" w:eastAsia="宋体" w:cs="宋体"/>
          <w:b/>
          <w:bCs/>
          <w:kern w:val="2"/>
          <w:sz w:val="21"/>
          <w:szCs w:val="21"/>
          <w:lang w:val="en-US" w:eastAsia="zh-CN" w:bidi="ar"/>
        </w:rPr>
        <w:t>六、技术培训</w:t>
      </w:r>
      <w:bookmarkEnd w:id="24"/>
      <w:bookmarkEnd w:id="25"/>
      <w:bookmarkEnd w:id="26"/>
      <w:bookmarkEnd w:id="27"/>
    </w:p>
    <w:p w14:paraId="44BA3D6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1、为使合同设备能正常安装和运行，由中标人提供相应的技术培训，并免收采购人培训费用。培训内容应与工程进度相一致。</w:t>
      </w:r>
    </w:p>
    <w:p w14:paraId="502C054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2、培训的时间、人数、地点等具体内容由买卖双方商定，内容至少包括：设备原理、使用、维护、运行操作、常见故障处理等。</w:t>
      </w:r>
    </w:p>
    <w:p w14:paraId="0075A72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3、技术参数及要求里有特别规定的，以技术参数及要求中的要求为准。</w:t>
      </w:r>
    </w:p>
    <w:p w14:paraId="07C19185">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七、质保及售后服务</w:t>
      </w:r>
    </w:p>
    <w:p w14:paraId="7B400D6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1、自双方签订《验收报告》起进入免费质保期。</w:t>
      </w:r>
    </w:p>
    <w:p w14:paraId="35F37C3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Calibri" w:hAnsi="Calibri" w:eastAsia="宋体" w:cs="Times New Roman"/>
          <w:szCs w:val="22"/>
          <w:lang w:val="en-US"/>
        </w:rPr>
      </w:pPr>
      <w:r>
        <w:rPr>
          <w:rFonts w:hint="eastAsia" w:ascii="宋体" w:hAnsi="宋体" w:eastAsia="宋体" w:cs="宋体"/>
          <w:kern w:val="2"/>
          <w:sz w:val="21"/>
          <w:szCs w:val="21"/>
          <w:lang w:val="en-US" w:eastAsia="zh-CN" w:bidi="ar"/>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754D53B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default" w:ascii="Calibri" w:hAnsi="Calibri" w:eastAsia="宋体" w:cs="Times New Roman"/>
          <w:b/>
          <w:bCs w:val="0"/>
          <w:szCs w:val="22"/>
          <w:lang w:val="en-US"/>
        </w:rPr>
      </w:pPr>
      <w:r>
        <w:rPr>
          <w:rFonts w:hint="eastAsia" w:ascii="Calibri" w:hAnsi="Calibri" w:eastAsia="宋体" w:cs="Times New Roman"/>
          <w:b/>
          <w:bCs w:val="0"/>
          <w:kern w:val="2"/>
          <w:sz w:val="21"/>
          <w:szCs w:val="22"/>
          <w:lang w:val="en-US" w:eastAsia="zh-CN" w:bidi="ar"/>
        </w:rPr>
        <w:t>八、其他要求</w:t>
      </w:r>
    </w:p>
    <w:p w14:paraId="46E5BE2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1.送货安装：包送货上门、上楼，安装调试。</w:t>
      </w:r>
    </w:p>
    <w:p w14:paraId="301C4C5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2.售后服务机构要求：指定至少一名常用联络人。</w:t>
      </w:r>
    </w:p>
    <w:p w14:paraId="4EBF7FB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3.故障报修及响应时间：中标人提供7*24小时售后服务，不超过15分钟远程维护响应，远程维护解决不了问题，不超过2小时现场维护响应。</w:t>
      </w:r>
    </w:p>
    <w:p w14:paraId="046F446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Calibri" w:hAnsi="Calibri" w:eastAsia="宋体" w:cs="Times New Roman"/>
          <w:szCs w:val="22"/>
          <w:lang w:val="en-US"/>
        </w:rPr>
      </w:pPr>
      <w:r>
        <w:rPr>
          <w:rFonts w:hint="eastAsia" w:ascii="宋体" w:hAnsi="宋体" w:eastAsia="宋体" w:cs="宋体"/>
          <w:kern w:val="2"/>
          <w:sz w:val="21"/>
          <w:szCs w:val="21"/>
          <w:lang w:val="en-US" w:eastAsia="zh-CN" w:bidi="ar"/>
        </w:rPr>
        <w:t>4.验收时提供所投所有产品生产厂商出具的针对本项目的售后服务承诺函。</w:t>
      </w:r>
    </w:p>
    <w:p w14:paraId="074E1D84">
      <w:bookmarkStart w:id="28" w:name="_GoBack"/>
      <w:bookmarkEnd w:id="28"/>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C1B86"/>
    <w:multiLevelType w:val="multilevel"/>
    <w:tmpl w:val="997C1B86"/>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51507"/>
    <w:rsid w:val="52F5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keepNext/>
      <w:keepLines/>
      <w:widowControl w:val="0"/>
      <w:suppressLineNumbers w:val="0"/>
      <w:spacing w:before="260" w:beforeAutospacing="0" w:after="260" w:afterAutospacing="0" w:line="412" w:lineRule="auto"/>
      <w:ind w:left="0" w:right="0"/>
      <w:jc w:val="both"/>
      <w:outlineLvl w:val="1"/>
    </w:pPr>
    <w:rPr>
      <w:rFonts w:hint="default" w:ascii="Arial" w:hAnsi="Arial" w:eastAsia="黑体" w:cs="Arial"/>
      <w:b/>
      <w:bCs/>
      <w:kern w:val="2"/>
      <w:sz w:val="32"/>
      <w:szCs w:val="32"/>
      <w:lang w:val="en-US" w:eastAsia="zh-CN" w:bidi="ar"/>
    </w:rPr>
  </w:style>
  <w:style w:type="character" w:default="1" w:styleId="6">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D &amp;L"/>
    <w:basedOn w:val="3"/>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bCs/>
      <w:kern w:val="0"/>
      <w:sz w:val="24"/>
      <w:szCs w:val="20"/>
      <w:lang w:val="en-US" w:eastAsia="zh-CN" w:bidi="ar"/>
    </w:rPr>
  </w:style>
  <w:style w:type="character" w:customStyle="1" w:styleId="8">
    <w:name w:val="标题 2 字符"/>
    <w:basedOn w:val="6"/>
    <w:link w:val="2"/>
    <w:uiPriority w:val="0"/>
    <w:rPr>
      <w:rFonts w:hint="default" w:ascii="Arial" w:hAnsi="Arial" w:eastAsia="黑体" w:cs="Arial"/>
      <w:b/>
      <w:bCs/>
      <w:kern w:val="2"/>
      <w:sz w:val="32"/>
      <w:szCs w:val="32"/>
    </w:rPr>
  </w:style>
  <w:style w:type="paragraph" w:customStyle="1" w:styleId="9">
    <w:name w:val="xl31"/>
    <w:basedOn w:val="1"/>
    <w:uiPriority w:val="0"/>
    <w:pPr>
      <w:keepNext w:val="0"/>
      <w:keepLines w:val="0"/>
      <w:widowControl w:val="0"/>
      <w:suppressLineNumbers w:val="0"/>
      <w:adjustRightInd w:val="0"/>
      <w:snapToGrid w:val="0"/>
      <w:spacing w:before="0" w:beforeAutospacing="0" w:after="0" w:afterAutospacing="0" w:line="300" w:lineRule="auto"/>
      <w:ind w:left="0" w:right="0"/>
      <w:jc w:val="both"/>
    </w:pPr>
    <w:rPr>
      <w:rFonts w:hint="eastAsia" w:ascii="宋体" w:hAnsi="宋体" w:eastAsia="宋体" w:cs="@仿宋_GB2312"/>
      <w:bCs/>
      <w:color w:val="FF0000"/>
      <w:kern w:val="0"/>
      <w:sz w:val="21"/>
      <w:szCs w:val="21"/>
      <w:lang w:val="en-US" w:eastAsia="zh-CN" w:bidi="ar"/>
    </w:rPr>
  </w:style>
  <w:style w:type="character" w:customStyle="1" w:styleId="10">
    <w:name w:val="页眉 字符"/>
    <w:basedOn w:val="6"/>
    <w:link w:val="3"/>
    <w:uiPriority w:val="0"/>
    <w:rPr>
      <w:rFonts w:hint="eastAsia"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7281</Words>
  <Characters>7690</Characters>
  <Lines>0</Lines>
  <Paragraphs>0</Paragraphs>
  <TotalTime>0</TotalTime>
  <ScaleCrop>false</ScaleCrop>
  <LinksUpToDate>false</LinksUpToDate>
  <CharactersWithSpaces>7710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2025-02-19T09:43:00Z</dcterms:created>
  <dc:creator>校对-程龙</dc:creator>
  <cp:lastModifiedBy>校对-程龙</cp:lastModifiedBy>
  <dcterms:modified xsi:type="dcterms:W3CDTF">2025-02-19T09:44:04Z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A82982D8076E47A3AE0231C18A80F958_11</vt:lpwstr>
  </property>
  <property fmtid="{D5CDD505-2E9C-101B-9397-08002B2CF9AE}" pid="4" name="KSOTemplateDocerSaveRecord">
    <vt:lpwstr>eyJoZGlkIjoiOGUwZDg0NzM2NWExMDEzYWJhMTNjMWY2NTRkNmVkMDMiLCJ1c2VySWQiOiI0MzkwMTYzMjcifQ==</vt:lpwstr>
  </property>
</Properties>
</file>