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92D8F">
      <w:pPr>
        <w:pStyle w:val="3"/>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1EDE1B67">
      <w:pPr>
        <w:pStyle w:val="2"/>
        <w:rPr>
          <w:rStyle w:val="7"/>
          <w:rFonts w:ascii="宋体" w:hAnsi="宋体" w:eastAsia="仿宋"/>
          <w:b/>
          <w:bCs/>
          <w:sz w:val="24"/>
          <w:szCs w:val="24"/>
        </w:rPr>
      </w:pPr>
      <w:bookmarkStart w:id="1" w:name="_Toc455587089"/>
      <w:bookmarkStart w:id="2" w:name="_Toc466024556"/>
      <w:bookmarkStart w:id="3" w:name="_Toc455587273"/>
      <w:r>
        <w:rPr>
          <w:rStyle w:val="7"/>
          <w:rFonts w:hint="eastAsia" w:ascii="宋体" w:hAnsi="宋体" w:eastAsia="仿宋"/>
          <w:b/>
          <w:bCs/>
          <w:sz w:val="24"/>
          <w:szCs w:val="24"/>
        </w:rPr>
        <w:t xml:space="preserve">1. </w:t>
      </w:r>
      <w:bookmarkEnd w:id="1"/>
      <w:bookmarkEnd w:id="2"/>
      <w:bookmarkEnd w:id="3"/>
      <w:r>
        <w:rPr>
          <w:rStyle w:val="7"/>
          <w:rFonts w:hint="eastAsia" w:ascii="宋体" w:hAnsi="宋体" w:eastAsia="仿宋"/>
          <w:b/>
          <w:bCs/>
          <w:sz w:val="24"/>
          <w:szCs w:val="24"/>
        </w:rPr>
        <w:t>总体说明</w:t>
      </w:r>
    </w:p>
    <w:p w14:paraId="0C630AA9">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2C6B22B">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068707F1">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5070BEC0">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1.6除非有特别说明，本章中所列的具体参数或参数范围，均理解为采购人可接受的最低要求。</w:t>
      </w:r>
    </w:p>
    <w:p w14:paraId="114F6E39">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01E7AA54">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B242B0A">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lang w:val="en-US" w:eastAsia="zh-CN"/>
        </w:rPr>
        <w:t>核心产品</w:t>
      </w:r>
      <w:r>
        <w:rPr>
          <w:rFonts w:hint="eastAsia" w:ascii="仿宋" w:hAnsi="仿宋" w:eastAsia="仿宋" w:cs="仿宋"/>
          <w:color w:val="000000"/>
          <w:sz w:val="24"/>
        </w:rPr>
        <w:t>的名称、品牌、规格型号、数量、单价等将予以公布。</w:t>
      </w:r>
    </w:p>
    <w:p w14:paraId="6FA2F956">
      <w:pPr>
        <w:pStyle w:val="2"/>
        <w:rPr>
          <w:rStyle w:val="7"/>
          <w:rFonts w:hint="eastAsia" w:ascii="宋体" w:hAnsi="宋体" w:eastAsia="仿宋"/>
          <w:b/>
          <w:bCs/>
          <w:sz w:val="24"/>
          <w:szCs w:val="24"/>
        </w:rPr>
      </w:pPr>
      <w:bookmarkStart w:id="4" w:name="_Toc466024557"/>
      <w:bookmarkStart w:id="5" w:name="_Toc455587274"/>
      <w:bookmarkStart w:id="6" w:name="_Toc455587090"/>
      <w:r>
        <w:rPr>
          <w:rStyle w:val="7"/>
          <w:rFonts w:hint="eastAsia" w:ascii="宋体" w:hAnsi="宋体" w:eastAsia="仿宋"/>
          <w:b/>
          <w:bCs/>
          <w:sz w:val="24"/>
          <w:szCs w:val="24"/>
        </w:rPr>
        <w:t>2. 采购内容及范围</w:t>
      </w:r>
      <w:bookmarkEnd w:id="4"/>
      <w:bookmarkEnd w:id="5"/>
      <w:bookmarkEnd w:id="6"/>
    </w:p>
    <w:p w14:paraId="50F2C3C9">
      <w:pPr>
        <w:widowControl/>
        <w:tabs>
          <w:tab w:val="left" w:pos="1406"/>
        </w:tabs>
        <w:snapToGrid w:val="0"/>
        <w:spacing w:line="360" w:lineRule="auto"/>
        <w:ind w:firstLine="412" w:firstLineChars="171"/>
        <w:rPr>
          <w:rFonts w:hint="eastAsia" w:ascii="宋体" w:hAnsi="宋体"/>
          <w:b/>
          <w:sz w:val="24"/>
        </w:rPr>
      </w:pPr>
      <w:r>
        <w:rPr>
          <w:rFonts w:hint="eastAsia" w:ascii="宋体" w:hAnsi="宋体" w:eastAsia="仿宋"/>
          <w:b/>
          <w:sz w:val="24"/>
        </w:rPr>
        <w:t>2.1 采购内容</w:t>
      </w:r>
    </w:p>
    <w:p w14:paraId="53B1AD08">
      <w:pPr>
        <w:widowControl/>
        <w:autoSpaceDN w:val="0"/>
        <w:spacing w:line="360" w:lineRule="auto"/>
        <w:ind w:firstLine="480" w:firstLineChars="200"/>
        <w:jc w:val="left"/>
        <w:rPr>
          <w:rFonts w:hint="eastAsia" w:ascii="仿宋" w:hAnsi="仿宋" w:eastAsia="仿宋" w:cs="Times New Roman"/>
          <w:sz w:val="24"/>
          <w:lang w:val="en-US" w:eastAsia="zh-CN"/>
        </w:rPr>
      </w:pPr>
      <w:r>
        <w:rPr>
          <w:rFonts w:hint="eastAsia" w:ascii="仿宋" w:hAnsi="仿宋" w:eastAsia="仿宋" w:cs="Times New Roman"/>
          <w:sz w:val="24"/>
          <w:lang w:val="en-US" w:eastAsia="zh-CN"/>
        </w:rPr>
        <w:t>详见技术要求</w:t>
      </w:r>
    </w:p>
    <w:p w14:paraId="65BD379C">
      <w:pPr>
        <w:widowControl/>
        <w:tabs>
          <w:tab w:val="left" w:pos="1406"/>
        </w:tabs>
        <w:snapToGrid w:val="0"/>
        <w:spacing w:line="360" w:lineRule="auto"/>
        <w:ind w:firstLine="412" w:firstLineChars="171"/>
        <w:rPr>
          <w:rFonts w:hint="eastAsia" w:ascii="宋体" w:hAnsi="宋体" w:eastAsia="仿宋"/>
          <w:b/>
          <w:sz w:val="24"/>
        </w:rPr>
      </w:pPr>
      <w:r>
        <w:rPr>
          <w:rFonts w:hint="eastAsia" w:ascii="宋体" w:hAnsi="宋体" w:eastAsia="仿宋"/>
          <w:b/>
          <w:sz w:val="24"/>
        </w:rPr>
        <w:t>2.2 采购范围</w:t>
      </w:r>
    </w:p>
    <w:p w14:paraId="70D9E3BC">
      <w:pPr>
        <w:widowControl/>
        <w:autoSpaceDN w:val="0"/>
        <w:spacing w:line="360" w:lineRule="auto"/>
        <w:ind w:firstLine="480" w:firstLineChars="200"/>
        <w:jc w:val="left"/>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2C7F4C20">
      <w:pPr>
        <w:numPr>
          <w:ilvl w:val="0"/>
          <w:numId w:val="1"/>
        </w:num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商务条款：</w:t>
      </w:r>
    </w:p>
    <w:p w14:paraId="14189FEB">
      <w:pPr>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5DFA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68BFEB3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2F4CAA3F">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6682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DBF3F9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noWrap w:val="0"/>
            <w:vAlign w:val="top"/>
          </w:tcPr>
          <w:p w14:paraId="5DFF4552">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交货安装期</w:t>
            </w:r>
          </w:p>
        </w:tc>
        <w:tc>
          <w:tcPr>
            <w:tcW w:w="7216" w:type="dxa"/>
            <w:noWrap w:val="0"/>
            <w:vAlign w:val="top"/>
          </w:tcPr>
          <w:p w14:paraId="11F4EAE7">
            <w:pPr>
              <w:widowControl/>
              <w:adjustRightInd w:val="0"/>
              <w:snapToGrid w:val="0"/>
              <w:spacing w:line="360" w:lineRule="auto"/>
              <w:rPr>
                <w:rFonts w:hint="eastAsia" w:ascii="仿宋" w:hAnsi="仿宋" w:eastAsia="仿宋" w:cs="仿宋"/>
                <w:b/>
                <w:bCs/>
                <w:kern w:val="0"/>
                <w:sz w:val="24"/>
              </w:rPr>
            </w:pPr>
            <w:r>
              <w:rPr>
                <w:rFonts w:hint="eastAsia" w:ascii="仿宋" w:hAnsi="仿宋" w:eastAsia="仿宋" w:cs="仿宋"/>
                <w:b/>
                <w:bCs/>
                <w:kern w:val="0"/>
                <w:sz w:val="24"/>
              </w:rPr>
              <w:t xml:space="preserve"> 合同签订后，根据采购人实际需求分批次供货，每批次在接采购人通知5日内完成供货。</w:t>
            </w:r>
          </w:p>
        </w:tc>
      </w:tr>
      <w:tr w14:paraId="1425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A6F725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noWrap w:val="0"/>
            <w:vAlign w:val="top"/>
          </w:tcPr>
          <w:p w14:paraId="2FD1C21D">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供货地点</w:t>
            </w:r>
          </w:p>
        </w:tc>
        <w:tc>
          <w:tcPr>
            <w:tcW w:w="7216" w:type="dxa"/>
            <w:noWrap w:val="0"/>
            <w:vAlign w:val="top"/>
          </w:tcPr>
          <w:p w14:paraId="6A9EF880">
            <w:pPr>
              <w:pStyle w:val="4"/>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安徽省临检中心（中科大附一院12号楼4楼）</w:t>
            </w:r>
          </w:p>
        </w:tc>
      </w:tr>
      <w:tr w14:paraId="0EC6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34B871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noWrap w:val="0"/>
            <w:vAlign w:val="top"/>
          </w:tcPr>
          <w:p w14:paraId="0B32315A">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质量要求</w:t>
            </w:r>
          </w:p>
        </w:tc>
        <w:tc>
          <w:tcPr>
            <w:tcW w:w="7216" w:type="dxa"/>
            <w:noWrap w:val="0"/>
            <w:vAlign w:val="center"/>
          </w:tcPr>
          <w:p w14:paraId="1867FEBA">
            <w:pPr>
              <w:widowControl/>
              <w:adjustRightInd w:val="0"/>
              <w:snapToGrid w:val="0"/>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合格</w:t>
            </w:r>
          </w:p>
        </w:tc>
      </w:tr>
      <w:tr w14:paraId="3165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9DF6A3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1529" w:type="dxa"/>
            <w:noWrap w:val="0"/>
            <w:vAlign w:val="top"/>
          </w:tcPr>
          <w:p w14:paraId="405C89FB">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质保期</w:t>
            </w:r>
          </w:p>
        </w:tc>
        <w:tc>
          <w:tcPr>
            <w:tcW w:w="7216" w:type="dxa"/>
            <w:noWrap w:val="0"/>
            <w:vAlign w:val="center"/>
          </w:tcPr>
          <w:p w14:paraId="1D5BA610">
            <w:pPr>
              <w:widowControl/>
              <w:adjustRightInd w:val="0"/>
              <w:snapToGrid w:val="0"/>
              <w:spacing w:line="360" w:lineRule="auto"/>
              <w:rPr>
                <w:rFonts w:hint="eastAsia" w:ascii="仿宋" w:hAnsi="仿宋" w:eastAsia="仿宋" w:cs="仿宋"/>
                <w:b/>
                <w:bCs/>
                <w:kern w:val="0"/>
                <w:sz w:val="24"/>
              </w:rPr>
            </w:pPr>
            <w:r>
              <w:rPr>
                <w:rFonts w:hint="eastAsia" w:ascii="仿宋" w:hAnsi="仿宋" w:eastAsia="仿宋" w:cs="仿宋"/>
                <w:b/>
                <w:bCs/>
                <w:kern w:val="0"/>
                <w:sz w:val="24"/>
              </w:rPr>
              <w:t xml:space="preserve">/ </w:t>
            </w:r>
          </w:p>
        </w:tc>
      </w:tr>
      <w:tr w14:paraId="5F92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63EB18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5</w:t>
            </w:r>
          </w:p>
        </w:tc>
        <w:tc>
          <w:tcPr>
            <w:tcW w:w="1529" w:type="dxa"/>
            <w:noWrap w:val="0"/>
            <w:vAlign w:val="top"/>
          </w:tcPr>
          <w:p w14:paraId="6563BF43">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付款方式</w:t>
            </w:r>
          </w:p>
        </w:tc>
        <w:tc>
          <w:tcPr>
            <w:tcW w:w="7216" w:type="dxa"/>
            <w:noWrap w:val="0"/>
            <w:vAlign w:val="top"/>
          </w:tcPr>
          <w:p w14:paraId="523991A1">
            <w:pPr>
              <w:widowControl/>
              <w:adjustRightInd w:val="0"/>
              <w:snapToGrid w:val="0"/>
              <w:spacing w:line="360" w:lineRule="auto"/>
              <w:rPr>
                <w:rFonts w:hint="eastAsia" w:ascii="仿宋" w:hAnsi="仿宋" w:eastAsia="仿宋" w:cs="仿宋"/>
                <w:b/>
                <w:bCs/>
                <w:kern w:val="0"/>
                <w:sz w:val="24"/>
              </w:rPr>
            </w:pPr>
            <w:r>
              <w:rPr>
                <w:rFonts w:hint="eastAsia" w:ascii="仿宋" w:hAnsi="仿宋" w:eastAsia="仿宋" w:cs="仿宋"/>
                <w:b/>
                <w:bCs/>
                <w:kern w:val="0"/>
                <w:sz w:val="24"/>
              </w:rPr>
              <w:t>合同签订生效后，在采购人下达供货通知后 5 个工作日内原则上支付合同金额的70％预付款，但在付款前，投标人须提供与支付金额相等的不可撤销独立的银行保函（格式：见本招标文件）；货到安装验收合格，提供产品的使用、操作及维修人员的培训，并能独立操作且使用部门签字确认后，支付剩余合同款项。</w:t>
            </w:r>
          </w:p>
        </w:tc>
      </w:tr>
      <w:tr w14:paraId="04F7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A081BB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8745" w:type="dxa"/>
            <w:gridSpan w:val="2"/>
            <w:noWrap w:val="0"/>
            <w:vAlign w:val="top"/>
          </w:tcPr>
          <w:p w14:paraId="3C4C5002">
            <w:pPr>
              <w:spacing w:line="500" w:lineRule="exact"/>
              <w:jc w:val="left"/>
              <w:rPr>
                <w:rFonts w:ascii="仿宋" w:hAnsi="仿宋" w:eastAsia="仿宋" w:cs="仿宋"/>
                <w:b/>
                <w:bCs/>
                <w:color w:val="000000"/>
                <w:kern w:val="0"/>
                <w:sz w:val="24"/>
              </w:rPr>
            </w:pPr>
            <w:r>
              <w:rPr>
                <w:rFonts w:hint="eastAsia" w:ascii="仿宋" w:hAnsi="仿宋" w:eastAsia="仿宋" w:cs="仿宋"/>
                <w:b/>
                <w:bCs/>
                <w:color w:val="000000"/>
                <w:kern w:val="0"/>
                <w:sz w:val="24"/>
              </w:rPr>
              <w:t>1、下述清单中的数量均为暂定数量，投标人须按照此数量报价；最终各项目数量以实际发生为准，但最终采购总金额不超过4830000元。</w:t>
            </w:r>
          </w:p>
          <w:p w14:paraId="6ED1D3D6">
            <w:pPr>
              <w:spacing w:line="500" w:lineRule="exact"/>
              <w:jc w:val="left"/>
              <w:rPr>
                <w:rFonts w:ascii="仿宋" w:hAnsi="仿宋" w:eastAsia="仿宋" w:cs="仿宋"/>
                <w:b/>
                <w:bCs/>
                <w:color w:val="000000"/>
                <w:kern w:val="0"/>
                <w:sz w:val="24"/>
              </w:rPr>
            </w:pPr>
            <w:r>
              <w:rPr>
                <w:rFonts w:hint="eastAsia" w:ascii="仿宋" w:hAnsi="仿宋" w:eastAsia="仿宋" w:cs="仿宋"/>
                <w:b/>
                <w:bCs/>
                <w:color w:val="000000"/>
                <w:kern w:val="0"/>
                <w:sz w:val="24"/>
              </w:rPr>
              <w:t>2、下</w:t>
            </w:r>
            <w:r>
              <w:rPr>
                <w:rFonts w:hint="eastAsia" w:ascii="仿宋" w:hAnsi="仿宋" w:eastAsia="仿宋" w:cs="仿宋"/>
                <w:b/>
                <w:bCs/>
                <w:color w:val="000000"/>
                <w:sz w:val="24"/>
              </w:rPr>
              <w:t>述清单中的所有产品规格均须按照采购人要求统一供应。</w:t>
            </w:r>
          </w:p>
          <w:p w14:paraId="7D904FD5">
            <w:pPr>
              <w:spacing w:line="500" w:lineRule="exact"/>
              <w:jc w:val="left"/>
              <w:rPr>
                <w:rFonts w:ascii="仿宋" w:hAnsi="仿宋" w:eastAsia="仿宋" w:cs="仿宋"/>
                <w:b/>
                <w:bCs/>
                <w:color w:val="000000"/>
                <w:kern w:val="0"/>
                <w:sz w:val="24"/>
              </w:rPr>
            </w:pPr>
            <w:r>
              <w:rPr>
                <w:rFonts w:hint="eastAsia" w:ascii="仿宋" w:hAnsi="仿宋" w:eastAsia="仿宋" w:cs="仿宋"/>
                <w:b/>
                <w:bCs/>
                <w:color w:val="000000"/>
                <w:kern w:val="0"/>
                <w:sz w:val="24"/>
              </w:rPr>
              <w:t>3、投标人须对下述所有货物均进行投标报价，如缺项或漏项，则作为投标无效。</w:t>
            </w:r>
          </w:p>
          <w:p w14:paraId="3FF8FAFC">
            <w:pPr>
              <w:spacing w:line="500" w:lineRule="exact"/>
              <w:jc w:val="left"/>
              <w:rPr>
                <w:rFonts w:ascii="仿宋" w:hAnsi="仿宋" w:eastAsia="仿宋" w:cs="仿宋"/>
                <w:b/>
                <w:bCs/>
                <w:color w:val="000000"/>
                <w:kern w:val="0"/>
                <w:sz w:val="24"/>
              </w:rPr>
            </w:pPr>
            <w:r>
              <w:rPr>
                <w:rFonts w:hint="eastAsia" w:ascii="仿宋" w:hAnsi="仿宋" w:eastAsia="仿宋" w:cs="仿宋"/>
                <w:b/>
                <w:bCs/>
                <w:color w:val="000000"/>
                <w:kern w:val="0"/>
                <w:sz w:val="24"/>
              </w:rPr>
              <w:t>4、安装调试、质保及售后服务要求：</w:t>
            </w:r>
          </w:p>
          <w:p w14:paraId="08AE4120">
            <w:pPr>
              <w:spacing w:line="500" w:lineRule="exact"/>
              <w:jc w:val="left"/>
              <w:rPr>
                <w:rFonts w:ascii="仿宋" w:hAnsi="仿宋" w:eastAsia="仿宋" w:cs="仿宋"/>
                <w:b/>
                <w:bCs/>
                <w:color w:val="000000"/>
                <w:kern w:val="0"/>
                <w:sz w:val="24"/>
              </w:rPr>
            </w:pPr>
            <w:r>
              <w:rPr>
                <w:rFonts w:hint="eastAsia" w:ascii="仿宋" w:hAnsi="仿宋" w:eastAsia="仿宋" w:cs="仿宋"/>
                <w:b/>
                <w:bCs/>
                <w:color w:val="000000"/>
                <w:kern w:val="0"/>
                <w:sz w:val="24"/>
              </w:rPr>
              <w:t>4.1 投标人须在投标文件中承诺严格按照各实验室参控情况分批冷链配送至实验室，费用由中标商承担；</w:t>
            </w:r>
          </w:p>
          <w:p w14:paraId="062C4365">
            <w:pPr>
              <w:pStyle w:val="4"/>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rPr>
              <w:t>4.2 具体采购数量、供货批次和时间以实际需求为准。</w:t>
            </w:r>
          </w:p>
        </w:tc>
      </w:tr>
    </w:tbl>
    <w:p w14:paraId="3C28A063">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65D0CC06">
      <w:pPr>
        <w:rPr>
          <w:rFonts w:hint="eastAsia" w:ascii="仿宋" w:hAnsi="仿宋" w:eastAsia="仿宋" w:cs="仿宋"/>
          <w:b/>
          <w:sz w:val="24"/>
        </w:rPr>
      </w:pPr>
      <w:r>
        <w:rPr>
          <w:rFonts w:hint="eastAsia" w:ascii="仿宋" w:hAnsi="仿宋" w:eastAsia="仿宋" w:cs="仿宋"/>
          <w:b/>
          <w:sz w:val="24"/>
        </w:rPr>
        <w:br w:type="page"/>
      </w:r>
    </w:p>
    <w:p w14:paraId="1584ADC8">
      <w:pPr>
        <w:pStyle w:val="2"/>
        <w:rPr>
          <w:rFonts w:hint="eastAsia"/>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6375E3E9">
      <w:pPr>
        <w:spacing w:line="360" w:lineRule="auto"/>
        <w:rPr>
          <w:rFonts w:hint="eastAsia" w:ascii="仿宋" w:hAnsi="仿宋" w:eastAsia="仿宋" w:cs="仿宋"/>
          <w:b/>
          <w:sz w:val="24"/>
        </w:rPr>
      </w:pPr>
      <w:r>
        <w:rPr>
          <w:rFonts w:hint="eastAsia" w:ascii="仿宋" w:hAnsi="仿宋" w:eastAsia="仿宋" w:cs="仿宋"/>
          <w:b/>
          <w:sz w:val="24"/>
        </w:rPr>
        <w:t>二、技术要求：</w:t>
      </w:r>
    </w:p>
    <w:tbl>
      <w:tblPr>
        <w:tblStyle w:val="5"/>
        <w:tblW w:w="15138" w:type="dxa"/>
        <w:jc w:val="center"/>
        <w:tblLayout w:type="fixed"/>
        <w:tblCellMar>
          <w:top w:w="0" w:type="dxa"/>
          <w:left w:w="108" w:type="dxa"/>
          <w:bottom w:w="0" w:type="dxa"/>
          <w:right w:w="108" w:type="dxa"/>
        </w:tblCellMar>
      </w:tblPr>
      <w:tblGrid>
        <w:gridCol w:w="698"/>
        <w:gridCol w:w="2064"/>
        <w:gridCol w:w="4731"/>
        <w:gridCol w:w="5969"/>
        <w:gridCol w:w="756"/>
        <w:gridCol w:w="920"/>
      </w:tblGrid>
      <w:tr w14:paraId="19FEE3B0">
        <w:tblPrEx>
          <w:tblCellMar>
            <w:top w:w="0" w:type="dxa"/>
            <w:left w:w="108" w:type="dxa"/>
            <w:bottom w:w="0" w:type="dxa"/>
            <w:right w:w="108" w:type="dxa"/>
          </w:tblCellMar>
        </w:tblPrEx>
        <w:trPr>
          <w:trHeight w:val="584"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0F9F4C4B">
            <w:pPr>
              <w:widowControl/>
              <w:rPr>
                <w:rFonts w:hint="eastAsia" w:ascii="仿宋" w:hAnsi="仿宋" w:eastAsia="仿宋" w:cs="仿宋"/>
                <w:color w:val="000000"/>
                <w:sz w:val="24"/>
              </w:rPr>
            </w:pPr>
            <w:r>
              <w:rPr>
                <w:rFonts w:hint="eastAsia" w:ascii="仿宋" w:hAnsi="仿宋" w:eastAsia="仿宋" w:cs="仿宋"/>
                <w:color w:val="000000"/>
                <w:sz w:val="24"/>
              </w:rPr>
              <w:t>序号</w:t>
            </w:r>
          </w:p>
        </w:tc>
        <w:tc>
          <w:tcPr>
            <w:tcW w:w="2064" w:type="dxa"/>
            <w:tcBorders>
              <w:top w:val="single" w:color="auto" w:sz="4" w:space="0"/>
              <w:left w:val="nil"/>
              <w:bottom w:val="single" w:color="auto" w:sz="4" w:space="0"/>
              <w:right w:val="single" w:color="auto" w:sz="4" w:space="0"/>
            </w:tcBorders>
            <w:noWrap/>
            <w:vAlign w:val="center"/>
          </w:tcPr>
          <w:p w14:paraId="3C84721C">
            <w:pPr>
              <w:widowControl/>
              <w:rPr>
                <w:rFonts w:hint="eastAsia" w:ascii="仿宋" w:hAnsi="仿宋" w:eastAsia="仿宋" w:cs="仿宋"/>
                <w:color w:val="000000"/>
                <w:sz w:val="24"/>
              </w:rPr>
            </w:pPr>
            <w:r>
              <w:rPr>
                <w:rFonts w:hint="eastAsia" w:ascii="仿宋" w:hAnsi="仿宋" w:eastAsia="仿宋" w:cs="仿宋"/>
                <w:color w:val="000000"/>
                <w:sz w:val="24"/>
              </w:rPr>
              <w:t>专业</w:t>
            </w:r>
          </w:p>
        </w:tc>
        <w:tc>
          <w:tcPr>
            <w:tcW w:w="4731" w:type="dxa"/>
            <w:tcBorders>
              <w:top w:val="single" w:color="auto" w:sz="4" w:space="0"/>
              <w:left w:val="nil"/>
              <w:bottom w:val="single" w:color="auto" w:sz="4" w:space="0"/>
              <w:right w:val="single" w:color="auto" w:sz="4" w:space="0"/>
            </w:tcBorders>
            <w:noWrap/>
            <w:vAlign w:val="center"/>
          </w:tcPr>
          <w:p w14:paraId="71780B50">
            <w:pPr>
              <w:widowControl/>
              <w:rPr>
                <w:rFonts w:hint="eastAsia" w:ascii="仿宋" w:hAnsi="仿宋" w:eastAsia="仿宋" w:cs="仿宋"/>
                <w:color w:val="000000"/>
                <w:sz w:val="24"/>
              </w:rPr>
            </w:pPr>
            <w:r>
              <w:rPr>
                <w:rFonts w:hint="eastAsia" w:ascii="仿宋" w:hAnsi="仿宋" w:eastAsia="仿宋" w:cs="仿宋"/>
                <w:color w:val="000000"/>
                <w:sz w:val="24"/>
              </w:rPr>
              <w:t>项目</w:t>
            </w:r>
          </w:p>
        </w:tc>
        <w:tc>
          <w:tcPr>
            <w:tcW w:w="5969" w:type="dxa"/>
            <w:tcBorders>
              <w:top w:val="single" w:color="auto" w:sz="4" w:space="0"/>
              <w:left w:val="nil"/>
              <w:bottom w:val="single" w:color="auto" w:sz="4" w:space="0"/>
              <w:right w:val="single" w:color="auto" w:sz="4" w:space="0"/>
            </w:tcBorders>
            <w:noWrap/>
            <w:vAlign w:val="center"/>
          </w:tcPr>
          <w:p w14:paraId="17575424">
            <w:pPr>
              <w:widowControl/>
              <w:rPr>
                <w:rFonts w:hint="eastAsia" w:ascii="仿宋" w:hAnsi="仿宋" w:eastAsia="仿宋" w:cs="仿宋"/>
                <w:color w:val="000000"/>
                <w:sz w:val="24"/>
              </w:rPr>
            </w:pPr>
            <w:r>
              <w:rPr>
                <w:rFonts w:hint="eastAsia" w:ascii="仿宋" w:hAnsi="仿宋" w:eastAsia="仿宋" w:cs="仿宋"/>
                <w:color w:val="000000"/>
                <w:sz w:val="24"/>
              </w:rPr>
              <w:t>参数</w:t>
            </w:r>
          </w:p>
        </w:tc>
        <w:tc>
          <w:tcPr>
            <w:tcW w:w="756" w:type="dxa"/>
            <w:tcBorders>
              <w:top w:val="single" w:color="auto" w:sz="4" w:space="0"/>
              <w:left w:val="nil"/>
              <w:bottom w:val="single" w:color="auto" w:sz="4" w:space="0"/>
              <w:right w:val="single" w:color="auto" w:sz="4" w:space="0"/>
            </w:tcBorders>
            <w:noWrap w:val="0"/>
            <w:vAlign w:val="top"/>
          </w:tcPr>
          <w:p w14:paraId="3984F060">
            <w:pPr>
              <w:widowControl/>
              <w:rPr>
                <w:rFonts w:hint="eastAsia" w:ascii="仿宋" w:hAnsi="仿宋" w:eastAsia="仿宋" w:cs="仿宋"/>
                <w:color w:val="000000"/>
                <w:sz w:val="24"/>
              </w:rPr>
            </w:pPr>
            <w:r>
              <w:rPr>
                <w:rFonts w:hint="eastAsia" w:ascii="仿宋" w:hAnsi="仿宋" w:eastAsia="仿宋" w:cs="仿宋"/>
                <w:color w:val="000000"/>
                <w:sz w:val="24"/>
              </w:rPr>
              <w:t>规格</w:t>
            </w:r>
          </w:p>
        </w:tc>
        <w:tc>
          <w:tcPr>
            <w:tcW w:w="920" w:type="dxa"/>
            <w:tcBorders>
              <w:top w:val="single" w:color="auto" w:sz="4" w:space="0"/>
              <w:bottom w:val="single" w:color="auto" w:sz="4" w:space="0"/>
              <w:right w:val="single" w:color="auto" w:sz="4" w:space="0"/>
            </w:tcBorders>
            <w:noWrap w:val="0"/>
            <w:vAlign w:val="top"/>
          </w:tcPr>
          <w:p w14:paraId="10420EBF">
            <w:pPr>
              <w:widowControl/>
              <w:rPr>
                <w:rFonts w:hint="eastAsia" w:ascii="仿宋" w:hAnsi="仿宋" w:eastAsia="仿宋" w:cs="仿宋"/>
                <w:color w:val="000000"/>
                <w:sz w:val="24"/>
              </w:rPr>
            </w:pPr>
            <w:r>
              <w:rPr>
                <w:rFonts w:hint="eastAsia" w:ascii="仿宋" w:hAnsi="仿宋" w:eastAsia="仿宋" w:cs="仿宋"/>
                <w:color w:val="000000"/>
                <w:sz w:val="24"/>
              </w:rPr>
              <w:t>数量</w:t>
            </w:r>
          </w:p>
        </w:tc>
      </w:tr>
      <w:tr w14:paraId="625FEC7A">
        <w:tblPrEx>
          <w:tblCellMar>
            <w:top w:w="0" w:type="dxa"/>
            <w:left w:w="108" w:type="dxa"/>
            <w:bottom w:w="0" w:type="dxa"/>
            <w:right w:w="108" w:type="dxa"/>
          </w:tblCellMar>
        </w:tblPrEx>
        <w:trPr>
          <w:trHeight w:val="1358"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0F28EB80">
            <w:pPr>
              <w:widowControl/>
              <w:rPr>
                <w:rFonts w:hint="eastAsia" w:ascii="仿宋" w:hAnsi="仿宋" w:eastAsia="仿宋" w:cs="仿宋"/>
                <w:color w:val="000000"/>
                <w:sz w:val="24"/>
              </w:rPr>
            </w:pPr>
            <w:r>
              <w:rPr>
                <w:rFonts w:hint="eastAsia" w:ascii="仿宋" w:hAnsi="仿宋" w:eastAsia="仿宋" w:cs="仿宋"/>
                <w:color w:val="000000"/>
                <w:sz w:val="24"/>
              </w:rPr>
              <w:t>1</w:t>
            </w:r>
          </w:p>
        </w:tc>
        <w:tc>
          <w:tcPr>
            <w:tcW w:w="2064" w:type="dxa"/>
            <w:tcBorders>
              <w:top w:val="nil"/>
              <w:left w:val="nil"/>
              <w:bottom w:val="single" w:color="auto" w:sz="4" w:space="0"/>
              <w:right w:val="single" w:color="auto" w:sz="4" w:space="0"/>
            </w:tcBorders>
            <w:shd w:val="clear" w:color="000000" w:fill="FFFFFF"/>
            <w:noWrap w:val="0"/>
            <w:vAlign w:val="center"/>
          </w:tcPr>
          <w:p w14:paraId="61D6427E">
            <w:pPr>
              <w:widowControl/>
              <w:rPr>
                <w:rFonts w:hint="eastAsia" w:ascii="仿宋" w:hAnsi="仿宋" w:eastAsia="仿宋" w:cs="仿宋"/>
                <w:color w:val="000000"/>
                <w:sz w:val="24"/>
              </w:rPr>
            </w:pPr>
            <w:r>
              <w:rPr>
                <w:rFonts w:hint="eastAsia" w:ascii="仿宋" w:hAnsi="仿宋" w:eastAsia="仿宋" w:cs="仿宋"/>
                <w:color w:val="000000"/>
                <w:sz w:val="24"/>
              </w:rPr>
              <w:t>AE-01全血细胞计数（非定值）</w:t>
            </w:r>
          </w:p>
        </w:tc>
        <w:tc>
          <w:tcPr>
            <w:tcW w:w="4731" w:type="dxa"/>
            <w:tcBorders>
              <w:top w:val="nil"/>
              <w:left w:val="nil"/>
              <w:bottom w:val="single" w:color="auto" w:sz="4" w:space="0"/>
              <w:right w:val="single" w:color="auto" w:sz="4" w:space="0"/>
            </w:tcBorders>
            <w:shd w:val="clear" w:color="000000" w:fill="FFFFFF"/>
            <w:noWrap w:val="0"/>
            <w:vAlign w:val="center"/>
          </w:tcPr>
          <w:p w14:paraId="4725A7FE">
            <w:pPr>
              <w:widowControl/>
              <w:rPr>
                <w:rFonts w:hint="eastAsia" w:ascii="仿宋" w:hAnsi="仿宋" w:eastAsia="仿宋" w:cs="仿宋"/>
                <w:color w:val="000000"/>
                <w:sz w:val="24"/>
              </w:rPr>
            </w:pPr>
            <w:r>
              <w:rPr>
                <w:rFonts w:hint="eastAsia" w:ascii="仿宋" w:hAnsi="仿宋" w:eastAsia="仿宋" w:cs="仿宋"/>
                <w:color w:val="000000"/>
                <w:sz w:val="24"/>
              </w:rPr>
              <w:t>包含WBC、RBC、Hgb、HCT、MCH、MCHC和 PLT等</w:t>
            </w:r>
          </w:p>
        </w:tc>
        <w:tc>
          <w:tcPr>
            <w:tcW w:w="5969" w:type="dxa"/>
            <w:tcBorders>
              <w:top w:val="nil"/>
              <w:left w:val="nil"/>
              <w:bottom w:val="single" w:color="auto" w:sz="4" w:space="0"/>
              <w:right w:val="single" w:color="auto" w:sz="4" w:space="0"/>
            </w:tcBorders>
            <w:shd w:val="clear" w:color="000000" w:fill="FFFFFF"/>
            <w:noWrap w:val="0"/>
            <w:vAlign w:val="center"/>
          </w:tcPr>
          <w:p w14:paraId="106C43DF">
            <w:pPr>
              <w:widowControl/>
              <w:rPr>
                <w:rFonts w:hint="eastAsia" w:ascii="仿宋" w:hAnsi="仿宋" w:eastAsia="仿宋" w:cs="仿宋"/>
                <w:color w:val="000000"/>
                <w:sz w:val="24"/>
              </w:rPr>
            </w:pPr>
            <w:r>
              <w:rPr>
                <w:rFonts w:hint="eastAsia" w:ascii="仿宋" w:hAnsi="仿宋" w:eastAsia="仿宋" w:cs="仿宋"/>
                <w:color w:val="000000"/>
                <w:sz w:val="24"/>
              </w:rPr>
              <w:t>适用于血液学检验中血细胞分析质量评价，适配主流血细胞分析仪及常用方法学；样本应具备良好均一性和稳定性，覆盖低、中、高水平；在规定储存条件下具有明确有效期，开瓶后在推荐条件下保持稳定；可用于仪器自动进样或手工操作。</w:t>
            </w:r>
          </w:p>
        </w:tc>
        <w:tc>
          <w:tcPr>
            <w:tcW w:w="756" w:type="dxa"/>
            <w:tcBorders>
              <w:top w:val="nil"/>
              <w:left w:val="nil"/>
              <w:bottom w:val="single" w:color="auto" w:sz="4" w:space="0"/>
              <w:right w:val="single" w:color="auto" w:sz="4" w:space="0"/>
            </w:tcBorders>
            <w:shd w:val="clear" w:color="000000" w:fill="FFFFFF"/>
            <w:noWrap w:val="0"/>
            <w:vAlign w:val="center"/>
          </w:tcPr>
          <w:p w14:paraId="4CDC97DB">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608AAF0B">
            <w:pPr>
              <w:widowControl/>
              <w:rPr>
                <w:rFonts w:hint="eastAsia" w:ascii="仿宋" w:hAnsi="仿宋" w:eastAsia="仿宋" w:cs="仿宋"/>
                <w:color w:val="000000"/>
                <w:sz w:val="24"/>
              </w:rPr>
            </w:pPr>
            <w:r>
              <w:rPr>
                <w:rFonts w:hint="eastAsia" w:ascii="仿宋" w:hAnsi="仿宋" w:eastAsia="仿宋" w:cs="仿宋"/>
                <w:color w:val="000000"/>
                <w:sz w:val="24"/>
              </w:rPr>
              <w:t>3804</w:t>
            </w:r>
          </w:p>
        </w:tc>
      </w:tr>
      <w:tr w14:paraId="607E5675">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55E5C59D">
            <w:pPr>
              <w:widowControl/>
              <w:rPr>
                <w:rFonts w:hint="eastAsia" w:ascii="仿宋" w:hAnsi="仿宋" w:eastAsia="仿宋" w:cs="仿宋"/>
                <w:color w:val="000000"/>
                <w:sz w:val="24"/>
              </w:rPr>
            </w:pPr>
            <w:r>
              <w:rPr>
                <w:rFonts w:hint="eastAsia" w:ascii="仿宋" w:hAnsi="仿宋" w:eastAsia="仿宋" w:cs="仿宋"/>
                <w:color w:val="000000"/>
                <w:sz w:val="24"/>
              </w:rPr>
              <w:t>2</w:t>
            </w:r>
          </w:p>
        </w:tc>
        <w:tc>
          <w:tcPr>
            <w:tcW w:w="2064" w:type="dxa"/>
            <w:tcBorders>
              <w:top w:val="nil"/>
              <w:left w:val="nil"/>
              <w:bottom w:val="single" w:color="auto" w:sz="4" w:space="0"/>
              <w:right w:val="single" w:color="auto" w:sz="4" w:space="0"/>
            </w:tcBorders>
            <w:shd w:val="clear" w:color="000000" w:fill="FFFFFF"/>
            <w:noWrap w:val="0"/>
            <w:vAlign w:val="center"/>
          </w:tcPr>
          <w:p w14:paraId="057700F7">
            <w:pPr>
              <w:widowControl/>
              <w:rPr>
                <w:rFonts w:hint="eastAsia" w:ascii="仿宋" w:hAnsi="仿宋" w:eastAsia="仿宋" w:cs="仿宋"/>
                <w:color w:val="000000"/>
                <w:sz w:val="24"/>
              </w:rPr>
            </w:pPr>
            <w:r>
              <w:rPr>
                <w:rFonts w:hint="eastAsia" w:ascii="仿宋" w:hAnsi="仿宋" w:eastAsia="仿宋" w:cs="仿宋"/>
                <w:color w:val="000000"/>
                <w:sz w:val="24"/>
              </w:rPr>
              <w:t>AE-02尿液化学分析（非定值）</w:t>
            </w:r>
          </w:p>
        </w:tc>
        <w:tc>
          <w:tcPr>
            <w:tcW w:w="4731" w:type="dxa"/>
            <w:tcBorders>
              <w:top w:val="nil"/>
              <w:left w:val="nil"/>
              <w:bottom w:val="single" w:color="auto" w:sz="4" w:space="0"/>
              <w:right w:val="single" w:color="auto" w:sz="4" w:space="0"/>
            </w:tcBorders>
            <w:shd w:val="clear" w:color="000000" w:fill="FFFFFF"/>
            <w:noWrap w:val="0"/>
            <w:vAlign w:val="center"/>
          </w:tcPr>
          <w:p w14:paraId="0B067DD6">
            <w:pPr>
              <w:widowControl/>
              <w:rPr>
                <w:rFonts w:hint="eastAsia" w:ascii="仿宋" w:hAnsi="仿宋" w:eastAsia="仿宋" w:cs="仿宋"/>
                <w:color w:val="000000"/>
                <w:sz w:val="24"/>
              </w:rPr>
            </w:pPr>
            <w:r>
              <w:rPr>
                <w:rFonts w:hint="eastAsia" w:ascii="仿宋" w:hAnsi="仿宋" w:eastAsia="仿宋" w:cs="仿宋"/>
                <w:color w:val="000000"/>
                <w:sz w:val="24"/>
              </w:rPr>
              <w:t>包含pH、蛋白、葡萄糖、酮体、隐血、亚硝酸盐、尿胆原、白细胞、比重等常规项目</w:t>
            </w:r>
          </w:p>
        </w:tc>
        <w:tc>
          <w:tcPr>
            <w:tcW w:w="5969" w:type="dxa"/>
            <w:tcBorders>
              <w:top w:val="nil"/>
              <w:left w:val="nil"/>
              <w:bottom w:val="single" w:color="auto" w:sz="4" w:space="0"/>
              <w:right w:val="single" w:color="auto" w:sz="4" w:space="0"/>
            </w:tcBorders>
            <w:shd w:val="clear" w:color="000000" w:fill="FFFFFF"/>
            <w:noWrap w:val="0"/>
            <w:vAlign w:val="center"/>
          </w:tcPr>
          <w:p w14:paraId="5229E3E8">
            <w:pPr>
              <w:widowControl/>
              <w:rPr>
                <w:rFonts w:hint="eastAsia" w:ascii="仿宋" w:hAnsi="仿宋" w:eastAsia="仿宋" w:cs="仿宋"/>
                <w:color w:val="000000"/>
                <w:sz w:val="24"/>
              </w:rPr>
            </w:pPr>
            <w:r>
              <w:rPr>
                <w:rFonts w:hint="eastAsia" w:ascii="仿宋" w:hAnsi="仿宋" w:eastAsia="仿宋" w:cs="仿宋"/>
                <w:color w:val="000000"/>
                <w:sz w:val="24"/>
              </w:rPr>
              <w:t>结果水平设置于临床常用判定区间；适用于主流尿液分析系统及常用方法学，用于尿液化学分析质量评价</w:t>
            </w:r>
          </w:p>
        </w:tc>
        <w:tc>
          <w:tcPr>
            <w:tcW w:w="756" w:type="dxa"/>
            <w:tcBorders>
              <w:top w:val="nil"/>
              <w:left w:val="nil"/>
              <w:bottom w:val="single" w:color="auto" w:sz="4" w:space="0"/>
              <w:right w:val="single" w:color="auto" w:sz="4" w:space="0"/>
            </w:tcBorders>
            <w:shd w:val="clear" w:color="000000" w:fill="FFFFFF"/>
            <w:noWrap w:val="0"/>
            <w:vAlign w:val="center"/>
          </w:tcPr>
          <w:p w14:paraId="106106BC">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51984CD7">
            <w:pPr>
              <w:widowControl/>
              <w:rPr>
                <w:rFonts w:hint="eastAsia" w:ascii="仿宋" w:hAnsi="仿宋" w:eastAsia="仿宋" w:cs="仿宋"/>
                <w:color w:val="000000"/>
                <w:sz w:val="24"/>
              </w:rPr>
            </w:pPr>
            <w:r>
              <w:rPr>
                <w:rFonts w:hint="eastAsia" w:ascii="仿宋" w:hAnsi="仿宋" w:eastAsia="仿宋" w:cs="仿宋"/>
                <w:color w:val="000000"/>
                <w:sz w:val="24"/>
              </w:rPr>
              <w:t>3086</w:t>
            </w:r>
          </w:p>
        </w:tc>
      </w:tr>
      <w:tr w14:paraId="58911DDE">
        <w:tblPrEx>
          <w:tblCellMar>
            <w:top w:w="0" w:type="dxa"/>
            <w:left w:w="108" w:type="dxa"/>
            <w:bottom w:w="0" w:type="dxa"/>
            <w:right w:w="108" w:type="dxa"/>
          </w:tblCellMar>
        </w:tblPrEx>
        <w:trPr>
          <w:trHeight w:val="876"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6910EE50">
            <w:pPr>
              <w:widowControl/>
              <w:rPr>
                <w:rFonts w:hint="eastAsia" w:ascii="仿宋" w:hAnsi="仿宋" w:eastAsia="仿宋" w:cs="仿宋"/>
                <w:color w:val="000000"/>
                <w:sz w:val="24"/>
              </w:rPr>
            </w:pPr>
            <w:r>
              <w:rPr>
                <w:rFonts w:hint="eastAsia" w:ascii="仿宋" w:hAnsi="仿宋" w:eastAsia="仿宋" w:cs="仿宋"/>
                <w:color w:val="000000"/>
                <w:sz w:val="24"/>
              </w:rPr>
              <w:t>3</w:t>
            </w:r>
          </w:p>
        </w:tc>
        <w:tc>
          <w:tcPr>
            <w:tcW w:w="2064" w:type="dxa"/>
            <w:tcBorders>
              <w:top w:val="nil"/>
              <w:left w:val="nil"/>
              <w:bottom w:val="single" w:color="auto" w:sz="4" w:space="0"/>
              <w:right w:val="single" w:color="auto" w:sz="4" w:space="0"/>
            </w:tcBorders>
            <w:shd w:val="clear" w:color="000000" w:fill="FFFFFF"/>
            <w:noWrap w:val="0"/>
            <w:vAlign w:val="center"/>
          </w:tcPr>
          <w:p w14:paraId="2FF615E5">
            <w:pPr>
              <w:widowControl/>
              <w:rPr>
                <w:rFonts w:hint="eastAsia" w:ascii="仿宋" w:hAnsi="仿宋" w:eastAsia="仿宋" w:cs="仿宋"/>
                <w:color w:val="000000"/>
                <w:sz w:val="24"/>
              </w:rPr>
            </w:pPr>
            <w:r>
              <w:rPr>
                <w:rFonts w:hint="eastAsia" w:ascii="仿宋" w:hAnsi="仿宋" w:eastAsia="仿宋" w:cs="仿宋"/>
                <w:color w:val="000000"/>
                <w:sz w:val="24"/>
              </w:rPr>
              <w:t>AE-03凝血试验（非定值）</w:t>
            </w:r>
          </w:p>
        </w:tc>
        <w:tc>
          <w:tcPr>
            <w:tcW w:w="4731" w:type="dxa"/>
            <w:tcBorders>
              <w:top w:val="nil"/>
              <w:left w:val="nil"/>
              <w:bottom w:val="single" w:color="auto" w:sz="4" w:space="0"/>
              <w:right w:val="single" w:color="auto" w:sz="4" w:space="0"/>
            </w:tcBorders>
            <w:shd w:val="clear" w:color="000000" w:fill="FFFFFF"/>
            <w:noWrap w:val="0"/>
            <w:vAlign w:val="center"/>
          </w:tcPr>
          <w:p w14:paraId="77591BE1">
            <w:pPr>
              <w:widowControl/>
              <w:rPr>
                <w:rFonts w:hint="eastAsia" w:ascii="仿宋" w:hAnsi="仿宋" w:eastAsia="仿宋" w:cs="仿宋"/>
                <w:color w:val="000000"/>
                <w:sz w:val="24"/>
              </w:rPr>
            </w:pPr>
            <w:r>
              <w:rPr>
                <w:rFonts w:hint="eastAsia" w:ascii="仿宋" w:hAnsi="仿宋" w:eastAsia="仿宋" w:cs="仿宋"/>
                <w:color w:val="000000"/>
                <w:sz w:val="24"/>
              </w:rPr>
              <w:t>包含PT、APTT、纤维蛋白原、INR 等常用凝血项目</w:t>
            </w:r>
          </w:p>
        </w:tc>
        <w:tc>
          <w:tcPr>
            <w:tcW w:w="5969" w:type="dxa"/>
            <w:tcBorders>
              <w:top w:val="nil"/>
              <w:left w:val="nil"/>
              <w:bottom w:val="single" w:color="auto" w:sz="4" w:space="0"/>
              <w:right w:val="single" w:color="auto" w:sz="4" w:space="0"/>
            </w:tcBorders>
            <w:shd w:val="clear" w:color="000000" w:fill="FFFFFF"/>
            <w:noWrap w:val="0"/>
            <w:vAlign w:val="center"/>
          </w:tcPr>
          <w:p w14:paraId="5D1A2CEF">
            <w:pPr>
              <w:widowControl/>
              <w:rPr>
                <w:rFonts w:hint="eastAsia" w:ascii="仿宋" w:hAnsi="仿宋" w:eastAsia="仿宋" w:cs="仿宋"/>
                <w:color w:val="000000"/>
                <w:sz w:val="24"/>
              </w:rPr>
            </w:pPr>
            <w:r>
              <w:rPr>
                <w:rFonts w:hint="eastAsia" w:ascii="仿宋" w:hAnsi="仿宋" w:eastAsia="仿宋" w:cs="仿宋"/>
                <w:color w:val="000000"/>
                <w:sz w:val="24"/>
              </w:rPr>
              <w:t>适用于主流凝血分析系统及常用方法学；样本覆盖不同检测水平，用于评价凝血检测系统的准确性和稳定性。</w:t>
            </w:r>
          </w:p>
        </w:tc>
        <w:tc>
          <w:tcPr>
            <w:tcW w:w="756" w:type="dxa"/>
            <w:tcBorders>
              <w:top w:val="nil"/>
              <w:left w:val="nil"/>
              <w:bottom w:val="single" w:color="auto" w:sz="4" w:space="0"/>
              <w:right w:val="single" w:color="auto" w:sz="4" w:space="0"/>
            </w:tcBorders>
            <w:shd w:val="clear" w:color="000000" w:fill="FFFFFF"/>
            <w:noWrap w:val="0"/>
            <w:vAlign w:val="center"/>
          </w:tcPr>
          <w:p w14:paraId="41FACB66">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03BE1B7C">
            <w:pPr>
              <w:widowControl/>
              <w:rPr>
                <w:rFonts w:hint="eastAsia" w:ascii="仿宋" w:hAnsi="仿宋" w:eastAsia="仿宋" w:cs="仿宋"/>
                <w:color w:val="000000"/>
                <w:sz w:val="24"/>
              </w:rPr>
            </w:pPr>
            <w:r>
              <w:rPr>
                <w:rFonts w:hint="eastAsia" w:ascii="仿宋" w:hAnsi="仿宋" w:eastAsia="仿宋" w:cs="仿宋"/>
                <w:color w:val="000000"/>
                <w:sz w:val="24"/>
              </w:rPr>
              <w:t>1512</w:t>
            </w:r>
          </w:p>
        </w:tc>
      </w:tr>
      <w:tr w14:paraId="71BCFCF0">
        <w:tblPrEx>
          <w:tblCellMar>
            <w:top w:w="0" w:type="dxa"/>
            <w:left w:w="108" w:type="dxa"/>
            <w:bottom w:w="0" w:type="dxa"/>
            <w:right w:w="108" w:type="dxa"/>
          </w:tblCellMar>
        </w:tblPrEx>
        <w:trPr>
          <w:trHeight w:val="774"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3303CB26">
            <w:pPr>
              <w:widowControl/>
              <w:rPr>
                <w:rFonts w:hint="eastAsia" w:ascii="仿宋" w:hAnsi="仿宋" w:eastAsia="仿宋" w:cs="仿宋"/>
                <w:color w:val="000000"/>
                <w:sz w:val="24"/>
              </w:rPr>
            </w:pPr>
            <w:r>
              <w:rPr>
                <w:rFonts w:hint="eastAsia" w:ascii="仿宋" w:hAnsi="仿宋" w:eastAsia="仿宋" w:cs="仿宋"/>
                <w:color w:val="000000"/>
                <w:sz w:val="24"/>
              </w:rPr>
              <w:t>4</w:t>
            </w:r>
          </w:p>
        </w:tc>
        <w:tc>
          <w:tcPr>
            <w:tcW w:w="2064" w:type="dxa"/>
            <w:tcBorders>
              <w:top w:val="nil"/>
              <w:left w:val="nil"/>
              <w:bottom w:val="single" w:color="auto" w:sz="4" w:space="0"/>
              <w:right w:val="single" w:color="auto" w:sz="4" w:space="0"/>
            </w:tcBorders>
            <w:shd w:val="clear" w:color="000000" w:fill="FFFFFF"/>
            <w:noWrap w:val="0"/>
            <w:vAlign w:val="center"/>
          </w:tcPr>
          <w:p w14:paraId="5DA12B22">
            <w:pPr>
              <w:widowControl/>
              <w:rPr>
                <w:rFonts w:hint="eastAsia" w:ascii="仿宋" w:hAnsi="仿宋" w:eastAsia="仿宋" w:cs="仿宋"/>
                <w:color w:val="000000"/>
                <w:sz w:val="24"/>
              </w:rPr>
            </w:pPr>
            <w:r>
              <w:rPr>
                <w:rFonts w:hint="eastAsia" w:ascii="仿宋" w:hAnsi="仿宋" w:eastAsia="仿宋" w:cs="仿宋"/>
                <w:color w:val="000000"/>
                <w:sz w:val="24"/>
                <w:szCs w:val="24"/>
              </w:rPr>
              <w:t>▲</w:t>
            </w:r>
            <w:r>
              <w:rPr>
                <w:rFonts w:hint="eastAsia" w:ascii="仿宋" w:hAnsi="仿宋" w:eastAsia="仿宋" w:cs="仿宋"/>
                <w:color w:val="000000"/>
                <w:sz w:val="24"/>
              </w:rPr>
              <w:t>AE-05常规化学（非定值）</w:t>
            </w:r>
          </w:p>
        </w:tc>
        <w:tc>
          <w:tcPr>
            <w:tcW w:w="4731" w:type="dxa"/>
            <w:tcBorders>
              <w:top w:val="nil"/>
              <w:left w:val="nil"/>
              <w:bottom w:val="single" w:color="auto" w:sz="4" w:space="0"/>
              <w:right w:val="single" w:color="auto" w:sz="4" w:space="0"/>
            </w:tcBorders>
            <w:shd w:val="clear" w:color="000000" w:fill="FFFFFF"/>
            <w:noWrap w:val="0"/>
            <w:vAlign w:val="center"/>
          </w:tcPr>
          <w:p w14:paraId="4262BA2E">
            <w:pPr>
              <w:widowControl/>
              <w:rPr>
                <w:rFonts w:hint="eastAsia" w:ascii="仿宋" w:hAnsi="仿宋" w:eastAsia="仿宋" w:cs="仿宋"/>
                <w:color w:val="000000"/>
                <w:sz w:val="24"/>
              </w:rPr>
            </w:pPr>
            <w:r>
              <w:rPr>
                <w:rFonts w:hint="eastAsia" w:ascii="仿宋" w:hAnsi="仿宋" w:eastAsia="仿宋" w:cs="仿宋"/>
                <w:color w:val="000000"/>
                <w:sz w:val="24"/>
              </w:rPr>
              <w:t>包含常规电解质、肝功能、肾功能、酶学、血糖、血脂等生化项目</w:t>
            </w:r>
          </w:p>
        </w:tc>
        <w:tc>
          <w:tcPr>
            <w:tcW w:w="5969" w:type="dxa"/>
            <w:tcBorders>
              <w:top w:val="nil"/>
              <w:left w:val="nil"/>
              <w:bottom w:val="single" w:color="auto" w:sz="4" w:space="0"/>
              <w:right w:val="single" w:color="auto" w:sz="4" w:space="0"/>
            </w:tcBorders>
            <w:shd w:val="clear" w:color="000000" w:fill="FFFFFF"/>
            <w:noWrap w:val="0"/>
            <w:vAlign w:val="center"/>
          </w:tcPr>
          <w:p w14:paraId="1CCA3A6C">
            <w:pPr>
              <w:widowControl/>
              <w:rPr>
                <w:rFonts w:hint="eastAsia" w:ascii="仿宋" w:hAnsi="仿宋" w:eastAsia="仿宋" w:cs="仿宋"/>
                <w:color w:val="000000"/>
                <w:sz w:val="24"/>
              </w:rPr>
            </w:pPr>
            <w:r>
              <w:rPr>
                <w:rFonts w:hint="eastAsia" w:ascii="仿宋" w:hAnsi="仿宋" w:eastAsia="仿宋" w:cs="仿宋"/>
                <w:color w:val="000000"/>
                <w:sz w:val="24"/>
              </w:rPr>
              <w:t>适用于主流全自动生化分析系统；覆盖不同检测水平，用于评价检测系统性能和稳定性。</w:t>
            </w:r>
          </w:p>
        </w:tc>
        <w:tc>
          <w:tcPr>
            <w:tcW w:w="756" w:type="dxa"/>
            <w:tcBorders>
              <w:top w:val="nil"/>
              <w:left w:val="nil"/>
              <w:bottom w:val="single" w:color="auto" w:sz="4" w:space="0"/>
              <w:right w:val="single" w:color="auto" w:sz="4" w:space="0"/>
            </w:tcBorders>
            <w:shd w:val="clear" w:color="000000" w:fill="FFFFFF"/>
            <w:noWrap w:val="0"/>
            <w:vAlign w:val="center"/>
          </w:tcPr>
          <w:p w14:paraId="3C34F92F">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517A913B">
            <w:pPr>
              <w:widowControl/>
              <w:rPr>
                <w:rFonts w:hint="eastAsia" w:ascii="仿宋" w:hAnsi="仿宋" w:eastAsia="仿宋" w:cs="仿宋"/>
                <w:color w:val="000000"/>
                <w:sz w:val="24"/>
              </w:rPr>
            </w:pPr>
            <w:r>
              <w:rPr>
                <w:rFonts w:hint="eastAsia" w:ascii="仿宋" w:hAnsi="仿宋" w:eastAsia="仿宋" w:cs="仿宋"/>
                <w:color w:val="000000"/>
                <w:sz w:val="24"/>
              </w:rPr>
              <w:t>3594</w:t>
            </w:r>
          </w:p>
        </w:tc>
      </w:tr>
      <w:tr w14:paraId="36E95F3B">
        <w:tblPrEx>
          <w:tblCellMar>
            <w:top w:w="0" w:type="dxa"/>
            <w:left w:w="108" w:type="dxa"/>
            <w:bottom w:w="0" w:type="dxa"/>
            <w:right w:w="108" w:type="dxa"/>
          </w:tblCellMar>
        </w:tblPrEx>
        <w:trPr>
          <w:trHeight w:val="723"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07A4DBF5">
            <w:pPr>
              <w:widowControl/>
              <w:rPr>
                <w:rFonts w:hint="eastAsia" w:ascii="仿宋" w:hAnsi="仿宋" w:eastAsia="仿宋" w:cs="仿宋"/>
                <w:color w:val="000000"/>
                <w:sz w:val="24"/>
              </w:rPr>
            </w:pPr>
            <w:r>
              <w:rPr>
                <w:rFonts w:hint="eastAsia" w:ascii="仿宋" w:hAnsi="仿宋" w:eastAsia="仿宋" w:cs="仿宋"/>
                <w:color w:val="000000"/>
                <w:sz w:val="24"/>
              </w:rPr>
              <w:t>5</w:t>
            </w:r>
          </w:p>
        </w:tc>
        <w:tc>
          <w:tcPr>
            <w:tcW w:w="2064" w:type="dxa"/>
            <w:tcBorders>
              <w:top w:val="nil"/>
              <w:left w:val="nil"/>
              <w:bottom w:val="single" w:color="auto" w:sz="4" w:space="0"/>
              <w:right w:val="single" w:color="auto" w:sz="4" w:space="0"/>
            </w:tcBorders>
            <w:shd w:val="clear" w:color="000000" w:fill="FFFFFF"/>
            <w:noWrap w:val="0"/>
            <w:vAlign w:val="center"/>
          </w:tcPr>
          <w:p w14:paraId="653600DA">
            <w:pPr>
              <w:widowControl/>
              <w:rPr>
                <w:rFonts w:hint="eastAsia" w:ascii="仿宋" w:hAnsi="仿宋" w:eastAsia="仿宋" w:cs="仿宋"/>
                <w:color w:val="000000"/>
                <w:sz w:val="24"/>
              </w:rPr>
            </w:pPr>
            <w:r>
              <w:rPr>
                <w:rFonts w:hint="eastAsia" w:ascii="仿宋" w:hAnsi="仿宋" w:eastAsia="仿宋" w:cs="仿宋"/>
                <w:color w:val="000000"/>
                <w:sz w:val="24"/>
              </w:rPr>
              <w:t>AE-06干化学（非定值）</w:t>
            </w:r>
          </w:p>
        </w:tc>
        <w:tc>
          <w:tcPr>
            <w:tcW w:w="4731" w:type="dxa"/>
            <w:tcBorders>
              <w:top w:val="nil"/>
              <w:left w:val="nil"/>
              <w:bottom w:val="single" w:color="auto" w:sz="4" w:space="0"/>
              <w:right w:val="single" w:color="auto" w:sz="4" w:space="0"/>
            </w:tcBorders>
            <w:shd w:val="clear" w:color="000000" w:fill="FFFFFF"/>
            <w:noWrap w:val="0"/>
            <w:vAlign w:val="center"/>
          </w:tcPr>
          <w:p w14:paraId="5941F962">
            <w:pPr>
              <w:widowControl/>
              <w:rPr>
                <w:rFonts w:hint="eastAsia" w:ascii="仿宋" w:hAnsi="仿宋" w:eastAsia="仿宋" w:cs="仿宋"/>
                <w:color w:val="000000"/>
                <w:sz w:val="24"/>
              </w:rPr>
            </w:pPr>
            <w:r>
              <w:rPr>
                <w:rFonts w:hint="eastAsia" w:ascii="仿宋" w:hAnsi="仿宋" w:eastAsia="仿宋" w:cs="仿宋"/>
                <w:color w:val="000000"/>
                <w:sz w:val="24"/>
              </w:rPr>
              <w:t>包含常规电解质、生化及酶学项目</w:t>
            </w:r>
          </w:p>
        </w:tc>
        <w:tc>
          <w:tcPr>
            <w:tcW w:w="5969" w:type="dxa"/>
            <w:tcBorders>
              <w:top w:val="nil"/>
              <w:left w:val="nil"/>
              <w:bottom w:val="single" w:color="auto" w:sz="4" w:space="0"/>
              <w:right w:val="single" w:color="auto" w:sz="4" w:space="0"/>
            </w:tcBorders>
            <w:shd w:val="clear" w:color="000000" w:fill="FFFFFF"/>
            <w:noWrap w:val="0"/>
            <w:vAlign w:val="center"/>
          </w:tcPr>
          <w:p w14:paraId="1BE3E988">
            <w:pPr>
              <w:widowControl/>
              <w:rPr>
                <w:rFonts w:hint="eastAsia" w:ascii="仿宋" w:hAnsi="仿宋" w:eastAsia="仿宋" w:cs="仿宋"/>
                <w:color w:val="000000"/>
                <w:sz w:val="24"/>
              </w:rPr>
            </w:pPr>
            <w:r>
              <w:rPr>
                <w:rFonts w:hint="eastAsia" w:ascii="仿宋" w:hAnsi="仿宋" w:eastAsia="仿宋" w:cs="仿宋"/>
                <w:color w:val="000000"/>
                <w:sz w:val="24"/>
              </w:rPr>
              <w:t>适用于主流干化学分析平台；覆盖临床常用检测水平，用于干化学检测系统质量评价。</w:t>
            </w:r>
          </w:p>
        </w:tc>
        <w:tc>
          <w:tcPr>
            <w:tcW w:w="756" w:type="dxa"/>
            <w:tcBorders>
              <w:top w:val="nil"/>
              <w:left w:val="nil"/>
              <w:bottom w:val="single" w:color="auto" w:sz="4" w:space="0"/>
              <w:right w:val="single" w:color="auto" w:sz="4" w:space="0"/>
            </w:tcBorders>
            <w:shd w:val="clear" w:color="000000" w:fill="FFFFFF"/>
            <w:noWrap w:val="0"/>
            <w:vAlign w:val="center"/>
          </w:tcPr>
          <w:p w14:paraId="450ABC81">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1E7767BE">
            <w:pPr>
              <w:widowControl/>
              <w:rPr>
                <w:rFonts w:hint="eastAsia" w:ascii="仿宋" w:hAnsi="仿宋" w:eastAsia="仿宋" w:cs="仿宋"/>
                <w:color w:val="000000"/>
                <w:sz w:val="24"/>
              </w:rPr>
            </w:pPr>
            <w:r>
              <w:rPr>
                <w:rFonts w:hint="eastAsia" w:ascii="仿宋" w:hAnsi="仿宋" w:eastAsia="仿宋" w:cs="仿宋"/>
                <w:color w:val="000000"/>
                <w:sz w:val="24"/>
              </w:rPr>
              <w:t>180</w:t>
            </w:r>
          </w:p>
        </w:tc>
      </w:tr>
      <w:tr w14:paraId="1E0E0BEC">
        <w:tblPrEx>
          <w:tblCellMar>
            <w:top w:w="0" w:type="dxa"/>
            <w:left w:w="108" w:type="dxa"/>
            <w:bottom w:w="0" w:type="dxa"/>
            <w:right w:w="108" w:type="dxa"/>
          </w:tblCellMar>
        </w:tblPrEx>
        <w:trPr>
          <w:trHeight w:val="912"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6AE0EE">
            <w:pPr>
              <w:widowControl/>
              <w:rPr>
                <w:rFonts w:hint="eastAsia" w:ascii="仿宋" w:hAnsi="仿宋" w:eastAsia="仿宋" w:cs="仿宋"/>
                <w:color w:val="000000"/>
                <w:sz w:val="24"/>
              </w:rPr>
            </w:pPr>
            <w:r>
              <w:rPr>
                <w:rFonts w:hint="eastAsia" w:ascii="仿宋" w:hAnsi="仿宋" w:eastAsia="仿宋" w:cs="仿宋"/>
                <w:color w:val="000000"/>
                <w:sz w:val="24"/>
              </w:rPr>
              <w:t>6</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3BC2C701">
            <w:pPr>
              <w:widowControl/>
              <w:rPr>
                <w:rFonts w:hint="eastAsia" w:ascii="仿宋" w:hAnsi="仿宋" w:eastAsia="仿宋" w:cs="仿宋"/>
                <w:color w:val="000000"/>
                <w:sz w:val="24"/>
              </w:rPr>
            </w:pPr>
            <w:r>
              <w:rPr>
                <w:rFonts w:hint="eastAsia" w:ascii="仿宋" w:hAnsi="仿宋" w:eastAsia="仿宋" w:cs="仿宋"/>
                <w:color w:val="000000"/>
                <w:sz w:val="24"/>
              </w:rPr>
              <w:t>AE-07血气和酸碱分析 （非定值）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7FFE3A87">
            <w:pPr>
              <w:widowControl/>
              <w:rPr>
                <w:rFonts w:hint="eastAsia" w:ascii="仿宋" w:hAnsi="仿宋" w:eastAsia="仿宋" w:cs="仿宋"/>
                <w:color w:val="000000"/>
                <w:sz w:val="24"/>
              </w:rPr>
            </w:pPr>
            <w:r>
              <w:rPr>
                <w:rFonts w:hint="eastAsia" w:ascii="仿宋" w:hAnsi="仿宋" w:eastAsia="仿宋" w:cs="仿宋"/>
                <w:color w:val="000000"/>
                <w:sz w:val="24"/>
              </w:rPr>
              <w:t>包含pH、PO₂、PCO₂ 及相关电解质项目</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0E8471B3">
            <w:pPr>
              <w:widowControl/>
              <w:rPr>
                <w:rFonts w:hint="eastAsia" w:ascii="仿宋" w:hAnsi="仿宋" w:eastAsia="仿宋" w:cs="仿宋"/>
                <w:color w:val="000000"/>
                <w:sz w:val="24"/>
              </w:rPr>
            </w:pPr>
            <w:r>
              <w:rPr>
                <w:rFonts w:hint="eastAsia" w:ascii="仿宋" w:hAnsi="仿宋" w:eastAsia="仿宋" w:cs="仿宋"/>
                <w:color w:val="000000"/>
                <w:sz w:val="24"/>
              </w:rPr>
              <w:t>适用于主流血气分析系统；样本稳定性良好，用于血气和酸碱平衡检测质量评价。</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48FB93EC">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6F141F80">
            <w:pPr>
              <w:widowControl/>
              <w:rPr>
                <w:rFonts w:hint="eastAsia" w:ascii="仿宋" w:hAnsi="仿宋" w:eastAsia="仿宋" w:cs="仿宋"/>
                <w:color w:val="000000"/>
                <w:sz w:val="24"/>
              </w:rPr>
            </w:pPr>
            <w:r>
              <w:rPr>
                <w:rFonts w:hint="eastAsia" w:ascii="仿宋" w:hAnsi="仿宋" w:eastAsia="仿宋" w:cs="仿宋"/>
                <w:color w:val="000000"/>
                <w:sz w:val="24"/>
              </w:rPr>
              <w:t>252</w:t>
            </w:r>
          </w:p>
        </w:tc>
      </w:tr>
      <w:tr w14:paraId="06715470">
        <w:tblPrEx>
          <w:tblCellMar>
            <w:top w:w="0" w:type="dxa"/>
            <w:left w:w="108" w:type="dxa"/>
            <w:bottom w:w="0" w:type="dxa"/>
            <w:right w:w="108" w:type="dxa"/>
          </w:tblCellMar>
        </w:tblPrEx>
        <w:trPr>
          <w:trHeight w:val="57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F95837">
            <w:pPr>
              <w:widowControl/>
              <w:rPr>
                <w:rFonts w:hint="eastAsia" w:ascii="仿宋" w:hAnsi="仿宋" w:eastAsia="仿宋" w:cs="仿宋"/>
                <w:color w:val="000000"/>
                <w:sz w:val="24"/>
              </w:rPr>
            </w:pPr>
            <w:r>
              <w:rPr>
                <w:rFonts w:hint="eastAsia" w:ascii="仿宋" w:hAnsi="仿宋" w:eastAsia="仿宋" w:cs="仿宋"/>
                <w:color w:val="000000"/>
                <w:sz w:val="24"/>
              </w:rPr>
              <w:t>7</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605FAA74">
            <w:pPr>
              <w:widowControl/>
              <w:rPr>
                <w:rFonts w:hint="eastAsia" w:ascii="仿宋" w:hAnsi="仿宋" w:eastAsia="仿宋" w:cs="仿宋"/>
                <w:color w:val="000000"/>
                <w:sz w:val="24"/>
              </w:rPr>
            </w:pPr>
            <w:r>
              <w:rPr>
                <w:rFonts w:hint="eastAsia" w:ascii="仿宋" w:hAnsi="仿宋" w:eastAsia="仿宋" w:cs="仿宋"/>
                <w:color w:val="000000"/>
                <w:sz w:val="24"/>
              </w:rPr>
              <w:t>AE-08感染性疾病血清学标志物系列A(乙丙肝）（非定值）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209E1699">
            <w:pPr>
              <w:widowControl/>
              <w:rPr>
                <w:rFonts w:hint="eastAsia" w:ascii="仿宋" w:hAnsi="仿宋" w:eastAsia="仿宋" w:cs="仿宋"/>
                <w:color w:val="000000"/>
                <w:sz w:val="24"/>
              </w:rPr>
            </w:pPr>
            <w:r>
              <w:rPr>
                <w:rFonts w:hint="eastAsia" w:ascii="仿宋" w:hAnsi="仿宋" w:eastAsia="仿宋" w:cs="仿宋"/>
                <w:color w:val="000000"/>
                <w:sz w:val="24"/>
              </w:rPr>
              <w:t>包含HBsAg、HBsAb、HBeAg、HBeAb、HBcAb、抗-HCV项目</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6EFD9BEC">
            <w:pPr>
              <w:widowControl/>
              <w:rPr>
                <w:rFonts w:hint="eastAsia" w:ascii="仿宋" w:hAnsi="仿宋" w:eastAsia="仿宋" w:cs="仿宋"/>
                <w:color w:val="000000"/>
                <w:sz w:val="24"/>
              </w:rPr>
            </w:pPr>
            <w:r>
              <w:rPr>
                <w:rFonts w:hint="eastAsia" w:ascii="仿宋" w:hAnsi="仿宋" w:eastAsia="仿宋" w:cs="仿宋"/>
                <w:color w:val="000000"/>
                <w:sz w:val="24"/>
              </w:rPr>
              <w:t>可溯源至国际标准或者国家标准；适用于主流体外诊断试剂（包括酶联免疫、化学发光方法学）；结果水平设置于临界判定区间及常用检测范围，用于评价检测系统判别能力。</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0C3857B0">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2C26C4E7">
            <w:pPr>
              <w:widowControl/>
              <w:rPr>
                <w:rFonts w:hint="eastAsia" w:ascii="仿宋" w:hAnsi="仿宋" w:eastAsia="仿宋" w:cs="仿宋"/>
                <w:color w:val="000000"/>
                <w:sz w:val="24"/>
              </w:rPr>
            </w:pPr>
            <w:r>
              <w:rPr>
                <w:rFonts w:hint="eastAsia" w:ascii="仿宋" w:hAnsi="仿宋" w:eastAsia="仿宋" w:cs="仿宋"/>
                <w:color w:val="000000"/>
                <w:sz w:val="24"/>
              </w:rPr>
              <w:t>1222</w:t>
            </w:r>
          </w:p>
        </w:tc>
      </w:tr>
      <w:tr w14:paraId="2448053F">
        <w:tblPrEx>
          <w:tblCellMar>
            <w:top w:w="0" w:type="dxa"/>
            <w:left w:w="108" w:type="dxa"/>
            <w:bottom w:w="0" w:type="dxa"/>
            <w:right w:w="108" w:type="dxa"/>
          </w:tblCellMar>
        </w:tblPrEx>
        <w:trPr>
          <w:trHeight w:val="143"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3D037EEA">
            <w:pPr>
              <w:widowControl/>
              <w:rPr>
                <w:rFonts w:hint="eastAsia" w:ascii="仿宋" w:hAnsi="仿宋" w:eastAsia="仿宋" w:cs="仿宋"/>
                <w:color w:val="000000"/>
                <w:sz w:val="24"/>
              </w:rPr>
            </w:pPr>
            <w:r>
              <w:rPr>
                <w:rFonts w:hint="eastAsia" w:ascii="仿宋" w:hAnsi="仿宋" w:eastAsia="仿宋" w:cs="仿宋"/>
                <w:color w:val="000000"/>
                <w:sz w:val="24"/>
              </w:rPr>
              <w:t>8</w:t>
            </w:r>
          </w:p>
        </w:tc>
        <w:tc>
          <w:tcPr>
            <w:tcW w:w="2064" w:type="dxa"/>
            <w:tcBorders>
              <w:top w:val="nil"/>
              <w:left w:val="nil"/>
              <w:bottom w:val="single" w:color="auto" w:sz="4" w:space="0"/>
              <w:right w:val="single" w:color="auto" w:sz="4" w:space="0"/>
            </w:tcBorders>
            <w:shd w:val="clear" w:color="000000" w:fill="FFFFFF"/>
            <w:noWrap w:val="0"/>
            <w:vAlign w:val="center"/>
          </w:tcPr>
          <w:p w14:paraId="439E252A">
            <w:pPr>
              <w:widowControl/>
              <w:rPr>
                <w:rFonts w:hint="eastAsia" w:ascii="仿宋" w:hAnsi="仿宋" w:eastAsia="仿宋" w:cs="仿宋"/>
                <w:color w:val="000000"/>
                <w:sz w:val="24"/>
              </w:rPr>
            </w:pPr>
            <w:r>
              <w:rPr>
                <w:rFonts w:hint="eastAsia" w:ascii="仿宋" w:hAnsi="仿宋" w:eastAsia="仿宋" w:cs="仿宋"/>
                <w:color w:val="000000"/>
                <w:sz w:val="24"/>
              </w:rPr>
              <w:t>AE-09特殊蛋白（非定值）</w:t>
            </w:r>
          </w:p>
        </w:tc>
        <w:tc>
          <w:tcPr>
            <w:tcW w:w="4731" w:type="dxa"/>
            <w:tcBorders>
              <w:top w:val="nil"/>
              <w:left w:val="nil"/>
              <w:bottom w:val="single" w:color="auto" w:sz="4" w:space="0"/>
              <w:right w:val="single" w:color="auto" w:sz="4" w:space="0"/>
            </w:tcBorders>
            <w:shd w:val="clear" w:color="000000" w:fill="FFFFFF"/>
            <w:noWrap w:val="0"/>
            <w:vAlign w:val="center"/>
          </w:tcPr>
          <w:p w14:paraId="704B378A">
            <w:pPr>
              <w:widowControl/>
              <w:rPr>
                <w:rFonts w:hint="eastAsia" w:ascii="仿宋" w:hAnsi="仿宋" w:eastAsia="仿宋" w:cs="仿宋"/>
                <w:color w:val="000000"/>
                <w:sz w:val="24"/>
              </w:rPr>
            </w:pPr>
            <w:r>
              <w:rPr>
                <w:rFonts w:hint="eastAsia" w:ascii="仿宋" w:hAnsi="仿宋" w:eastAsia="仿宋" w:cs="仿宋"/>
                <w:color w:val="000000"/>
                <w:sz w:val="24"/>
              </w:rPr>
              <w:t>包含IgA、IgE、IgG、IgM、C3、C4、CRP、RF、ASO、转铁蛋白、前白蛋白、β2-微球蛋白、RBP、CER等项目</w:t>
            </w:r>
          </w:p>
        </w:tc>
        <w:tc>
          <w:tcPr>
            <w:tcW w:w="5969" w:type="dxa"/>
            <w:tcBorders>
              <w:top w:val="nil"/>
              <w:left w:val="nil"/>
              <w:bottom w:val="single" w:color="auto" w:sz="4" w:space="0"/>
              <w:right w:val="single" w:color="auto" w:sz="4" w:space="0"/>
            </w:tcBorders>
            <w:shd w:val="clear" w:color="000000" w:fill="FFFFFF"/>
            <w:noWrap w:val="0"/>
            <w:vAlign w:val="center"/>
          </w:tcPr>
          <w:p w14:paraId="43E80BD5">
            <w:pPr>
              <w:widowControl/>
              <w:rPr>
                <w:rFonts w:hint="eastAsia" w:ascii="仿宋" w:hAnsi="仿宋" w:eastAsia="仿宋" w:cs="仿宋"/>
                <w:color w:val="000000"/>
                <w:sz w:val="24"/>
              </w:rPr>
            </w:pPr>
            <w:r>
              <w:rPr>
                <w:rFonts w:hint="eastAsia" w:ascii="仿宋" w:hAnsi="仿宋" w:eastAsia="仿宋" w:cs="仿宋"/>
                <w:color w:val="000000"/>
                <w:sz w:val="24"/>
              </w:rPr>
              <w:t>适用于主流免疫分析系统；覆盖不同检测水平，用于特殊蛋白检测质量评价。</w:t>
            </w:r>
          </w:p>
        </w:tc>
        <w:tc>
          <w:tcPr>
            <w:tcW w:w="756" w:type="dxa"/>
            <w:tcBorders>
              <w:top w:val="nil"/>
              <w:left w:val="nil"/>
              <w:bottom w:val="single" w:color="auto" w:sz="4" w:space="0"/>
              <w:right w:val="single" w:color="auto" w:sz="4" w:space="0"/>
            </w:tcBorders>
            <w:shd w:val="clear" w:color="000000" w:fill="FFFFFF"/>
            <w:noWrap w:val="0"/>
            <w:vAlign w:val="center"/>
          </w:tcPr>
          <w:p w14:paraId="7A75E5F2">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2EA65EB6">
            <w:pPr>
              <w:widowControl/>
              <w:rPr>
                <w:rFonts w:hint="eastAsia" w:ascii="仿宋" w:hAnsi="仿宋" w:eastAsia="仿宋" w:cs="仿宋"/>
                <w:color w:val="000000"/>
                <w:sz w:val="24"/>
              </w:rPr>
            </w:pPr>
            <w:r>
              <w:rPr>
                <w:rFonts w:hint="eastAsia" w:ascii="仿宋" w:hAnsi="仿宋" w:eastAsia="仿宋" w:cs="仿宋"/>
                <w:color w:val="000000"/>
                <w:sz w:val="24"/>
              </w:rPr>
              <w:t>468</w:t>
            </w:r>
          </w:p>
        </w:tc>
      </w:tr>
      <w:tr w14:paraId="2257B9E4">
        <w:tblPrEx>
          <w:tblCellMar>
            <w:top w:w="0" w:type="dxa"/>
            <w:left w:w="108" w:type="dxa"/>
            <w:bottom w:w="0" w:type="dxa"/>
            <w:right w:w="108" w:type="dxa"/>
          </w:tblCellMar>
        </w:tblPrEx>
        <w:trPr>
          <w:trHeight w:val="57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065B5CC4">
            <w:pPr>
              <w:widowControl/>
              <w:rPr>
                <w:rFonts w:hint="eastAsia" w:ascii="仿宋" w:hAnsi="仿宋" w:eastAsia="仿宋" w:cs="仿宋"/>
                <w:color w:val="000000"/>
                <w:sz w:val="24"/>
              </w:rPr>
            </w:pPr>
            <w:r>
              <w:rPr>
                <w:rFonts w:hint="eastAsia" w:ascii="仿宋" w:hAnsi="仿宋" w:eastAsia="仿宋" w:cs="仿宋"/>
                <w:color w:val="000000"/>
                <w:sz w:val="24"/>
              </w:rPr>
              <w:t>9</w:t>
            </w:r>
          </w:p>
        </w:tc>
        <w:tc>
          <w:tcPr>
            <w:tcW w:w="2064" w:type="dxa"/>
            <w:tcBorders>
              <w:top w:val="nil"/>
              <w:left w:val="nil"/>
              <w:bottom w:val="single" w:color="auto" w:sz="4" w:space="0"/>
              <w:right w:val="single" w:color="auto" w:sz="4" w:space="0"/>
            </w:tcBorders>
            <w:shd w:val="clear" w:color="000000" w:fill="FFFFFF"/>
            <w:noWrap w:val="0"/>
            <w:vAlign w:val="center"/>
          </w:tcPr>
          <w:p w14:paraId="34D21515">
            <w:pPr>
              <w:widowControl/>
              <w:rPr>
                <w:rFonts w:hint="eastAsia" w:ascii="仿宋" w:hAnsi="仿宋" w:eastAsia="仿宋" w:cs="仿宋"/>
                <w:color w:val="000000"/>
                <w:sz w:val="24"/>
              </w:rPr>
            </w:pPr>
            <w:r>
              <w:rPr>
                <w:rFonts w:hint="eastAsia" w:ascii="仿宋" w:hAnsi="仿宋" w:eastAsia="仿宋" w:cs="仿宋"/>
                <w:color w:val="000000"/>
                <w:sz w:val="24"/>
              </w:rPr>
              <w:t>AE-10肿瘤标志物（非定值）</w:t>
            </w:r>
          </w:p>
        </w:tc>
        <w:tc>
          <w:tcPr>
            <w:tcW w:w="4731" w:type="dxa"/>
            <w:tcBorders>
              <w:top w:val="nil"/>
              <w:left w:val="nil"/>
              <w:bottom w:val="single" w:color="auto" w:sz="4" w:space="0"/>
              <w:right w:val="single" w:color="auto" w:sz="4" w:space="0"/>
            </w:tcBorders>
            <w:shd w:val="clear" w:color="000000" w:fill="FFFFFF"/>
            <w:noWrap w:val="0"/>
            <w:vAlign w:val="center"/>
          </w:tcPr>
          <w:p w14:paraId="2B359A91">
            <w:pPr>
              <w:widowControl/>
              <w:rPr>
                <w:rFonts w:hint="eastAsia" w:ascii="仿宋" w:hAnsi="仿宋" w:eastAsia="仿宋" w:cs="仿宋"/>
                <w:color w:val="000000"/>
                <w:sz w:val="24"/>
              </w:rPr>
            </w:pPr>
            <w:r>
              <w:rPr>
                <w:rFonts w:hint="eastAsia" w:ascii="仿宋" w:hAnsi="仿宋" w:eastAsia="仿宋" w:cs="仿宋"/>
                <w:color w:val="000000"/>
                <w:sz w:val="24"/>
              </w:rPr>
              <w:t>包含AFP、CEA、PSA、CA125、CA15-3、CA19-9 等项目</w:t>
            </w:r>
          </w:p>
        </w:tc>
        <w:tc>
          <w:tcPr>
            <w:tcW w:w="5969" w:type="dxa"/>
            <w:tcBorders>
              <w:top w:val="nil"/>
              <w:left w:val="nil"/>
              <w:bottom w:val="single" w:color="auto" w:sz="4" w:space="0"/>
              <w:right w:val="single" w:color="auto" w:sz="4" w:space="0"/>
            </w:tcBorders>
            <w:shd w:val="clear" w:color="000000" w:fill="FFFFFF"/>
            <w:noWrap w:val="0"/>
            <w:vAlign w:val="center"/>
          </w:tcPr>
          <w:p w14:paraId="6C3E48DA">
            <w:pPr>
              <w:widowControl/>
              <w:rPr>
                <w:rFonts w:hint="eastAsia" w:ascii="仿宋" w:hAnsi="仿宋" w:eastAsia="仿宋" w:cs="仿宋"/>
                <w:color w:val="000000"/>
                <w:sz w:val="24"/>
              </w:rPr>
            </w:pPr>
            <w:r>
              <w:rPr>
                <w:rFonts w:hint="eastAsia" w:ascii="仿宋" w:hAnsi="仿宋" w:eastAsia="仿宋" w:cs="仿宋"/>
                <w:color w:val="000000"/>
                <w:sz w:val="24"/>
              </w:rPr>
              <w:t>适用于主流免疫分析系统；覆盖不同检测水平，用于评价肿瘤标志物检测系统性能。</w:t>
            </w:r>
          </w:p>
        </w:tc>
        <w:tc>
          <w:tcPr>
            <w:tcW w:w="756" w:type="dxa"/>
            <w:tcBorders>
              <w:top w:val="nil"/>
              <w:left w:val="nil"/>
              <w:bottom w:val="single" w:color="auto" w:sz="4" w:space="0"/>
              <w:right w:val="single" w:color="auto" w:sz="4" w:space="0"/>
            </w:tcBorders>
            <w:shd w:val="clear" w:color="000000" w:fill="FFFFFF"/>
            <w:noWrap w:val="0"/>
            <w:vAlign w:val="center"/>
          </w:tcPr>
          <w:p w14:paraId="152523C5">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73697903">
            <w:pPr>
              <w:widowControl/>
              <w:rPr>
                <w:rFonts w:hint="eastAsia" w:ascii="仿宋" w:hAnsi="仿宋" w:eastAsia="仿宋" w:cs="仿宋"/>
                <w:color w:val="000000"/>
                <w:sz w:val="24"/>
              </w:rPr>
            </w:pPr>
            <w:r>
              <w:rPr>
                <w:rFonts w:hint="eastAsia" w:ascii="仿宋" w:hAnsi="仿宋" w:eastAsia="仿宋" w:cs="仿宋"/>
                <w:color w:val="000000"/>
                <w:sz w:val="24"/>
              </w:rPr>
              <w:t>952</w:t>
            </w:r>
          </w:p>
        </w:tc>
      </w:tr>
      <w:tr w14:paraId="12876CF7">
        <w:tblPrEx>
          <w:tblCellMar>
            <w:top w:w="0" w:type="dxa"/>
            <w:left w:w="108" w:type="dxa"/>
            <w:bottom w:w="0" w:type="dxa"/>
            <w:right w:w="108" w:type="dxa"/>
          </w:tblCellMar>
        </w:tblPrEx>
        <w:trPr>
          <w:trHeight w:val="855"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78FE4595">
            <w:pPr>
              <w:widowControl/>
              <w:rPr>
                <w:rFonts w:hint="eastAsia" w:ascii="仿宋" w:hAnsi="仿宋" w:eastAsia="仿宋" w:cs="仿宋"/>
                <w:color w:val="000000"/>
                <w:sz w:val="24"/>
              </w:rPr>
            </w:pPr>
            <w:r>
              <w:rPr>
                <w:rFonts w:hint="eastAsia" w:ascii="仿宋" w:hAnsi="仿宋" w:eastAsia="仿宋" w:cs="仿宋"/>
                <w:color w:val="000000"/>
                <w:sz w:val="24"/>
              </w:rPr>
              <w:t>10</w:t>
            </w:r>
          </w:p>
        </w:tc>
        <w:tc>
          <w:tcPr>
            <w:tcW w:w="2064" w:type="dxa"/>
            <w:tcBorders>
              <w:top w:val="nil"/>
              <w:left w:val="nil"/>
              <w:bottom w:val="single" w:color="auto" w:sz="4" w:space="0"/>
              <w:right w:val="single" w:color="auto" w:sz="4" w:space="0"/>
            </w:tcBorders>
            <w:shd w:val="clear" w:color="000000" w:fill="FFFFFF"/>
            <w:noWrap w:val="0"/>
            <w:vAlign w:val="center"/>
          </w:tcPr>
          <w:p w14:paraId="3B57E7D6">
            <w:pPr>
              <w:widowControl/>
              <w:rPr>
                <w:rFonts w:hint="eastAsia" w:ascii="仿宋" w:hAnsi="仿宋" w:eastAsia="仿宋" w:cs="仿宋"/>
                <w:color w:val="000000"/>
                <w:sz w:val="24"/>
              </w:rPr>
            </w:pPr>
            <w:r>
              <w:rPr>
                <w:rFonts w:hint="eastAsia" w:ascii="仿宋" w:hAnsi="仿宋" w:eastAsia="仿宋" w:cs="仿宋"/>
                <w:color w:val="000000"/>
                <w:sz w:val="24"/>
              </w:rPr>
              <w:t>AE-11临床微生物学（非定值）</w:t>
            </w:r>
          </w:p>
        </w:tc>
        <w:tc>
          <w:tcPr>
            <w:tcW w:w="4731" w:type="dxa"/>
            <w:tcBorders>
              <w:top w:val="nil"/>
              <w:left w:val="nil"/>
              <w:bottom w:val="single" w:color="auto" w:sz="4" w:space="0"/>
              <w:right w:val="single" w:color="auto" w:sz="4" w:space="0"/>
            </w:tcBorders>
            <w:shd w:val="clear" w:color="000000" w:fill="FFFFFF"/>
            <w:noWrap w:val="0"/>
            <w:vAlign w:val="center"/>
          </w:tcPr>
          <w:p w14:paraId="76C6AAEF">
            <w:pPr>
              <w:widowControl/>
              <w:rPr>
                <w:rFonts w:hint="eastAsia" w:ascii="仿宋" w:hAnsi="仿宋" w:eastAsia="仿宋" w:cs="仿宋"/>
                <w:color w:val="000000"/>
                <w:sz w:val="24"/>
              </w:rPr>
            </w:pPr>
            <w:r>
              <w:rPr>
                <w:rFonts w:hint="eastAsia" w:ascii="仿宋" w:hAnsi="仿宋" w:eastAsia="仿宋" w:cs="仿宋"/>
                <w:color w:val="000000"/>
                <w:sz w:val="24"/>
              </w:rPr>
              <w:t>菌种鉴定及药敏试验</w:t>
            </w:r>
          </w:p>
        </w:tc>
        <w:tc>
          <w:tcPr>
            <w:tcW w:w="5969" w:type="dxa"/>
            <w:tcBorders>
              <w:top w:val="nil"/>
              <w:left w:val="nil"/>
              <w:bottom w:val="single" w:color="auto" w:sz="4" w:space="0"/>
              <w:right w:val="single" w:color="auto" w:sz="4" w:space="0"/>
            </w:tcBorders>
            <w:shd w:val="clear" w:color="000000" w:fill="FFFFFF"/>
            <w:noWrap w:val="0"/>
            <w:vAlign w:val="center"/>
          </w:tcPr>
          <w:p w14:paraId="466CC171">
            <w:pPr>
              <w:widowControl/>
              <w:rPr>
                <w:rFonts w:hint="eastAsia" w:ascii="仿宋" w:hAnsi="仿宋" w:eastAsia="仿宋" w:cs="仿宋"/>
                <w:color w:val="000000"/>
                <w:sz w:val="24"/>
              </w:rPr>
            </w:pPr>
            <w:r>
              <w:rPr>
                <w:rFonts w:hint="eastAsia" w:ascii="仿宋" w:hAnsi="仿宋" w:eastAsia="仿宋" w:cs="仿宋"/>
                <w:color w:val="000000"/>
                <w:sz w:val="24"/>
              </w:rPr>
              <w:t>可提供常见临床菌株（大于200种），保存菌种数量大于2000株。菌种来源合法。提供十种以上供选择。冻存管和瓷珠包装。-80℃~-20℃保存。</w:t>
            </w:r>
          </w:p>
        </w:tc>
        <w:tc>
          <w:tcPr>
            <w:tcW w:w="756" w:type="dxa"/>
            <w:tcBorders>
              <w:top w:val="nil"/>
              <w:left w:val="nil"/>
              <w:bottom w:val="single" w:color="auto" w:sz="4" w:space="0"/>
              <w:right w:val="single" w:color="auto" w:sz="4" w:space="0"/>
            </w:tcBorders>
            <w:shd w:val="clear" w:color="000000" w:fill="FFFFFF"/>
            <w:noWrap w:val="0"/>
            <w:vAlign w:val="center"/>
          </w:tcPr>
          <w:p w14:paraId="51406B12">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07A3EE6A">
            <w:pPr>
              <w:widowControl/>
              <w:rPr>
                <w:rFonts w:hint="eastAsia" w:ascii="仿宋" w:hAnsi="仿宋" w:eastAsia="仿宋" w:cs="仿宋"/>
                <w:color w:val="000000"/>
                <w:sz w:val="24"/>
              </w:rPr>
            </w:pPr>
            <w:r>
              <w:rPr>
                <w:rFonts w:hint="eastAsia" w:ascii="仿宋" w:hAnsi="仿宋" w:eastAsia="仿宋" w:cs="仿宋"/>
                <w:color w:val="000000"/>
                <w:sz w:val="24"/>
              </w:rPr>
              <w:t>520</w:t>
            </w:r>
          </w:p>
        </w:tc>
      </w:tr>
      <w:tr w14:paraId="07183FCC">
        <w:tblPrEx>
          <w:tblCellMar>
            <w:top w:w="0" w:type="dxa"/>
            <w:left w:w="108" w:type="dxa"/>
            <w:bottom w:w="0" w:type="dxa"/>
            <w:right w:w="108" w:type="dxa"/>
          </w:tblCellMar>
        </w:tblPrEx>
        <w:trPr>
          <w:trHeight w:val="855"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4E316DDD">
            <w:pPr>
              <w:widowControl/>
              <w:rPr>
                <w:rFonts w:hint="eastAsia" w:ascii="仿宋" w:hAnsi="仿宋" w:eastAsia="仿宋" w:cs="仿宋"/>
                <w:color w:val="000000"/>
                <w:sz w:val="24"/>
              </w:rPr>
            </w:pPr>
            <w:r>
              <w:rPr>
                <w:rFonts w:hint="eastAsia" w:ascii="仿宋" w:hAnsi="仿宋" w:eastAsia="仿宋" w:cs="仿宋"/>
                <w:color w:val="000000"/>
                <w:sz w:val="24"/>
              </w:rPr>
              <w:t>11</w:t>
            </w:r>
          </w:p>
        </w:tc>
        <w:tc>
          <w:tcPr>
            <w:tcW w:w="2064" w:type="dxa"/>
            <w:tcBorders>
              <w:top w:val="nil"/>
              <w:left w:val="nil"/>
              <w:bottom w:val="single" w:color="auto" w:sz="4" w:space="0"/>
              <w:right w:val="single" w:color="auto" w:sz="4" w:space="0"/>
            </w:tcBorders>
            <w:shd w:val="clear" w:color="000000" w:fill="FFFFFF"/>
            <w:noWrap w:val="0"/>
            <w:vAlign w:val="center"/>
          </w:tcPr>
          <w:p w14:paraId="2FEF941E">
            <w:pPr>
              <w:widowControl/>
              <w:rPr>
                <w:rFonts w:hint="eastAsia" w:ascii="仿宋" w:hAnsi="仿宋" w:eastAsia="仿宋" w:cs="仿宋"/>
                <w:color w:val="000000"/>
                <w:sz w:val="24"/>
              </w:rPr>
            </w:pPr>
            <w:r>
              <w:rPr>
                <w:rFonts w:hint="eastAsia" w:ascii="仿宋" w:hAnsi="仿宋" w:eastAsia="仿宋" w:cs="仿宋"/>
                <w:color w:val="000000"/>
                <w:sz w:val="24"/>
              </w:rPr>
              <w:t>AE-12核酸检测（病毒学）（非定值）</w:t>
            </w:r>
          </w:p>
        </w:tc>
        <w:tc>
          <w:tcPr>
            <w:tcW w:w="4731" w:type="dxa"/>
            <w:tcBorders>
              <w:top w:val="nil"/>
              <w:left w:val="nil"/>
              <w:bottom w:val="single" w:color="auto" w:sz="4" w:space="0"/>
              <w:right w:val="single" w:color="auto" w:sz="4" w:space="0"/>
            </w:tcBorders>
            <w:shd w:val="clear" w:color="000000" w:fill="FFFFFF"/>
            <w:noWrap w:val="0"/>
            <w:vAlign w:val="center"/>
          </w:tcPr>
          <w:p w14:paraId="149C8025">
            <w:pPr>
              <w:widowControl/>
              <w:rPr>
                <w:rFonts w:hint="eastAsia" w:ascii="仿宋" w:hAnsi="仿宋" w:eastAsia="仿宋" w:cs="仿宋"/>
                <w:color w:val="000000"/>
                <w:sz w:val="24"/>
              </w:rPr>
            </w:pPr>
            <w:r>
              <w:rPr>
                <w:rFonts w:hint="eastAsia" w:ascii="仿宋" w:hAnsi="仿宋" w:eastAsia="仿宋" w:cs="仿宋"/>
                <w:color w:val="000000"/>
                <w:sz w:val="24"/>
              </w:rPr>
              <w:t>HBV-DNA、HCV-RNA</w:t>
            </w:r>
          </w:p>
        </w:tc>
        <w:tc>
          <w:tcPr>
            <w:tcW w:w="5969" w:type="dxa"/>
            <w:tcBorders>
              <w:top w:val="nil"/>
              <w:left w:val="nil"/>
              <w:bottom w:val="single" w:color="auto" w:sz="4" w:space="0"/>
              <w:right w:val="single" w:color="auto" w:sz="4" w:space="0"/>
            </w:tcBorders>
            <w:shd w:val="clear" w:color="000000" w:fill="FFFFFF"/>
            <w:noWrap w:val="0"/>
            <w:vAlign w:val="center"/>
          </w:tcPr>
          <w:p w14:paraId="02CBFDA9">
            <w:pPr>
              <w:widowControl/>
              <w:rPr>
                <w:rFonts w:hint="eastAsia" w:ascii="仿宋" w:hAnsi="仿宋" w:eastAsia="仿宋" w:cs="仿宋"/>
                <w:color w:val="000000"/>
                <w:sz w:val="24"/>
              </w:rPr>
            </w:pPr>
            <w:r>
              <w:rPr>
                <w:rFonts w:hint="eastAsia" w:ascii="仿宋" w:hAnsi="仿宋" w:eastAsia="仿宋" w:cs="仿宋"/>
                <w:color w:val="000000"/>
                <w:sz w:val="24"/>
              </w:rPr>
              <w:t>覆盖阴性及不同阳性水平；适用于主流核酸检测平台和常用方法学。</w:t>
            </w:r>
          </w:p>
        </w:tc>
        <w:tc>
          <w:tcPr>
            <w:tcW w:w="756" w:type="dxa"/>
            <w:tcBorders>
              <w:top w:val="nil"/>
              <w:left w:val="nil"/>
              <w:bottom w:val="single" w:color="auto" w:sz="4" w:space="0"/>
              <w:right w:val="single" w:color="auto" w:sz="4" w:space="0"/>
            </w:tcBorders>
            <w:shd w:val="clear" w:color="000000" w:fill="FFFFFF"/>
            <w:noWrap w:val="0"/>
            <w:vAlign w:val="center"/>
          </w:tcPr>
          <w:p w14:paraId="5E12EFC4">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7022337F">
            <w:pPr>
              <w:widowControl/>
              <w:rPr>
                <w:rFonts w:hint="eastAsia" w:ascii="仿宋" w:hAnsi="仿宋" w:eastAsia="仿宋" w:cs="仿宋"/>
                <w:color w:val="000000"/>
                <w:sz w:val="24"/>
              </w:rPr>
            </w:pPr>
            <w:r>
              <w:rPr>
                <w:rFonts w:hint="eastAsia" w:ascii="仿宋" w:hAnsi="仿宋" w:eastAsia="仿宋" w:cs="仿宋"/>
                <w:color w:val="000000"/>
                <w:sz w:val="24"/>
              </w:rPr>
              <w:t>256</w:t>
            </w:r>
          </w:p>
        </w:tc>
      </w:tr>
      <w:tr w14:paraId="2E398DE4">
        <w:tblPrEx>
          <w:tblCellMar>
            <w:top w:w="0" w:type="dxa"/>
            <w:left w:w="108" w:type="dxa"/>
            <w:bottom w:w="0" w:type="dxa"/>
            <w:right w:w="108" w:type="dxa"/>
          </w:tblCellMar>
        </w:tblPrEx>
        <w:trPr>
          <w:trHeight w:val="57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60D11B1B">
            <w:pPr>
              <w:widowControl/>
              <w:rPr>
                <w:rFonts w:hint="eastAsia" w:ascii="仿宋" w:hAnsi="仿宋" w:eastAsia="仿宋" w:cs="仿宋"/>
                <w:color w:val="000000"/>
                <w:sz w:val="24"/>
              </w:rPr>
            </w:pPr>
            <w:r>
              <w:rPr>
                <w:rFonts w:hint="eastAsia" w:ascii="仿宋" w:hAnsi="仿宋" w:eastAsia="仿宋" w:cs="仿宋"/>
                <w:color w:val="000000"/>
                <w:sz w:val="24"/>
              </w:rPr>
              <w:t>12</w:t>
            </w:r>
          </w:p>
        </w:tc>
        <w:tc>
          <w:tcPr>
            <w:tcW w:w="2064" w:type="dxa"/>
            <w:tcBorders>
              <w:top w:val="nil"/>
              <w:left w:val="nil"/>
              <w:bottom w:val="single" w:color="auto" w:sz="4" w:space="0"/>
              <w:right w:val="single" w:color="auto" w:sz="4" w:space="0"/>
            </w:tcBorders>
            <w:shd w:val="clear" w:color="000000" w:fill="FFFFFF"/>
            <w:noWrap w:val="0"/>
            <w:vAlign w:val="center"/>
          </w:tcPr>
          <w:p w14:paraId="40A9D36F">
            <w:pPr>
              <w:widowControl/>
              <w:rPr>
                <w:rFonts w:hint="eastAsia" w:ascii="仿宋" w:hAnsi="仿宋" w:eastAsia="仿宋" w:cs="仿宋"/>
                <w:color w:val="000000"/>
                <w:sz w:val="24"/>
              </w:rPr>
            </w:pPr>
            <w:r>
              <w:rPr>
                <w:rFonts w:hint="eastAsia" w:ascii="仿宋" w:hAnsi="仿宋" w:eastAsia="仿宋" w:cs="仿宋"/>
                <w:color w:val="000000"/>
                <w:sz w:val="24"/>
              </w:rPr>
              <w:t>AE-16感染性疾病血清学标志物系列B（非定值）</w:t>
            </w:r>
          </w:p>
        </w:tc>
        <w:tc>
          <w:tcPr>
            <w:tcW w:w="4731" w:type="dxa"/>
            <w:tcBorders>
              <w:top w:val="nil"/>
              <w:left w:val="nil"/>
              <w:bottom w:val="single" w:color="auto" w:sz="4" w:space="0"/>
              <w:right w:val="single" w:color="auto" w:sz="4" w:space="0"/>
            </w:tcBorders>
            <w:shd w:val="clear" w:color="000000" w:fill="FFFFFF"/>
            <w:noWrap w:val="0"/>
            <w:vAlign w:val="center"/>
          </w:tcPr>
          <w:p w14:paraId="60BCFCD9">
            <w:pPr>
              <w:widowControl/>
              <w:rPr>
                <w:rFonts w:hint="eastAsia" w:ascii="仿宋" w:hAnsi="仿宋" w:eastAsia="仿宋" w:cs="仿宋"/>
                <w:color w:val="000000"/>
                <w:sz w:val="24"/>
              </w:rPr>
            </w:pPr>
            <w:r>
              <w:rPr>
                <w:rFonts w:hint="eastAsia" w:ascii="仿宋" w:hAnsi="仿宋" w:eastAsia="仿宋" w:cs="仿宋"/>
                <w:color w:val="000000"/>
                <w:sz w:val="24"/>
              </w:rPr>
              <w:t>包含HIV抗体、梅毒特异性/非特异性抗体</w:t>
            </w:r>
          </w:p>
        </w:tc>
        <w:tc>
          <w:tcPr>
            <w:tcW w:w="5969" w:type="dxa"/>
            <w:tcBorders>
              <w:top w:val="nil"/>
              <w:left w:val="nil"/>
              <w:bottom w:val="single" w:color="auto" w:sz="4" w:space="0"/>
              <w:right w:val="single" w:color="auto" w:sz="4" w:space="0"/>
            </w:tcBorders>
            <w:shd w:val="clear" w:color="000000" w:fill="FFFFFF"/>
            <w:noWrap w:val="0"/>
            <w:vAlign w:val="center"/>
          </w:tcPr>
          <w:p w14:paraId="09C3C259">
            <w:pPr>
              <w:widowControl/>
              <w:rPr>
                <w:rFonts w:hint="eastAsia" w:ascii="仿宋" w:hAnsi="仿宋" w:eastAsia="仿宋" w:cs="仿宋"/>
                <w:color w:val="000000"/>
                <w:sz w:val="24"/>
              </w:rPr>
            </w:pPr>
            <w:r>
              <w:rPr>
                <w:rFonts w:hint="eastAsia" w:ascii="仿宋" w:hAnsi="仿宋" w:eastAsia="仿宋" w:cs="仿宋"/>
                <w:color w:val="000000"/>
                <w:sz w:val="24"/>
              </w:rPr>
              <w:t>可溯源至国际标准或者国家标准；适用于主流免疫检测方法；结果水平设置于临界判定区间，用于检测系统判别能力评价。</w:t>
            </w:r>
          </w:p>
        </w:tc>
        <w:tc>
          <w:tcPr>
            <w:tcW w:w="756" w:type="dxa"/>
            <w:tcBorders>
              <w:top w:val="nil"/>
              <w:left w:val="nil"/>
              <w:bottom w:val="single" w:color="auto" w:sz="4" w:space="0"/>
              <w:right w:val="single" w:color="auto" w:sz="4" w:space="0"/>
            </w:tcBorders>
            <w:shd w:val="clear" w:color="000000" w:fill="FFFFFF"/>
            <w:noWrap w:val="0"/>
            <w:vAlign w:val="center"/>
          </w:tcPr>
          <w:p w14:paraId="38C88D37">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7AA073C9">
            <w:pPr>
              <w:widowControl/>
              <w:rPr>
                <w:rFonts w:hint="eastAsia" w:ascii="仿宋" w:hAnsi="仿宋" w:eastAsia="仿宋" w:cs="仿宋"/>
                <w:color w:val="000000"/>
                <w:sz w:val="24"/>
              </w:rPr>
            </w:pPr>
            <w:r>
              <w:rPr>
                <w:rFonts w:hint="eastAsia" w:ascii="仿宋" w:hAnsi="仿宋" w:eastAsia="仿宋" w:cs="仿宋"/>
                <w:color w:val="000000"/>
                <w:sz w:val="24"/>
              </w:rPr>
              <w:t>1140</w:t>
            </w:r>
          </w:p>
        </w:tc>
      </w:tr>
      <w:tr w14:paraId="698E2246">
        <w:tblPrEx>
          <w:tblCellMar>
            <w:top w:w="0" w:type="dxa"/>
            <w:left w:w="108" w:type="dxa"/>
            <w:bottom w:w="0" w:type="dxa"/>
            <w:right w:w="108" w:type="dxa"/>
          </w:tblCellMar>
        </w:tblPrEx>
        <w:trPr>
          <w:trHeight w:val="57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421FFE81">
            <w:pPr>
              <w:widowControl/>
              <w:rPr>
                <w:rFonts w:hint="eastAsia" w:ascii="仿宋" w:hAnsi="仿宋" w:eastAsia="仿宋" w:cs="仿宋"/>
                <w:color w:val="000000"/>
                <w:sz w:val="24"/>
              </w:rPr>
            </w:pPr>
            <w:r>
              <w:rPr>
                <w:rFonts w:hint="eastAsia" w:ascii="仿宋" w:hAnsi="仿宋" w:eastAsia="仿宋" w:cs="仿宋"/>
                <w:color w:val="000000"/>
                <w:sz w:val="24"/>
              </w:rPr>
              <w:t>13</w:t>
            </w:r>
          </w:p>
        </w:tc>
        <w:tc>
          <w:tcPr>
            <w:tcW w:w="2064" w:type="dxa"/>
            <w:tcBorders>
              <w:top w:val="nil"/>
              <w:left w:val="nil"/>
              <w:bottom w:val="single" w:color="auto" w:sz="4" w:space="0"/>
              <w:right w:val="single" w:color="auto" w:sz="4" w:space="0"/>
            </w:tcBorders>
            <w:shd w:val="clear" w:color="000000" w:fill="FFFFFF"/>
            <w:noWrap w:val="0"/>
            <w:vAlign w:val="center"/>
          </w:tcPr>
          <w:p w14:paraId="0601EE7F">
            <w:pPr>
              <w:widowControl/>
              <w:rPr>
                <w:rFonts w:hint="eastAsia" w:ascii="仿宋" w:hAnsi="仿宋" w:eastAsia="仿宋" w:cs="仿宋"/>
                <w:color w:val="000000"/>
                <w:sz w:val="24"/>
              </w:rPr>
            </w:pPr>
            <w:r>
              <w:rPr>
                <w:rFonts w:hint="eastAsia" w:ascii="仿宋" w:hAnsi="仿宋" w:eastAsia="仿宋" w:cs="仿宋"/>
                <w:color w:val="000000"/>
                <w:sz w:val="24"/>
              </w:rPr>
              <w:t>AE-18糖化血红蛋白A1c（非定值）</w:t>
            </w:r>
          </w:p>
        </w:tc>
        <w:tc>
          <w:tcPr>
            <w:tcW w:w="4731" w:type="dxa"/>
            <w:tcBorders>
              <w:top w:val="nil"/>
              <w:left w:val="nil"/>
              <w:bottom w:val="single" w:color="auto" w:sz="4" w:space="0"/>
              <w:right w:val="single" w:color="auto" w:sz="4" w:space="0"/>
            </w:tcBorders>
            <w:shd w:val="clear" w:color="000000" w:fill="FFFFFF"/>
            <w:noWrap w:val="0"/>
            <w:vAlign w:val="center"/>
          </w:tcPr>
          <w:p w14:paraId="5D56F52A">
            <w:pPr>
              <w:widowControl/>
              <w:rPr>
                <w:rFonts w:hint="eastAsia" w:ascii="仿宋" w:hAnsi="仿宋" w:eastAsia="仿宋" w:cs="仿宋"/>
                <w:color w:val="000000"/>
                <w:sz w:val="24"/>
              </w:rPr>
            </w:pPr>
            <w:r>
              <w:rPr>
                <w:rFonts w:hint="eastAsia" w:ascii="仿宋" w:hAnsi="仿宋" w:eastAsia="仿宋" w:cs="仿宋"/>
                <w:color w:val="000000"/>
                <w:sz w:val="24"/>
              </w:rPr>
              <w:t>糖化血红蛋白A1c</w:t>
            </w:r>
          </w:p>
        </w:tc>
        <w:tc>
          <w:tcPr>
            <w:tcW w:w="5969" w:type="dxa"/>
            <w:tcBorders>
              <w:top w:val="nil"/>
              <w:left w:val="nil"/>
              <w:bottom w:val="single" w:color="auto" w:sz="4" w:space="0"/>
              <w:right w:val="single" w:color="auto" w:sz="4" w:space="0"/>
            </w:tcBorders>
            <w:shd w:val="clear" w:color="000000" w:fill="FFFFFF"/>
            <w:noWrap w:val="0"/>
            <w:vAlign w:val="center"/>
          </w:tcPr>
          <w:p w14:paraId="125817D6">
            <w:pPr>
              <w:widowControl/>
              <w:rPr>
                <w:rFonts w:hint="eastAsia" w:ascii="仿宋" w:hAnsi="仿宋" w:eastAsia="仿宋" w:cs="仿宋"/>
                <w:color w:val="000000"/>
                <w:sz w:val="24"/>
              </w:rPr>
            </w:pPr>
            <w:r>
              <w:rPr>
                <w:rFonts w:hint="eastAsia" w:ascii="仿宋" w:hAnsi="仿宋" w:eastAsia="仿宋" w:cs="仿宋"/>
                <w:color w:val="000000"/>
                <w:sz w:val="24"/>
              </w:rPr>
              <w:t>适用于主流 HbA1c 检测系统；覆盖不同检测水平，用于糖化血红蛋白检测质量评价。</w:t>
            </w:r>
          </w:p>
        </w:tc>
        <w:tc>
          <w:tcPr>
            <w:tcW w:w="756" w:type="dxa"/>
            <w:tcBorders>
              <w:top w:val="nil"/>
              <w:left w:val="nil"/>
              <w:bottom w:val="single" w:color="auto" w:sz="4" w:space="0"/>
              <w:right w:val="single" w:color="auto" w:sz="4" w:space="0"/>
            </w:tcBorders>
            <w:shd w:val="clear" w:color="000000" w:fill="FFFFFF"/>
            <w:noWrap w:val="0"/>
            <w:vAlign w:val="center"/>
          </w:tcPr>
          <w:p w14:paraId="3ABBFF04">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6D752064">
            <w:pPr>
              <w:widowControl/>
              <w:rPr>
                <w:rFonts w:hint="eastAsia" w:ascii="仿宋" w:hAnsi="仿宋" w:eastAsia="仿宋" w:cs="仿宋"/>
                <w:color w:val="000000"/>
                <w:sz w:val="24"/>
              </w:rPr>
            </w:pPr>
            <w:r>
              <w:rPr>
                <w:rFonts w:hint="eastAsia" w:ascii="仿宋" w:hAnsi="仿宋" w:eastAsia="仿宋" w:cs="仿宋"/>
                <w:color w:val="000000"/>
                <w:sz w:val="24"/>
              </w:rPr>
              <w:t>1228</w:t>
            </w:r>
          </w:p>
        </w:tc>
      </w:tr>
      <w:tr w14:paraId="5184C9BD">
        <w:tblPrEx>
          <w:tblCellMar>
            <w:top w:w="0" w:type="dxa"/>
            <w:left w:w="108" w:type="dxa"/>
            <w:bottom w:w="0" w:type="dxa"/>
            <w:right w:w="108" w:type="dxa"/>
          </w:tblCellMar>
        </w:tblPrEx>
        <w:trPr>
          <w:trHeight w:val="57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75440F73">
            <w:pPr>
              <w:widowControl/>
              <w:rPr>
                <w:rFonts w:hint="eastAsia" w:ascii="仿宋" w:hAnsi="仿宋" w:eastAsia="仿宋" w:cs="仿宋"/>
                <w:color w:val="000000"/>
                <w:sz w:val="24"/>
              </w:rPr>
            </w:pPr>
            <w:r>
              <w:rPr>
                <w:rFonts w:hint="eastAsia" w:ascii="仿宋" w:hAnsi="仿宋" w:eastAsia="仿宋" w:cs="仿宋"/>
                <w:color w:val="000000"/>
                <w:sz w:val="24"/>
              </w:rPr>
              <w:t>14</w:t>
            </w:r>
          </w:p>
        </w:tc>
        <w:tc>
          <w:tcPr>
            <w:tcW w:w="2064" w:type="dxa"/>
            <w:tcBorders>
              <w:top w:val="nil"/>
              <w:left w:val="nil"/>
              <w:bottom w:val="single" w:color="auto" w:sz="4" w:space="0"/>
              <w:right w:val="single" w:color="auto" w:sz="4" w:space="0"/>
            </w:tcBorders>
            <w:shd w:val="clear" w:color="000000" w:fill="FFFFFF"/>
            <w:noWrap w:val="0"/>
            <w:vAlign w:val="center"/>
          </w:tcPr>
          <w:p w14:paraId="7B4EAF30">
            <w:pPr>
              <w:widowControl/>
              <w:rPr>
                <w:rFonts w:hint="eastAsia" w:ascii="仿宋" w:hAnsi="仿宋" w:eastAsia="仿宋" w:cs="仿宋"/>
                <w:color w:val="000000"/>
                <w:sz w:val="24"/>
              </w:rPr>
            </w:pPr>
            <w:r>
              <w:rPr>
                <w:rFonts w:hint="eastAsia" w:ascii="仿宋" w:hAnsi="仿宋" w:eastAsia="仿宋" w:cs="仿宋"/>
                <w:color w:val="000000"/>
                <w:sz w:val="24"/>
              </w:rPr>
              <w:t>AE-19脂类（非定值）</w:t>
            </w:r>
          </w:p>
        </w:tc>
        <w:tc>
          <w:tcPr>
            <w:tcW w:w="4731" w:type="dxa"/>
            <w:tcBorders>
              <w:top w:val="nil"/>
              <w:left w:val="nil"/>
              <w:bottom w:val="single" w:color="auto" w:sz="4" w:space="0"/>
              <w:right w:val="single" w:color="auto" w:sz="4" w:space="0"/>
            </w:tcBorders>
            <w:shd w:val="clear" w:color="000000" w:fill="FFFFFF"/>
            <w:noWrap w:val="0"/>
            <w:vAlign w:val="center"/>
          </w:tcPr>
          <w:p w14:paraId="4F65238B">
            <w:pPr>
              <w:widowControl/>
              <w:rPr>
                <w:rFonts w:hint="eastAsia" w:ascii="仿宋" w:hAnsi="仿宋" w:eastAsia="仿宋" w:cs="仿宋"/>
                <w:color w:val="000000"/>
                <w:sz w:val="24"/>
              </w:rPr>
            </w:pPr>
            <w:r>
              <w:rPr>
                <w:rFonts w:hint="eastAsia" w:ascii="仿宋" w:hAnsi="仿宋" w:eastAsia="仿宋" w:cs="仿宋"/>
                <w:color w:val="000000"/>
                <w:sz w:val="24"/>
              </w:rPr>
              <w:t>包含总胆固醇、甘油三酯、HDL-C、LDL-C、载脂蛋白等项目</w:t>
            </w:r>
          </w:p>
        </w:tc>
        <w:tc>
          <w:tcPr>
            <w:tcW w:w="5969" w:type="dxa"/>
            <w:tcBorders>
              <w:top w:val="nil"/>
              <w:left w:val="nil"/>
              <w:bottom w:val="single" w:color="auto" w:sz="4" w:space="0"/>
              <w:right w:val="single" w:color="auto" w:sz="4" w:space="0"/>
            </w:tcBorders>
            <w:shd w:val="clear" w:color="000000" w:fill="FFFFFF"/>
            <w:noWrap w:val="0"/>
            <w:vAlign w:val="center"/>
          </w:tcPr>
          <w:p w14:paraId="1AE0E559">
            <w:pPr>
              <w:widowControl/>
              <w:rPr>
                <w:rFonts w:hint="eastAsia" w:ascii="仿宋" w:hAnsi="仿宋" w:eastAsia="仿宋" w:cs="仿宋"/>
                <w:color w:val="000000"/>
                <w:sz w:val="24"/>
              </w:rPr>
            </w:pPr>
            <w:r>
              <w:rPr>
                <w:rFonts w:hint="eastAsia" w:ascii="仿宋" w:hAnsi="仿宋" w:eastAsia="仿宋" w:cs="仿宋"/>
                <w:color w:val="000000"/>
                <w:sz w:val="24"/>
              </w:rPr>
              <w:t>适用于主流生化或免疫分析系统；可提供5个不同浓度，涵盖低中高浓度。</w:t>
            </w:r>
          </w:p>
        </w:tc>
        <w:tc>
          <w:tcPr>
            <w:tcW w:w="756" w:type="dxa"/>
            <w:tcBorders>
              <w:top w:val="nil"/>
              <w:left w:val="nil"/>
              <w:bottom w:val="single" w:color="auto" w:sz="4" w:space="0"/>
              <w:right w:val="single" w:color="auto" w:sz="4" w:space="0"/>
            </w:tcBorders>
            <w:shd w:val="clear" w:color="000000" w:fill="FFFFFF"/>
            <w:noWrap w:val="0"/>
            <w:vAlign w:val="center"/>
          </w:tcPr>
          <w:p w14:paraId="75A18EDC">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6EA1DEB2">
            <w:pPr>
              <w:widowControl/>
              <w:rPr>
                <w:rFonts w:hint="eastAsia" w:ascii="仿宋" w:hAnsi="仿宋" w:eastAsia="仿宋" w:cs="仿宋"/>
                <w:color w:val="000000"/>
                <w:sz w:val="24"/>
              </w:rPr>
            </w:pPr>
            <w:r>
              <w:rPr>
                <w:rFonts w:hint="eastAsia" w:ascii="仿宋" w:hAnsi="仿宋" w:eastAsia="仿宋" w:cs="仿宋"/>
                <w:color w:val="000000"/>
                <w:sz w:val="24"/>
              </w:rPr>
              <w:t>1276</w:t>
            </w:r>
          </w:p>
        </w:tc>
      </w:tr>
      <w:tr w14:paraId="1CDC1EC5">
        <w:tblPrEx>
          <w:tblCellMar>
            <w:top w:w="0" w:type="dxa"/>
            <w:left w:w="108" w:type="dxa"/>
            <w:bottom w:w="0" w:type="dxa"/>
            <w:right w:w="108" w:type="dxa"/>
          </w:tblCellMar>
        </w:tblPrEx>
        <w:trPr>
          <w:trHeight w:val="57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2FFCC9C2">
            <w:pPr>
              <w:widowControl/>
              <w:rPr>
                <w:rFonts w:hint="eastAsia" w:ascii="仿宋" w:hAnsi="仿宋" w:eastAsia="仿宋" w:cs="仿宋"/>
                <w:color w:val="000000"/>
                <w:sz w:val="24"/>
              </w:rPr>
            </w:pPr>
            <w:r>
              <w:rPr>
                <w:rFonts w:hint="eastAsia" w:ascii="仿宋" w:hAnsi="仿宋" w:eastAsia="仿宋" w:cs="仿宋"/>
                <w:color w:val="000000"/>
                <w:sz w:val="24"/>
              </w:rPr>
              <w:t>15</w:t>
            </w:r>
          </w:p>
        </w:tc>
        <w:tc>
          <w:tcPr>
            <w:tcW w:w="2064" w:type="dxa"/>
            <w:tcBorders>
              <w:top w:val="nil"/>
              <w:left w:val="nil"/>
              <w:bottom w:val="single" w:color="auto" w:sz="4" w:space="0"/>
              <w:right w:val="single" w:color="auto" w:sz="4" w:space="0"/>
            </w:tcBorders>
            <w:shd w:val="clear" w:color="000000" w:fill="FFFFFF"/>
            <w:noWrap w:val="0"/>
            <w:vAlign w:val="center"/>
          </w:tcPr>
          <w:p w14:paraId="3913AAE0">
            <w:pPr>
              <w:widowControl/>
              <w:rPr>
                <w:rFonts w:hint="eastAsia" w:ascii="仿宋" w:hAnsi="仿宋" w:eastAsia="仿宋" w:cs="仿宋"/>
                <w:color w:val="000000"/>
                <w:sz w:val="24"/>
              </w:rPr>
            </w:pPr>
            <w:r>
              <w:rPr>
                <w:rFonts w:hint="eastAsia" w:ascii="仿宋" w:hAnsi="仿宋" w:eastAsia="仿宋" w:cs="仿宋"/>
                <w:color w:val="000000"/>
                <w:sz w:val="24"/>
              </w:rPr>
              <w:t>AE-20内分泌（非定值）</w:t>
            </w:r>
          </w:p>
        </w:tc>
        <w:tc>
          <w:tcPr>
            <w:tcW w:w="4731" w:type="dxa"/>
            <w:tcBorders>
              <w:top w:val="nil"/>
              <w:left w:val="nil"/>
              <w:bottom w:val="single" w:color="auto" w:sz="4" w:space="0"/>
              <w:right w:val="single" w:color="auto" w:sz="4" w:space="0"/>
            </w:tcBorders>
            <w:shd w:val="clear" w:color="000000" w:fill="FFFFFF"/>
            <w:noWrap w:val="0"/>
            <w:vAlign w:val="center"/>
          </w:tcPr>
          <w:p w14:paraId="0917A7FB">
            <w:pPr>
              <w:widowControl/>
              <w:rPr>
                <w:rFonts w:hint="eastAsia" w:ascii="仿宋" w:hAnsi="仿宋" w:eastAsia="仿宋" w:cs="仿宋"/>
                <w:color w:val="000000"/>
                <w:sz w:val="24"/>
              </w:rPr>
            </w:pPr>
            <w:r>
              <w:rPr>
                <w:rFonts w:hint="eastAsia" w:ascii="仿宋" w:hAnsi="仿宋" w:eastAsia="仿宋" w:cs="仿宋"/>
                <w:color w:val="000000"/>
                <w:sz w:val="24"/>
              </w:rPr>
              <w:t>包含甲状腺功能、性激素、胰岛素、C-肽、维生素等常用内分泌项目</w:t>
            </w:r>
          </w:p>
        </w:tc>
        <w:tc>
          <w:tcPr>
            <w:tcW w:w="5969" w:type="dxa"/>
            <w:tcBorders>
              <w:top w:val="nil"/>
              <w:left w:val="nil"/>
              <w:bottom w:val="single" w:color="auto" w:sz="4" w:space="0"/>
              <w:right w:val="single" w:color="auto" w:sz="4" w:space="0"/>
            </w:tcBorders>
            <w:shd w:val="clear" w:color="000000" w:fill="FFFFFF"/>
            <w:noWrap w:val="0"/>
            <w:vAlign w:val="center"/>
          </w:tcPr>
          <w:p w14:paraId="45BF77F3">
            <w:pPr>
              <w:widowControl/>
              <w:rPr>
                <w:rFonts w:hint="eastAsia" w:ascii="仿宋" w:hAnsi="仿宋" w:eastAsia="仿宋" w:cs="仿宋"/>
                <w:color w:val="000000"/>
                <w:sz w:val="24"/>
              </w:rPr>
            </w:pPr>
            <w:r>
              <w:rPr>
                <w:rFonts w:hint="eastAsia" w:ascii="仿宋" w:hAnsi="仿宋" w:eastAsia="仿宋" w:cs="仿宋"/>
                <w:color w:val="000000"/>
                <w:sz w:val="24"/>
              </w:rPr>
              <w:t>适用于主流免疫分析系统；用于评价检测系统性能。</w:t>
            </w:r>
          </w:p>
          <w:p w14:paraId="7017B897">
            <w:pPr>
              <w:widowControl/>
              <w:rPr>
                <w:rFonts w:hint="eastAsia" w:ascii="仿宋" w:hAnsi="仿宋" w:eastAsia="仿宋" w:cs="仿宋"/>
                <w:color w:val="000000"/>
                <w:sz w:val="24"/>
              </w:rPr>
            </w:pPr>
            <w:r>
              <w:rPr>
                <w:rFonts w:hint="eastAsia" w:ascii="仿宋" w:hAnsi="仿宋" w:eastAsia="仿宋" w:cs="仿宋"/>
                <w:color w:val="000000"/>
                <w:sz w:val="24"/>
              </w:rPr>
              <w:t xml:space="preserve">可提供5个不同浓度，涵盖低中高浓度。 </w:t>
            </w:r>
          </w:p>
        </w:tc>
        <w:tc>
          <w:tcPr>
            <w:tcW w:w="756" w:type="dxa"/>
            <w:tcBorders>
              <w:top w:val="nil"/>
              <w:left w:val="nil"/>
              <w:bottom w:val="single" w:color="auto" w:sz="4" w:space="0"/>
              <w:right w:val="single" w:color="auto" w:sz="4" w:space="0"/>
            </w:tcBorders>
            <w:shd w:val="clear" w:color="000000" w:fill="FFFFFF"/>
            <w:noWrap w:val="0"/>
            <w:vAlign w:val="center"/>
          </w:tcPr>
          <w:p w14:paraId="7EDB93C7">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64E459B8">
            <w:pPr>
              <w:widowControl/>
              <w:rPr>
                <w:rFonts w:hint="eastAsia" w:ascii="仿宋" w:hAnsi="仿宋" w:eastAsia="仿宋" w:cs="仿宋"/>
                <w:color w:val="000000"/>
                <w:sz w:val="24"/>
              </w:rPr>
            </w:pPr>
            <w:r>
              <w:rPr>
                <w:rFonts w:hint="eastAsia" w:ascii="仿宋" w:hAnsi="仿宋" w:eastAsia="仿宋" w:cs="仿宋"/>
                <w:color w:val="000000"/>
                <w:sz w:val="24"/>
              </w:rPr>
              <w:t>1002</w:t>
            </w:r>
          </w:p>
        </w:tc>
      </w:tr>
      <w:tr w14:paraId="5D151D2D">
        <w:tblPrEx>
          <w:tblCellMar>
            <w:top w:w="0" w:type="dxa"/>
            <w:left w:w="108" w:type="dxa"/>
            <w:bottom w:w="0" w:type="dxa"/>
            <w:right w:w="108" w:type="dxa"/>
          </w:tblCellMar>
        </w:tblPrEx>
        <w:trPr>
          <w:trHeight w:val="57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4204D80F">
            <w:pPr>
              <w:widowControl/>
              <w:rPr>
                <w:rFonts w:hint="eastAsia" w:ascii="仿宋" w:hAnsi="仿宋" w:eastAsia="仿宋" w:cs="仿宋"/>
                <w:color w:val="000000"/>
                <w:sz w:val="24"/>
              </w:rPr>
            </w:pPr>
            <w:r>
              <w:rPr>
                <w:rFonts w:hint="eastAsia" w:ascii="仿宋" w:hAnsi="仿宋" w:eastAsia="仿宋" w:cs="仿宋"/>
                <w:color w:val="000000"/>
                <w:sz w:val="24"/>
              </w:rPr>
              <w:t>16</w:t>
            </w:r>
          </w:p>
        </w:tc>
        <w:tc>
          <w:tcPr>
            <w:tcW w:w="2064" w:type="dxa"/>
            <w:tcBorders>
              <w:top w:val="nil"/>
              <w:left w:val="nil"/>
              <w:bottom w:val="single" w:color="auto" w:sz="4" w:space="0"/>
              <w:right w:val="single" w:color="auto" w:sz="4" w:space="0"/>
            </w:tcBorders>
            <w:shd w:val="clear" w:color="000000" w:fill="FFFFFF"/>
            <w:noWrap w:val="0"/>
            <w:vAlign w:val="center"/>
          </w:tcPr>
          <w:p w14:paraId="29D02229">
            <w:pPr>
              <w:widowControl/>
              <w:rPr>
                <w:rFonts w:hint="eastAsia" w:ascii="仿宋" w:hAnsi="仿宋" w:eastAsia="仿宋" w:cs="仿宋"/>
                <w:color w:val="000000"/>
                <w:sz w:val="24"/>
              </w:rPr>
            </w:pPr>
            <w:r>
              <w:rPr>
                <w:rFonts w:hint="eastAsia" w:ascii="仿宋" w:hAnsi="仿宋" w:eastAsia="仿宋" w:cs="仿宋"/>
                <w:color w:val="000000"/>
                <w:sz w:val="24"/>
              </w:rPr>
              <w:t>AE-21尿液定量生化（非定值）</w:t>
            </w:r>
          </w:p>
        </w:tc>
        <w:tc>
          <w:tcPr>
            <w:tcW w:w="4731" w:type="dxa"/>
            <w:tcBorders>
              <w:top w:val="nil"/>
              <w:left w:val="nil"/>
              <w:bottom w:val="single" w:color="auto" w:sz="4" w:space="0"/>
              <w:right w:val="single" w:color="auto" w:sz="4" w:space="0"/>
            </w:tcBorders>
            <w:shd w:val="clear" w:color="000000" w:fill="FFFFFF"/>
            <w:noWrap w:val="0"/>
            <w:vAlign w:val="center"/>
          </w:tcPr>
          <w:p w14:paraId="2EF5846B">
            <w:pPr>
              <w:widowControl/>
              <w:rPr>
                <w:rFonts w:hint="eastAsia" w:ascii="仿宋" w:hAnsi="仿宋" w:eastAsia="仿宋" w:cs="仿宋"/>
                <w:color w:val="000000"/>
                <w:sz w:val="24"/>
              </w:rPr>
            </w:pPr>
            <w:r>
              <w:rPr>
                <w:rFonts w:hint="eastAsia" w:ascii="仿宋" w:hAnsi="仿宋" w:eastAsia="仿宋" w:cs="仿宋"/>
                <w:color w:val="000000"/>
                <w:sz w:val="24"/>
              </w:rPr>
              <w:t>包含尿蛋白、尿微量白蛋白、尿肌酐、尿钙、尿磷、尿酸、尿钠、尿钾等项目</w:t>
            </w:r>
          </w:p>
        </w:tc>
        <w:tc>
          <w:tcPr>
            <w:tcW w:w="5969" w:type="dxa"/>
            <w:tcBorders>
              <w:top w:val="nil"/>
              <w:left w:val="nil"/>
              <w:bottom w:val="single" w:color="auto" w:sz="4" w:space="0"/>
              <w:right w:val="single" w:color="auto" w:sz="4" w:space="0"/>
            </w:tcBorders>
            <w:shd w:val="clear" w:color="000000" w:fill="FFFFFF"/>
            <w:noWrap w:val="0"/>
            <w:vAlign w:val="center"/>
          </w:tcPr>
          <w:p w14:paraId="36B3605D">
            <w:pPr>
              <w:widowControl/>
              <w:rPr>
                <w:rFonts w:hint="eastAsia" w:ascii="仿宋" w:hAnsi="仿宋" w:eastAsia="仿宋" w:cs="仿宋"/>
                <w:color w:val="000000"/>
                <w:sz w:val="24"/>
              </w:rPr>
            </w:pPr>
            <w:r>
              <w:rPr>
                <w:rFonts w:hint="eastAsia" w:ascii="仿宋" w:hAnsi="仿宋" w:eastAsia="仿宋" w:cs="仿宋"/>
                <w:color w:val="000000"/>
                <w:sz w:val="24"/>
              </w:rPr>
              <w:t>适配主流生化分析系统及常用检测方法学；质控品应具有良好的均一性和稳定性，结果水平覆盖临床常用检测范围，用于评价检测系统的准确性和稳定性。</w:t>
            </w:r>
          </w:p>
        </w:tc>
        <w:tc>
          <w:tcPr>
            <w:tcW w:w="756" w:type="dxa"/>
            <w:tcBorders>
              <w:top w:val="nil"/>
              <w:left w:val="nil"/>
              <w:bottom w:val="single" w:color="auto" w:sz="4" w:space="0"/>
              <w:right w:val="single" w:color="auto" w:sz="4" w:space="0"/>
            </w:tcBorders>
            <w:shd w:val="clear" w:color="000000" w:fill="FFFFFF"/>
            <w:noWrap w:val="0"/>
            <w:vAlign w:val="center"/>
          </w:tcPr>
          <w:p w14:paraId="5FFF5905">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012A99F4">
            <w:pPr>
              <w:widowControl/>
              <w:rPr>
                <w:rFonts w:hint="eastAsia" w:ascii="仿宋" w:hAnsi="仿宋" w:eastAsia="仿宋" w:cs="仿宋"/>
                <w:color w:val="000000"/>
                <w:sz w:val="24"/>
              </w:rPr>
            </w:pPr>
            <w:r>
              <w:rPr>
                <w:rFonts w:hint="eastAsia" w:ascii="仿宋" w:hAnsi="仿宋" w:eastAsia="仿宋" w:cs="仿宋"/>
                <w:color w:val="000000"/>
                <w:sz w:val="24"/>
              </w:rPr>
              <w:t>258</w:t>
            </w:r>
          </w:p>
        </w:tc>
      </w:tr>
      <w:tr w14:paraId="07944E52">
        <w:tblPrEx>
          <w:tblCellMar>
            <w:top w:w="0" w:type="dxa"/>
            <w:left w:w="108" w:type="dxa"/>
            <w:bottom w:w="0" w:type="dxa"/>
            <w:right w:w="108" w:type="dxa"/>
          </w:tblCellMar>
        </w:tblPrEx>
        <w:trPr>
          <w:trHeight w:val="57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61996C14">
            <w:pPr>
              <w:widowControl/>
              <w:rPr>
                <w:rFonts w:hint="eastAsia" w:ascii="仿宋" w:hAnsi="仿宋" w:eastAsia="仿宋" w:cs="仿宋"/>
                <w:color w:val="000000"/>
                <w:sz w:val="24"/>
              </w:rPr>
            </w:pPr>
            <w:r>
              <w:rPr>
                <w:rFonts w:hint="eastAsia" w:ascii="仿宋" w:hAnsi="仿宋" w:eastAsia="仿宋" w:cs="仿宋"/>
                <w:color w:val="000000"/>
                <w:sz w:val="24"/>
              </w:rPr>
              <w:t>17</w:t>
            </w:r>
          </w:p>
        </w:tc>
        <w:tc>
          <w:tcPr>
            <w:tcW w:w="2064" w:type="dxa"/>
            <w:tcBorders>
              <w:top w:val="nil"/>
              <w:left w:val="nil"/>
              <w:bottom w:val="single" w:color="auto" w:sz="4" w:space="0"/>
              <w:right w:val="single" w:color="auto" w:sz="4" w:space="0"/>
            </w:tcBorders>
            <w:shd w:val="clear" w:color="000000" w:fill="FFFFFF"/>
            <w:noWrap w:val="0"/>
            <w:vAlign w:val="center"/>
          </w:tcPr>
          <w:p w14:paraId="49A74099">
            <w:pPr>
              <w:widowControl/>
              <w:rPr>
                <w:rFonts w:hint="eastAsia" w:ascii="仿宋" w:hAnsi="仿宋" w:eastAsia="仿宋" w:cs="仿宋"/>
                <w:color w:val="000000"/>
                <w:sz w:val="24"/>
              </w:rPr>
            </w:pPr>
            <w:r>
              <w:rPr>
                <w:rFonts w:hint="eastAsia" w:ascii="仿宋" w:hAnsi="仿宋" w:eastAsia="仿宋" w:cs="仿宋"/>
                <w:color w:val="000000"/>
                <w:sz w:val="24"/>
              </w:rPr>
              <w:t>AE-22临床输血相容性检测（非定值）</w:t>
            </w:r>
          </w:p>
        </w:tc>
        <w:tc>
          <w:tcPr>
            <w:tcW w:w="4731" w:type="dxa"/>
            <w:tcBorders>
              <w:top w:val="nil"/>
              <w:left w:val="nil"/>
              <w:bottom w:val="single" w:color="auto" w:sz="4" w:space="0"/>
              <w:right w:val="single" w:color="auto" w:sz="4" w:space="0"/>
            </w:tcBorders>
            <w:shd w:val="clear" w:color="000000" w:fill="FFFFFF"/>
            <w:noWrap w:val="0"/>
            <w:vAlign w:val="center"/>
          </w:tcPr>
          <w:p w14:paraId="6AA3891C">
            <w:pPr>
              <w:widowControl/>
              <w:rPr>
                <w:rFonts w:hint="eastAsia" w:ascii="仿宋" w:hAnsi="仿宋" w:eastAsia="仿宋" w:cs="仿宋"/>
                <w:color w:val="000000"/>
                <w:sz w:val="24"/>
              </w:rPr>
            </w:pPr>
            <w:r>
              <w:rPr>
                <w:rFonts w:hint="eastAsia" w:ascii="仿宋" w:hAnsi="仿宋" w:eastAsia="仿宋" w:cs="仿宋"/>
                <w:color w:val="000000"/>
                <w:sz w:val="24"/>
              </w:rPr>
              <w:t>ABO正定型、ABO反定型、RhD血型、抗体筛检、交叉配血</w:t>
            </w:r>
          </w:p>
        </w:tc>
        <w:tc>
          <w:tcPr>
            <w:tcW w:w="5969" w:type="dxa"/>
            <w:tcBorders>
              <w:top w:val="nil"/>
              <w:left w:val="nil"/>
              <w:bottom w:val="single" w:color="auto" w:sz="4" w:space="0"/>
              <w:right w:val="single" w:color="auto" w:sz="4" w:space="0"/>
            </w:tcBorders>
            <w:shd w:val="clear" w:color="000000" w:fill="FFFFFF"/>
            <w:noWrap w:val="0"/>
            <w:vAlign w:val="center"/>
          </w:tcPr>
          <w:p w14:paraId="5C89AA89">
            <w:pPr>
              <w:widowControl/>
              <w:rPr>
                <w:rFonts w:hint="eastAsia" w:ascii="仿宋" w:hAnsi="仿宋" w:eastAsia="仿宋" w:cs="仿宋"/>
                <w:color w:val="000000"/>
                <w:sz w:val="24"/>
              </w:rPr>
            </w:pPr>
            <w:r>
              <w:rPr>
                <w:rFonts w:hint="eastAsia" w:ascii="仿宋" w:hAnsi="仿宋" w:eastAsia="仿宋" w:cs="仿宋"/>
                <w:color w:val="000000"/>
                <w:sz w:val="24"/>
              </w:rPr>
              <w:t>样本形式为液体，具有良好的稳定性和均一性，在规定储存条件下具有明确有效期；质控品基质应接近临床实际样本，避免非人源物质对检测结果的干扰；适用于主流输血检测方法和市售检测系统，包括常用试管法、卡式法及凝聚胺法等，用于评价检测系统的准确性和一致性。</w:t>
            </w:r>
          </w:p>
        </w:tc>
        <w:tc>
          <w:tcPr>
            <w:tcW w:w="756" w:type="dxa"/>
            <w:tcBorders>
              <w:top w:val="nil"/>
              <w:left w:val="nil"/>
              <w:bottom w:val="single" w:color="auto" w:sz="4" w:space="0"/>
              <w:right w:val="single" w:color="auto" w:sz="4" w:space="0"/>
            </w:tcBorders>
            <w:shd w:val="clear" w:color="000000" w:fill="FFFFFF"/>
            <w:noWrap w:val="0"/>
            <w:vAlign w:val="center"/>
          </w:tcPr>
          <w:p w14:paraId="7A232E87">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5F5B8EF7">
            <w:pPr>
              <w:widowControl/>
              <w:rPr>
                <w:rFonts w:hint="eastAsia" w:ascii="仿宋" w:hAnsi="仿宋" w:eastAsia="仿宋" w:cs="仿宋"/>
                <w:color w:val="000000"/>
                <w:sz w:val="24"/>
              </w:rPr>
            </w:pPr>
            <w:r>
              <w:rPr>
                <w:rFonts w:hint="eastAsia" w:ascii="仿宋" w:hAnsi="仿宋" w:eastAsia="仿宋" w:cs="仿宋"/>
                <w:color w:val="000000"/>
                <w:sz w:val="24"/>
              </w:rPr>
              <w:t>730</w:t>
            </w:r>
          </w:p>
        </w:tc>
      </w:tr>
      <w:tr w14:paraId="0857CABC">
        <w:tblPrEx>
          <w:tblCellMar>
            <w:top w:w="0" w:type="dxa"/>
            <w:left w:w="108" w:type="dxa"/>
            <w:bottom w:w="0" w:type="dxa"/>
            <w:right w:w="108" w:type="dxa"/>
          </w:tblCellMar>
        </w:tblPrEx>
        <w:trPr>
          <w:trHeight w:val="57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3B406C37">
            <w:pPr>
              <w:widowControl/>
              <w:rPr>
                <w:rFonts w:hint="eastAsia" w:ascii="仿宋" w:hAnsi="仿宋" w:eastAsia="仿宋" w:cs="仿宋"/>
                <w:color w:val="000000"/>
                <w:sz w:val="24"/>
              </w:rPr>
            </w:pPr>
            <w:r>
              <w:rPr>
                <w:rFonts w:hint="eastAsia" w:ascii="仿宋" w:hAnsi="仿宋" w:eastAsia="仿宋" w:cs="仿宋"/>
                <w:color w:val="000000"/>
                <w:sz w:val="24"/>
              </w:rPr>
              <w:t>18</w:t>
            </w:r>
          </w:p>
        </w:tc>
        <w:tc>
          <w:tcPr>
            <w:tcW w:w="2064" w:type="dxa"/>
            <w:tcBorders>
              <w:top w:val="nil"/>
              <w:left w:val="nil"/>
              <w:bottom w:val="single" w:color="auto" w:sz="4" w:space="0"/>
              <w:right w:val="single" w:color="auto" w:sz="4" w:space="0"/>
            </w:tcBorders>
            <w:shd w:val="clear" w:color="000000" w:fill="FFFFFF"/>
            <w:noWrap w:val="0"/>
            <w:vAlign w:val="center"/>
          </w:tcPr>
          <w:p w14:paraId="4DCB9260">
            <w:pPr>
              <w:widowControl/>
              <w:rPr>
                <w:rFonts w:hint="eastAsia" w:ascii="仿宋" w:hAnsi="仿宋" w:eastAsia="仿宋" w:cs="仿宋"/>
                <w:color w:val="000000"/>
                <w:sz w:val="24"/>
              </w:rPr>
            </w:pPr>
            <w:r>
              <w:rPr>
                <w:rFonts w:hint="eastAsia" w:ascii="仿宋" w:hAnsi="仿宋" w:eastAsia="仿宋" w:cs="仿宋"/>
                <w:color w:val="000000"/>
                <w:sz w:val="24"/>
              </w:rPr>
              <w:t>AE-24心肌标志物（非定值）</w:t>
            </w:r>
          </w:p>
        </w:tc>
        <w:tc>
          <w:tcPr>
            <w:tcW w:w="4731" w:type="dxa"/>
            <w:tcBorders>
              <w:top w:val="nil"/>
              <w:left w:val="nil"/>
              <w:bottom w:val="single" w:color="auto" w:sz="4" w:space="0"/>
              <w:right w:val="single" w:color="auto" w:sz="4" w:space="0"/>
            </w:tcBorders>
            <w:shd w:val="clear" w:color="000000" w:fill="FFFFFF"/>
            <w:noWrap w:val="0"/>
            <w:vAlign w:val="center"/>
          </w:tcPr>
          <w:p w14:paraId="775821AF">
            <w:pPr>
              <w:widowControl/>
              <w:rPr>
                <w:rFonts w:hint="eastAsia" w:ascii="仿宋" w:hAnsi="仿宋" w:eastAsia="仿宋" w:cs="仿宋"/>
                <w:color w:val="000000"/>
                <w:sz w:val="24"/>
              </w:rPr>
            </w:pPr>
            <w:r>
              <w:rPr>
                <w:rFonts w:hint="eastAsia" w:ascii="仿宋" w:hAnsi="仿宋" w:eastAsia="仿宋" w:cs="仿宋"/>
                <w:color w:val="000000"/>
                <w:sz w:val="24"/>
              </w:rPr>
              <w:t>包含肌钙蛋白（cTnI / cTnT）、肌酸激酶同工酶（CK-MB）、肌红蛋白（MYO）等项目</w:t>
            </w:r>
          </w:p>
        </w:tc>
        <w:tc>
          <w:tcPr>
            <w:tcW w:w="5969" w:type="dxa"/>
            <w:tcBorders>
              <w:top w:val="nil"/>
              <w:left w:val="nil"/>
              <w:bottom w:val="single" w:color="auto" w:sz="4" w:space="0"/>
              <w:right w:val="single" w:color="auto" w:sz="4" w:space="0"/>
            </w:tcBorders>
            <w:shd w:val="clear" w:color="000000" w:fill="FFFFFF"/>
            <w:noWrap w:val="0"/>
            <w:vAlign w:val="center"/>
          </w:tcPr>
          <w:p w14:paraId="35365A79">
            <w:pPr>
              <w:widowControl/>
              <w:rPr>
                <w:rFonts w:hint="eastAsia" w:ascii="仿宋" w:hAnsi="仿宋" w:eastAsia="仿宋" w:cs="仿宋"/>
                <w:color w:val="000000"/>
                <w:sz w:val="24"/>
              </w:rPr>
            </w:pPr>
            <w:r>
              <w:rPr>
                <w:rFonts w:hint="eastAsia" w:ascii="仿宋" w:hAnsi="仿宋" w:eastAsia="仿宋" w:cs="仿宋"/>
                <w:color w:val="000000"/>
                <w:sz w:val="24"/>
              </w:rPr>
              <w:t>适配主流免疫分析系统及常用检测方法学；质控品应具有良好的均一性和稳定性，结果水平覆盖临床常用判定区间，用于评价检测系统的准确性和稳定性。</w:t>
            </w:r>
          </w:p>
        </w:tc>
        <w:tc>
          <w:tcPr>
            <w:tcW w:w="756" w:type="dxa"/>
            <w:tcBorders>
              <w:top w:val="nil"/>
              <w:left w:val="nil"/>
              <w:bottom w:val="single" w:color="auto" w:sz="4" w:space="0"/>
              <w:right w:val="single" w:color="auto" w:sz="4" w:space="0"/>
            </w:tcBorders>
            <w:shd w:val="clear" w:color="000000" w:fill="FFFFFF"/>
            <w:noWrap w:val="0"/>
            <w:vAlign w:val="center"/>
          </w:tcPr>
          <w:p w14:paraId="48A940A3">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72F7B66C">
            <w:pPr>
              <w:widowControl/>
              <w:rPr>
                <w:rFonts w:hint="eastAsia" w:ascii="仿宋" w:hAnsi="仿宋" w:eastAsia="仿宋" w:cs="仿宋"/>
                <w:color w:val="000000"/>
                <w:sz w:val="24"/>
              </w:rPr>
            </w:pPr>
            <w:r>
              <w:rPr>
                <w:rFonts w:hint="eastAsia" w:ascii="仿宋" w:hAnsi="仿宋" w:eastAsia="仿宋" w:cs="仿宋"/>
                <w:color w:val="000000"/>
                <w:sz w:val="24"/>
              </w:rPr>
              <w:t>722</w:t>
            </w:r>
          </w:p>
        </w:tc>
      </w:tr>
      <w:tr w14:paraId="40AEA28E">
        <w:tblPrEx>
          <w:tblCellMar>
            <w:top w:w="0" w:type="dxa"/>
            <w:left w:w="108" w:type="dxa"/>
            <w:bottom w:w="0" w:type="dxa"/>
            <w:right w:w="108" w:type="dxa"/>
          </w:tblCellMar>
        </w:tblPrEx>
        <w:trPr>
          <w:trHeight w:val="838"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1749D5DD">
            <w:pPr>
              <w:widowControl/>
              <w:rPr>
                <w:rFonts w:hint="eastAsia" w:ascii="仿宋" w:hAnsi="仿宋" w:eastAsia="仿宋" w:cs="仿宋"/>
                <w:color w:val="000000"/>
                <w:sz w:val="24"/>
              </w:rPr>
            </w:pPr>
            <w:r>
              <w:rPr>
                <w:rFonts w:hint="eastAsia" w:ascii="仿宋" w:hAnsi="仿宋" w:eastAsia="仿宋" w:cs="仿宋"/>
                <w:color w:val="000000"/>
                <w:sz w:val="24"/>
              </w:rPr>
              <w:t>19</w:t>
            </w:r>
          </w:p>
        </w:tc>
        <w:tc>
          <w:tcPr>
            <w:tcW w:w="2064" w:type="dxa"/>
            <w:tcBorders>
              <w:top w:val="nil"/>
              <w:left w:val="nil"/>
              <w:bottom w:val="single" w:color="auto" w:sz="4" w:space="0"/>
              <w:right w:val="single" w:color="auto" w:sz="4" w:space="0"/>
            </w:tcBorders>
            <w:shd w:val="clear" w:color="000000" w:fill="FFFFFF"/>
            <w:noWrap w:val="0"/>
            <w:vAlign w:val="center"/>
          </w:tcPr>
          <w:p w14:paraId="28BF7069">
            <w:pPr>
              <w:widowControl/>
              <w:rPr>
                <w:rFonts w:hint="eastAsia" w:ascii="仿宋" w:hAnsi="仿宋" w:eastAsia="仿宋" w:cs="仿宋"/>
                <w:color w:val="000000"/>
                <w:sz w:val="24"/>
              </w:rPr>
            </w:pPr>
            <w:r>
              <w:rPr>
                <w:rFonts w:hint="eastAsia" w:ascii="仿宋" w:hAnsi="仿宋" w:eastAsia="仿宋" w:cs="仿宋"/>
                <w:color w:val="000000"/>
                <w:sz w:val="24"/>
              </w:rPr>
              <w:t>AE-25感染性疾病血清学标志物系列C（非定值）</w:t>
            </w:r>
          </w:p>
        </w:tc>
        <w:tc>
          <w:tcPr>
            <w:tcW w:w="4731" w:type="dxa"/>
            <w:tcBorders>
              <w:top w:val="nil"/>
              <w:left w:val="nil"/>
              <w:bottom w:val="single" w:color="auto" w:sz="4" w:space="0"/>
              <w:right w:val="single" w:color="auto" w:sz="4" w:space="0"/>
            </w:tcBorders>
            <w:shd w:val="clear" w:color="000000" w:fill="FFFFFF"/>
            <w:noWrap w:val="0"/>
            <w:vAlign w:val="center"/>
          </w:tcPr>
          <w:p w14:paraId="4A90617D">
            <w:pPr>
              <w:widowControl/>
              <w:rPr>
                <w:rFonts w:hint="eastAsia" w:ascii="仿宋" w:hAnsi="仿宋" w:eastAsia="仿宋" w:cs="仿宋"/>
                <w:color w:val="000000"/>
                <w:sz w:val="24"/>
              </w:rPr>
            </w:pPr>
            <w:r>
              <w:rPr>
                <w:rFonts w:hint="eastAsia" w:ascii="仿宋" w:hAnsi="仿宋" w:eastAsia="仿宋" w:cs="仿宋"/>
                <w:color w:val="000000"/>
                <w:sz w:val="24"/>
              </w:rPr>
              <w:t>包含抗-HAV IgM、抗-HBcIgM、抗-HEV IgM</w:t>
            </w:r>
          </w:p>
        </w:tc>
        <w:tc>
          <w:tcPr>
            <w:tcW w:w="5969" w:type="dxa"/>
            <w:tcBorders>
              <w:top w:val="nil"/>
              <w:left w:val="nil"/>
              <w:bottom w:val="single" w:color="auto" w:sz="4" w:space="0"/>
              <w:right w:val="single" w:color="auto" w:sz="4" w:space="0"/>
            </w:tcBorders>
            <w:shd w:val="clear" w:color="000000" w:fill="FFFFFF"/>
            <w:noWrap w:val="0"/>
            <w:vAlign w:val="center"/>
          </w:tcPr>
          <w:p w14:paraId="5981A10A">
            <w:pPr>
              <w:widowControl/>
              <w:rPr>
                <w:rFonts w:hint="eastAsia" w:ascii="仿宋" w:hAnsi="仿宋" w:eastAsia="仿宋" w:cs="仿宋"/>
                <w:color w:val="000000"/>
                <w:sz w:val="24"/>
              </w:rPr>
            </w:pPr>
            <w:r>
              <w:rPr>
                <w:rFonts w:hint="eastAsia" w:ascii="仿宋" w:hAnsi="仿宋" w:eastAsia="仿宋" w:cs="仿宋"/>
                <w:color w:val="000000"/>
                <w:sz w:val="24"/>
              </w:rPr>
              <w:t>可溯源至国际标准或者国家标准；适用于体外诊断试剂（包括酶联免疫）。</w:t>
            </w:r>
          </w:p>
        </w:tc>
        <w:tc>
          <w:tcPr>
            <w:tcW w:w="756" w:type="dxa"/>
            <w:tcBorders>
              <w:top w:val="nil"/>
              <w:left w:val="nil"/>
              <w:bottom w:val="single" w:color="auto" w:sz="4" w:space="0"/>
              <w:right w:val="single" w:color="auto" w:sz="4" w:space="0"/>
            </w:tcBorders>
            <w:shd w:val="clear" w:color="000000" w:fill="FFFFFF"/>
            <w:noWrap w:val="0"/>
            <w:vAlign w:val="center"/>
          </w:tcPr>
          <w:p w14:paraId="0B4BD20D">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58315021">
            <w:pPr>
              <w:widowControl/>
              <w:rPr>
                <w:rFonts w:hint="eastAsia" w:ascii="仿宋" w:hAnsi="仿宋" w:eastAsia="仿宋" w:cs="仿宋"/>
                <w:color w:val="000000"/>
                <w:sz w:val="24"/>
              </w:rPr>
            </w:pPr>
            <w:r>
              <w:rPr>
                <w:rFonts w:hint="eastAsia" w:ascii="仿宋" w:hAnsi="仿宋" w:eastAsia="仿宋" w:cs="仿宋"/>
                <w:color w:val="000000"/>
                <w:sz w:val="24"/>
              </w:rPr>
              <w:t>256</w:t>
            </w:r>
          </w:p>
        </w:tc>
      </w:tr>
      <w:tr w14:paraId="3DFE8179">
        <w:tblPrEx>
          <w:tblCellMar>
            <w:top w:w="0" w:type="dxa"/>
            <w:left w:w="108" w:type="dxa"/>
            <w:bottom w:w="0" w:type="dxa"/>
            <w:right w:w="108" w:type="dxa"/>
          </w:tblCellMar>
        </w:tblPrEx>
        <w:trPr>
          <w:trHeight w:val="1425"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061D349B">
            <w:pPr>
              <w:widowControl/>
              <w:rPr>
                <w:rFonts w:hint="eastAsia" w:ascii="仿宋" w:hAnsi="仿宋" w:eastAsia="仿宋" w:cs="仿宋"/>
                <w:color w:val="000000"/>
                <w:sz w:val="24"/>
              </w:rPr>
            </w:pPr>
            <w:r>
              <w:rPr>
                <w:rFonts w:hint="eastAsia" w:ascii="仿宋" w:hAnsi="仿宋" w:eastAsia="仿宋" w:cs="仿宋"/>
                <w:color w:val="000000"/>
                <w:sz w:val="24"/>
              </w:rPr>
              <w:t>20</w:t>
            </w:r>
          </w:p>
        </w:tc>
        <w:tc>
          <w:tcPr>
            <w:tcW w:w="2064" w:type="dxa"/>
            <w:tcBorders>
              <w:top w:val="nil"/>
              <w:left w:val="nil"/>
              <w:bottom w:val="single" w:color="auto" w:sz="4" w:space="0"/>
              <w:right w:val="single" w:color="auto" w:sz="4" w:space="0"/>
            </w:tcBorders>
            <w:shd w:val="clear" w:color="000000" w:fill="FFFFFF"/>
            <w:noWrap w:val="0"/>
            <w:vAlign w:val="center"/>
          </w:tcPr>
          <w:p w14:paraId="576221DC">
            <w:pPr>
              <w:widowControl/>
              <w:rPr>
                <w:rFonts w:hint="eastAsia" w:ascii="仿宋" w:hAnsi="仿宋" w:eastAsia="仿宋" w:cs="仿宋"/>
                <w:color w:val="000000"/>
                <w:sz w:val="24"/>
              </w:rPr>
            </w:pPr>
            <w:r>
              <w:rPr>
                <w:rFonts w:hint="eastAsia" w:ascii="仿宋" w:hAnsi="仿宋" w:eastAsia="仿宋" w:cs="仿宋"/>
                <w:color w:val="000000"/>
                <w:sz w:val="24"/>
              </w:rPr>
              <w:t>AE-26抗核抗体（非定值）</w:t>
            </w:r>
          </w:p>
        </w:tc>
        <w:tc>
          <w:tcPr>
            <w:tcW w:w="4731" w:type="dxa"/>
            <w:tcBorders>
              <w:top w:val="nil"/>
              <w:left w:val="nil"/>
              <w:bottom w:val="single" w:color="auto" w:sz="4" w:space="0"/>
              <w:right w:val="single" w:color="auto" w:sz="4" w:space="0"/>
            </w:tcBorders>
            <w:shd w:val="clear" w:color="000000" w:fill="FFFFFF"/>
            <w:noWrap w:val="0"/>
            <w:vAlign w:val="center"/>
          </w:tcPr>
          <w:p w14:paraId="289D4FB1">
            <w:pPr>
              <w:widowControl/>
              <w:rPr>
                <w:rFonts w:hint="eastAsia" w:ascii="仿宋" w:hAnsi="仿宋" w:eastAsia="仿宋" w:cs="仿宋"/>
                <w:color w:val="000000"/>
                <w:sz w:val="24"/>
              </w:rPr>
            </w:pPr>
            <w:r>
              <w:rPr>
                <w:rFonts w:hint="eastAsia" w:ascii="仿宋" w:hAnsi="仿宋" w:eastAsia="仿宋" w:cs="仿宋"/>
                <w:color w:val="000000"/>
                <w:sz w:val="24"/>
              </w:rPr>
              <w:t>应涵盖临床常见 ANA 荧光模式，如均质型、颗粒型、核仁型、着丝点型等；可同时包含抗 dsDNA、抗 SS-A、抗 SS-B、抗 Sm、抗 RNP、抗 Scl-70、抗 Jo-1 等常见相关抗体</w:t>
            </w:r>
          </w:p>
        </w:tc>
        <w:tc>
          <w:tcPr>
            <w:tcW w:w="5969" w:type="dxa"/>
            <w:tcBorders>
              <w:top w:val="nil"/>
              <w:left w:val="nil"/>
              <w:bottom w:val="single" w:color="auto" w:sz="4" w:space="0"/>
              <w:right w:val="single" w:color="auto" w:sz="4" w:space="0"/>
            </w:tcBorders>
            <w:shd w:val="clear" w:color="000000" w:fill="FFFFFF"/>
            <w:noWrap w:val="0"/>
            <w:vAlign w:val="center"/>
          </w:tcPr>
          <w:p w14:paraId="553CF518">
            <w:pPr>
              <w:widowControl/>
              <w:rPr>
                <w:rFonts w:hint="eastAsia" w:ascii="仿宋" w:hAnsi="仿宋" w:eastAsia="仿宋" w:cs="仿宋"/>
                <w:color w:val="000000"/>
                <w:sz w:val="24"/>
              </w:rPr>
            </w:pPr>
            <w:r>
              <w:rPr>
                <w:rFonts w:hint="eastAsia" w:ascii="仿宋" w:hAnsi="仿宋" w:eastAsia="仿宋" w:cs="仿宋"/>
                <w:color w:val="000000"/>
                <w:sz w:val="24"/>
              </w:rPr>
              <w:t>适用于主流抗核抗体检测方法（包括间接免疫荧光法及相关免疫学检测方法）；质控品应具有良好的均一性和稳定性，结果水平覆盖临床常用判定区间（阴性及不同阳性水平），用于评价检测系统的判别能力、重复性和一致性；产品在规定储存条件下具有明确有效期。</w:t>
            </w:r>
          </w:p>
        </w:tc>
        <w:tc>
          <w:tcPr>
            <w:tcW w:w="756" w:type="dxa"/>
            <w:tcBorders>
              <w:top w:val="nil"/>
              <w:left w:val="nil"/>
              <w:bottom w:val="single" w:color="auto" w:sz="4" w:space="0"/>
              <w:right w:val="single" w:color="auto" w:sz="4" w:space="0"/>
            </w:tcBorders>
            <w:shd w:val="clear" w:color="000000" w:fill="FFFFFF"/>
            <w:noWrap w:val="0"/>
            <w:vAlign w:val="center"/>
          </w:tcPr>
          <w:p w14:paraId="6D3CE369">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11D241AB">
            <w:pPr>
              <w:widowControl/>
              <w:rPr>
                <w:rFonts w:hint="eastAsia" w:ascii="仿宋" w:hAnsi="仿宋" w:eastAsia="仿宋" w:cs="仿宋"/>
                <w:color w:val="000000"/>
                <w:sz w:val="24"/>
              </w:rPr>
            </w:pPr>
            <w:r>
              <w:rPr>
                <w:rFonts w:hint="eastAsia" w:ascii="仿宋" w:hAnsi="仿宋" w:eastAsia="仿宋" w:cs="仿宋"/>
                <w:color w:val="000000"/>
                <w:sz w:val="24"/>
              </w:rPr>
              <w:t>182</w:t>
            </w:r>
          </w:p>
        </w:tc>
      </w:tr>
      <w:tr w14:paraId="3980A518">
        <w:tblPrEx>
          <w:tblCellMar>
            <w:top w:w="0" w:type="dxa"/>
            <w:left w:w="108" w:type="dxa"/>
            <w:bottom w:w="0" w:type="dxa"/>
            <w:right w:w="108" w:type="dxa"/>
          </w:tblCellMar>
        </w:tblPrEx>
        <w:trPr>
          <w:trHeight w:val="114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1E5E1448">
            <w:pPr>
              <w:widowControl/>
              <w:rPr>
                <w:rFonts w:hint="eastAsia" w:ascii="仿宋" w:hAnsi="仿宋" w:eastAsia="仿宋" w:cs="仿宋"/>
                <w:color w:val="000000"/>
                <w:sz w:val="24"/>
              </w:rPr>
            </w:pPr>
            <w:r>
              <w:rPr>
                <w:rFonts w:hint="eastAsia" w:ascii="仿宋" w:hAnsi="仿宋" w:eastAsia="仿宋" w:cs="仿宋"/>
                <w:color w:val="000000"/>
                <w:sz w:val="24"/>
              </w:rPr>
              <w:t>21</w:t>
            </w:r>
          </w:p>
        </w:tc>
        <w:tc>
          <w:tcPr>
            <w:tcW w:w="2064" w:type="dxa"/>
            <w:tcBorders>
              <w:top w:val="nil"/>
              <w:left w:val="nil"/>
              <w:bottom w:val="single" w:color="auto" w:sz="4" w:space="0"/>
              <w:right w:val="single" w:color="auto" w:sz="4" w:space="0"/>
            </w:tcBorders>
            <w:shd w:val="clear" w:color="000000" w:fill="FFFFFF"/>
            <w:noWrap w:val="0"/>
            <w:vAlign w:val="center"/>
          </w:tcPr>
          <w:p w14:paraId="160976F5">
            <w:pPr>
              <w:widowControl/>
              <w:rPr>
                <w:rFonts w:hint="eastAsia" w:ascii="仿宋" w:hAnsi="仿宋" w:eastAsia="仿宋" w:cs="仿宋"/>
                <w:color w:val="000000"/>
                <w:sz w:val="24"/>
              </w:rPr>
            </w:pPr>
            <w:r>
              <w:rPr>
                <w:rFonts w:hint="eastAsia" w:ascii="仿宋" w:hAnsi="仿宋" w:eastAsia="仿宋" w:cs="仿宋"/>
                <w:color w:val="000000"/>
                <w:sz w:val="24"/>
              </w:rPr>
              <w:t>AE-27优生优育免疫学测定（TORCH）（非定值）</w:t>
            </w:r>
          </w:p>
        </w:tc>
        <w:tc>
          <w:tcPr>
            <w:tcW w:w="4731" w:type="dxa"/>
            <w:tcBorders>
              <w:top w:val="nil"/>
              <w:left w:val="nil"/>
              <w:bottom w:val="single" w:color="auto" w:sz="4" w:space="0"/>
              <w:right w:val="single" w:color="auto" w:sz="4" w:space="0"/>
            </w:tcBorders>
            <w:shd w:val="clear" w:color="000000" w:fill="FFFFFF"/>
            <w:noWrap w:val="0"/>
            <w:vAlign w:val="center"/>
          </w:tcPr>
          <w:p w14:paraId="53CD22FD">
            <w:pPr>
              <w:widowControl/>
              <w:rPr>
                <w:rFonts w:hint="eastAsia" w:ascii="仿宋" w:hAnsi="仿宋" w:eastAsia="仿宋" w:cs="仿宋"/>
                <w:color w:val="000000"/>
                <w:sz w:val="24"/>
              </w:rPr>
            </w:pPr>
            <w:r>
              <w:rPr>
                <w:rFonts w:hint="eastAsia" w:ascii="仿宋" w:hAnsi="仿宋" w:eastAsia="仿宋" w:cs="仿宋"/>
                <w:color w:val="000000"/>
                <w:sz w:val="24"/>
              </w:rPr>
              <w:t>包含临床常用 TORCH 检测项目，如弓形虫、风疹病毒、巨细胞病毒、单纯疱疹病毒等的 IgG 和/或 IgM 抗体检测</w:t>
            </w:r>
          </w:p>
        </w:tc>
        <w:tc>
          <w:tcPr>
            <w:tcW w:w="5969" w:type="dxa"/>
            <w:tcBorders>
              <w:top w:val="nil"/>
              <w:left w:val="nil"/>
              <w:bottom w:val="single" w:color="auto" w:sz="4" w:space="0"/>
              <w:right w:val="single" w:color="auto" w:sz="4" w:space="0"/>
            </w:tcBorders>
            <w:shd w:val="clear" w:color="000000" w:fill="FFFFFF"/>
            <w:noWrap w:val="0"/>
            <w:vAlign w:val="center"/>
          </w:tcPr>
          <w:p w14:paraId="552CE90B">
            <w:pPr>
              <w:widowControl/>
              <w:rPr>
                <w:rFonts w:hint="eastAsia" w:ascii="仿宋" w:hAnsi="仿宋" w:eastAsia="仿宋" w:cs="仿宋"/>
                <w:color w:val="000000"/>
                <w:sz w:val="24"/>
              </w:rPr>
            </w:pPr>
            <w:r>
              <w:rPr>
                <w:rFonts w:hint="eastAsia" w:ascii="仿宋" w:hAnsi="仿宋" w:eastAsia="仿宋" w:cs="仿宋"/>
                <w:color w:val="000000"/>
                <w:sz w:val="24"/>
              </w:rPr>
              <w:t>质控品可溯源至国际或国家标准；适用于主流体外诊断试剂及检测方法（包括酶联免疫、化学发光、胶体金等免疫学方法）；结果水平覆盖临床常用判定区间（阴性及不同阳性水平），用于评价检测系统的判别能力、一致性和稳定性。</w:t>
            </w:r>
          </w:p>
        </w:tc>
        <w:tc>
          <w:tcPr>
            <w:tcW w:w="756" w:type="dxa"/>
            <w:tcBorders>
              <w:top w:val="nil"/>
              <w:left w:val="nil"/>
              <w:bottom w:val="single" w:color="auto" w:sz="4" w:space="0"/>
              <w:right w:val="single" w:color="auto" w:sz="4" w:space="0"/>
            </w:tcBorders>
            <w:shd w:val="clear" w:color="000000" w:fill="FFFFFF"/>
            <w:noWrap w:val="0"/>
            <w:vAlign w:val="center"/>
          </w:tcPr>
          <w:p w14:paraId="7CF66C2A">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7A06A5C4">
            <w:pPr>
              <w:widowControl/>
              <w:rPr>
                <w:rFonts w:hint="eastAsia" w:ascii="仿宋" w:hAnsi="仿宋" w:eastAsia="仿宋" w:cs="仿宋"/>
                <w:color w:val="000000"/>
                <w:sz w:val="24"/>
              </w:rPr>
            </w:pPr>
            <w:r>
              <w:rPr>
                <w:rFonts w:hint="eastAsia" w:ascii="仿宋" w:hAnsi="仿宋" w:eastAsia="仿宋" w:cs="仿宋"/>
                <w:color w:val="000000"/>
                <w:sz w:val="24"/>
              </w:rPr>
              <w:t>278</w:t>
            </w:r>
          </w:p>
        </w:tc>
      </w:tr>
      <w:tr w14:paraId="3E4B1E2C">
        <w:tblPrEx>
          <w:tblCellMar>
            <w:top w:w="0" w:type="dxa"/>
            <w:left w:w="108" w:type="dxa"/>
            <w:bottom w:w="0" w:type="dxa"/>
            <w:right w:w="108" w:type="dxa"/>
          </w:tblCellMar>
        </w:tblPrEx>
        <w:trPr>
          <w:trHeight w:val="114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4549B8FF">
            <w:pPr>
              <w:widowControl/>
              <w:rPr>
                <w:rFonts w:hint="eastAsia" w:ascii="仿宋" w:hAnsi="仿宋" w:eastAsia="仿宋" w:cs="仿宋"/>
                <w:color w:val="000000"/>
                <w:sz w:val="24"/>
              </w:rPr>
            </w:pPr>
            <w:r>
              <w:rPr>
                <w:rFonts w:hint="eastAsia" w:ascii="仿宋" w:hAnsi="仿宋" w:eastAsia="仿宋" w:cs="仿宋"/>
                <w:color w:val="000000"/>
                <w:sz w:val="24"/>
              </w:rPr>
              <w:t>22</w:t>
            </w:r>
          </w:p>
        </w:tc>
        <w:tc>
          <w:tcPr>
            <w:tcW w:w="2064" w:type="dxa"/>
            <w:tcBorders>
              <w:top w:val="nil"/>
              <w:left w:val="nil"/>
              <w:bottom w:val="single" w:color="auto" w:sz="4" w:space="0"/>
              <w:right w:val="single" w:color="auto" w:sz="4" w:space="0"/>
            </w:tcBorders>
            <w:shd w:val="clear" w:color="000000" w:fill="FFFFFF"/>
            <w:noWrap w:val="0"/>
            <w:vAlign w:val="center"/>
          </w:tcPr>
          <w:p w14:paraId="79483B4E">
            <w:pPr>
              <w:widowControl/>
              <w:rPr>
                <w:rFonts w:hint="eastAsia" w:ascii="仿宋" w:hAnsi="仿宋" w:eastAsia="仿宋" w:cs="仿宋"/>
                <w:color w:val="000000"/>
                <w:sz w:val="24"/>
              </w:rPr>
            </w:pPr>
            <w:r>
              <w:rPr>
                <w:rFonts w:hint="eastAsia" w:ascii="仿宋" w:hAnsi="仿宋" w:eastAsia="仿宋" w:cs="仿宋"/>
                <w:color w:val="000000"/>
                <w:sz w:val="24"/>
              </w:rPr>
              <w:t>AE-28人乳头瘤病毒-16，-18及分型（非定值）</w:t>
            </w:r>
          </w:p>
        </w:tc>
        <w:tc>
          <w:tcPr>
            <w:tcW w:w="4731" w:type="dxa"/>
            <w:tcBorders>
              <w:top w:val="nil"/>
              <w:left w:val="nil"/>
              <w:bottom w:val="single" w:color="auto" w:sz="4" w:space="0"/>
              <w:right w:val="single" w:color="auto" w:sz="4" w:space="0"/>
            </w:tcBorders>
            <w:shd w:val="clear" w:color="000000" w:fill="FFFFFF"/>
            <w:noWrap w:val="0"/>
            <w:vAlign w:val="center"/>
          </w:tcPr>
          <w:p w14:paraId="68C5BF1C">
            <w:pPr>
              <w:widowControl/>
              <w:rPr>
                <w:rFonts w:hint="eastAsia" w:ascii="仿宋" w:hAnsi="仿宋" w:eastAsia="仿宋" w:cs="仿宋"/>
                <w:color w:val="000000"/>
                <w:sz w:val="24"/>
              </w:rPr>
            </w:pPr>
            <w:r>
              <w:rPr>
                <w:rFonts w:hint="eastAsia" w:ascii="仿宋" w:hAnsi="仿宋" w:eastAsia="仿宋" w:cs="仿宋"/>
                <w:color w:val="000000"/>
                <w:sz w:val="24"/>
              </w:rPr>
              <w:t>包含高危型 HPV-16、HPV-18分型</w:t>
            </w:r>
          </w:p>
        </w:tc>
        <w:tc>
          <w:tcPr>
            <w:tcW w:w="5969" w:type="dxa"/>
            <w:tcBorders>
              <w:top w:val="nil"/>
              <w:left w:val="nil"/>
              <w:bottom w:val="single" w:color="auto" w:sz="4" w:space="0"/>
              <w:right w:val="single" w:color="auto" w:sz="4" w:space="0"/>
            </w:tcBorders>
            <w:shd w:val="clear" w:color="000000" w:fill="FFFFFF"/>
            <w:noWrap w:val="0"/>
            <w:vAlign w:val="center"/>
          </w:tcPr>
          <w:p w14:paraId="38556ABC">
            <w:pPr>
              <w:widowControl/>
              <w:rPr>
                <w:rFonts w:hint="eastAsia" w:ascii="仿宋" w:hAnsi="仿宋" w:eastAsia="仿宋" w:cs="仿宋"/>
                <w:color w:val="000000"/>
                <w:sz w:val="24"/>
              </w:rPr>
            </w:pPr>
            <w:r>
              <w:rPr>
                <w:rFonts w:hint="eastAsia" w:ascii="仿宋" w:hAnsi="仿宋" w:eastAsia="仿宋" w:cs="仿宋"/>
                <w:color w:val="000000"/>
                <w:sz w:val="24"/>
              </w:rPr>
              <w:t>质控品应覆盖 HPV-16、HPV-18 阴性及不同阳性水平，适用于主流 HPV 核酸检测平台及常用检测方法学，满足不同市售检测试剂和设备的使用要求；质控品应具有良好的均一性和稳定性，在规定储存条件下具有明确有效期。</w:t>
            </w:r>
          </w:p>
        </w:tc>
        <w:tc>
          <w:tcPr>
            <w:tcW w:w="756" w:type="dxa"/>
            <w:tcBorders>
              <w:top w:val="nil"/>
              <w:left w:val="nil"/>
              <w:bottom w:val="single" w:color="auto" w:sz="4" w:space="0"/>
              <w:right w:val="single" w:color="auto" w:sz="4" w:space="0"/>
            </w:tcBorders>
            <w:shd w:val="clear" w:color="000000" w:fill="FFFFFF"/>
            <w:noWrap w:val="0"/>
            <w:vAlign w:val="center"/>
          </w:tcPr>
          <w:p w14:paraId="30DB3F2C">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67124E32">
            <w:pPr>
              <w:widowControl/>
              <w:rPr>
                <w:rFonts w:hint="eastAsia" w:ascii="仿宋" w:hAnsi="仿宋" w:eastAsia="仿宋" w:cs="仿宋"/>
                <w:color w:val="000000"/>
                <w:sz w:val="24"/>
              </w:rPr>
            </w:pPr>
            <w:r>
              <w:rPr>
                <w:rFonts w:hint="eastAsia" w:ascii="仿宋" w:hAnsi="仿宋" w:eastAsia="仿宋" w:cs="仿宋"/>
                <w:color w:val="000000"/>
                <w:sz w:val="24"/>
              </w:rPr>
              <w:t>140</w:t>
            </w:r>
          </w:p>
        </w:tc>
      </w:tr>
      <w:tr w14:paraId="12BFA2F3">
        <w:tblPrEx>
          <w:tblCellMar>
            <w:top w:w="0" w:type="dxa"/>
            <w:left w:w="108" w:type="dxa"/>
            <w:bottom w:w="0" w:type="dxa"/>
            <w:right w:w="108" w:type="dxa"/>
          </w:tblCellMar>
        </w:tblPrEx>
        <w:trPr>
          <w:trHeight w:val="114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0809896C">
            <w:pPr>
              <w:widowControl/>
              <w:rPr>
                <w:rFonts w:hint="eastAsia" w:ascii="仿宋" w:hAnsi="仿宋" w:eastAsia="仿宋" w:cs="仿宋"/>
                <w:color w:val="000000"/>
                <w:sz w:val="24"/>
              </w:rPr>
            </w:pPr>
            <w:r>
              <w:rPr>
                <w:rFonts w:hint="eastAsia" w:ascii="仿宋" w:hAnsi="仿宋" w:eastAsia="仿宋" w:cs="仿宋"/>
                <w:color w:val="000000"/>
                <w:sz w:val="24"/>
              </w:rPr>
              <w:t>23</w:t>
            </w:r>
          </w:p>
        </w:tc>
        <w:tc>
          <w:tcPr>
            <w:tcW w:w="2064" w:type="dxa"/>
            <w:tcBorders>
              <w:top w:val="nil"/>
              <w:left w:val="nil"/>
              <w:bottom w:val="single" w:color="auto" w:sz="4" w:space="0"/>
              <w:right w:val="single" w:color="auto" w:sz="4" w:space="0"/>
            </w:tcBorders>
            <w:shd w:val="clear" w:color="000000" w:fill="FFFFFF"/>
            <w:noWrap w:val="0"/>
            <w:vAlign w:val="center"/>
          </w:tcPr>
          <w:p w14:paraId="086280F4">
            <w:pPr>
              <w:widowControl/>
              <w:rPr>
                <w:rFonts w:hint="eastAsia" w:ascii="仿宋" w:hAnsi="仿宋" w:eastAsia="仿宋" w:cs="仿宋"/>
                <w:color w:val="000000"/>
                <w:sz w:val="24"/>
              </w:rPr>
            </w:pPr>
            <w:r>
              <w:rPr>
                <w:rFonts w:hint="eastAsia" w:ascii="仿宋" w:hAnsi="仿宋" w:eastAsia="仿宋" w:cs="仿宋"/>
                <w:color w:val="000000"/>
                <w:sz w:val="24"/>
              </w:rPr>
              <w:t>AE-31感染性疾病抗原抗体的快速检测（非定值）</w:t>
            </w:r>
          </w:p>
        </w:tc>
        <w:tc>
          <w:tcPr>
            <w:tcW w:w="4731" w:type="dxa"/>
            <w:tcBorders>
              <w:top w:val="nil"/>
              <w:left w:val="nil"/>
              <w:bottom w:val="single" w:color="auto" w:sz="4" w:space="0"/>
              <w:right w:val="single" w:color="auto" w:sz="4" w:space="0"/>
            </w:tcBorders>
            <w:shd w:val="clear" w:color="000000" w:fill="FFFFFF"/>
            <w:noWrap w:val="0"/>
            <w:vAlign w:val="center"/>
          </w:tcPr>
          <w:p w14:paraId="613BF80F">
            <w:pPr>
              <w:widowControl/>
              <w:rPr>
                <w:rFonts w:hint="eastAsia" w:ascii="仿宋" w:hAnsi="仿宋" w:eastAsia="仿宋" w:cs="仿宋"/>
                <w:color w:val="000000"/>
                <w:sz w:val="24"/>
              </w:rPr>
            </w:pPr>
            <w:r>
              <w:rPr>
                <w:rFonts w:hint="eastAsia" w:ascii="仿宋" w:hAnsi="仿宋" w:eastAsia="仿宋" w:cs="仿宋"/>
                <w:color w:val="000000"/>
                <w:sz w:val="24"/>
              </w:rPr>
              <w:t>包含HBsAg、Anti-HCV、Anti-TP、Anti-HIV</w:t>
            </w:r>
          </w:p>
        </w:tc>
        <w:tc>
          <w:tcPr>
            <w:tcW w:w="5969" w:type="dxa"/>
            <w:tcBorders>
              <w:top w:val="nil"/>
              <w:left w:val="nil"/>
              <w:bottom w:val="single" w:color="auto" w:sz="4" w:space="0"/>
              <w:right w:val="single" w:color="auto" w:sz="4" w:space="0"/>
            </w:tcBorders>
            <w:shd w:val="clear" w:color="000000" w:fill="FFFFFF"/>
            <w:noWrap w:val="0"/>
            <w:vAlign w:val="center"/>
          </w:tcPr>
          <w:p w14:paraId="1C59646B">
            <w:pPr>
              <w:widowControl/>
              <w:rPr>
                <w:rFonts w:hint="eastAsia" w:ascii="仿宋" w:hAnsi="仿宋" w:eastAsia="仿宋" w:cs="仿宋"/>
                <w:color w:val="000000"/>
                <w:sz w:val="24"/>
              </w:rPr>
            </w:pPr>
            <w:r>
              <w:rPr>
                <w:rFonts w:hint="eastAsia" w:ascii="仿宋" w:hAnsi="仿宋" w:eastAsia="仿宋" w:cs="仿宋"/>
                <w:color w:val="000000"/>
                <w:sz w:val="24"/>
              </w:rPr>
              <w:t>质控品应覆盖阴性及不同阳性水平，用于评价检测系统的判别能力和一致性；质控品基质应接近临床实际样本，避免非人源物质对检测结果的干扰；适用于主流快速免疫检测方法及市售检测系统（包括胶体金免疫层析法等）；质控品应具有良好的均一性和稳定性，在规定储存条件下具有明确有效期。</w:t>
            </w:r>
          </w:p>
        </w:tc>
        <w:tc>
          <w:tcPr>
            <w:tcW w:w="756" w:type="dxa"/>
            <w:tcBorders>
              <w:top w:val="nil"/>
              <w:left w:val="nil"/>
              <w:bottom w:val="single" w:color="auto" w:sz="4" w:space="0"/>
              <w:right w:val="single" w:color="auto" w:sz="4" w:space="0"/>
            </w:tcBorders>
            <w:shd w:val="clear" w:color="000000" w:fill="FFFFFF"/>
            <w:noWrap w:val="0"/>
            <w:vAlign w:val="center"/>
          </w:tcPr>
          <w:p w14:paraId="6CBB2B37">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442A3F67">
            <w:pPr>
              <w:widowControl/>
              <w:rPr>
                <w:rFonts w:hint="eastAsia" w:ascii="仿宋" w:hAnsi="仿宋" w:eastAsia="仿宋" w:cs="仿宋"/>
                <w:color w:val="000000"/>
                <w:sz w:val="24"/>
              </w:rPr>
            </w:pPr>
            <w:r>
              <w:rPr>
                <w:rFonts w:hint="eastAsia" w:ascii="仿宋" w:hAnsi="仿宋" w:eastAsia="仿宋" w:cs="仿宋"/>
                <w:color w:val="000000"/>
                <w:sz w:val="24"/>
              </w:rPr>
              <w:t>3150</w:t>
            </w:r>
          </w:p>
        </w:tc>
      </w:tr>
      <w:tr w14:paraId="7AC56705">
        <w:tblPrEx>
          <w:tblCellMar>
            <w:top w:w="0" w:type="dxa"/>
            <w:left w:w="108" w:type="dxa"/>
            <w:bottom w:w="0" w:type="dxa"/>
            <w:right w:w="108" w:type="dxa"/>
          </w:tblCellMar>
        </w:tblPrEx>
        <w:trPr>
          <w:trHeight w:val="1372"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FDD0D">
            <w:pPr>
              <w:widowControl/>
              <w:rPr>
                <w:rFonts w:hint="eastAsia" w:ascii="仿宋" w:hAnsi="仿宋" w:eastAsia="仿宋" w:cs="仿宋"/>
                <w:color w:val="000000"/>
                <w:sz w:val="24"/>
              </w:rPr>
            </w:pPr>
            <w:r>
              <w:rPr>
                <w:rFonts w:hint="eastAsia" w:ascii="仿宋" w:hAnsi="仿宋" w:eastAsia="仿宋" w:cs="仿宋"/>
                <w:color w:val="000000"/>
                <w:sz w:val="24"/>
              </w:rPr>
              <w:t>24</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139DAC7B">
            <w:pPr>
              <w:widowControl/>
              <w:rPr>
                <w:rFonts w:hint="eastAsia" w:ascii="仿宋" w:hAnsi="仿宋" w:eastAsia="仿宋" w:cs="仿宋"/>
                <w:color w:val="000000"/>
                <w:sz w:val="24"/>
              </w:rPr>
            </w:pPr>
            <w:r>
              <w:rPr>
                <w:rFonts w:hint="eastAsia" w:ascii="仿宋" w:hAnsi="仿宋" w:eastAsia="仿宋" w:cs="仿宋"/>
                <w:color w:val="000000"/>
                <w:sz w:val="24"/>
              </w:rPr>
              <w:t>AE-32新型冠状病毒核酸检测（非定值）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511DF1D7">
            <w:pPr>
              <w:widowControl/>
              <w:rPr>
                <w:rFonts w:hint="eastAsia" w:ascii="仿宋" w:hAnsi="仿宋" w:eastAsia="仿宋" w:cs="仿宋"/>
                <w:color w:val="000000"/>
                <w:sz w:val="24"/>
              </w:rPr>
            </w:pPr>
            <w:r>
              <w:rPr>
                <w:rFonts w:hint="eastAsia" w:ascii="仿宋" w:hAnsi="仿宋" w:eastAsia="仿宋" w:cs="仿宋"/>
                <w:color w:val="000000"/>
                <w:sz w:val="24"/>
              </w:rPr>
              <w:t>所含核酸序列应覆盖新型冠状病毒基因组中临床检测常用靶区域</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3659B0BC">
            <w:pPr>
              <w:widowControl/>
              <w:rPr>
                <w:rFonts w:hint="eastAsia" w:ascii="仿宋" w:hAnsi="仿宋" w:eastAsia="仿宋" w:cs="仿宋"/>
                <w:color w:val="000000"/>
                <w:sz w:val="24"/>
              </w:rPr>
            </w:pPr>
            <w:r>
              <w:rPr>
                <w:rFonts w:hint="eastAsia" w:ascii="仿宋" w:hAnsi="仿宋" w:eastAsia="仿宋" w:cs="仿宋"/>
                <w:color w:val="000000"/>
                <w:sz w:val="24"/>
              </w:rPr>
              <w:t>可溯源至国际或国家相关参考标准；适用于主流新型冠状病毒核酸检测平台及常用检测方法学（包括实时荧光 PCR 等），满足不同市售检测试剂和检测设备的使用要求；质控品应具有良好的均一性和稳定性，在规定储存条件下具有明确有效期。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3AF42E9A">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20540448">
            <w:pPr>
              <w:widowControl/>
              <w:rPr>
                <w:rFonts w:hint="eastAsia" w:ascii="仿宋" w:hAnsi="仿宋" w:eastAsia="仿宋" w:cs="仿宋"/>
                <w:color w:val="000000"/>
                <w:sz w:val="24"/>
              </w:rPr>
            </w:pPr>
            <w:r>
              <w:rPr>
                <w:rFonts w:hint="eastAsia" w:ascii="仿宋" w:hAnsi="仿宋" w:eastAsia="仿宋" w:cs="仿宋"/>
                <w:color w:val="000000"/>
                <w:sz w:val="24"/>
              </w:rPr>
              <w:t>218</w:t>
            </w:r>
          </w:p>
        </w:tc>
      </w:tr>
      <w:tr w14:paraId="1C8C6A66">
        <w:tblPrEx>
          <w:tblCellMar>
            <w:top w:w="0" w:type="dxa"/>
            <w:left w:w="108" w:type="dxa"/>
            <w:bottom w:w="0" w:type="dxa"/>
            <w:right w:w="108" w:type="dxa"/>
          </w:tblCellMar>
        </w:tblPrEx>
        <w:trPr>
          <w:trHeight w:val="9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6B883F">
            <w:pPr>
              <w:widowControl/>
              <w:rPr>
                <w:rFonts w:hint="eastAsia" w:ascii="仿宋" w:hAnsi="仿宋" w:eastAsia="仿宋" w:cs="仿宋"/>
                <w:color w:val="000000"/>
                <w:sz w:val="24"/>
              </w:rPr>
            </w:pPr>
            <w:r>
              <w:rPr>
                <w:rFonts w:hint="eastAsia" w:ascii="仿宋" w:hAnsi="仿宋" w:eastAsia="仿宋" w:cs="仿宋"/>
                <w:color w:val="000000"/>
                <w:sz w:val="24"/>
              </w:rPr>
              <w:t>25</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7B20A052">
            <w:pPr>
              <w:widowControl/>
              <w:rPr>
                <w:rFonts w:hint="eastAsia" w:ascii="仿宋" w:hAnsi="仿宋" w:eastAsia="仿宋" w:cs="仿宋"/>
                <w:color w:val="000000"/>
                <w:sz w:val="24"/>
              </w:rPr>
            </w:pPr>
            <w:r>
              <w:rPr>
                <w:rFonts w:hint="eastAsia" w:ascii="仿宋" w:hAnsi="仿宋" w:eastAsia="仿宋" w:cs="仿宋"/>
                <w:color w:val="000000"/>
                <w:sz w:val="24"/>
              </w:rPr>
              <w:t>AE-35EB病毒核酸检测 (PCR-EBV) （非定值）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71DBF1A0">
            <w:pPr>
              <w:widowControl/>
              <w:rPr>
                <w:rFonts w:hint="eastAsia" w:ascii="仿宋" w:hAnsi="仿宋" w:eastAsia="仿宋" w:cs="仿宋"/>
                <w:color w:val="000000"/>
                <w:sz w:val="24"/>
              </w:rPr>
            </w:pPr>
            <w:r>
              <w:rPr>
                <w:rFonts w:hint="eastAsia" w:ascii="仿宋" w:hAnsi="仿宋" w:eastAsia="仿宋" w:cs="仿宋"/>
                <w:color w:val="000000"/>
                <w:sz w:val="24"/>
              </w:rPr>
              <w:t>含核酸序列覆盖 EB 病毒基因组中临床检测常用靶区域</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2A12D2FC">
            <w:pPr>
              <w:widowControl/>
              <w:rPr>
                <w:rFonts w:hint="eastAsia" w:ascii="仿宋" w:hAnsi="仿宋" w:eastAsia="仿宋" w:cs="仿宋"/>
                <w:color w:val="000000"/>
                <w:sz w:val="24"/>
              </w:rPr>
            </w:pPr>
            <w:r>
              <w:rPr>
                <w:rFonts w:hint="eastAsia" w:ascii="仿宋" w:hAnsi="仿宋" w:eastAsia="仿宋" w:cs="仿宋"/>
                <w:color w:val="000000"/>
                <w:sz w:val="24"/>
              </w:rPr>
              <w:t>适用于不同靶基因设计的市售核酸检测试剂；可溯源至国际或国家相关参考标准；适用于主流 EB 病毒核酸检测平台及常用检测方法学（包括实时荧光 PCR 等），满足不同检测系统和设备的使用要求；质控品应具有良好的均一性和稳定性，在规定储存条件下具有明确有效期。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6E527A79">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169EC45F">
            <w:pPr>
              <w:widowControl/>
              <w:rPr>
                <w:rFonts w:hint="eastAsia" w:ascii="仿宋" w:hAnsi="仿宋" w:eastAsia="仿宋" w:cs="仿宋"/>
                <w:color w:val="000000"/>
                <w:sz w:val="24"/>
              </w:rPr>
            </w:pPr>
            <w:r>
              <w:rPr>
                <w:rFonts w:hint="eastAsia" w:ascii="仿宋" w:hAnsi="仿宋" w:eastAsia="仿宋" w:cs="仿宋"/>
                <w:color w:val="000000"/>
                <w:sz w:val="24"/>
              </w:rPr>
              <w:t>74</w:t>
            </w:r>
          </w:p>
        </w:tc>
      </w:tr>
      <w:tr w14:paraId="3196088D">
        <w:tblPrEx>
          <w:tblCellMar>
            <w:top w:w="0" w:type="dxa"/>
            <w:left w:w="108" w:type="dxa"/>
            <w:bottom w:w="0" w:type="dxa"/>
            <w:right w:w="108" w:type="dxa"/>
          </w:tblCellMar>
        </w:tblPrEx>
        <w:trPr>
          <w:trHeight w:val="855"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72233301">
            <w:pPr>
              <w:widowControl/>
              <w:rPr>
                <w:rFonts w:hint="eastAsia" w:ascii="仿宋" w:hAnsi="仿宋" w:eastAsia="仿宋" w:cs="仿宋"/>
                <w:color w:val="000000"/>
                <w:sz w:val="24"/>
              </w:rPr>
            </w:pPr>
            <w:r>
              <w:rPr>
                <w:rFonts w:hint="eastAsia" w:ascii="仿宋" w:hAnsi="仿宋" w:eastAsia="仿宋" w:cs="仿宋"/>
                <w:color w:val="000000"/>
                <w:sz w:val="24"/>
              </w:rPr>
              <w:t>26</w:t>
            </w:r>
          </w:p>
        </w:tc>
        <w:tc>
          <w:tcPr>
            <w:tcW w:w="2064" w:type="dxa"/>
            <w:tcBorders>
              <w:top w:val="nil"/>
              <w:left w:val="nil"/>
              <w:bottom w:val="single" w:color="auto" w:sz="4" w:space="0"/>
              <w:right w:val="single" w:color="auto" w:sz="4" w:space="0"/>
            </w:tcBorders>
            <w:shd w:val="clear" w:color="000000" w:fill="FFFFFF"/>
            <w:noWrap w:val="0"/>
            <w:vAlign w:val="center"/>
          </w:tcPr>
          <w:p w14:paraId="52C5ADBD">
            <w:pPr>
              <w:widowControl/>
              <w:rPr>
                <w:rFonts w:hint="eastAsia" w:ascii="仿宋" w:hAnsi="仿宋" w:eastAsia="仿宋" w:cs="仿宋"/>
                <w:color w:val="000000"/>
                <w:sz w:val="24"/>
              </w:rPr>
            </w:pPr>
            <w:r>
              <w:rPr>
                <w:rFonts w:hint="eastAsia" w:ascii="仿宋" w:hAnsi="仿宋" w:eastAsia="仿宋" w:cs="仿宋"/>
                <w:color w:val="000000"/>
                <w:sz w:val="24"/>
              </w:rPr>
              <w:t>AE-36巨细胞病毒核酸检测 (PCR-CMV) （非定值）</w:t>
            </w:r>
          </w:p>
        </w:tc>
        <w:tc>
          <w:tcPr>
            <w:tcW w:w="4731" w:type="dxa"/>
            <w:tcBorders>
              <w:top w:val="nil"/>
              <w:left w:val="nil"/>
              <w:bottom w:val="single" w:color="auto" w:sz="4" w:space="0"/>
              <w:right w:val="single" w:color="auto" w:sz="4" w:space="0"/>
            </w:tcBorders>
            <w:shd w:val="clear" w:color="000000" w:fill="FFFFFF"/>
            <w:noWrap w:val="0"/>
            <w:vAlign w:val="center"/>
          </w:tcPr>
          <w:p w14:paraId="68DB6E65">
            <w:pPr>
              <w:widowControl/>
              <w:rPr>
                <w:rFonts w:hint="eastAsia" w:ascii="仿宋" w:hAnsi="仿宋" w:eastAsia="仿宋" w:cs="仿宋"/>
                <w:color w:val="000000"/>
                <w:sz w:val="24"/>
              </w:rPr>
            </w:pPr>
            <w:r>
              <w:rPr>
                <w:rFonts w:hint="eastAsia" w:ascii="仿宋" w:hAnsi="仿宋" w:eastAsia="仿宋" w:cs="仿宋"/>
                <w:color w:val="000000"/>
                <w:sz w:val="24"/>
              </w:rPr>
              <w:t>所含核酸序列覆盖 CMV 基因组中临床检测常用靶区域</w:t>
            </w:r>
          </w:p>
        </w:tc>
        <w:tc>
          <w:tcPr>
            <w:tcW w:w="5969" w:type="dxa"/>
            <w:tcBorders>
              <w:top w:val="nil"/>
              <w:left w:val="nil"/>
              <w:bottom w:val="single" w:color="auto" w:sz="4" w:space="0"/>
              <w:right w:val="single" w:color="auto" w:sz="4" w:space="0"/>
            </w:tcBorders>
            <w:shd w:val="clear" w:color="000000" w:fill="FFFFFF"/>
            <w:noWrap w:val="0"/>
            <w:vAlign w:val="center"/>
          </w:tcPr>
          <w:p w14:paraId="1335B366">
            <w:pPr>
              <w:widowControl/>
              <w:rPr>
                <w:rFonts w:hint="eastAsia" w:ascii="仿宋" w:hAnsi="仿宋" w:eastAsia="仿宋" w:cs="仿宋"/>
                <w:color w:val="000000"/>
                <w:sz w:val="24"/>
              </w:rPr>
            </w:pPr>
            <w:r>
              <w:rPr>
                <w:rFonts w:hint="eastAsia" w:ascii="仿宋" w:hAnsi="仿宋" w:eastAsia="仿宋" w:cs="仿宋"/>
                <w:color w:val="000000"/>
                <w:sz w:val="24"/>
              </w:rPr>
              <w:t>适用于不同靶基因设计的市售核酸检测试剂；可溯源至国际或国家相关参考标准；适用于主流 EB 病毒核酸检测平台及常用检测方法学（包括实时荧光 PCR 等），满足不同检测系统和设备的使用要求；质控品应具有良好的均一性和稳定性，在规定储存条件下具有明确有效期。</w:t>
            </w:r>
          </w:p>
        </w:tc>
        <w:tc>
          <w:tcPr>
            <w:tcW w:w="756" w:type="dxa"/>
            <w:tcBorders>
              <w:top w:val="nil"/>
              <w:left w:val="nil"/>
              <w:bottom w:val="single" w:color="auto" w:sz="4" w:space="0"/>
              <w:right w:val="single" w:color="auto" w:sz="4" w:space="0"/>
            </w:tcBorders>
            <w:shd w:val="clear" w:color="000000" w:fill="FFFFFF"/>
            <w:noWrap w:val="0"/>
            <w:vAlign w:val="center"/>
          </w:tcPr>
          <w:p w14:paraId="2A2ED0D9">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39D7651B">
            <w:pPr>
              <w:widowControl/>
              <w:rPr>
                <w:rFonts w:hint="eastAsia" w:ascii="仿宋" w:hAnsi="仿宋" w:eastAsia="仿宋" w:cs="仿宋"/>
                <w:color w:val="000000"/>
                <w:sz w:val="24"/>
              </w:rPr>
            </w:pPr>
            <w:r>
              <w:rPr>
                <w:rFonts w:hint="eastAsia" w:ascii="仿宋" w:hAnsi="仿宋" w:eastAsia="仿宋" w:cs="仿宋"/>
                <w:color w:val="000000"/>
                <w:sz w:val="24"/>
              </w:rPr>
              <w:t>72</w:t>
            </w:r>
          </w:p>
        </w:tc>
      </w:tr>
      <w:tr w14:paraId="443BF5B5">
        <w:tblPrEx>
          <w:tblCellMar>
            <w:top w:w="0" w:type="dxa"/>
            <w:left w:w="108" w:type="dxa"/>
            <w:bottom w:w="0" w:type="dxa"/>
            <w:right w:w="108" w:type="dxa"/>
          </w:tblCellMar>
        </w:tblPrEx>
        <w:trPr>
          <w:trHeight w:val="228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71A48D5F">
            <w:pPr>
              <w:widowControl/>
              <w:rPr>
                <w:rFonts w:hint="eastAsia" w:ascii="仿宋" w:hAnsi="仿宋" w:eastAsia="仿宋" w:cs="仿宋"/>
                <w:color w:val="000000"/>
                <w:sz w:val="24"/>
              </w:rPr>
            </w:pPr>
            <w:r>
              <w:rPr>
                <w:rFonts w:hint="eastAsia" w:ascii="仿宋" w:hAnsi="仿宋" w:eastAsia="仿宋" w:cs="仿宋"/>
                <w:color w:val="000000"/>
                <w:sz w:val="24"/>
              </w:rPr>
              <w:t>27</w:t>
            </w:r>
          </w:p>
        </w:tc>
        <w:tc>
          <w:tcPr>
            <w:tcW w:w="2064" w:type="dxa"/>
            <w:tcBorders>
              <w:top w:val="nil"/>
              <w:left w:val="nil"/>
              <w:bottom w:val="single" w:color="auto" w:sz="4" w:space="0"/>
              <w:right w:val="single" w:color="auto" w:sz="4" w:space="0"/>
            </w:tcBorders>
            <w:noWrap w:val="0"/>
            <w:vAlign w:val="center"/>
          </w:tcPr>
          <w:p w14:paraId="4216DB8D">
            <w:pPr>
              <w:widowControl/>
              <w:rPr>
                <w:rFonts w:hint="eastAsia" w:ascii="仿宋" w:hAnsi="仿宋" w:eastAsia="仿宋" w:cs="仿宋"/>
                <w:color w:val="000000"/>
                <w:sz w:val="24"/>
              </w:rPr>
            </w:pPr>
            <w:r>
              <w:rPr>
                <w:rFonts w:hint="eastAsia" w:ascii="仿宋" w:hAnsi="仿宋" w:eastAsia="仿宋" w:cs="仿宋"/>
                <w:color w:val="000000"/>
                <w:sz w:val="24"/>
              </w:rPr>
              <w:t>AE-37核酸检测（非病毒） (PCR- UU,CT and NG ) （非定值）</w:t>
            </w:r>
          </w:p>
        </w:tc>
        <w:tc>
          <w:tcPr>
            <w:tcW w:w="4731" w:type="dxa"/>
            <w:tcBorders>
              <w:top w:val="nil"/>
              <w:left w:val="nil"/>
              <w:bottom w:val="single" w:color="auto" w:sz="4" w:space="0"/>
              <w:right w:val="single" w:color="auto" w:sz="4" w:space="0"/>
            </w:tcBorders>
            <w:noWrap w:val="0"/>
            <w:vAlign w:val="center"/>
          </w:tcPr>
          <w:p w14:paraId="77B4B9B0">
            <w:pPr>
              <w:widowControl/>
              <w:rPr>
                <w:rFonts w:hint="eastAsia" w:ascii="仿宋" w:hAnsi="仿宋" w:eastAsia="仿宋" w:cs="仿宋"/>
                <w:color w:val="000000"/>
                <w:sz w:val="24"/>
              </w:rPr>
            </w:pPr>
            <w:r>
              <w:rPr>
                <w:rFonts w:hint="eastAsia" w:ascii="仿宋" w:hAnsi="仿宋" w:eastAsia="仿宋" w:cs="仿宋"/>
                <w:color w:val="000000"/>
                <w:sz w:val="24"/>
              </w:rPr>
              <w:t>所含核酸序列覆盖上述病原体基因组中临床检测常用靶区域</w:t>
            </w:r>
          </w:p>
        </w:tc>
        <w:tc>
          <w:tcPr>
            <w:tcW w:w="5969" w:type="dxa"/>
            <w:tcBorders>
              <w:top w:val="nil"/>
              <w:left w:val="nil"/>
              <w:bottom w:val="single" w:color="auto" w:sz="4" w:space="0"/>
              <w:right w:val="single" w:color="auto" w:sz="4" w:space="0"/>
            </w:tcBorders>
            <w:noWrap w:val="0"/>
            <w:vAlign w:val="center"/>
          </w:tcPr>
          <w:p w14:paraId="1A360A0F">
            <w:pPr>
              <w:widowControl/>
              <w:rPr>
                <w:rFonts w:hint="eastAsia" w:ascii="仿宋" w:hAnsi="仿宋" w:eastAsia="仿宋" w:cs="仿宋"/>
                <w:color w:val="000000"/>
                <w:sz w:val="24"/>
              </w:rPr>
            </w:pPr>
            <w:r>
              <w:rPr>
                <w:rFonts w:hint="eastAsia" w:ascii="仿宋" w:hAnsi="仿宋" w:eastAsia="仿宋" w:cs="仿宋"/>
                <w:color w:val="000000"/>
                <w:sz w:val="24"/>
              </w:rPr>
              <w:t>质控品应覆盖三种病原体的阴性及不同阳性水平，用于评价检测系统对相关病原体核酸的检出能力和一致性；适用于不同靶基因设计的市售核酸检测试剂；可溯源至国际或国家相关参考标准；适用于主流核酸检测平台及常用检测方法学（包括实时荧光PCR 等），满足不同检测系统和设备的使用要求；质控品应具有良好的均一性和稳定性，在规定储存条件下具有明确有效期。</w:t>
            </w:r>
          </w:p>
        </w:tc>
        <w:tc>
          <w:tcPr>
            <w:tcW w:w="756" w:type="dxa"/>
            <w:tcBorders>
              <w:top w:val="nil"/>
              <w:left w:val="nil"/>
              <w:bottom w:val="single" w:color="auto" w:sz="4" w:space="0"/>
              <w:right w:val="single" w:color="auto" w:sz="4" w:space="0"/>
            </w:tcBorders>
            <w:noWrap w:val="0"/>
            <w:vAlign w:val="center"/>
          </w:tcPr>
          <w:p w14:paraId="76C5361C">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303D00C2">
            <w:pPr>
              <w:widowControl/>
              <w:rPr>
                <w:rFonts w:hint="eastAsia" w:ascii="仿宋" w:hAnsi="仿宋" w:eastAsia="仿宋" w:cs="仿宋"/>
                <w:color w:val="000000"/>
                <w:sz w:val="24"/>
              </w:rPr>
            </w:pPr>
            <w:r>
              <w:rPr>
                <w:rFonts w:hint="eastAsia" w:ascii="仿宋" w:hAnsi="仿宋" w:eastAsia="仿宋" w:cs="仿宋"/>
                <w:color w:val="000000"/>
                <w:sz w:val="24"/>
              </w:rPr>
              <w:t>118</w:t>
            </w:r>
          </w:p>
        </w:tc>
      </w:tr>
      <w:tr w14:paraId="0C63E5AB">
        <w:tblPrEx>
          <w:tblCellMar>
            <w:top w:w="0" w:type="dxa"/>
            <w:left w:w="108" w:type="dxa"/>
            <w:bottom w:w="0" w:type="dxa"/>
            <w:right w:w="108" w:type="dxa"/>
          </w:tblCellMar>
        </w:tblPrEx>
        <w:trPr>
          <w:trHeight w:val="1761"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25E919B0">
            <w:pPr>
              <w:widowControl/>
              <w:rPr>
                <w:rFonts w:hint="eastAsia" w:ascii="仿宋" w:hAnsi="仿宋" w:eastAsia="仿宋" w:cs="仿宋"/>
                <w:color w:val="000000"/>
                <w:sz w:val="24"/>
              </w:rPr>
            </w:pPr>
            <w:r>
              <w:rPr>
                <w:rFonts w:hint="eastAsia" w:ascii="仿宋" w:hAnsi="仿宋" w:eastAsia="仿宋" w:cs="仿宋"/>
                <w:color w:val="000000"/>
                <w:sz w:val="24"/>
              </w:rPr>
              <w:t>28</w:t>
            </w:r>
          </w:p>
        </w:tc>
        <w:tc>
          <w:tcPr>
            <w:tcW w:w="2064" w:type="dxa"/>
            <w:tcBorders>
              <w:top w:val="nil"/>
              <w:left w:val="nil"/>
              <w:bottom w:val="single" w:color="auto" w:sz="4" w:space="0"/>
              <w:right w:val="single" w:color="auto" w:sz="4" w:space="0"/>
            </w:tcBorders>
            <w:noWrap w:val="0"/>
            <w:vAlign w:val="center"/>
          </w:tcPr>
          <w:p w14:paraId="01ED98ED">
            <w:pPr>
              <w:widowControl/>
              <w:rPr>
                <w:rFonts w:hint="eastAsia" w:ascii="仿宋" w:hAnsi="仿宋" w:eastAsia="仿宋" w:cs="仿宋"/>
                <w:color w:val="000000"/>
                <w:sz w:val="24"/>
              </w:rPr>
            </w:pPr>
            <w:r>
              <w:rPr>
                <w:rFonts w:hint="eastAsia" w:ascii="仿宋" w:hAnsi="仿宋" w:eastAsia="仿宋" w:cs="仿宋"/>
                <w:color w:val="000000"/>
                <w:sz w:val="24"/>
              </w:rPr>
              <w:t>AE-41粪便隐血（非定值）</w:t>
            </w:r>
          </w:p>
        </w:tc>
        <w:tc>
          <w:tcPr>
            <w:tcW w:w="4731" w:type="dxa"/>
            <w:tcBorders>
              <w:top w:val="nil"/>
              <w:left w:val="nil"/>
              <w:bottom w:val="single" w:color="auto" w:sz="4" w:space="0"/>
              <w:right w:val="single" w:color="auto" w:sz="4" w:space="0"/>
            </w:tcBorders>
            <w:noWrap w:val="0"/>
            <w:vAlign w:val="center"/>
          </w:tcPr>
          <w:p w14:paraId="45DF36C8">
            <w:pPr>
              <w:widowControl/>
              <w:rPr>
                <w:rFonts w:hint="eastAsia" w:ascii="仿宋" w:hAnsi="仿宋" w:eastAsia="仿宋" w:cs="仿宋"/>
                <w:color w:val="000000"/>
                <w:sz w:val="24"/>
              </w:rPr>
            </w:pPr>
            <w:r>
              <w:rPr>
                <w:rFonts w:hint="eastAsia" w:ascii="仿宋" w:hAnsi="仿宋" w:eastAsia="仿宋" w:cs="仿宋"/>
                <w:color w:val="000000"/>
                <w:sz w:val="24"/>
              </w:rPr>
              <w:t>FOBT</w:t>
            </w:r>
          </w:p>
        </w:tc>
        <w:tc>
          <w:tcPr>
            <w:tcW w:w="5969" w:type="dxa"/>
            <w:tcBorders>
              <w:top w:val="nil"/>
              <w:left w:val="nil"/>
              <w:bottom w:val="single" w:color="auto" w:sz="4" w:space="0"/>
              <w:right w:val="single" w:color="auto" w:sz="4" w:space="0"/>
            </w:tcBorders>
            <w:noWrap w:val="0"/>
            <w:vAlign w:val="center"/>
          </w:tcPr>
          <w:p w14:paraId="65590965">
            <w:pPr>
              <w:widowControl/>
              <w:rPr>
                <w:rFonts w:hint="eastAsia" w:ascii="仿宋" w:hAnsi="仿宋" w:eastAsia="仿宋" w:cs="仿宋"/>
                <w:color w:val="000000"/>
                <w:sz w:val="24"/>
              </w:rPr>
            </w:pPr>
            <w:r>
              <w:rPr>
                <w:rFonts w:hint="eastAsia" w:ascii="仿宋" w:hAnsi="仿宋" w:eastAsia="仿宋" w:cs="仿宋"/>
                <w:color w:val="000000"/>
                <w:sz w:val="24"/>
              </w:rPr>
              <w:t>适用于临床常用粪便隐血检测方法，包括化学法和免疫法等；质控品应覆盖阴性及不同阳性水平，用于评价检测系统的判别能力、一致性和稳定性；质控品基质应接近临床实际样本，避免非人源物质对检测结果的干扰；质控品应具有良好的均一性和稳定性，在规定储存条件下具有明确有效期。</w:t>
            </w:r>
          </w:p>
        </w:tc>
        <w:tc>
          <w:tcPr>
            <w:tcW w:w="756" w:type="dxa"/>
            <w:tcBorders>
              <w:top w:val="nil"/>
              <w:left w:val="nil"/>
              <w:bottom w:val="single" w:color="auto" w:sz="4" w:space="0"/>
              <w:right w:val="single" w:color="auto" w:sz="4" w:space="0"/>
            </w:tcBorders>
            <w:noWrap w:val="0"/>
            <w:vAlign w:val="center"/>
          </w:tcPr>
          <w:p w14:paraId="7D124E2D">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466F8812">
            <w:pPr>
              <w:widowControl/>
              <w:rPr>
                <w:rFonts w:hint="eastAsia" w:ascii="仿宋" w:hAnsi="仿宋" w:eastAsia="仿宋" w:cs="仿宋"/>
                <w:color w:val="000000"/>
                <w:sz w:val="24"/>
              </w:rPr>
            </w:pPr>
            <w:r>
              <w:rPr>
                <w:rFonts w:hint="eastAsia" w:ascii="仿宋" w:hAnsi="仿宋" w:eastAsia="仿宋" w:cs="仿宋"/>
                <w:color w:val="000000"/>
                <w:sz w:val="24"/>
              </w:rPr>
              <w:t>876</w:t>
            </w:r>
          </w:p>
        </w:tc>
      </w:tr>
      <w:tr w14:paraId="10D61B34">
        <w:tblPrEx>
          <w:tblCellMar>
            <w:top w:w="0" w:type="dxa"/>
            <w:left w:w="108" w:type="dxa"/>
            <w:bottom w:w="0" w:type="dxa"/>
            <w:right w:w="108" w:type="dxa"/>
          </w:tblCellMar>
        </w:tblPrEx>
        <w:trPr>
          <w:trHeight w:val="186"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3EA213">
            <w:pPr>
              <w:widowControl/>
              <w:rPr>
                <w:rFonts w:hint="eastAsia" w:ascii="仿宋" w:hAnsi="仿宋" w:eastAsia="仿宋" w:cs="仿宋"/>
                <w:color w:val="000000"/>
                <w:sz w:val="24"/>
              </w:rPr>
            </w:pPr>
            <w:r>
              <w:rPr>
                <w:rFonts w:hint="eastAsia" w:ascii="仿宋" w:hAnsi="仿宋" w:eastAsia="仿宋" w:cs="仿宋"/>
                <w:color w:val="000000"/>
                <w:sz w:val="24"/>
              </w:rPr>
              <w:t>29</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11A4CAA3">
            <w:pPr>
              <w:widowControl/>
              <w:rPr>
                <w:rFonts w:hint="eastAsia" w:ascii="仿宋" w:hAnsi="仿宋" w:eastAsia="仿宋" w:cs="仿宋"/>
                <w:color w:val="000000"/>
                <w:sz w:val="24"/>
              </w:rPr>
            </w:pPr>
            <w:r>
              <w:rPr>
                <w:rFonts w:hint="eastAsia" w:ascii="仿宋" w:hAnsi="仿宋" w:eastAsia="仿宋" w:cs="仿宋"/>
                <w:color w:val="000000"/>
                <w:sz w:val="24"/>
              </w:rPr>
              <w:t>AE-42人乳头瘤病毒基因分型 (HPV Genotyping) （非定值）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0DCA0AE0">
            <w:pPr>
              <w:widowControl/>
              <w:rPr>
                <w:rFonts w:hint="eastAsia" w:ascii="仿宋" w:hAnsi="仿宋" w:eastAsia="仿宋" w:cs="仿宋"/>
                <w:color w:val="000000"/>
                <w:sz w:val="24"/>
              </w:rPr>
            </w:pPr>
            <w:r>
              <w:rPr>
                <w:rFonts w:hint="eastAsia" w:ascii="仿宋" w:hAnsi="仿宋" w:eastAsia="仿宋" w:cs="仿宋"/>
                <w:color w:val="000000"/>
                <w:sz w:val="24"/>
              </w:rPr>
              <w:t>包括但不限于 HPV16、HPV18、HPV31、HPV33、HPV35、HPV39、HPV45、HPV51、HPV52、HPV56、HPV58、HPV59、HPV66、HPV68 以及 HPV6、HPV11 等型别，所含核酸序列覆盖 HPV 基因组中临床检测常用靶区域</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7B8FF98B">
            <w:pPr>
              <w:widowControl/>
              <w:rPr>
                <w:rFonts w:hint="eastAsia" w:ascii="仿宋" w:hAnsi="仿宋" w:eastAsia="仿宋" w:cs="仿宋"/>
                <w:color w:val="000000"/>
                <w:sz w:val="24"/>
              </w:rPr>
            </w:pPr>
            <w:r>
              <w:rPr>
                <w:rFonts w:hint="eastAsia" w:ascii="仿宋" w:hAnsi="仿宋" w:eastAsia="仿宋" w:cs="仿宋"/>
                <w:color w:val="000000"/>
                <w:sz w:val="24"/>
              </w:rPr>
              <w:t>质控品应覆盖阴性及不同阳性水平；适用于不同靶基因设计的市售 HPV 核酸检测试剂；适用于主流 HPV 核酸检测平台及常用检测方法学（包括 PCR、实时荧光 PCR、芯片杂交等），满足不同检测系统和设备的使用要求；质控品应具有良好的均一性和稳定性，在规定储存条件下具有明确有效期。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34AC8F4A">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278E98FF">
            <w:pPr>
              <w:widowControl/>
              <w:rPr>
                <w:rFonts w:hint="eastAsia" w:ascii="仿宋" w:hAnsi="仿宋" w:eastAsia="仿宋" w:cs="仿宋"/>
                <w:color w:val="000000"/>
                <w:sz w:val="24"/>
              </w:rPr>
            </w:pPr>
            <w:r>
              <w:rPr>
                <w:rFonts w:hint="eastAsia" w:ascii="仿宋" w:hAnsi="仿宋" w:eastAsia="仿宋" w:cs="仿宋"/>
                <w:color w:val="000000"/>
                <w:sz w:val="24"/>
              </w:rPr>
              <w:t>246</w:t>
            </w:r>
          </w:p>
        </w:tc>
      </w:tr>
      <w:tr w14:paraId="4DE42D24">
        <w:tblPrEx>
          <w:tblCellMar>
            <w:top w:w="0" w:type="dxa"/>
            <w:left w:w="108" w:type="dxa"/>
            <w:bottom w:w="0" w:type="dxa"/>
            <w:right w:w="108" w:type="dxa"/>
          </w:tblCellMar>
        </w:tblPrEx>
        <w:trPr>
          <w:trHeight w:val="120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895B5F">
            <w:pPr>
              <w:widowControl/>
              <w:rPr>
                <w:rFonts w:hint="eastAsia" w:ascii="仿宋" w:hAnsi="仿宋" w:eastAsia="仿宋" w:cs="仿宋"/>
                <w:color w:val="000000"/>
                <w:sz w:val="24"/>
              </w:rPr>
            </w:pPr>
            <w:r>
              <w:rPr>
                <w:rFonts w:hint="eastAsia" w:ascii="仿宋" w:hAnsi="仿宋" w:eastAsia="仿宋" w:cs="仿宋"/>
                <w:color w:val="000000"/>
                <w:sz w:val="24"/>
              </w:rPr>
              <w:t>30</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6BA5BA17">
            <w:pPr>
              <w:widowControl/>
              <w:rPr>
                <w:rFonts w:hint="eastAsia" w:ascii="仿宋" w:hAnsi="仿宋" w:eastAsia="仿宋" w:cs="仿宋"/>
                <w:color w:val="000000"/>
                <w:sz w:val="24"/>
              </w:rPr>
            </w:pPr>
            <w:r>
              <w:rPr>
                <w:rFonts w:hint="eastAsia" w:ascii="仿宋" w:hAnsi="仿宋" w:eastAsia="仿宋" w:cs="仿宋"/>
                <w:color w:val="000000"/>
                <w:sz w:val="24"/>
              </w:rPr>
              <w:t>AE-43D-二聚体（非定值）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7F24CA47">
            <w:pPr>
              <w:widowControl/>
              <w:rPr>
                <w:rFonts w:hint="eastAsia" w:ascii="仿宋" w:hAnsi="仿宋" w:eastAsia="仿宋" w:cs="仿宋"/>
                <w:color w:val="000000"/>
                <w:sz w:val="24"/>
              </w:rPr>
            </w:pPr>
            <w:r>
              <w:rPr>
                <w:rFonts w:hint="eastAsia" w:ascii="仿宋" w:hAnsi="仿宋" w:eastAsia="仿宋" w:cs="仿宋"/>
                <w:color w:val="000000"/>
                <w:sz w:val="24"/>
              </w:rPr>
              <w:t>D-二聚体</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6C327A52">
            <w:pPr>
              <w:widowControl/>
              <w:rPr>
                <w:rFonts w:hint="eastAsia" w:ascii="仿宋" w:hAnsi="仿宋" w:eastAsia="仿宋" w:cs="仿宋"/>
                <w:color w:val="000000"/>
                <w:sz w:val="24"/>
              </w:rPr>
            </w:pPr>
            <w:r>
              <w:rPr>
                <w:rFonts w:hint="eastAsia" w:ascii="仿宋" w:hAnsi="仿宋" w:eastAsia="仿宋" w:cs="仿宋"/>
                <w:color w:val="000000"/>
                <w:sz w:val="24"/>
              </w:rPr>
              <w:t>适用于临床常用 D-二聚体检测方法及主流检测平台；质控品应覆盖临床常用检测范围内的不同水平，用于评价检测系统的准确性、一致性和稳定性；质控品基质应接近临床实际样本，避免非人源物质对检测结果的干扰；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5EA43C5B">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59FC45C1">
            <w:pPr>
              <w:widowControl/>
              <w:rPr>
                <w:rFonts w:hint="eastAsia" w:ascii="仿宋" w:hAnsi="仿宋" w:eastAsia="仿宋" w:cs="仿宋"/>
                <w:color w:val="000000"/>
                <w:sz w:val="24"/>
              </w:rPr>
            </w:pPr>
            <w:r>
              <w:rPr>
                <w:rFonts w:hint="eastAsia" w:ascii="仿宋" w:hAnsi="仿宋" w:eastAsia="仿宋" w:cs="仿宋"/>
                <w:color w:val="000000"/>
                <w:sz w:val="24"/>
              </w:rPr>
              <w:t>920</w:t>
            </w:r>
          </w:p>
        </w:tc>
      </w:tr>
      <w:tr w14:paraId="6F739250">
        <w:tblPrEx>
          <w:tblCellMar>
            <w:top w:w="0" w:type="dxa"/>
            <w:left w:w="108" w:type="dxa"/>
            <w:bottom w:w="0" w:type="dxa"/>
            <w:right w:w="108" w:type="dxa"/>
          </w:tblCellMar>
        </w:tblPrEx>
        <w:trPr>
          <w:trHeight w:val="120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1C0DC8AC">
            <w:pPr>
              <w:widowControl/>
              <w:rPr>
                <w:rFonts w:hint="eastAsia" w:ascii="仿宋" w:hAnsi="仿宋" w:eastAsia="仿宋" w:cs="仿宋"/>
                <w:color w:val="000000"/>
                <w:sz w:val="24"/>
              </w:rPr>
            </w:pPr>
            <w:r>
              <w:rPr>
                <w:rFonts w:hint="eastAsia" w:ascii="仿宋" w:hAnsi="仿宋" w:eastAsia="仿宋" w:cs="仿宋"/>
                <w:color w:val="000000"/>
                <w:sz w:val="24"/>
              </w:rPr>
              <w:t>31</w:t>
            </w:r>
          </w:p>
        </w:tc>
        <w:tc>
          <w:tcPr>
            <w:tcW w:w="2064" w:type="dxa"/>
            <w:tcBorders>
              <w:top w:val="nil"/>
              <w:left w:val="nil"/>
              <w:bottom w:val="single" w:color="auto" w:sz="4" w:space="0"/>
              <w:right w:val="single" w:color="auto" w:sz="4" w:space="0"/>
            </w:tcBorders>
            <w:shd w:val="clear" w:color="000000" w:fill="FFFFFF"/>
            <w:noWrap w:val="0"/>
            <w:vAlign w:val="center"/>
          </w:tcPr>
          <w:p w14:paraId="3D9AE493">
            <w:pPr>
              <w:widowControl/>
              <w:rPr>
                <w:rFonts w:hint="eastAsia" w:ascii="仿宋" w:hAnsi="仿宋" w:eastAsia="仿宋" w:cs="仿宋"/>
                <w:color w:val="000000"/>
                <w:sz w:val="24"/>
              </w:rPr>
            </w:pPr>
            <w:r>
              <w:rPr>
                <w:rFonts w:hint="eastAsia" w:ascii="仿宋" w:hAnsi="仿宋" w:eastAsia="仿宋" w:cs="仿宋"/>
                <w:color w:val="000000"/>
                <w:sz w:val="24"/>
              </w:rPr>
              <w:t>AE-44抗缪勒管激素 (Anti-Mullerian Hormone) （非定值）</w:t>
            </w:r>
          </w:p>
        </w:tc>
        <w:tc>
          <w:tcPr>
            <w:tcW w:w="4731" w:type="dxa"/>
            <w:tcBorders>
              <w:top w:val="nil"/>
              <w:left w:val="nil"/>
              <w:bottom w:val="single" w:color="auto" w:sz="4" w:space="0"/>
              <w:right w:val="single" w:color="auto" w:sz="4" w:space="0"/>
            </w:tcBorders>
            <w:shd w:val="clear" w:color="000000" w:fill="FFFFFF"/>
            <w:noWrap w:val="0"/>
            <w:vAlign w:val="center"/>
          </w:tcPr>
          <w:p w14:paraId="1E0B39B5">
            <w:pPr>
              <w:widowControl/>
              <w:rPr>
                <w:rFonts w:hint="eastAsia" w:ascii="仿宋" w:hAnsi="仿宋" w:eastAsia="仿宋" w:cs="仿宋"/>
                <w:color w:val="000000"/>
                <w:sz w:val="24"/>
              </w:rPr>
            </w:pPr>
            <w:r>
              <w:rPr>
                <w:rFonts w:hint="eastAsia" w:ascii="仿宋" w:hAnsi="仿宋" w:eastAsia="仿宋" w:cs="仿宋"/>
                <w:color w:val="000000"/>
                <w:sz w:val="24"/>
              </w:rPr>
              <w:t>AMH</w:t>
            </w:r>
          </w:p>
        </w:tc>
        <w:tc>
          <w:tcPr>
            <w:tcW w:w="5969" w:type="dxa"/>
            <w:tcBorders>
              <w:top w:val="nil"/>
              <w:left w:val="nil"/>
              <w:bottom w:val="single" w:color="auto" w:sz="4" w:space="0"/>
              <w:right w:val="single" w:color="auto" w:sz="4" w:space="0"/>
            </w:tcBorders>
            <w:shd w:val="clear" w:color="000000" w:fill="FFFFFF"/>
            <w:noWrap w:val="0"/>
            <w:vAlign w:val="center"/>
          </w:tcPr>
          <w:p w14:paraId="2B7AD583">
            <w:pPr>
              <w:widowControl/>
              <w:rPr>
                <w:rFonts w:hint="eastAsia" w:ascii="仿宋" w:hAnsi="仿宋" w:eastAsia="仿宋" w:cs="仿宋"/>
                <w:color w:val="000000"/>
                <w:sz w:val="24"/>
              </w:rPr>
            </w:pPr>
            <w:r>
              <w:rPr>
                <w:rFonts w:hint="eastAsia" w:ascii="仿宋" w:hAnsi="仿宋" w:eastAsia="仿宋" w:cs="仿宋"/>
                <w:color w:val="000000"/>
                <w:sz w:val="24"/>
              </w:rPr>
              <w:t>适用于临床生殖内分泌相关检测；适配主流免疫学检测平台及常用检测方法学；质控品应覆盖临床常用检测范围内的不同水平，用于评价检测系统的准确性、一致性和稳定性；质控品基质应接近临床实际样本，避免非人源物质对检测结果的干扰；质控品应具有良好的均一性和稳定性，在规定储存条件下具有明确有效期。</w:t>
            </w:r>
          </w:p>
        </w:tc>
        <w:tc>
          <w:tcPr>
            <w:tcW w:w="756" w:type="dxa"/>
            <w:tcBorders>
              <w:top w:val="nil"/>
              <w:left w:val="nil"/>
              <w:bottom w:val="single" w:color="auto" w:sz="4" w:space="0"/>
              <w:right w:val="single" w:color="auto" w:sz="4" w:space="0"/>
            </w:tcBorders>
            <w:shd w:val="clear" w:color="000000" w:fill="FFFFFF"/>
            <w:noWrap w:val="0"/>
            <w:vAlign w:val="center"/>
          </w:tcPr>
          <w:p w14:paraId="3A8E4484">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568AA107">
            <w:pPr>
              <w:widowControl/>
              <w:rPr>
                <w:rFonts w:hint="eastAsia" w:ascii="仿宋" w:hAnsi="仿宋" w:eastAsia="仿宋" w:cs="仿宋"/>
                <w:color w:val="000000"/>
                <w:sz w:val="24"/>
              </w:rPr>
            </w:pPr>
            <w:r>
              <w:rPr>
                <w:rFonts w:hint="eastAsia" w:ascii="仿宋" w:hAnsi="仿宋" w:eastAsia="仿宋" w:cs="仿宋"/>
                <w:color w:val="000000"/>
                <w:sz w:val="24"/>
              </w:rPr>
              <w:t>184</w:t>
            </w:r>
          </w:p>
        </w:tc>
      </w:tr>
      <w:tr w14:paraId="14F7CD6F">
        <w:tblPrEx>
          <w:tblCellMar>
            <w:top w:w="0" w:type="dxa"/>
            <w:left w:w="108" w:type="dxa"/>
            <w:bottom w:w="0" w:type="dxa"/>
            <w:right w:w="108" w:type="dxa"/>
          </w:tblCellMar>
        </w:tblPrEx>
        <w:trPr>
          <w:trHeight w:val="120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216F1FF7">
            <w:pPr>
              <w:widowControl/>
              <w:rPr>
                <w:rFonts w:hint="eastAsia" w:ascii="仿宋" w:hAnsi="仿宋" w:eastAsia="仿宋" w:cs="仿宋"/>
                <w:color w:val="000000"/>
                <w:sz w:val="24"/>
              </w:rPr>
            </w:pPr>
            <w:r>
              <w:rPr>
                <w:rFonts w:hint="eastAsia" w:ascii="仿宋" w:hAnsi="仿宋" w:eastAsia="仿宋" w:cs="仿宋"/>
                <w:color w:val="000000"/>
                <w:sz w:val="24"/>
              </w:rPr>
              <w:t>32</w:t>
            </w:r>
          </w:p>
        </w:tc>
        <w:tc>
          <w:tcPr>
            <w:tcW w:w="2064" w:type="dxa"/>
            <w:tcBorders>
              <w:top w:val="nil"/>
              <w:left w:val="nil"/>
              <w:bottom w:val="single" w:color="auto" w:sz="4" w:space="0"/>
              <w:right w:val="single" w:color="auto" w:sz="4" w:space="0"/>
            </w:tcBorders>
            <w:shd w:val="clear" w:color="000000" w:fill="FFFFFF"/>
            <w:noWrap w:val="0"/>
            <w:vAlign w:val="center"/>
          </w:tcPr>
          <w:p w14:paraId="4F7596E2">
            <w:pPr>
              <w:widowControl/>
              <w:rPr>
                <w:rFonts w:hint="eastAsia" w:ascii="仿宋" w:hAnsi="仿宋" w:eastAsia="仿宋" w:cs="仿宋"/>
                <w:color w:val="000000"/>
                <w:sz w:val="24"/>
              </w:rPr>
            </w:pPr>
            <w:r>
              <w:rPr>
                <w:rFonts w:hint="eastAsia" w:ascii="仿宋" w:hAnsi="仿宋" w:eastAsia="仿宋" w:cs="仿宋"/>
                <w:color w:val="000000"/>
                <w:sz w:val="24"/>
              </w:rPr>
              <w:t>AE-48纤维蛋白原降解产物（非定值）</w:t>
            </w:r>
          </w:p>
        </w:tc>
        <w:tc>
          <w:tcPr>
            <w:tcW w:w="4731" w:type="dxa"/>
            <w:tcBorders>
              <w:top w:val="nil"/>
              <w:left w:val="nil"/>
              <w:bottom w:val="single" w:color="auto" w:sz="4" w:space="0"/>
              <w:right w:val="single" w:color="auto" w:sz="4" w:space="0"/>
            </w:tcBorders>
            <w:shd w:val="clear" w:color="000000" w:fill="FFFFFF"/>
            <w:noWrap w:val="0"/>
            <w:vAlign w:val="center"/>
          </w:tcPr>
          <w:p w14:paraId="1D43F277">
            <w:pPr>
              <w:widowControl/>
              <w:rPr>
                <w:rFonts w:hint="eastAsia" w:ascii="仿宋" w:hAnsi="仿宋" w:eastAsia="仿宋" w:cs="仿宋"/>
                <w:color w:val="000000"/>
                <w:sz w:val="24"/>
              </w:rPr>
            </w:pPr>
            <w:r>
              <w:rPr>
                <w:rFonts w:hint="eastAsia" w:ascii="仿宋" w:hAnsi="仿宋" w:eastAsia="仿宋" w:cs="仿宋"/>
                <w:color w:val="000000"/>
                <w:sz w:val="24"/>
              </w:rPr>
              <w:t>FDP</w:t>
            </w:r>
          </w:p>
        </w:tc>
        <w:tc>
          <w:tcPr>
            <w:tcW w:w="5969" w:type="dxa"/>
            <w:tcBorders>
              <w:top w:val="nil"/>
              <w:left w:val="nil"/>
              <w:bottom w:val="single" w:color="auto" w:sz="4" w:space="0"/>
              <w:right w:val="single" w:color="auto" w:sz="4" w:space="0"/>
            </w:tcBorders>
            <w:shd w:val="clear" w:color="000000" w:fill="FFFFFF"/>
            <w:noWrap w:val="0"/>
            <w:vAlign w:val="center"/>
          </w:tcPr>
          <w:p w14:paraId="0DA16981">
            <w:pPr>
              <w:widowControl/>
              <w:rPr>
                <w:rFonts w:hint="eastAsia" w:ascii="仿宋" w:hAnsi="仿宋" w:eastAsia="仿宋" w:cs="仿宋"/>
                <w:color w:val="000000"/>
                <w:sz w:val="24"/>
              </w:rPr>
            </w:pPr>
            <w:r>
              <w:rPr>
                <w:rFonts w:hint="eastAsia" w:ascii="仿宋" w:hAnsi="仿宋" w:eastAsia="仿宋" w:cs="仿宋"/>
                <w:color w:val="000000"/>
                <w:sz w:val="24"/>
              </w:rPr>
              <w:t>适用于临床凝血功能相关检测；适配主流 FDP 检测平台及常用检测方法学；质控品应覆盖临床常用检测范围内的不同水平，用于评价检测系统的准确性、一致性和稳定性；质控品基质应接近临床实际样本，避免非人源物质对检测结果的干扰；质控品应具有良好的均一性和稳定性，在规定储存条件下具有明确有效期。</w:t>
            </w:r>
          </w:p>
        </w:tc>
        <w:tc>
          <w:tcPr>
            <w:tcW w:w="756" w:type="dxa"/>
            <w:tcBorders>
              <w:top w:val="nil"/>
              <w:left w:val="nil"/>
              <w:bottom w:val="single" w:color="auto" w:sz="4" w:space="0"/>
              <w:right w:val="single" w:color="auto" w:sz="4" w:space="0"/>
            </w:tcBorders>
            <w:shd w:val="clear" w:color="000000" w:fill="FFFFFF"/>
            <w:noWrap w:val="0"/>
            <w:vAlign w:val="center"/>
          </w:tcPr>
          <w:p w14:paraId="4CBE57FF">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50811C2D">
            <w:pPr>
              <w:widowControl/>
              <w:rPr>
                <w:rFonts w:hint="eastAsia" w:ascii="仿宋" w:hAnsi="仿宋" w:eastAsia="仿宋" w:cs="仿宋"/>
                <w:color w:val="000000"/>
                <w:sz w:val="24"/>
              </w:rPr>
            </w:pPr>
            <w:r>
              <w:rPr>
                <w:rFonts w:hint="eastAsia" w:ascii="仿宋" w:hAnsi="仿宋" w:eastAsia="仿宋" w:cs="仿宋"/>
                <w:color w:val="000000"/>
                <w:sz w:val="24"/>
              </w:rPr>
              <w:t>302</w:t>
            </w:r>
          </w:p>
        </w:tc>
      </w:tr>
      <w:tr w14:paraId="6F3F4E78">
        <w:tblPrEx>
          <w:tblCellMar>
            <w:top w:w="0" w:type="dxa"/>
            <w:left w:w="108" w:type="dxa"/>
            <w:bottom w:w="0" w:type="dxa"/>
            <w:right w:w="108" w:type="dxa"/>
          </w:tblCellMar>
        </w:tblPrEx>
        <w:trPr>
          <w:trHeight w:val="1995"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E7D5E5">
            <w:pPr>
              <w:widowControl/>
              <w:rPr>
                <w:rFonts w:hint="eastAsia" w:ascii="仿宋" w:hAnsi="仿宋" w:eastAsia="仿宋" w:cs="仿宋"/>
                <w:color w:val="000000"/>
                <w:sz w:val="24"/>
              </w:rPr>
            </w:pPr>
            <w:r>
              <w:rPr>
                <w:rFonts w:hint="eastAsia" w:ascii="仿宋" w:hAnsi="仿宋" w:eastAsia="仿宋" w:cs="仿宋"/>
                <w:color w:val="000000"/>
                <w:sz w:val="24"/>
              </w:rPr>
              <w:t>33</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219EAF70">
            <w:pPr>
              <w:widowControl/>
              <w:rPr>
                <w:rFonts w:hint="eastAsia" w:ascii="仿宋" w:hAnsi="仿宋" w:eastAsia="仿宋" w:cs="仿宋"/>
                <w:color w:val="000000"/>
                <w:sz w:val="24"/>
              </w:rPr>
            </w:pPr>
            <w:r>
              <w:rPr>
                <w:rFonts w:hint="eastAsia" w:ascii="仿宋" w:hAnsi="仿宋" w:eastAsia="仿宋" w:cs="仿宋"/>
                <w:color w:val="000000"/>
                <w:sz w:val="24"/>
              </w:rPr>
              <w:t>AE-51血栓弹力图（非定值）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44ACF9B6">
            <w:pPr>
              <w:widowControl/>
              <w:rPr>
                <w:rFonts w:hint="eastAsia" w:ascii="仿宋" w:hAnsi="仿宋" w:eastAsia="仿宋" w:cs="仿宋"/>
                <w:color w:val="000000"/>
                <w:sz w:val="24"/>
              </w:rPr>
            </w:pPr>
            <w:r>
              <w:rPr>
                <w:rFonts w:hint="eastAsia" w:ascii="仿宋" w:hAnsi="仿宋" w:eastAsia="仿宋" w:cs="仿宋"/>
                <w:color w:val="000000"/>
                <w:sz w:val="24"/>
              </w:rPr>
              <w:t>包含但不限于R、K、α 角、MA等项目</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354DD6D8">
            <w:pPr>
              <w:widowControl/>
              <w:rPr>
                <w:rFonts w:hint="eastAsia" w:ascii="仿宋" w:hAnsi="仿宋" w:eastAsia="仿宋" w:cs="仿宋"/>
                <w:color w:val="000000"/>
                <w:sz w:val="24"/>
              </w:rPr>
            </w:pPr>
            <w:r>
              <w:rPr>
                <w:rFonts w:hint="eastAsia" w:ascii="仿宋" w:hAnsi="仿宋" w:eastAsia="仿宋" w:cs="仿宋"/>
                <w:color w:val="000000"/>
                <w:sz w:val="24"/>
              </w:rPr>
              <w:t>适配主流血栓弹力图检测平台及常用检测方法；质控品应覆盖临床常用功能状态下的不同水平，用于评价检测系统对凝血启动、凝块形成、凝块强度及纤溶过程的整体反映能力和一致性；质控品基质应接近临床实际样本，避免非人源物质对检测结果的干扰；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4A9F11E3">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3884B630">
            <w:pPr>
              <w:widowControl/>
              <w:rPr>
                <w:rFonts w:hint="eastAsia" w:ascii="仿宋" w:hAnsi="仿宋" w:eastAsia="仿宋" w:cs="仿宋"/>
                <w:color w:val="000000"/>
                <w:sz w:val="24"/>
              </w:rPr>
            </w:pPr>
            <w:r>
              <w:rPr>
                <w:rFonts w:hint="eastAsia" w:ascii="仿宋" w:hAnsi="仿宋" w:eastAsia="仿宋" w:cs="仿宋"/>
                <w:color w:val="000000"/>
                <w:sz w:val="24"/>
              </w:rPr>
              <w:t>192</w:t>
            </w:r>
          </w:p>
        </w:tc>
      </w:tr>
      <w:tr w14:paraId="4B039F22">
        <w:tblPrEx>
          <w:tblCellMar>
            <w:top w:w="0" w:type="dxa"/>
            <w:left w:w="108" w:type="dxa"/>
            <w:bottom w:w="0" w:type="dxa"/>
            <w:right w:w="108" w:type="dxa"/>
          </w:tblCellMar>
        </w:tblPrEx>
        <w:trPr>
          <w:trHeight w:val="90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EA8AE5">
            <w:pPr>
              <w:widowControl/>
              <w:rPr>
                <w:rFonts w:hint="eastAsia" w:ascii="仿宋" w:hAnsi="仿宋" w:eastAsia="仿宋" w:cs="仿宋"/>
                <w:color w:val="000000"/>
                <w:sz w:val="24"/>
              </w:rPr>
            </w:pPr>
            <w:r>
              <w:rPr>
                <w:rFonts w:hint="eastAsia" w:ascii="仿宋" w:hAnsi="仿宋" w:eastAsia="仿宋" w:cs="仿宋"/>
                <w:color w:val="000000"/>
                <w:sz w:val="24"/>
              </w:rPr>
              <w:t>34</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7C7B115B">
            <w:pPr>
              <w:widowControl/>
              <w:rPr>
                <w:rFonts w:hint="eastAsia" w:ascii="仿宋" w:hAnsi="仿宋" w:eastAsia="仿宋" w:cs="仿宋"/>
                <w:color w:val="000000"/>
                <w:sz w:val="24"/>
              </w:rPr>
            </w:pPr>
            <w:r>
              <w:rPr>
                <w:rFonts w:hint="eastAsia" w:ascii="仿宋" w:hAnsi="仿宋" w:eastAsia="仿宋" w:cs="仿宋"/>
                <w:color w:val="000000"/>
                <w:sz w:val="24"/>
              </w:rPr>
              <w:t>AE-53粪便形态学（非定值）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64E003A0">
            <w:pPr>
              <w:widowControl/>
              <w:rPr>
                <w:rFonts w:hint="eastAsia" w:ascii="仿宋" w:hAnsi="仿宋" w:eastAsia="仿宋" w:cs="仿宋"/>
                <w:color w:val="000000"/>
                <w:sz w:val="24"/>
              </w:rPr>
            </w:pPr>
            <w:r>
              <w:rPr>
                <w:rFonts w:hint="eastAsia" w:ascii="仿宋" w:hAnsi="仿宋" w:eastAsia="仿宋" w:cs="仿宋"/>
                <w:color w:val="000000"/>
                <w:sz w:val="24"/>
              </w:rPr>
              <w:t>常规粪便中有形成分的形态分析</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0D94770F">
            <w:pPr>
              <w:widowControl/>
              <w:rPr>
                <w:rFonts w:hint="eastAsia" w:ascii="仿宋" w:hAnsi="仿宋" w:eastAsia="仿宋" w:cs="仿宋"/>
                <w:color w:val="000000"/>
                <w:sz w:val="24"/>
              </w:rPr>
            </w:pPr>
            <w:r>
              <w:rPr>
                <w:rFonts w:hint="eastAsia" w:ascii="仿宋" w:hAnsi="仿宋" w:eastAsia="仿宋" w:cs="仿宋"/>
                <w:color w:val="000000"/>
                <w:sz w:val="24"/>
              </w:rPr>
              <w:t>涵盖粪便中常见有形成分的形态学识别，如红细胞、白细胞、吞噬细胞、脂肪滴、肌纤维、植物细胞及寄生虫卵、包囊等。质控品形式应便于显微镜观察，形态特征清晰、稳定，适用于临床常用粪便形态学检查方法；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38CB0938">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589B6CA5">
            <w:pPr>
              <w:widowControl/>
              <w:rPr>
                <w:rFonts w:hint="eastAsia" w:ascii="仿宋" w:hAnsi="仿宋" w:eastAsia="仿宋" w:cs="仿宋"/>
                <w:color w:val="000000"/>
                <w:sz w:val="24"/>
              </w:rPr>
            </w:pPr>
            <w:r>
              <w:rPr>
                <w:rFonts w:hint="eastAsia" w:ascii="仿宋" w:hAnsi="仿宋" w:eastAsia="仿宋" w:cs="仿宋"/>
                <w:color w:val="000000"/>
                <w:sz w:val="24"/>
              </w:rPr>
              <w:t>464</w:t>
            </w:r>
          </w:p>
        </w:tc>
      </w:tr>
      <w:tr w14:paraId="01D5668E">
        <w:tblPrEx>
          <w:tblCellMar>
            <w:top w:w="0" w:type="dxa"/>
            <w:left w:w="108" w:type="dxa"/>
            <w:bottom w:w="0" w:type="dxa"/>
            <w:right w:w="108" w:type="dxa"/>
          </w:tblCellMar>
        </w:tblPrEx>
        <w:trPr>
          <w:trHeight w:val="90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1EBF0AE1">
            <w:pPr>
              <w:widowControl/>
              <w:rPr>
                <w:rFonts w:hint="eastAsia" w:ascii="仿宋" w:hAnsi="仿宋" w:eastAsia="仿宋" w:cs="仿宋"/>
                <w:color w:val="000000"/>
                <w:sz w:val="24"/>
              </w:rPr>
            </w:pPr>
            <w:r>
              <w:rPr>
                <w:rFonts w:hint="eastAsia" w:ascii="仿宋" w:hAnsi="仿宋" w:eastAsia="仿宋" w:cs="仿宋"/>
                <w:color w:val="000000"/>
                <w:sz w:val="24"/>
              </w:rPr>
              <w:t>35</w:t>
            </w:r>
          </w:p>
        </w:tc>
        <w:tc>
          <w:tcPr>
            <w:tcW w:w="2064" w:type="dxa"/>
            <w:tcBorders>
              <w:top w:val="nil"/>
              <w:left w:val="nil"/>
              <w:bottom w:val="single" w:color="auto" w:sz="4" w:space="0"/>
              <w:right w:val="single" w:color="auto" w:sz="4" w:space="0"/>
            </w:tcBorders>
            <w:shd w:val="clear" w:color="000000" w:fill="FFFFFF"/>
            <w:noWrap w:val="0"/>
            <w:vAlign w:val="center"/>
          </w:tcPr>
          <w:p w14:paraId="245C89DD">
            <w:pPr>
              <w:widowControl/>
              <w:rPr>
                <w:rFonts w:hint="eastAsia" w:ascii="仿宋" w:hAnsi="仿宋" w:eastAsia="仿宋" w:cs="仿宋"/>
                <w:color w:val="000000"/>
                <w:sz w:val="24"/>
              </w:rPr>
            </w:pPr>
            <w:r>
              <w:rPr>
                <w:rFonts w:hint="eastAsia" w:ascii="仿宋" w:hAnsi="仿宋" w:eastAsia="仿宋" w:cs="仿宋"/>
                <w:color w:val="000000"/>
                <w:sz w:val="24"/>
              </w:rPr>
              <w:t>AE-55EGFR基因突变检测（非定值）</w:t>
            </w:r>
          </w:p>
        </w:tc>
        <w:tc>
          <w:tcPr>
            <w:tcW w:w="4731" w:type="dxa"/>
            <w:tcBorders>
              <w:top w:val="nil"/>
              <w:left w:val="nil"/>
              <w:bottom w:val="single" w:color="auto" w:sz="4" w:space="0"/>
              <w:right w:val="single" w:color="auto" w:sz="4" w:space="0"/>
            </w:tcBorders>
            <w:shd w:val="clear" w:color="000000" w:fill="FFFFFF"/>
            <w:noWrap w:val="0"/>
            <w:vAlign w:val="center"/>
          </w:tcPr>
          <w:p w14:paraId="2F4322B8">
            <w:pPr>
              <w:widowControl/>
              <w:rPr>
                <w:rFonts w:hint="eastAsia" w:ascii="仿宋" w:hAnsi="仿宋" w:eastAsia="仿宋" w:cs="仿宋"/>
                <w:color w:val="000000"/>
                <w:sz w:val="24"/>
              </w:rPr>
            </w:pPr>
            <w:r>
              <w:rPr>
                <w:rFonts w:hint="eastAsia" w:ascii="仿宋" w:hAnsi="仿宋" w:eastAsia="仿宋" w:cs="仿宋"/>
                <w:color w:val="000000"/>
                <w:sz w:val="24"/>
              </w:rPr>
              <w:t>应覆盖 EGFR 基因中临床检测常见突变类型，所含核酸序列覆盖 EGFR 基因中临床检测常用靶区域</w:t>
            </w:r>
          </w:p>
        </w:tc>
        <w:tc>
          <w:tcPr>
            <w:tcW w:w="5969" w:type="dxa"/>
            <w:tcBorders>
              <w:top w:val="nil"/>
              <w:left w:val="nil"/>
              <w:bottom w:val="single" w:color="auto" w:sz="4" w:space="0"/>
              <w:right w:val="single" w:color="auto" w:sz="4" w:space="0"/>
            </w:tcBorders>
            <w:shd w:val="clear" w:color="000000" w:fill="FFFFFF"/>
            <w:noWrap w:val="0"/>
            <w:vAlign w:val="center"/>
          </w:tcPr>
          <w:p w14:paraId="1F8EDA6E">
            <w:pPr>
              <w:widowControl/>
              <w:rPr>
                <w:rFonts w:hint="eastAsia" w:ascii="仿宋" w:hAnsi="仿宋" w:eastAsia="仿宋" w:cs="仿宋"/>
                <w:color w:val="000000"/>
                <w:sz w:val="24"/>
              </w:rPr>
            </w:pPr>
            <w:r>
              <w:rPr>
                <w:rFonts w:hint="eastAsia" w:ascii="仿宋" w:hAnsi="仿宋" w:eastAsia="仿宋" w:cs="仿宋"/>
                <w:color w:val="000000"/>
                <w:sz w:val="24"/>
              </w:rPr>
              <w:t>用于评价检测系统对 EGFR 基因突变的检出能力和一致性；质控品应覆盖阴性及不同突变丰度水平；适用于不同突变位点设计的市售检测试剂；可溯源至国际或国家相关参考标准；适用于主流 EGFR 基因突变检测平台及常用检测方法学（包括 PCR、实时荧光 PCR、数字 PCR、测序等），满足不同检测系统和设备的使用要求；质控品应具有良好的均一性和稳定性，在规定储存条件下具有明确有效期。</w:t>
            </w:r>
          </w:p>
        </w:tc>
        <w:tc>
          <w:tcPr>
            <w:tcW w:w="756" w:type="dxa"/>
            <w:tcBorders>
              <w:top w:val="nil"/>
              <w:left w:val="nil"/>
              <w:bottom w:val="single" w:color="auto" w:sz="4" w:space="0"/>
              <w:right w:val="single" w:color="auto" w:sz="4" w:space="0"/>
            </w:tcBorders>
            <w:shd w:val="clear" w:color="000000" w:fill="FFFFFF"/>
            <w:noWrap w:val="0"/>
            <w:vAlign w:val="center"/>
          </w:tcPr>
          <w:p w14:paraId="6BC8B880">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6A30DE8C">
            <w:pPr>
              <w:widowControl/>
              <w:rPr>
                <w:rFonts w:hint="eastAsia" w:ascii="仿宋" w:hAnsi="仿宋" w:eastAsia="仿宋" w:cs="仿宋"/>
                <w:color w:val="000000"/>
                <w:sz w:val="24"/>
              </w:rPr>
            </w:pPr>
            <w:r>
              <w:rPr>
                <w:rFonts w:hint="eastAsia" w:ascii="仿宋" w:hAnsi="仿宋" w:eastAsia="仿宋" w:cs="仿宋"/>
                <w:color w:val="000000"/>
                <w:sz w:val="24"/>
              </w:rPr>
              <w:t>22</w:t>
            </w:r>
          </w:p>
        </w:tc>
      </w:tr>
      <w:tr w14:paraId="401C2B3C">
        <w:tblPrEx>
          <w:tblCellMar>
            <w:top w:w="0" w:type="dxa"/>
            <w:left w:w="108" w:type="dxa"/>
            <w:bottom w:w="0" w:type="dxa"/>
            <w:right w:w="108" w:type="dxa"/>
          </w:tblCellMar>
        </w:tblPrEx>
        <w:trPr>
          <w:trHeight w:val="900" w:hRule="atLeast"/>
          <w:jc w:val="center"/>
        </w:trPr>
        <w:tc>
          <w:tcPr>
            <w:tcW w:w="698" w:type="dxa"/>
            <w:tcBorders>
              <w:top w:val="nil"/>
              <w:left w:val="single" w:color="auto" w:sz="4" w:space="0"/>
              <w:bottom w:val="single" w:color="auto" w:sz="4" w:space="0"/>
              <w:right w:val="single" w:color="auto" w:sz="4" w:space="0"/>
            </w:tcBorders>
            <w:shd w:val="clear" w:color="000000" w:fill="FFFFFF"/>
            <w:noWrap w:val="0"/>
            <w:vAlign w:val="center"/>
          </w:tcPr>
          <w:p w14:paraId="328BADC6">
            <w:pPr>
              <w:widowControl/>
              <w:rPr>
                <w:rFonts w:hint="eastAsia" w:ascii="仿宋" w:hAnsi="仿宋" w:eastAsia="仿宋" w:cs="仿宋"/>
                <w:color w:val="000000"/>
                <w:sz w:val="24"/>
              </w:rPr>
            </w:pPr>
            <w:r>
              <w:rPr>
                <w:rFonts w:hint="eastAsia" w:ascii="仿宋" w:hAnsi="仿宋" w:eastAsia="仿宋" w:cs="仿宋"/>
                <w:color w:val="000000"/>
                <w:sz w:val="24"/>
              </w:rPr>
              <w:t>36</w:t>
            </w:r>
          </w:p>
        </w:tc>
        <w:tc>
          <w:tcPr>
            <w:tcW w:w="2064" w:type="dxa"/>
            <w:tcBorders>
              <w:top w:val="nil"/>
              <w:left w:val="nil"/>
              <w:bottom w:val="single" w:color="auto" w:sz="4" w:space="0"/>
              <w:right w:val="single" w:color="auto" w:sz="4" w:space="0"/>
            </w:tcBorders>
            <w:shd w:val="clear" w:color="000000" w:fill="FFFFFF"/>
            <w:noWrap w:val="0"/>
            <w:vAlign w:val="center"/>
          </w:tcPr>
          <w:p w14:paraId="717776D1">
            <w:pPr>
              <w:widowControl/>
              <w:rPr>
                <w:rFonts w:hint="eastAsia" w:ascii="仿宋" w:hAnsi="仿宋" w:eastAsia="仿宋" w:cs="仿宋"/>
                <w:color w:val="000000"/>
                <w:sz w:val="24"/>
              </w:rPr>
            </w:pPr>
            <w:r>
              <w:rPr>
                <w:rFonts w:hint="eastAsia" w:ascii="仿宋" w:hAnsi="仿宋" w:eastAsia="仿宋" w:cs="仿宋"/>
                <w:color w:val="000000"/>
                <w:sz w:val="24"/>
              </w:rPr>
              <w:t>AE-56KRAS基因突变检测（非定值）</w:t>
            </w:r>
          </w:p>
        </w:tc>
        <w:tc>
          <w:tcPr>
            <w:tcW w:w="4731" w:type="dxa"/>
            <w:tcBorders>
              <w:top w:val="nil"/>
              <w:left w:val="nil"/>
              <w:bottom w:val="single" w:color="auto" w:sz="4" w:space="0"/>
              <w:right w:val="single" w:color="auto" w:sz="4" w:space="0"/>
            </w:tcBorders>
            <w:shd w:val="clear" w:color="000000" w:fill="FFFFFF"/>
            <w:noWrap w:val="0"/>
            <w:vAlign w:val="center"/>
          </w:tcPr>
          <w:p w14:paraId="38A3D2DD">
            <w:pPr>
              <w:widowControl/>
              <w:rPr>
                <w:rFonts w:hint="eastAsia" w:ascii="仿宋" w:hAnsi="仿宋" w:eastAsia="仿宋" w:cs="仿宋"/>
                <w:color w:val="000000"/>
                <w:sz w:val="24"/>
              </w:rPr>
            </w:pPr>
            <w:r>
              <w:rPr>
                <w:rFonts w:hint="eastAsia" w:ascii="仿宋" w:hAnsi="仿宋" w:eastAsia="仿宋" w:cs="仿宋"/>
                <w:color w:val="000000"/>
                <w:sz w:val="24"/>
              </w:rPr>
              <w:t>应覆盖 KRAS 基因中临床检测常见突变类型，所含核酸序列覆盖 KRAS 基因中临床检测常用靶区域</w:t>
            </w:r>
          </w:p>
        </w:tc>
        <w:tc>
          <w:tcPr>
            <w:tcW w:w="5969" w:type="dxa"/>
            <w:tcBorders>
              <w:top w:val="nil"/>
              <w:left w:val="nil"/>
              <w:bottom w:val="single" w:color="auto" w:sz="4" w:space="0"/>
              <w:right w:val="single" w:color="auto" w:sz="4" w:space="0"/>
            </w:tcBorders>
            <w:shd w:val="clear" w:color="000000" w:fill="FFFFFF"/>
            <w:noWrap w:val="0"/>
            <w:vAlign w:val="center"/>
          </w:tcPr>
          <w:p w14:paraId="06D0EA4C">
            <w:pPr>
              <w:widowControl/>
              <w:rPr>
                <w:rFonts w:hint="eastAsia" w:ascii="仿宋" w:hAnsi="仿宋" w:eastAsia="仿宋" w:cs="仿宋"/>
                <w:color w:val="000000"/>
                <w:sz w:val="24"/>
              </w:rPr>
            </w:pPr>
            <w:r>
              <w:rPr>
                <w:rFonts w:hint="eastAsia" w:ascii="仿宋" w:hAnsi="仿宋" w:eastAsia="仿宋" w:cs="仿宋"/>
                <w:color w:val="000000"/>
                <w:sz w:val="24"/>
              </w:rPr>
              <w:t>用于评价检测系统对 KRAS 基因突变的检出能力和一致性；应覆盖阴性及不同突变丰度水平；适用于不同突变位点设计的市售检测试剂；可溯源至国际或国家相关参考标准；适用于主流 KRAS 基因突变检测平台及常用检测方法学（包括 PCR、实时荧光 PCR、数字 PCR、测序等），满足不同检测系统和设备的使用要求；质控品应具有良好的均一性和稳定性。</w:t>
            </w:r>
          </w:p>
        </w:tc>
        <w:tc>
          <w:tcPr>
            <w:tcW w:w="756" w:type="dxa"/>
            <w:tcBorders>
              <w:top w:val="nil"/>
              <w:left w:val="nil"/>
              <w:bottom w:val="single" w:color="auto" w:sz="4" w:space="0"/>
              <w:right w:val="single" w:color="auto" w:sz="4" w:space="0"/>
            </w:tcBorders>
            <w:shd w:val="clear" w:color="000000" w:fill="FFFFFF"/>
            <w:noWrap w:val="0"/>
            <w:vAlign w:val="center"/>
          </w:tcPr>
          <w:p w14:paraId="0B92527D">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627271C7">
            <w:pPr>
              <w:widowControl/>
              <w:rPr>
                <w:rFonts w:hint="eastAsia" w:ascii="仿宋" w:hAnsi="仿宋" w:eastAsia="仿宋" w:cs="仿宋"/>
                <w:color w:val="000000"/>
                <w:sz w:val="24"/>
              </w:rPr>
            </w:pPr>
            <w:r>
              <w:rPr>
                <w:rFonts w:hint="eastAsia" w:ascii="仿宋" w:hAnsi="仿宋" w:eastAsia="仿宋" w:cs="仿宋"/>
                <w:color w:val="000000"/>
                <w:sz w:val="24"/>
              </w:rPr>
              <w:t>24</w:t>
            </w:r>
          </w:p>
        </w:tc>
      </w:tr>
      <w:tr w14:paraId="5B3CDDB1">
        <w:tblPrEx>
          <w:tblCellMar>
            <w:top w:w="0" w:type="dxa"/>
            <w:left w:w="108" w:type="dxa"/>
            <w:bottom w:w="0" w:type="dxa"/>
            <w:right w:w="108" w:type="dxa"/>
          </w:tblCellMar>
        </w:tblPrEx>
        <w:trPr>
          <w:trHeight w:val="90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E7E46D">
            <w:pPr>
              <w:widowControl/>
              <w:rPr>
                <w:rFonts w:hint="eastAsia" w:ascii="仿宋" w:hAnsi="仿宋" w:eastAsia="仿宋" w:cs="仿宋"/>
                <w:color w:val="000000"/>
                <w:sz w:val="24"/>
              </w:rPr>
            </w:pPr>
            <w:r>
              <w:rPr>
                <w:rFonts w:hint="eastAsia" w:ascii="仿宋" w:hAnsi="仿宋" w:eastAsia="仿宋" w:cs="仿宋"/>
                <w:color w:val="000000"/>
                <w:sz w:val="24"/>
              </w:rPr>
              <w:t>37</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29D555D6">
            <w:pPr>
              <w:widowControl/>
              <w:rPr>
                <w:rFonts w:hint="eastAsia" w:ascii="仿宋" w:hAnsi="仿宋" w:eastAsia="仿宋" w:cs="仿宋"/>
                <w:color w:val="000000"/>
                <w:sz w:val="24"/>
              </w:rPr>
            </w:pPr>
            <w:r>
              <w:rPr>
                <w:rFonts w:hint="eastAsia" w:ascii="仿宋" w:hAnsi="仿宋" w:eastAsia="仿宋" w:cs="仿宋"/>
                <w:color w:val="000000"/>
                <w:sz w:val="24"/>
              </w:rPr>
              <w:t>AE-57BRAF基因突变检测（非定值）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5E04B133">
            <w:pPr>
              <w:widowControl/>
              <w:rPr>
                <w:rFonts w:hint="eastAsia" w:ascii="仿宋" w:hAnsi="仿宋" w:eastAsia="仿宋" w:cs="仿宋"/>
                <w:color w:val="000000"/>
                <w:sz w:val="24"/>
              </w:rPr>
            </w:pPr>
            <w:r>
              <w:rPr>
                <w:rFonts w:hint="eastAsia" w:ascii="仿宋" w:hAnsi="仿宋" w:eastAsia="仿宋" w:cs="仿宋"/>
                <w:color w:val="000000"/>
                <w:sz w:val="24"/>
              </w:rPr>
              <w:t>应覆盖 BRAF 基因中临床检测常见突变类型，所含核酸序列覆盖 BRAF 基因中临床检测常用靶区域</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2163D314">
            <w:pPr>
              <w:widowControl/>
              <w:rPr>
                <w:rFonts w:hint="eastAsia" w:ascii="仿宋" w:hAnsi="仿宋" w:eastAsia="仿宋" w:cs="仿宋"/>
                <w:color w:val="000000"/>
                <w:sz w:val="24"/>
              </w:rPr>
            </w:pPr>
            <w:r>
              <w:rPr>
                <w:rFonts w:hint="eastAsia" w:ascii="仿宋" w:hAnsi="仿宋" w:eastAsia="仿宋" w:cs="仿宋"/>
                <w:color w:val="000000"/>
                <w:sz w:val="24"/>
              </w:rPr>
              <w:t>用于评价检测系统对 BRAF 基因突变的检出能力和一致性；应覆盖阴性及不同突变丰度水平；适用于不同突变位点设计的市售检测试剂；可溯源至国际或国家相关参考标准；适用于主流 BRAF 基因突变检测平台及常用检测方法学（包括 PCR、实时荧光 PCR、数字 PCR、测序等），满足不同检测系统和设备的使用要求；质控品应具有良好的均一性和稳定性，在规定储存条件下具有明确有效期。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29C34CB4">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428FCFBA">
            <w:pPr>
              <w:widowControl/>
              <w:rPr>
                <w:rFonts w:hint="eastAsia" w:ascii="仿宋" w:hAnsi="仿宋" w:eastAsia="仿宋" w:cs="仿宋"/>
                <w:color w:val="000000"/>
                <w:sz w:val="24"/>
              </w:rPr>
            </w:pPr>
            <w:r>
              <w:rPr>
                <w:rFonts w:hint="eastAsia" w:ascii="仿宋" w:hAnsi="仿宋" w:eastAsia="仿宋" w:cs="仿宋"/>
                <w:color w:val="000000"/>
                <w:sz w:val="24"/>
              </w:rPr>
              <w:t>42</w:t>
            </w:r>
          </w:p>
        </w:tc>
      </w:tr>
      <w:tr w14:paraId="3DFD8CA5">
        <w:tblPrEx>
          <w:tblCellMar>
            <w:top w:w="0" w:type="dxa"/>
            <w:left w:w="108" w:type="dxa"/>
            <w:bottom w:w="0" w:type="dxa"/>
            <w:right w:w="108" w:type="dxa"/>
          </w:tblCellMar>
        </w:tblPrEx>
        <w:trPr>
          <w:trHeight w:val="114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3AE02E">
            <w:pPr>
              <w:widowControl/>
              <w:rPr>
                <w:rFonts w:hint="eastAsia" w:ascii="仿宋" w:hAnsi="仿宋" w:eastAsia="仿宋" w:cs="仿宋"/>
                <w:color w:val="000000"/>
                <w:sz w:val="24"/>
              </w:rPr>
            </w:pPr>
            <w:r>
              <w:rPr>
                <w:rFonts w:hint="eastAsia" w:ascii="仿宋" w:hAnsi="仿宋" w:eastAsia="仿宋" w:cs="仿宋"/>
                <w:color w:val="000000"/>
                <w:sz w:val="24"/>
              </w:rPr>
              <w:t>38</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299107C4">
            <w:pPr>
              <w:widowControl/>
              <w:rPr>
                <w:rFonts w:hint="eastAsia" w:ascii="仿宋" w:hAnsi="仿宋" w:eastAsia="仿宋" w:cs="仿宋"/>
                <w:color w:val="000000"/>
                <w:sz w:val="24"/>
              </w:rPr>
            </w:pPr>
            <w:r>
              <w:rPr>
                <w:rFonts w:hint="eastAsia" w:ascii="仿宋" w:hAnsi="仿宋" w:eastAsia="仿宋" w:cs="仿宋"/>
                <w:color w:val="000000"/>
                <w:sz w:val="24"/>
              </w:rPr>
              <w:t>AE-59甲型流感病毒核酸检测（非定值）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14ED526C">
            <w:pPr>
              <w:widowControl/>
              <w:rPr>
                <w:rFonts w:hint="eastAsia" w:ascii="仿宋" w:hAnsi="仿宋" w:eastAsia="仿宋" w:cs="仿宋"/>
                <w:color w:val="000000"/>
                <w:sz w:val="24"/>
              </w:rPr>
            </w:pPr>
            <w:r>
              <w:rPr>
                <w:rFonts w:hint="eastAsia" w:ascii="仿宋" w:hAnsi="仿宋" w:eastAsia="仿宋" w:cs="仿宋"/>
                <w:color w:val="000000"/>
                <w:sz w:val="24"/>
              </w:rPr>
              <w:t>所含核酸序列覆盖甲型流感病毒基因组中临床检测常用靶区域</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72E075D8">
            <w:pPr>
              <w:widowControl/>
              <w:rPr>
                <w:rFonts w:hint="eastAsia" w:ascii="仿宋" w:hAnsi="仿宋" w:eastAsia="仿宋" w:cs="仿宋"/>
                <w:color w:val="000000"/>
                <w:sz w:val="24"/>
              </w:rPr>
            </w:pPr>
            <w:r>
              <w:rPr>
                <w:rFonts w:hint="eastAsia" w:ascii="仿宋" w:hAnsi="仿宋" w:eastAsia="仿宋" w:cs="仿宋"/>
                <w:color w:val="000000"/>
                <w:sz w:val="24"/>
              </w:rPr>
              <w:t>质控品应覆盖阴性及不同阳性水平，用于评价检测系统对甲型流感病毒核酸的检出能力和一致性；适用于不同靶基因设计的市售核酸检测试剂；可溯源至国际或国家相关参考标准；适用于主流甲型流感病毒核酸检测平台及常用检测方法学，满足不同检测系统和设备的使用要求；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5640643E">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5D962FBC">
            <w:pPr>
              <w:widowControl/>
              <w:rPr>
                <w:rFonts w:hint="eastAsia" w:ascii="仿宋" w:hAnsi="仿宋" w:eastAsia="仿宋" w:cs="仿宋"/>
                <w:color w:val="000000"/>
                <w:sz w:val="24"/>
              </w:rPr>
            </w:pPr>
            <w:r>
              <w:rPr>
                <w:rFonts w:hint="eastAsia" w:ascii="仿宋" w:hAnsi="仿宋" w:eastAsia="仿宋" w:cs="仿宋"/>
                <w:color w:val="000000"/>
                <w:sz w:val="24"/>
              </w:rPr>
              <w:t>242</w:t>
            </w:r>
          </w:p>
        </w:tc>
      </w:tr>
      <w:tr w14:paraId="68342E3A">
        <w:tblPrEx>
          <w:tblCellMar>
            <w:top w:w="0" w:type="dxa"/>
            <w:left w:w="108" w:type="dxa"/>
            <w:bottom w:w="0" w:type="dxa"/>
            <w:right w:w="108" w:type="dxa"/>
          </w:tblCellMar>
        </w:tblPrEx>
        <w:trPr>
          <w:trHeight w:val="114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E1DD7F">
            <w:pPr>
              <w:widowControl/>
              <w:rPr>
                <w:rFonts w:hint="eastAsia" w:ascii="仿宋" w:hAnsi="仿宋" w:eastAsia="仿宋" w:cs="仿宋"/>
                <w:color w:val="000000"/>
                <w:sz w:val="24"/>
              </w:rPr>
            </w:pPr>
            <w:r>
              <w:rPr>
                <w:rFonts w:hint="eastAsia" w:ascii="仿宋" w:hAnsi="仿宋" w:eastAsia="仿宋" w:cs="仿宋"/>
                <w:color w:val="000000"/>
                <w:sz w:val="24"/>
              </w:rPr>
              <w:t>39</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109FC7BB">
            <w:pPr>
              <w:widowControl/>
              <w:rPr>
                <w:rFonts w:hint="eastAsia" w:ascii="仿宋" w:hAnsi="仿宋" w:eastAsia="仿宋" w:cs="仿宋"/>
                <w:color w:val="000000"/>
                <w:sz w:val="24"/>
              </w:rPr>
            </w:pPr>
            <w:r>
              <w:rPr>
                <w:rFonts w:hint="eastAsia" w:ascii="仿宋" w:hAnsi="仿宋" w:eastAsia="仿宋" w:cs="仿宋"/>
                <w:color w:val="000000"/>
                <w:sz w:val="24"/>
              </w:rPr>
              <w:t>AE-60乙型流感病毒核酸检测（非定值）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07609E38">
            <w:pPr>
              <w:widowControl/>
              <w:rPr>
                <w:rFonts w:hint="eastAsia" w:ascii="仿宋" w:hAnsi="仿宋" w:eastAsia="仿宋" w:cs="仿宋"/>
                <w:color w:val="000000"/>
                <w:sz w:val="24"/>
              </w:rPr>
            </w:pPr>
            <w:r>
              <w:rPr>
                <w:rFonts w:hint="eastAsia" w:ascii="仿宋" w:hAnsi="仿宋" w:eastAsia="仿宋" w:cs="仿宋"/>
                <w:color w:val="000000"/>
                <w:sz w:val="24"/>
              </w:rPr>
              <w:t>所含核酸序列覆盖乙型流感病毒基因组中临床检测常用靶区域</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61989D1E">
            <w:pPr>
              <w:widowControl/>
              <w:rPr>
                <w:rFonts w:hint="eastAsia" w:ascii="仿宋" w:hAnsi="仿宋" w:eastAsia="仿宋" w:cs="仿宋"/>
                <w:color w:val="000000"/>
                <w:sz w:val="24"/>
              </w:rPr>
            </w:pPr>
            <w:r>
              <w:rPr>
                <w:rFonts w:hint="eastAsia" w:ascii="仿宋" w:hAnsi="仿宋" w:eastAsia="仿宋" w:cs="仿宋"/>
                <w:color w:val="000000"/>
                <w:sz w:val="24"/>
              </w:rPr>
              <w:t>质控品应覆盖阴性及不同阳性水平，用于评价检测系统对乙型流感病毒核酸的检出能力和一致性；适用于不同靶基因设计的市售核酸检测试剂；可溯源至国际或国家相关参考标准；适用于主流乙型流感病毒核酸检测平台及常用检测方法学，满足不同检测系统和设备的使用要求；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4C451C9D">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66F3FC26">
            <w:pPr>
              <w:widowControl/>
              <w:rPr>
                <w:rFonts w:hint="eastAsia" w:ascii="仿宋" w:hAnsi="仿宋" w:eastAsia="仿宋" w:cs="仿宋"/>
                <w:color w:val="000000"/>
                <w:sz w:val="24"/>
              </w:rPr>
            </w:pPr>
            <w:r>
              <w:rPr>
                <w:rFonts w:hint="eastAsia" w:ascii="仿宋" w:hAnsi="仿宋" w:eastAsia="仿宋" w:cs="仿宋"/>
                <w:color w:val="000000"/>
                <w:sz w:val="24"/>
              </w:rPr>
              <w:t>234</w:t>
            </w:r>
          </w:p>
        </w:tc>
      </w:tr>
      <w:tr w14:paraId="24997DE9">
        <w:tblPrEx>
          <w:tblCellMar>
            <w:top w:w="0" w:type="dxa"/>
            <w:left w:w="108" w:type="dxa"/>
            <w:bottom w:w="0" w:type="dxa"/>
            <w:right w:w="108" w:type="dxa"/>
          </w:tblCellMar>
        </w:tblPrEx>
        <w:trPr>
          <w:trHeight w:val="114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1C701B">
            <w:pPr>
              <w:widowControl/>
              <w:rPr>
                <w:rFonts w:hint="eastAsia" w:ascii="仿宋" w:hAnsi="仿宋" w:eastAsia="仿宋" w:cs="仿宋"/>
                <w:color w:val="000000"/>
                <w:sz w:val="24"/>
              </w:rPr>
            </w:pPr>
            <w:r>
              <w:rPr>
                <w:rFonts w:hint="eastAsia" w:ascii="仿宋" w:hAnsi="仿宋" w:eastAsia="仿宋" w:cs="仿宋"/>
                <w:color w:val="000000"/>
                <w:sz w:val="24"/>
              </w:rPr>
              <w:t>40</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76519A93">
            <w:pPr>
              <w:widowControl/>
              <w:rPr>
                <w:rFonts w:hint="eastAsia" w:ascii="仿宋" w:hAnsi="仿宋" w:eastAsia="仿宋" w:cs="仿宋"/>
                <w:color w:val="000000"/>
                <w:sz w:val="24"/>
              </w:rPr>
            </w:pPr>
            <w:r>
              <w:rPr>
                <w:rFonts w:hint="eastAsia" w:ascii="仿宋" w:hAnsi="仿宋" w:eastAsia="仿宋" w:cs="仿宋"/>
                <w:color w:val="000000"/>
                <w:sz w:val="24"/>
              </w:rPr>
              <w:t>AE-64结核分枝杆菌核酸检测（非定值）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50D7D46F">
            <w:pPr>
              <w:widowControl/>
              <w:rPr>
                <w:rFonts w:hint="eastAsia" w:ascii="仿宋" w:hAnsi="仿宋" w:eastAsia="仿宋" w:cs="仿宋"/>
                <w:color w:val="000000"/>
                <w:sz w:val="24"/>
              </w:rPr>
            </w:pPr>
            <w:r>
              <w:rPr>
                <w:rFonts w:hint="eastAsia" w:ascii="仿宋" w:hAnsi="仿宋" w:eastAsia="仿宋" w:cs="仿宋"/>
                <w:color w:val="000000"/>
                <w:sz w:val="24"/>
              </w:rPr>
              <w:t>所含核酸序列覆盖结核分枝杆菌基因组中临床检测常用靶区域</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70721F37">
            <w:pPr>
              <w:widowControl/>
              <w:rPr>
                <w:rFonts w:hint="eastAsia" w:ascii="仿宋" w:hAnsi="仿宋" w:eastAsia="仿宋" w:cs="仿宋"/>
                <w:color w:val="000000"/>
                <w:sz w:val="24"/>
              </w:rPr>
            </w:pPr>
            <w:r>
              <w:rPr>
                <w:rFonts w:hint="eastAsia" w:ascii="仿宋" w:hAnsi="仿宋" w:eastAsia="仿宋" w:cs="仿宋"/>
                <w:color w:val="000000"/>
                <w:sz w:val="24"/>
              </w:rPr>
              <w:t>质控品应覆盖阴性及不同阳性水平，用于评价检测系统对结核分枝杆菌核酸的检出能力和一致性；适用于不同靶基因设计的市售核酸检测试剂，可溯源至国际或国家相关参考标准；适用于主流结核分枝杆菌核酸检测平台及常用检测方法学，满足不同检测系统和设备的使用要求；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349E370B">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4B2412B3">
            <w:pPr>
              <w:widowControl/>
              <w:rPr>
                <w:rFonts w:hint="eastAsia" w:ascii="仿宋" w:hAnsi="仿宋" w:eastAsia="仿宋" w:cs="仿宋"/>
                <w:color w:val="000000"/>
                <w:sz w:val="24"/>
              </w:rPr>
            </w:pPr>
            <w:r>
              <w:rPr>
                <w:rFonts w:hint="eastAsia" w:ascii="仿宋" w:hAnsi="仿宋" w:eastAsia="仿宋" w:cs="仿宋"/>
                <w:color w:val="000000"/>
                <w:sz w:val="24"/>
              </w:rPr>
              <w:t>144</w:t>
            </w:r>
          </w:p>
        </w:tc>
      </w:tr>
      <w:tr w14:paraId="025D4F04">
        <w:tblPrEx>
          <w:tblCellMar>
            <w:top w:w="0" w:type="dxa"/>
            <w:left w:w="108" w:type="dxa"/>
            <w:bottom w:w="0" w:type="dxa"/>
            <w:right w:w="108" w:type="dxa"/>
          </w:tblCellMar>
        </w:tblPrEx>
        <w:trPr>
          <w:trHeight w:val="114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792BD4">
            <w:pPr>
              <w:widowControl/>
              <w:rPr>
                <w:rFonts w:hint="eastAsia" w:ascii="仿宋" w:hAnsi="仿宋" w:eastAsia="仿宋" w:cs="仿宋"/>
                <w:color w:val="000000"/>
                <w:sz w:val="24"/>
              </w:rPr>
            </w:pPr>
            <w:r>
              <w:rPr>
                <w:rFonts w:hint="eastAsia" w:ascii="仿宋" w:hAnsi="仿宋" w:eastAsia="仿宋" w:cs="仿宋"/>
                <w:color w:val="000000"/>
                <w:sz w:val="24"/>
              </w:rPr>
              <w:t>41</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08C0CCE9">
            <w:pPr>
              <w:widowControl/>
              <w:rPr>
                <w:rFonts w:hint="eastAsia" w:ascii="仿宋" w:hAnsi="仿宋" w:eastAsia="仿宋" w:cs="仿宋"/>
                <w:color w:val="000000"/>
                <w:sz w:val="24"/>
              </w:rPr>
            </w:pPr>
            <w:r>
              <w:rPr>
                <w:rFonts w:hint="eastAsia" w:ascii="仿宋" w:hAnsi="仿宋" w:eastAsia="仿宋" w:cs="仿宋"/>
                <w:color w:val="000000"/>
                <w:sz w:val="24"/>
              </w:rPr>
              <w:t>AE-66心肌损伤标志物（POCT）（非定值）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52735AAA">
            <w:pPr>
              <w:widowControl/>
              <w:rPr>
                <w:rFonts w:hint="eastAsia" w:ascii="仿宋" w:hAnsi="仿宋" w:eastAsia="仿宋" w:cs="仿宋"/>
                <w:color w:val="000000"/>
                <w:sz w:val="24"/>
              </w:rPr>
            </w:pPr>
            <w:r>
              <w:rPr>
                <w:rFonts w:hint="eastAsia" w:ascii="仿宋" w:hAnsi="仿宋" w:eastAsia="仿宋" w:cs="仿宋"/>
                <w:color w:val="000000"/>
                <w:sz w:val="24"/>
              </w:rPr>
              <w:t>包含但不限于CK-MB、MYO、TnI、 TnT等项目</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1BB67457">
            <w:pPr>
              <w:widowControl/>
              <w:rPr>
                <w:rFonts w:hint="eastAsia" w:ascii="仿宋" w:hAnsi="仿宋" w:eastAsia="仿宋" w:cs="仿宋"/>
                <w:color w:val="000000"/>
                <w:sz w:val="24"/>
              </w:rPr>
            </w:pPr>
            <w:r>
              <w:rPr>
                <w:rFonts w:hint="eastAsia" w:ascii="仿宋" w:hAnsi="仿宋" w:eastAsia="仿宋" w:cs="仿宋"/>
                <w:color w:val="000000"/>
                <w:sz w:val="24"/>
              </w:rPr>
              <w:t>适用于主流快速免疫检测方法及市售检测系统（包括免疫层析等 POCT 方法）；质控品应覆盖阴性及不同阳性水平，用于评价检测系统的判别能力、一致性和稳定性；质控品基质应接近临床实际样本，避免非人源物质对检测结果的干扰；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7E6EA941">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0B99E436">
            <w:pPr>
              <w:widowControl/>
              <w:rPr>
                <w:rFonts w:hint="eastAsia" w:ascii="仿宋" w:hAnsi="仿宋" w:eastAsia="仿宋" w:cs="仿宋"/>
                <w:color w:val="000000"/>
                <w:sz w:val="24"/>
              </w:rPr>
            </w:pPr>
            <w:r>
              <w:rPr>
                <w:rFonts w:hint="eastAsia" w:ascii="仿宋" w:hAnsi="仿宋" w:eastAsia="仿宋" w:cs="仿宋"/>
                <w:color w:val="000000"/>
                <w:sz w:val="24"/>
              </w:rPr>
              <w:t>354</w:t>
            </w:r>
          </w:p>
        </w:tc>
      </w:tr>
      <w:tr w14:paraId="29B821FB">
        <w:tblPrEx>
          <w:tblCellMar>
            <w:top w:w="0" w:type="dxa"/>
            <w:left w:w="108" w:type="dxa"/>
            <w:bottom w:w="0" w:type="dxa"/>
            <w:right w:w="108" w:type="dxa"/>
          </w:tblCellMar>
        </w:tblPrEx>
        <w:trPr>
          <w:trHeight w:val="114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6FE8F1">
            <w:pPr>
              <w:widowControl/>
              <w:rPr>
                <w:rFonts w:hint="eastAsia" w:ascii="仿宋" w:hAnsi="仿宋" w:eastAsia="仿宋" w:cs="仿宋"/>
                <w:color w:val="000000"/>
                <w:sz w:val="24"/>
              </w:rPr>
            </w:pPr>
            <w:r>
              <w:rPr>
                <w:rFonts w:hint="eastAsia" w:ascii="仿宋" w:hAnsi="仿宋" w:eastAsia="仿宋" w:cs="仿宋"/>
                <w:color w:val="000000"/>
                <w:sz w:val="24"/>
              </w:rPr>
              <w:t>42</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5877BC4A">
            <w:pPr>
              <w:widowControl/>
              <w:rPr>
                <w:rFonts w:hint="eastAsia" w:ascii="仿宋" w:hAnsi="仿宋" w:eastAsia="仿宋" w:cs="仿宋"/>
                <w:color w:val="000000"/>
                <w:sz w:val="24"/>
              </w:rPr>
            </w:pPr>
            <w:r>
              <w:rPr>
                <w:rFonts w:hint="eastAsia" w:ascii="仿宋" w:hAnsi="仿宋" w:eastAsia="仿宋" w:cs="仿宋"/>
                <w:color w:val="000000"/>
                <w:sz w:val="24"/>
              </w:rPr>
              <w:t>AE-67脑钠肽/N末端前脑钠肽（POCT）（非定值）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018CDAA9">
            <w:pPr>
              <w:widowControl/>
              <w:rPr>
                <w:rFonts w:hint="eastAsia" w:ascii="仿宋" w:hAnsi="仿宋" w:eastAsia="仿宋" w:cs="仿宋"/>
                <w:color w:val="000000"/>
                <w:sz w:val="24"/>
              </w:rPr>
            </w:pPr>
            <w:r>
              <w:rPr>
                <w:rFonts w:hint="eastAsia" w:ascii="仿宋" w:hAnsi="仿宋" w:eastAsia="仿宋" w:cs="仿宋"/>
                <w:color w:val="000000"/>
                <w:sz w:val="24"/>
              </w:rPr>
              <w:t>包含BNP和NT-proBNP</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611043AF">
            <w:pPr>
              <w:widowControl/>
              <w:rPr>
                <w:rFonts w:hint="eastAsia" w:ascii="仿宋" w:hAnsi="仿宋" w:eastAsia="仿宋" w:cs="仿宋"/>
                <w:color w:val="000000"/>
                <w:sz w:val="24"/>
              </w:rPr>
            </w:pPr>
            <w:r>
              <w:rPr>
                <w:rFonts w:hint="eastAsia" w:ascii="仿宋" w:hAnsi="仿宋" w:eastAsia="仿宋" w:cs="仿宋"/>
                <w:color w:val="000000"/>
                <w:sz w:val="24"/>
              </w:rPr>
              <w:t>适用于临床心力衰竭相关指标的床旁检测；适配主流快速免疫检测方法及市售 POCT 检测系统（包括免疫层析等方法）；质控品应覆盖临床常用判定区间内的不同水平，用于评价检测系统的判别能力、一致性和稳定性；质控品基质应接近临床实际样本，避免非人源物质对检测结果的干扰；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58BE8B86">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5F965B85">
            <w:pPr>
              <w:widowControl/>
              <w:rPr>
                <w:rFonts w:hint="eastAsia" w:ascii="仿宋" w:hAnsi="仿宋" w:eastAsia="仿宋" w:cs="仿宋"/>
                <w:color w:val="000000"/>
                <w:sz w:val="24"/>
              </w:rPr>
            </w:pPr>
            <w:r>
              <w:rPr>
                <w:rFonts w:hint="eastAsia" w:ascii="仿宋" w:hAnsi="仿宋" w:eastAsia="仿宋" w:cs="仿宋"/>
                <w:color w:val="000000"/>
                <w:sz w:val="24"/>
              </w:rPr>
              <w:t>334</w:t>
            </w:r>
          </w:p>
        </w:tc>
      </w:tr>
      <w:tr w14:paraId="52EC9045">
        <w:tblPrEx>
          <w:tblCellMar>
            <w:top w:w="0" w:type="dxa"/>
            <w:left w:w="108" w:type="dxa"/>
            <w:bottom w:w="0" w:type="dxa"/>
            <w:right w:w="108" w:type="dxa"/>
          </w:tblCellMar>
        </w:tblPrEx>
        <w:trPr>
          <w:trHeight w:val="114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C4E88F">
            <w:pPr>
              <w:widowControl/>
              <w:rPr>
                <w:rFonts w:hint="eastAsia" w:ascii="仿宋" w:hAnsi="仿宋" w:eastAsia="仿宋" w:cs="仿宋"/>
                <w:color w:val="000000"/>
                <w:sz w:val="24"/>
              </w:rPr>
            </w:pPr>
            <w:r>
              <w:rPr>
                <w:rFonts w:hint="eastAsia" w:ascii="仿宋" w:hAnsi="仿宋" w:eastAsia="仿宋" w:cs="仿宋"/>
                <w:color w:val="000000"/>
                <w:sz w:val="24"/>
              </w:rPr>
              <w:t>43</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1BEB1B00">
            <w:pPr>
              <w:widowControl/>
              <w:rPr>
                <w:rFonts w:hint="eastAsia" w:ascii="仿宋" w:hAnsi="仿宋" w:eastAsia="仿宋" w:cs="仿宋"/>
                <w:color w:val="000000"/>
                <w:sz w:val="24"/>
              </w:rPr>
            </w:pPr>
            <w:r>
              <w:rPr>
                <w:rFonts w:hint="eastAsia" w:ascii="仿宋" w:hAnsi="仿宋" w:eastAsia="仿宋" w:cs="仿宋"/>
                <w:color w:val="000000"/>
                <w:sz w:val="24"/>
              </w:rPr>
              <w:t>AE-77采供血机构血液检验（非定值）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4CCD3F66">
            <w:pPr>
              <w:widowControl/>
              <w:rPr>
                <w:rFonts w:hint="eastAsia" w:ascii="仿宋" w:hAnsi="仿宋" w:eastAsia="仿宋" w:cs="仿宋"/>
                <w:color w:val="000000"/>
                <w:sz w:val="24"/>
              </w:rPr>
            </w:pPr>
            <w:r>
              <w:rPr>
                <w:rFonts w:hint="eastAsia" w:ascii="仿宋" w:hAnsi="仿宋" w:eastAsia="仿宋" w:cs="仿宋"/>
                <w:color w:val="000000"/>
                <w:sz w:val="24"/>
              </w:rPr>
              <w:t>包含ALT、 HBsAg、Anti-HCV、Anti-TP、Anti-HIV</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24933A00">
            <w:pPr>
              <w:widowControl/>
              <w:rPr>
                <w:rFonts w:hint="eastAsia" w:ascii="仿宋" w:hAnsi="仿宋" w:eastAsia="仿宋" w:cs="仿宋"/>
                <w:color w:val="000000"/>
                <w:sz w:val="24"/>
              </w:rPr>
            </w:pPr>
            <w:r>
              <w:rPr>
                <w:rFonts w:hint="eastAsia" w:ascii="仿宋" w:hAnsi="仿宋" w:eastAsia="仿宋" w:cs="仿宋"/>
                <w:color w:val="000000"/>
                <w:sz w:val="24"/>
              </w:rPr>
              <w:t>质控品基质应接近临床及献血者实际样本，避免非人源物质对检测结果的干扰；适用于采供血机构当前采用的主流检测方法和市售检测系统；质控品应覆盖阴性及不同阳性或判定水平；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43834897">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721CC9C2">
            <w:pPr>
              <w:widowControl/>
              <w:rPr>
                <w:rFonts w:hint="eastAsia" w:ascii="仿宋" w:hAnsi="仿宋" w:eastAsia="仿宋" w:cs="仿宋"/>
                <w:color w:val="000000"/>
                <w:sz w:val="24"/>
              </w:rPr>
            </w:pPr>
            <w:r>
              <w:rPr>
                <w:rFonts w:hint="eastAsia" w:ascii="仿宋" w:hAnsi="仿宋" w:eastAsia="仿宋" w:cs="仿宋"/>
                <w:color w:val="000000"/>
                <w:sz w:val="24"/>
              </w:rPr>
              <w:t>46</w:t>
            </w:r>
          </w:p>
        </w:tc>
      </w:tr>
      <w:tr w14:paraId="24C02641">
        <w:tblPrEx>
          <w:tblCellMar>
            <w:top w:w="0" w:type="dxa"/>
            <w:left w:w="108" w:type="dxa"/>
            <w:bottom w:w="0" w:type="dxa"/>
            <w:right w:w="108" w:type="dxa"/>
          </w:tblCellMar>
        </w:tblPrEx>
        <w:trPr>
          <w:trHeight w:val="114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C12286">
            <w:pPr>
              <w:widowControl/>
              <w:rPr>
                <w:rFonts w:hint="eastAsia" w:ascii="仿宋" w:hAnsi="仿宋" w:eastAsia="仿宋" w:cs="仿宋"/>
                <w:color w:val="000000"/>
                <w:sz w:val="24"/>
              </w:rPr>
            </w:pPr>
            <w:r>
              <w:rPr>
                <w:rFonts w:hint="eastAsia" w:ascii="仿宋" w:hAnsi="仿宋" w:eastAsia="仿宋" w:cs="仿宋"/>
                <w:color w:val="000000"/>
                <w:sz w:val="24"/>
              </w:rPr>
              <w:t>44</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2C8835AB">
            <w:pPr>
              <w:widowControl/>
              <w:rPr>
                <w:rFonts w:hint="eastAsia" w:ascii="仿宋" w:hAnsi="仿宋" w:eastAsia="仿宋" w:cs="仿宋"/>
                <w:color w:val="000000"/>
                <w:sz w:val="24"/>
              </w:rPr>
            </w:pPr>
            <w:r>
              <w:rPr>
                <w:rFonts w:hint="eastAsia" w:ascii="仿宋" w:hAnsi="仿宋" w:eastAsia="仿宋" w:cs="仿宋"/>
                <w:color w:val="000000"/>
                <w:sz w:val="24"/>
              </w:rPr>
              <w:t>AE-78血型（非定值）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1E541FF4">
            <w:pPr>
              <w:widowControl/>
              <w:rPr>
                <w:rFonts w:hint="eastAsia" w:ascii="仿宋" w:hAnsi="仿宋" w:eastAsia="仿宋" w:cs="仿宋"/>
                <w:color w:val="000000"/>
                <w:sz w:val="24"/>
              </w:rPr>
            </w:pPr>
            <w:r>
              <w:rPr>
                <w:rFonts w:hint="eastAsia" w:ascii="仿宋" w:hAnsi="仿宋" w:eastAsia="仿宋" w:cs="仿宋"/>
                <w:color w:val="000000"/>
                <w:sz w:val="24"/>
              </w:rPr>
              <w:t>包含ABO血型(ABO Grouping) 、Rh(D)血型</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6EBA62F1">
            <w:pPr>
              <w:widowControl/>
              <w:rPr>
                <w:rFonts w:hint="eastAsia" w:ascii="仿宋" w:hAnsi="仿宋" w:eastAsia="仿宋" w:cs="仿宋"/>
                <w:color w:val="000000"/>
                <w:sz w:val="24"/>
              </w:rPr>
            </w:pPr>
            <w:r>
              <w:rPr>
                <w:rFonts w:hint="eastAsia" w:ascii="仿宋" w:hAnsi="仿宋" w:eastAsia="仿宋" w:cs="仿宋"/>
                <w:color w:val="000000"/>
                <w:sz w:val="24"/>
              </w:rPr>
              <w:t>质控品应具有良好的稳定性和均一性，在规定储存条件下具有明确有效期；质控品基质接近临床实际样本，可有效避免非人源物质对检测结果的干扰。不同组分可在相应推荐条件下保存，以满足室间质量评价使用要求。应适用于当前主流技术条件下的血型及输血相关检测方法和市售检测系统，包括常用试管法、卡式法及凝聚胺法等，用于评价检测系统的准确性、一致性和稳定性。</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121686C3">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07E90B95">
            <w:pPr>
              <w:widowControl/>
              <w:rPr>
                <w:rFonts w:hint="eastAsia" w:ascii="仿宋" w:hAnsi="仿宋" w:eastAsia="仿宋" w:cs="仿宋"/>
                <w:color w:val="000000"/>
                <w:sz w:val="24"/>
              </w:rPr>
            </w:pPr>
            <w:r>
              <w:rPr>
                <w:rFonts w:hint="eastAsia" w:ascii="仿宋" w:hAnsi="仿宋" w:eastAsia="仿宋" w:cs="仿宋"/>
                <w:color w:val="000000"/>
                <w:sz w:val="24"/>
              </w:rPr>
              <w:t>632</w:t>
            </w:r>
          </w:p>
        </w:tc>
      </w:tr>
      <w:tr w14:paraId="4425407D">
        <w:tblPrEx>
          <w:tblCellMar>
            <w:top w:w="0" w:type="dxa"/>
            <w:left w:w="108" w:type="dxa"/>
            <w:bottom w:w="0" w:type="dxa"/>
            <w:right w:w="108" w:type="dxa"/>
          </w:tblCellMar>
        </w:tblPrEx>
        <w:trPr>
          <w:trHeight w:val="363"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1BDD18">
            <w:pPr>
              <w:widowControl/>
              <w:rPr>
                <w:rFonts w:hint="eastAsia" w:ascii="仿宋" w:hAnsi="仿宋" w:eastAsia="仿宋" w:cs="仿宋"/>
                <w:color w:val="000000"/>
                <w:sz w:val="24"/>
              </w:rPr>
            </w:pPr>
            <w:r>
              <w:rPr>
                <w:rFonts w:hint="eastAsia" w:ascii="仿宋" w:hAnsi="仿宋" w:eastAsia="仿宋" w:cs="仿宋"/>
                <w:color w:val="000000"/>
                <w:sz w:val="24"/>
              </w:rPr>
              <w:t>45</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6D119B2B">
            <w:pPr>
              <w:widowControl/>
              <w:rPr>
                <w:rFonts w:hint="eastAsia" w:ascii="仿宋" w:hAnsi="仿宋" w:eastAsia="仿宋" w:cs="仿宋"/>
                <w:color w:val="000000"/>
                <w:sz w:val="24"/>
              </w:rPr>
            </w:pPr>
            <w:r>
              <w:rPr>
                <w:rFonts w:hint="eastAsia" w:ascii="仿宋" w:hAnsi="仿宋" w:eastAsia="仿宋" w:cs="仿宋"/>
                <w:color w:val="000000"/>
                <w:sz w:val="24"/>
              </w:rPr>
              <w:t>AE-81尿液绒毛膜促性腺激素检测（非定值）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78025256">
            <w:pPr>
              <w:widowControl/>
              <w:rPr>
                <w:rFonts w:hint="eastAsia" w:ascii="仿宋" w:hAnsi="仿宋" w:eastAsia="仿宋" w:cs="仿宋"/>
                <w:color w:val="000000"/>
                <w:sz w:val="24"/>
              </w:rPr>
            </w:pPr>
            <w:r>
              <w:rPr>
                <w:rFonts w:hint="eastAsia" w:ascii="仿宋" w:hAnsi="仿宋" w:eastAsia="仿宋" w:cs="仿宋"/>
                <w:color w:val="000000"/>
                <w:sz w:val="24"/>
              </w:rPr>
              <w:t>尿液hCG</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67552D27">
            <w:pPr>
              <w:widowControl/>
              <w:rPr>
                <w:rFonts w:hint="eastAsia" w:ascii="仿宋" w:hAnsi="仿宋" w:eastAsia="仿宋" w:cs="仿宋"/>
                <w:color w:val="000000"/>
                <w:sz w:val="24"/>
              </w:rPr>
            </w:pPr>
            <w:r>
              <w:rPr>
                <w:rFonts w:hint="eastAsia" w:ascii="仿宋" w:hAnsi="仿宋" w:eastAsia="仿宋" w:cs="仿宋"/>
                <w:color w:val="000000"/>
                <w:sz w:val="24"/>
              </w:rPr>
              <w:t>质控品应覆盖阴性及不同阳性水平，用于评价检测系统的判别能力、一致性和稳定性。质控品基质应接近临床实际尿液样本，避免非人源物质对检测结果的干扰；适用于主流尿 hCG 检测方法及市售检测系统，包括免疫层析等常用快速检测方法；质控品应具有良好的均一性和稳定性，在规定储存条件下具有明确有效期。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15A9013D">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77742196">
            <w:pPr>
              <w:widowControl/>
              <w:rPr>
                <w:rFonts w:hint="eastAsia" w:ascii="仿宋" w:hAnsi="仿宋" w:eastAsia="仿宋" w:cs="仿宋"/>
                <w:color w:val="000000"/>
                <w:sz w:val="24"/>
              </w:rPr>
            </w:pPr>
            <w:r>
              <w:rPr>
                <w:rFonts w:hint="eastAsia" w:ascii="仿宋" w:hAnsi="仿宋" w:eastAsia="仿宋" w:cs="仿宋"/>
                <w:color w:val="000000"/>
                <w:sz w:val="24"/>
              </w:rPr>
              <w:t>354</w:t>
            </w:r>
          </w:p>
        </w:tc>
      </w:tr>
      <w:tr w14:paraId="4CF1BF79">
        <w:tblPrEx>
          <w:tblCellMar>
            <w:top w:w="0" w:type="dxa"/>
            <w:left w:w="108" w:type="dxa"/>
            <w:bottom w:w="0" w:type="dxa"/>
            <w:right w:w="108" w:type="dxa"/>
          </w:tblCellMar>
        </w:tblPrEx>
        <w:trPr>
          <w:trHeight w:val="557"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08BE70">
            <w:pPr>
              <w:widowControl/>
              <w:rPr>
                <w:rFonts w:hint="eastAsia" w:ascii="仿宋" w:hAnsi="仿宋" w:eastAsia="仿宋" w:cs="仿宋"/>
                <w:color w:val="000000"/>
                <w:sz w:val="24"/>
              </w:rPr>
            </w:pPr>
            <w:r>
              <w:rPr>
                <w:rFonts w:hint="eastAsia" w:ascii="仿宋" w:hAnsi="仿宋" w:eastAsia="仿宋" w:cs="仿宋"/>
                <w:color w:val="000000"/>
                <w:sz w:val="24"/>
              </w:rPr>
              <w:t>46</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79A8B586">
            <w:pPr>
              <w:widowControl/>
              <w:rPr>
                <w:rFonts w:hint="eastAsia" w:ascii="仿宋" w:hAnsi="仿宋" w:eastAsia="仿宋" w:cs="仿宋"/>
                <w:b/>
                <w:bCs/>
                <w:color w:val="000000"/>
                <w:sz w:val="24"/>
              </w:rPr>
            </w:pPr>
            <w:r>
              <w:rPr>
                <w:rFonts w:hint="eastAsia" w:ascii="仿宋" w:hAnsi="仿宋" w:eastAsia="仿宋" w:cs="仿宋"/>
                <w:color w:val="000000"/>
                <w:sz w:val="24"/>
              </w:rPr>
              <w:t>AE-82真菌感染检测项目：G试验（非定值）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7674709B">
            <w:pPr>
              <w:widowControl/>
              <w:rPr>
                <w:rFonts w:hint="eastAsia" w:ascii="仿宋" w:hAnsi="仿宋" w:eastAsia="仿宋" w:cs="仿宋"/>
                <w:color w:val="000000"/>
                <w:sz w:val="24"/>
              </w:rPr>
            </w:pPr>
            <w:r>
              <w:rPr>
                <w:rFonts w:hint="eastAsia" w:ascii="仿宋" w:hAnsi="仿宋" w:eastAsia="仿宋" w:cs="仿宋"/>
                <w:color w:val="000000"/>
                <w:sz w:val="24"/>
              </w:rPr>
              <w:t>包含G 试验（1,3-β-D-葡聚糖）检测</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48219C10">
            <w:pPr>
              <w:widowControl/>
              <w:rPr>
                <w:rFonts w:hint="eastAsia" w:ascii="仿宋" w:hAnsi="仿宋" w:eastAsia="仿宋" w:cs="仿宋"/>
                <w:color w:val="000000"/>
                <w:sz w:val="24"/>
              </w:rPr>
            </w:pPr>
            <w:r>
              <w:rPr>
                <w:rFonts w:hint="eastAsia" w:ascii="仿宋" w:hAnsi="仿宋" w:eastAsia="仿宋" w:cs="仿宋"/>
                <w:color w:val="000000"/>
                <w:sz w:val="24"/>
              </w:rPr>
              <w:t>适用于侵袭性真菌感染的实验室辅助诊断；质控品应覆盖阴性及不同阳性水平，用于评价检测系统的判别能力、一致性和稳定性；质控品基质应接近临床实际样本，避免非人源物质对检测结果的干扰；适用于主流 G 试验检测方法及市售检测系统；质控品应具有良好的均一性和稳定性，在规定储存条件下具有明确有效期。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24F3813A">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1C3FCD96">
            <w:pPr>
              <w:widowControl/>
              <w:rPr>
                <w:rFonts w:hint="eastAsia" w:ascii="仿宋" w:hAnsi="仿宋" w:eastAsia="仿宋" w:cs="仿宋"/>
                <w:color w:val="000000"/>
                <w:sz w:val="24"/>
              </w:rPr>
            </w:pPr>
            <w:r>
              <w:rPr>
                <w:rFonts w:hint="eastAsia" w:ascii="仿宋" w:hAnsi="仿宋" w:eastAsia="仿宋" w:cs="仿宋"/>
                <w:color w:val="000000"/>
                <w:sz w:val="24"/>
              </w:rPr>
              <w:t>114</w:t>
            </w:r>
          </w:p>
        </w:tc>
      </w:tr>
      <w:tr w14:paraId="198C41C5">
        <w:tblPrEx>
          <w:tblCellMar>
            <w:top w:w="0" w:type="dxa"/>
            <w:left w:w="108" w:type="dxa"/>
            <w:bottom w:w="0" w:type="dxa"/>
            <w:right w:w="108" w:type="dxa"/>
          </w:tblCellMar>
        </w:tblPrEx>
        <w:trPr>
          <w:trHeight w:val="441"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9CE755">
            <w:pPr>
              <w:widowControl/>
              <w:rPr>
                <w:rFonts w:hint="eastAsia" w:ascii="仿宋" w:hAnsi="仿宋" w:eastAsia="仿宋" w:cs="仿宋"/>
                <w:color w:val="000000"/>
                <w:sz w:val="24"/>
              </w:rPr>
            </w:pPr>
            <w:r>
              <w:rPr>
                <w:rFonts w:hint="eastAsia" w:ascii="仿宋" w:hAnsi="仿宋" w:eastAsia="仿宋" w:cs="仿宋"/>
                <w:color w:val="000000"/>
                <w:sz w:val="24"/>
              </w:rPr>
              <w:t>47</w:t>
            </w:r>
          </w:p>
        </w:tc>
        <w:tc>
          <w:tcPr>
            <w:tcW w:w="2064" w:type="dxa"/>
            <w:tcBorders>
              <w:top w:val="single" w:color="auto" w:sz="4" w:space="0"/>
              <w:left w:val="nil"/>
              <w:bottom w:val="single" w:color="auto" w:sz="4" w:space="0"/>
              <w:right w:val="single" w:color="auto" w:sz="4" w:space="0"/>
            </w:tcBorders>
            <w:shd w:val="clear" w:color="000000" w:fill="FFFFFF"/>
            <w:noWrap w:val="0"/>
            <w:vAlign w:val="center"/>
          </w:tcPr>
          <w:p w14:paraId="03A1A38E">
            <w:pPr>
              <w:widowControl/>
              <w:rPr>
                <w:rFonts w:hint="eastAsia" w:ascii="仿宋" w:hAnsi="仿宋" w:eastAsia="仿宋" w:cs="仿宋"/>
                <w:color w:val="000000"/>
                <w:sz w:val="24"/>
              </w:rPr>
            </w:pPr>
            <w:r>
              <w:rPr>
                <w:rFonts w:hint="eastAsia" w:ascii="仿宋" w:hAnsi="仿宋" w:eastAsia="仿宋" w:cs="仿宋"/>
                <w:color w:val="000000"/>
                <w:sz w:val="24"/>
              </w:rPr>
              <w:t>AE-84肝素结合蛋白（非定值）</w:t>
            </w:r>
          </w:p>
        </w:tc>
        <w:tc>
          <w:tcPr>
            <w:tcW w:w="4731" w:type="dxa"/>
            <w:tcBorders>
              <w:top w:val="single" w:color="auto" w:sz="4" w:space="0"/>
              <w:left w:val="nil"/>
              <w:bottom w:val="single" w:color="auto" w:sz="4" w:space="0"/>
              <w:right w:val="single" w:color="auto" w:sz="4" w:space="0"/>
            </w:tcBorders>
            <w:shd w:val="clear" w:color="000000" w:fill="FFFFFF"/>
            <w:noWrap w:val="0"/>
            <w:vAlign w:val="center"/>
          </w:tcPr>
          <w:p w14:paraId="2989593B">
            <w:pPr>
              <w:widowControl/>
              <w:rPr>
                <w:rFonts w:hint="eastAsia" w:ascii="仿宋" w:hAnsi="仿宋" w:eastAsia="仿宋" w:cs="仿宋"/>
                <w:color w:val="000000"/>
                <w:sz w:val="24"/>
              </w:rPr>
            </w:pPr>
            <w:r>
              <w:rPr>
                <w:rFonts w:hint="eastAsia" w:ascii="仿宋" w:hAnsi="仿宋" w:eastAsia="仿宋" w:cs="仿宋"/>
                <w:color w:val="000000"/>
                <w:sz w:val="24"/>
              </w:rPr>
              <w:t>HBP</w:t>
            </w:r>
          </w:p>
        </w:tc>
        <w:tc>
          <w:tcPr>
            <w:tcW w:w="5969" w:type="dxa"/>
            <w:tcBorders>
              <w:top w:val="single" w:color="auto" w:sz="4" w:space="0"/>
              <w:left w:val="nil"/>
              <w:bottom w:val="single" w:color="auto" w:sz="4" w:space="0"/>
              <w:right w:val="single" w:color="auto" w:sz="4" w:space="0"/>
            </w:tcBorders>
            <w:shd w:val="clear" w:color="000000" w:fill="FFFFFF"/>
            <w:noWrap w:val="0"/>
            <w:vAlign w:val="center"/>
          </w:tcPr>
          <w:p w14:paraId="5EAA029B">
            <w:pPr>
              <w:widowControl/>
              <w:rPr>
                <w:rFonts w:hint="eastAsia" w:ascii="仿宋" w:hAnsi="仿宋" w:eastAsia="仿宋" w:cs="仿宋"/>
                <w:color w:val="000000"/>
                <w:sz w:val="24"/>
              </w:rPr>
            </w:pPr>
            <w:r>
              <w:rPr>
                <w:rFonts w:hint="eastAsia" w:ascii="仿宋" w:hAnsi="仿宋" w:eastAsia="仿宋" w:cs="仿宋"/>
                <w:color w:val="000000"/>
                <w:sz w:val="24"/>
              </w:rPr>
              <w:t>适用于感染及脓毒症相关实验室辅助诊断；质控品应覆盖临床常用判定区间内的不同水平（包括低值及升高水平），用于评价检测系统的判别能力、一致性和稳定性；质控品基质应接近临床实际样本，避免非人源物质对检测结果的干扰；适用于主流 HBP 检测方法及市售检测系统（包括常用免疫学检测方法）；质控品应具有良好的均一性和稳定性，在规定储存条件下具有明确有效期。</w:t>
            </w:r>
          </w:p>
        </w:tc>
        <w:tc>
          <w:tcPr>
            <w:tcW w:w="756" w:type="dxa"/>
            <w:tcBorders>
              <w:top w:val="single" w:color="auto" w:sz="4" w:space="0"/>
              <w:left w:val="nil"/>
              <w:bottom w:val="single" w:color="auto" w:sz="4" w:space="0"/>
              <w:right w:val="single" w:color="auto" w:sz="4" w:space="0"/>
            </w:tcBorders>
            <w:shd w:val="clear" w:color="000000" w:fill="FFFFFF"/>
            <w:noWrap w:val="0"/>
            <w:vAlign w:val="center"/>
          </w:tcPr>
          <w:p w14:paraId="1EB9A63B">
            <w:pPr>
              <w:widowControl/>
              <w:rPr>
                <w:rFonts w:hint="eastAsia" w:ascii="仿宋" w:hAnsi="仿宋" w:eastAsia="仿宋" w:cs="仿宋"/>
                <w:color w:val="000000"/>
                <w:sz w:val="24"/>
              </w:rPr>
            </w:pPr>
            <w:r>
              <w:rPr>
                <w:rFonts w:hint="eastAsia" w:ascii="仿宋" w:hAnsi="仿宋" w:eastAsia="仿宋" w:cs="仿宋"/>
                <w:color w:val="000000"/>
                <w:sz w:val="24"/>
              </w:rPr>
              <w:t>5支/套</w:t>
            </w:r>
          </w:p>
        </w:tc>
        <w:tc>
          <w:tcPr>
            <w:tcW w:w="920" w:type="dxa"/>
            <w:tcBorders>
              <w:top w:val="single" w:color="auto" w:sz="4" w:space="0"/>
              <w:bottom w:val="single" w:color="auto" w:sz="4" w:space="0"/>
              <w:right w:val="single" w:color="auto" w:sz="4" w:space="0"/>
            </w:tcBorders>
            <w:noWrap w:val="0"/>
            <w:vAlign w:val="top"/>
          </w:tcPr>
          <w:p w14:paraId="04AF1A94">
            <w:pPr>
              <w:widowControl/>
              <w:rPr>
                <w:rFonts w:hint="eastAsia" w:ascii="仿宋" w:hAnsi="仿宋" w:eastAsia="仿宋" w:cs="仿宋"/>
                <w:color w:val="000000"/>
                <w:sz w:val="24"/>
              </w:rPr>
            </w:pPr>
            <w:r>
              <w:rPr>
                <w:rFonts w:hint="eastAsia" w:ascii="仿宋" w:hAnsi="仿宋" w:eastAsia="仿宋" w:cs="仿宋"/>
                <w:color w:val="000000"/>
                <w:sz w:val="24"/>
              </w:rPr>
              <w:t>50</w:t>
            </w:r>
          </w:p>
        </w:tc>
      </w:tr>
    </w:tbl>
    <w:p w14:paraId="4D863490">
      <w:r>
        <w:br w:type="page"/>
      </w:r>
    </w:p>
    <w:p w14:paraId="1EE5E358">
      <w:pPr>
        <w:pStyle w:val="2"/>
        <w:sectPr>
          <w:pgSz w:w="16838" w:h="11906" w:orient="landscape"/>
          <w:pgMar w:top="1800" w:right="1440" w:bottom="1800" w:left="1440" w:header="851" w:footer="992" w:gutter="0"/>
          <w:cols w:space="425" w:num="1"/>
          <w:docGrid w:type="lines" w:linePitch="312" w:charSpace="0"/>
        </w:sectPr>
      </w:pPr>
    </w:p>
    <w:p w14:paraId="6226FAB0">
      <w:pPr>
        <w:spacing w:line="360" w:lineRule="auto"/>
        <w:jc w:val="left"/>
        <w:rPr>
          <w:rFonts w:hint="eastAsia" w:ascii="仿宋" w:hAnsi="仿宋" w:eastAsia="仿宋" w:cs="仿宋"/>
          <w:b/>
          <w:bCs/>
          <w:sz w:val="24"/>
          <w:lang w:bidi="ar"/>
        </w:rPr>
      </w:pPr>
      <w:r>
        <w:rPr>
          <w:rFonts w:hint="eastAsia" w:ascii="仿宋" w:hAnsi="仿宋" w:eastAsia="仿宋" w:cs="仿宋"/>
          <w:b/>
          <w:bCs/>
          <w:sz w:val="24"/>
        </w:rPr>
        <w:t>三、其他要求：</w:t>
      </w:r>
    </w:p>
    <w:p w14:paraId="5B9D6A3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04EA20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00A5F9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30E271A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1F21345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37C045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54E10DE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0AA7459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581B52D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68A1D5C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4AE4936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6F75254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0E58EC4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022409B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5FD9BD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2D85AC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570111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w:t>
      </w:r>
      <w:bookmarkStart w:id="7" w:name="_GoBack"/>
      <w:bookmarkEnd w:id="7"/>
      <w:r>
        <w:rPr>
          <w:rFonts w:hint="eastAsia" w:ascii="仿宋" w:hAnsi="仿宋" w:eastAsia="仿宋" w:cs="仿宋"/>
          <w:color w:val="000000"/>
          <w:kern w:val="0"/>
          <w:sz w:val="24"/>
          <w:lang w:bidi="ar"/>
        </w:rPr>
        <w:t>货号、发货号。</w:t>
      </w:r>
    </w:p>
    <w:p w14:paraId="42C30E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2F04BA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57A0FEB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27BC8B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74796BD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66A70AB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人，直至完全掌握设备应用技术，并获厂方资质许可；交通、食宿、资料、工具材料等所有与培训相关的费用包含在投标报价中。</w:t>
      </w:r>
    </w:p>
    <w:p w14:paraId="5319C7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2.设备使用培训：不少于2人，直至完全掌握设备应用技术，并获厂方资质许可；交通、食宿、资料、工具材料等所有与培训相关的费用包含在投标报价中。</w:t>
      </w:r>
    </w:p>
    <w:p w14:paraId="3B050BC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563E727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2D3F52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64C2E05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1B30A9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56EF39"/>
    <w:multiLevelType w:val="singleLevel"/>
    <w:tmpl w:val="F956EF3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1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character" w:customStyle="1" w:styleId="7">
    <w:name w:val="标题 2 Char Char"/>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2026-03-31T08:08:15Z</dcterms:created>
  <dc:creator>admin</dc:creator>
  <cp:lastModifiedBy>豆奶是个小胖子</cp:lastModifiedBy>
  <dcterms:modified xsi:type="dcterms:W3CDTF">2026-03-31T08:10:00Z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25EB6D92B80C4566A47FEF3F359BC7B9_12</vt:lpwstr>
  </property>
</Properties>
</file>