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3E537">
      <w:pPr>
        <w:spacing w:line="360" w:lineRule="auto"/>
        <w:jc w:val="center"/>
        <w:outlineLvl w:val="0"/>
        <w:rPr>
          <w:rFonts w:hint="default" w:ascii="宋体" w:hAnsi="宋体" w:eastAsia="宋体" w:cs="Times New Roman"/>
          <w:b/>
          <w:bCs w:val="0"/>
          <w:kern w:val="0"/>
          <w:sz w:val="28"/>
        </w:rPr>
      </w:pPr>
      <w:r>
        <w:rPr>
          <w:rFonts w:hint="eastAsia" w:ascii="宋体" w:hAnsi="宋体" w:eastAsia="宋体" w:cs="Times New Roman"/>
          <w:b/>
          <w:bCs w:val="0"/>
          <w:kern w:val="0"/>
          <w:sz w:val="28"/>
        </w:rPr>
        <w:t>采购需求</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277"/>
        <w:gridCol w:w="6287"/>
      </w:tblGrid>
      <w:tr w14:paraId="5A1F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4BCE013">
            <w:pPr>
              <w:spacing w:line="360" w:lineRule="auto"/>
              <w:jc w:val="center"/>
              <w:rPr>
                <w:rFonts w:hint="default" w:ascii="宋体" w:hAnsi="宋体" w:eastAsia="宋体" w:cs="@仿宋_GB2312"/>
                <w:b/>
                <w:bCs w:val="0"/>
                <w:kern w:val="2"/>
                <w:sz w:val="24"/>
                <w:szCs w:val="22"/>
              </w:rPr>
            </w:pPr>
            <w:r>
              <w:rPr>
                <w:rFonts w:hint="eastAsia" w:ascii="宋体" w:hAnsi="宋体" w:eastAsia="宋体" w:cs="@仿宋_GB2312"/>
                <w:b/>
                <w:bCs w:val="0"/>
                <w:kern w:val="2"/>
                <w:sz w:val="24"/>
                <w:szCs w:val="22"/>
              </w:rPr>
              <w:t>序号</w:t>
            </w:r>
          </w:p>
        </w:tc>
        <w:tc>
          <w:tcPr>
            <w:tcW w:w="1277" w:type="dxa"/>
            <w:vAlign w:val="center"/>
          </w:tcPr>
          <w:p w14:paraId="14AB1701">
            <w:pPr>
              <w:spacing w:line="360" w:lineRule="auto"/>
              <w:ind w:firstLine="435"/>
              <w:jc w:val="center"/>
              <w:rPr>
                <w:rFonts w:hint="default" w:ascii="宋体" w:hAnsi="宋体" w:eastAsia="宋体" w:cs="@仿宋_GB2312"/>
                <w:b/>
                <w:bCs w:val="0"/>
                <w:kern w:val="2"/>
                <w:sz w:val="24"/>
                <w:szCs w:val="22"/>
              </w:rPr>
            </w:pPr>
            <w:r>
              <w:rPr>
                <w:rFonts w:hint="eastAsia" w:ascii="宋体" w:hAnsi="宋体" w:eastAsia="宋体" w:cs="@仿宋_GB2312"/>
                <w:b/>
                <w:bCs w:val="0"/>
                <w:kern w:val="2"/>
                <w:sz w:val="24"/>
                <w:szCs w:val="22"/>
              </w:rPr>
              <w:t>内容</w:t>
            </w:r>
          </w:p>
        </w:tc>
        <w:tc>
          <w:tcPr>
            <w:tcW w:w="6287" w:type="dxa"/>
            <w:vAlign w:val="center"/>
          </w:tcPr>
          <w:p w14:paraId="5E5F24E8">
            <w:pPr>
              <w:spacing w:line="360" w:lineRule="auto"/>
              <w:ind w:firstLine="435"/>
              <w:jc w:val="center"/>
              <w:rPr>
                <w:rFonts w:hint="default" w:ascii="宋体" w:hAnsi="宋体" w:eastAsia="宋体" w:cs="@仿宋_GB2312"/>
                <w:b/>
                <w:bCs w:val="0"/>
                <w:kern w:val="2"/>
                <w:sz w:val="24"/>
                <w:szCs w:val="22"/>
              </w:rPr>
            </w:pPr>
            <w:r>
              <w:rPr>
                <w:rFonts w:hint="eastAsia" w:ascii="宋体" w:hAnsi="宋体" w:eastAsia="宋体" w:cs="@仿宋_GB2312"/>
                <w:b/>
                <w:bCs w:val="0"/>
                <w:kern w:val="2"/>
                <w:sz w:val="24"/>
                <w:szCs w:val="22"/>
              </w:rPr>
              <w:t>说明和要求</w:t>
            </w:r>
          </w:p>
        </w:tc>
      </w:tr>
      <w:tr w14:paraId="0725A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1700906">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1</w:t>
            </w:r>
          </w:p>
        </w:tc>
        <w:tc>
          <w:tcPr>
            <w:tcW w:w="1277" w:type="dxa"/>
            <w:vAlign w:val="center"/>
          </w:tcPr>
          <w:p w14:paraId="6932CC00">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人员到岗及履约要求</w:t>
            </w:r>
          </w:p>
        </w:tc>
        <w:tc>
          <w:tcPr>
            <w:tcW w:w="6287" w:type="dxa"/>
            <w:vAlign w:val="center"/>
          </w:tcPr>
          <w:p w14:paraId="3C972A1C">
            <w:pPr>
              <w:spacing w:line="360" w:lineRule="auto"/>
              <w:rPr>
                <w:rFonts w:hint="default" w:ascii="Times New Roman" w:hAnsi="Times New Roman" w:eastAsia="宋体" w:cs="Times New Roman"/>
                <w:b w:val="0"/>
                <w:bCs w:val="0"/>
                <w:kern w:val="2"/>
                <w:sz w:val="24"/>
                <w:szCs w:val="22"/>
              </w:rPr>
            </w:pPr>
            <w:r>
              <w:rPr>
                <w:rFonts w:hint="default" w:ascii="Times New Roman" w:hAnsi="Times New Roman" w:eastAsia="宋体" w:cs="Times New Roman"/>
                <w:b w:val="0"/>
                <w:bCs w:val="0"/>
                <w:kern w:val="2"/>
                <w:sz w:val="24"/>
                <w:szCs w:val="22"/>
              </w:rPr>
              <w:t>（</w:t>
            </w:r>
            <w:r>
              <w:rPr>
                <w:rFonts w:hint="eastAsia" w:ascii="Times New Roman" w:hAnsi="Times New Roman" w:eastAsia="宋体" w:cs="Times New Roman"/>
                <w:b w:val="0"/>
                <w:bCs w:val="0"/>
                <w:kern w:val="2"/>
                <w:sz w:val="24"/>
                <w:szCs w:val="22"/>
              </w:rPr>
              <w:t>1</w:t>
            </w:r>
            <w:r>
              <w:rPr>
                <w:rFonts w:hint="default" w:ascii="Times New Roman" w:hAnsi="Times New Roman" w:eastAsia="宋体" w:cs="Times New Roman"/>
                <w:b w:val="0"/>
                <w:bCs w:val="0"/>
                <w:kern w:val="2"/>
                <w:sz w:val="24"/>
                <w:szCs w:val="22"/>
              </w:rPr>
              <w:t>）供应商一旦成交，磋商时所报的本项目的项目经理、施工现场技术负责人、各专业负责工程师及施工机械等在整个项目施工期内必须在位，否则采购人有权解除合同。由此造成的损失，成交供应商自行承担并赔偿可能给采购人造成的损失。</w:t>
            </w:r>
          </w:p>
          <w:p w14:paraId="1AFFEF55">
            <w:pPr>
              <w:spacing w:line="360" w:lineRule="auto"/>
              <w:rPr>
                <w:rFonts w:hint="default" w:ascii="Times New Roman" w:hAnsi="Times New Roman" w:eastAsia="宋体" w:cs="Times New Roman"/>
                <w:b w:val="0"/>
                <w:bCs w:val="0"/>
                <w:kern w:val="2"/>
                <w:sz w:val="24"/>
                <w:szCs w:val="22"/>
              </w:rPr>
            </w:pPr>
            <w:r>
              <w:rPr>
                <w:rFonts w:hint="default" w:ascii="Times New Roman" w:hAnsi="Times New Roman" w:eastAsia="宋体" w:cs="Times New Roman"/>
                <w:b w:val="0"/>
                <w:bCs w:val="0"/>
                <w:kern w:val="2"/>
                <w:sz w:val="24"/>
                <w:szCs w:val="22"/>
              </w:rPr>
              <w:t>（</w:t>
            </w:r>
            <w:r>
              <w:rPr>
                <w:rFonts w:hint="eastAsia" w:ascii="Times New Roman" w:hAnsi="Times New Roman" w:eastAsia="宋体" w:cs="Times New Roman"/>
                <w:b w:val="0"/>
                <w:bCs w:val="0"/>
                <w:kern w:val="2"/>
                <w:sz w:val="24"/>
                <w:szCs w:val="22"/>
              </w:rPr>
              <w:t>2</w:t>
            </w:r>
            <w:r>
              <w:rPr>
                <w:rFonts w:hint="default" w:ascii="Times New Roman" w:hAnsi="Times New Roman" w:eastAsia="宋体" w:cs="Times New Roman"/>
                <w:b w:val="0"/>
                <w:bCs w:val="0"/>
                <w:kern w:val="2"/>
                <w:sz w:val="24"/>
                <w:szCs w:val="22"/>
              </w:rPr>
              <w:t>）成交供应商不得擅自更换磋商时所报项目经理及项目部主要管理人员。确需更换时，须报采购人同意，更换后人员不得低于成交供应商磋商时所报人员资质和技术水平。采购人如认为有必要，可要求对上述人员中的部分人员作出更好的调整。</w:t>
            </w:r>
          </w:p>
          <w:p w14:paraId="2F0F8677">
            <w:pPr>
              <w:spacing w:line="360" w:lineRule="auto"/>
              <w:rPr>
                <w:rFonts w:hint="default" w:ascii="宋体" w:hAnsi="宋体" w:eastAsia="宋体" w:cs="@仿宋_GB2312"/>
                <w:b w:val="0"/>
                <w:bCs w:val="0"/>
                <w:kern w:val="2"/>
                <w:sz w:val="24"/>
                <w:szCs w:val="22"/>
              </w:rPr>
            </w:pPr>
            <w:r>
              <w:rPr>
                <w:rFonts w:hint="default" w:ascii="Times New Roman" w:hAnsi="Times New Roman" w:eastAsia="宋体" w:cs="Times New Roman"/>
                <w:b w:val="0"/>
                <w:bCs w:val="0"/>
                <w:kern w:val="2"/>
                <w:sz w:val="24"/>
                <w:szCs w:val="22"/>
              </w:rPr>
              <w:t>（</w:t>
            </w:r>
            <w:r>
              <w:rPr>
                <w:rFonts w:hint="eastAsia" w:ascii="Times New Roman" w:hAnsi="Times New Roman" w:eastAsia="宋体" w:cs="Times New Roman"/>
                <w:b w:val="0"/>
                <w:bCs w:val="0"/>
                <w:kern w:val="2"/>
                <w:sz w:val="24"/>
                <w:szCs w:val="22"/>
              </w:rPr>
              <w:t>3</w:t>
            </w:r>
            <w:r>
              <w:rPr>
                <w:rFonts w:hint="default" w:ascii="Times New Roman" w:hAnsi="Times New Roman" w:eastAsia="宋体" w:cs="Times New Roman"/>
                <w:b w:val="0"/>
                <w:bCs w:val="0"/>
                <w:kern w:val="2"/>
                <w:sz w:val="24"/>
                <w:szCs w:val="22"/>
              </w:rPr>
              <w:t>）成交供应商未能按照承诺到岗尽职的，采购人将视情况严重程度对其作出相应处理，并发出整改通知。如仍未及时整改，采购人有权责令其停工整改、直至解除合同，引进新的承包人。采购人还将停止支付工程款项，扣留任何未付的工程进度款项补偿建设单位的有关损失或工期延误的损失，并就此向承包人索赔。</w:t>
            </w:r>
          </w:p>
        </w:tc>
      </w:tr>
      <w:tr w14:paraId="0C95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75DD8EFD">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2</w:t>
            </w:r>
          </w:p>
        </w:tc>
        <w:tc>
          <w:tcPr>
            <w:tcW w:w="1277" w:type="dxa"/>
            <w:vAlign w:val="center"/>
          </w:tcPr>
          <w:p w14:paraId="38324570">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材料要求</w:t>
            </w:r>
          </w:p>
        </w:tc>
        <w:tc>
          <w:tcPr>
            <w:tcW w:w="6287" w:type="dxa"/>
            <w:vAlign w:val="center"/>
          </w:tcPr>
          <w:p w14:paraId="361DC73E">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成交供应商自行采购的材料应满足设计和规范要求的质量等级，并须按有关技术规范要求对材料质量进行检验。成交供应商选定的材料供应厂家和价格须经采购人和监理单位认可。如采购人和监理单位对某种或某些材料的质量有异议，有权提出停止使用的要求，成交供应商必须服从该要求。若该材料经权威检验部门鉴定确有质量问题，由此而发生的一切费用由成交供应商自负。因成交供应商自行采购的材料质量引起的工程质量问题由成交供应商承担所造成的一切损失。</w:t>
            </w:r>
          </w:p>
        </w:tc>
      </w:tr>
      <w:tr w14:paraId="20AD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E91E4B4">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3</w:t>
            </w:r>
          </w:p>
        </w:tc>
        <w:tc>
          <w:tcPr>
            <w:tcW w:w="1277" w:type="dxa"/>
            <w:vAlign w:val="center"/>
          </w:tcPr>
          <w:p w14:paraId="4802698A">
            <w:pPr>
              <w:spacing w:line="360" w:lineRule="auto"/>
              <w:rPr>
                <w:rFonts w:hint="default" w:ascii="宋体" w:hAnsi="宋体" w:eastAsia="宋体" w:cs="@仿宋_GB2312"/>
                <w:b w:val="0"/>
                <w:bCs w:val="0"/>
                <w:color w:val="auto"/>
                <w:kern w:val="2"/>
                <w:sz w:val="24"/>
                <w:szCs w:val="22"/>
              </w:rPr>
            </w:pPr>
            <w:r>
              <w:rPr>
                <w:rFonts w:hint="eastAsia" w:ascii="宋体" w:hAnsi="宋体" w:eastAsia="宋体" w:cs="@仿宋_GB2312"/>
                <w:b w:val="0"/>
                <w:bCs w:val="0"/>
                <w:color w:val="auto"/>
                <w:kern w:val="2"/>
                <w:sz w:val="24"/>
                <w:szCs w:val="22"/>
              </w:rPr>
              <w:t>工程施工重点难点</w:t>
            </w:r>
          </w:p>
        </w:tc>
        <w:tc>
          <w:tcPr>
            <w:tcW w:w="6287" w:type="dxa"/>
            <w:vAlign w:val="center"/>
          </w:tcPr>
          <w:p w14:paraId="20B06914">
            <w:pPr>
              <w:spacing w:line="360" w:lineRule="auto"/>
              <w:rPr>
                <w:rFonts w:hint="eastAsia" w:ascii="宋体" w:hAnsi="宋体" w:eastAsia="宋体" w:cs="@仿宋_GB2312"/>
                <w:b w:val="0"/>
                <w:bCs w:val="0"/>
                <w:color w:val="auto"/>
                <w:kern w:val="2"/>
                <w:sz w:val="24"/>
                <w:szCs w:val="22"/>
                <w:lang w:eastAsia="zh-CN"/>
              </w:rPr>
            </w:pPr>
            <w:r>
              <w:rPr>
                <w:rFonts w:hint="eastAsia" w:ascii="宋体" w:hAnsi="宋体" w:eastAsia="宋体" w:cs="@仿宋_GB2312"/>
                <w:b w:val="0"/>
                <w:bCs w:val="0"/>
                <w:color w:val="auto"/>
                <w:kern w:val="2"/>
                <w:sz w:val="24"/>
                <w:szCs w:val="22"/>
                <w:lang w:val="en-US" w:eastAsia="zh-CN"/>
              </w:rPr>
              <w:t>/</w:t>
            </w:r>
          </w:p>
        </w:tc>
      </w:tr>
      <w:tr w14:paraId="67BA9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3B7363BB">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4</w:t>
            </w:r>
          </w:p>
        </w:tc>
        <w:tc>
          <w:tcPr>
            <w:tcW w:w="1277" w:type="dxa"/>
            <w:vAlign w:val="center"/>
          </w:tcPr>
          <w:p w14:paraId="4D2AC3FF">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报价须知</w:t>
            </w:r>
          </w:p>
        </w:tc>
        <w:tc>
          <w:tcPr>
            <w:tcW w:w="6287" w:type="dxa"/>
            <w:vAlign w:val="center"/>
          </w:tcPr>
          <w:p w14:paraId="37FB4B84">
            <w:pPr>
              <w:spacing w:line="360" w:lineRule="auto"/>
              <w:rPr>
                <w:rFonts w:hint="default" w:ascii="宋体" w:hAnsi="宋体" w:eastAsia="@微软简标宋" w:cs="Times New Roman"/>
                <w:b w:val="0"/>
                <w:bCs w:val="0"/>
                <w:kern w:val="2"/>
                <w:sz w:val="21"/>
                <w:szCs w:val="22"/>
              </w:rPr>
            </w:pPr>
            <w:r>
              <w:rPr>
                <w:rFonts w:hint="eastAsia" w:ascii="宋体" w:hAnsi="宋体" w:eastAsia="宋体" w:cs="@仿宋_GB2312"/>
                <w:b w:val="0"/>
                <w:bCs w:val="0"/>
                <w:kern w:val="2"/>
                <w:sz w:val="24"/>
                <w:szCs w:val="22"/>
              </w:rPr>
              <w:t>供应商最后报价均不得高于磋商文件（公告）列明的项目预算、最高限价，否则其响应文件将被认定为响应无效。</w:t>
            </w:r>
          </w:p>
        </w:tc>
      </w:tr>
      <w:tr w14:paraId="3D2E3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670506A2">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5</w:t>
            </w:r>
          </w:p>
        </w:tc>
        <w:tc>
          <w:tcPr>
            <w:tcW w:w="1277" w:type="dxa"/>
            <w:vAlign w:val="center"/>
          </w:tcPr>
          <w:p w14:paraId="7900E5A4">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重要说明</w:t>
            </w:r>
          </w:p>
        </w:tc>
        <w:tc>
          <w:tcPr>
            <w:tcW w:w="6287" w:type="dxa"/>
            <w:vAlign w:val="center"/>
          </w:tcPr>
          <w:p w14:paraId="3F75D486">
            <w:pPr>
              <w:spacing w:line="360" w:lineRule="auto"/>
              <w:rPr>
                <w:rFonts w:hint="default" w:ascii="宋体" w:hAnsi="宋体" w:eastAsia="宋体" w:cs="Times New Roman"/>
                <w:b w:val="0"/>
                <w:bCs w:val="0"/>
                <w:kern w:val="2"/>
                <w:sz w:val="24"/>
                <w:szCs w:val="18"/>
              </w:rPr>
            </w:pPr>
            <w:bookmarkStart w:id="0" w:name="OLE_LINK3"/>
            <w:r>
              <w:rPr>
                <w:rFonts w:hint="default" w:ascii="宋体" w:hAnsi="宋体" w:eastAsia="宋体" w:cs="宋体"/>
                <w:b w:val="0"/>
                <w:bCs w:val="0"/>
                <w:kern w:val="2"/>
                <w:sz w:val="24"/>
                <w:szCs w:val="24"/>
              </w:rPr>
              <w:t>政府采购政策（包括但不限于下列具体政策要求</w:t>
            </w:r>
            <w:r>
              <w:rPr>
                <w:rFonts w:hint="eastAsia" w:ascii="宋体" w:hAnsi="宋体" w:eastAsia="宋体" w:cs="宋体"/>
                <w:b w:val="0"/>
                <w:bCs w:val="0"/>
                <w:kern w:val="2"/>
                <w:sz w:val="24"/>
                <w:szCs w:val="24"/>
              </w:rPr>
              <w:t>）</w:t>
            </w:r>
            <w:r>
              <w:rPr>
                <w:rFonts w:hint="eastAsia" w:ascii="宋体" w:hAnsi="宋体" w:eastAsia="宋体" w:cs="Times New Roman"/>
                <w:b w:val="0"/>
                <w:bCs w:val="0"/>
                <w:kern w:val="2"/>
                <w:sz w:val="24"/>
                <w:szCs w:val="18"/>
              </w:rPr>
              <w:t>：</w:t>
            </w:r>
          </w:p>
          <w:p w14:paraId="59DBD01B">
            <w:pPr>
              <w:spacing w:line="360" w:lineRule="auto"/>
              <w:rPr>
                <w:rFonts w:hint="default" w:ascii="宋体" w:hAnsi="宋体" w:eastAsia="宋体" w:cs="宋体"/>
                <w:b w:val="0"/>
                <w:bCs w:val="0"/>
                <w:kern w:val="2"/>
                <w:sz w:val="24"/>
                <w:szCs w:val="24"/>
              </w:rPr>
            </w:pPr>
            <w:r>
              <w:rPr>
                <w:rFonts w:hint="eastAsia" w:ascii="宋体" w:hAnsi="宋体" w:eastAsia="宋体" w:cs="宋体"/>
                <w:b w:val="0"/>
                <w:bCs w:val="0"/>
                <w:kern w:val="2"/>
                <w:sz w:val="24"/>
                <w:szCs w:val="24"/>
              </w:rPr>
              <w:t>（1）如属于《节能产品政府采购品目清单》中政府强制采购的节能产品，则供应商所投产品须具有市场监管总局公布的《参与实施政府采购节能产品认证机构目录》中的认证机构出具的、处于有效期内的节能产品认证证书。</w:t>
            </w:r>
          </w:p>
          <w:p w14:paraId="45CEEAB6">
            <w:pPr>
              <w:spacing w:line="360" w:lineRule="auto"/>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2）如涉及商品包装和快递包装，供应商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E6F7F2E">
            <w:pPr>
              <w:spacing w:line="360" w:lineRule="auto"/>
              <w:rPr>
                <w:rFonts w:hint="default" w:ascii="宋体" w:hAnsi="宋体" w:eastAsia="宋体" w:cs="@仿宋_GB2312"/>
                <w:b w:val="0"/>
                <w:bCs w:val="0"/>
                <w:kern w:val="2"/>
                <w:sz w:val="24"/>
                <w:szCs w:val="22"/>
                <w:lang w:val="en-US" w:eastAsia="zh-CN"/>
              </w:rPr>
            </w:pPr>
            <w:bookmarkStart w:id="1" w:name="OLE_LINK5"/>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3</w:t>
            </w:r>
            <w:r>
              <w:rPr>
                <w:rFonts w:hint="eastAsia" w:ascii="宋体" w:hAnsi="宋体" w:eastAsia="宋体" w:cs="宋体"/>
                <w:b w:val="0"/>
                <w:bCs w:val="0"/>
                <w:kern w:val="2"/>
                <w:sz w:val="24"/>
                <w:szCs w:val="24"/>
                <w:lang w:eastAsia="zh-CN"/>
              </w:rPr>
              <w:t>）</w:t>
            </w:r>
            <w:r>
              <w:rPr>
                <w:rFonts w:hint="eastAsia" w:ascii="宋体" w:hAnsi="宋体" w:eastAsia="宋体" w:cs="宋体"/>
                <w:b w:val="0"/>
                <w:bCs w:val="0"/>
                <w:kern w:val="2"/>
                <w:sz w:val="24"/>
                <w:szCs w:val="24"/>
                <w:lang w:val="en-US" w:eastAsia="zh-CN"/>
              </w:rPr>
              <w:t>按照</w:t>
            </w:r>
            <w:bookmarkStart w:id="2" w:name="OLE_LINK4"/>
            <w:r>
              <w:rPr>
                <w:rFonts w:hint="eastAsia" w:ascii="宋体" w:hAnsi="宋体" w:eastAsia="宋体" w:cs="宋体"/>
                <w:b w:val="0"/>
                <w:bCs w:val="0"/>
                <w:kern w:val="2"/>
                <w:sz w:val="24"/>
                <w:szCs w:val="24"/>
                <w:lang w:val="en-US" w:eastAsia="zh-CN"/>
              </w:rPr>
              <w:t>《财政部 住房城乡建设部 工业和信息化部关于进一步扩大政府采购支持绿色建材促进建筑品质提升政策实施范围的通知》（财库〔2024〕36号）</w:t>
            </w:r>
            <w:bookmarkEnd w:id="2"/>
            <w:r>
              <w:rPr>
                <w:rFonts w:hint="eastAsia" w:ascii="宋体" w:hAnsi="宋体" w:eastAsia="宋体" w:cs="宋体"/>
                <w:b w:val="0"/>
                <w:bCs w:val="0"/>
                <w:kern w:val="2"/>
                <w:sz w:val="24"/>
                <w:szCs w:val="24"/>
                <w:lang w:val="en-US" w:eastAsia="zh-CN"/>
              </w:rPr>
              <w:t>，严格执行</w:t>
            </w:r>
            <w:bookmarkStart w:id="3" w:name="OLE_LINK1"/>
            <w:r>
              <w:rPr>
                <w:rFonts w:hint="eastAsia" w:ascii="宋体" w:hAnsi="宋体" w:eastAsia="宋体" w:cs="宋体"/>
                <w:b w:val="0"/>
                <w:bCs w:val="0"/>
                <w:kern w:val="2"/>
                <w:sz w:val="24"/>
                <w:szCs w:val="24"/>
                <w:lang w:val="en-US" w:eastAsia="zh-CN"/>
              </w:rPr>
              <w:t>《绿色建筑和</w:t>
            </w:r>
            <w:bookmarkStart w:id="4" w:name="OLE_LINK2"/>
            <w:r>
              <w:rPr>
                <w:rFonts w:hint="eastAsia" w:ascii="宋体" w:hAnsi="宋体" w:eastAsia="宋体" w:cs="宋体"/>
                <w:b w:val="0"/>
                <w:bCs w:val="0"/>
                <w:kern w:val="2"/>
                <w:sz w:val="24"/>
                <w:szCs w:val="24"/>
                <w:lang w:val="en-US" w:eastAsia="zh-CN"/>
              </w:rPr>
              <w:t>绿色建材</w:t>
            </w:r>
            <w:bookmarkEnd w:id="4"/>
            <w:r>
              <w:rPr>
                <w:rFonts w:hint="eastAsia" w:ascii="宋体" w:hAnsi="宋体" w:eastAsia="宋体" w:cs="宋体"/>
                <w:b w:val="0"/>
                <w:bCs w:val="0"/>
                <w:kern w:val="2"/>
                <w:sz w:val="24"/>
                <w:szCs w:val="24"/>
                <w:lang w:val="en-US" w:eastAsia="zh-CN"/>
              </w:rPr>
              <w:t>政府采购需求标准(2025年版)》</w:t>
            </w:r>
            <w:bookmarkEnd w:id="3"/>
            <w:r>
              <w:rPr>
                <w:rFonts w:hint="eastAsia" w:ascii="宋体" w:hAnsi="宋体" w:eastAsia="宋体" w:cs="宋体"/>
                <w:b w:val="0"/>
                <w:bCs w:val="0"/>
                <w:kern w:val="2"/>
                <w:sz w:val="24"/>
                <w:szCs w:val="24"/>
                <w:lang w:val="en-US" w:eastAsia="zh-CN"/>
              </w:rPr>
              <w:t>要求。</w:t>
            </w:r>
            <w:bookmarkEnd w:id="0"/>
            <w:bookmarkEnd w:id="1"/>
          </w:p>
        </w:tc>
      </w:tr>
      <w:tr w14:paraId="10DD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0EF0FA7">
            <w:pPr>
              <w:spacing w:line="360" w:lineRule="auto"/>
              <w:jc w:val="center"/>
              <w:rPr>
                <w:rFonts w:hint="default" w:ascii="宋体" w:hAnsi="宋体" w:eastAsia="宋体" w:cs="@仿宋_GB2312"/>
                <w:b w:val="0"/>
                <w:bCs w:val="0"/>
                <w:kern w:val="2"/>
                <w:sz w:val="24"/>
                <w:szCs w:val="22"/>
              </w:rPr>
            </w:pPr>
            <w:r>
              <w:rPr>
                <w:rFonts w:hint="default" w:ascii="宋体" w:hAnsi="宋体" w:eastAsia="宋体" w:cs="@仿宋_GB2312"/>
                <w:b w:val="0"/>
                <w:bCs w:val="0"/>
                <w:kern w:val="2"/>
                <w:sz w:val="24"/>
                <w:szCs w:val="22"/>
              </w:rPr>
              <w:t>6</w:t>
            </w:r>
          </w:p>
        </w:tc>
        <w:tc>
          <w:tcPr>
            <w:tcW w:w="1277" w:type="dxa"/>
            <w:vAlign w:val="center"/>
          </w:tcPr>
          <w:p w14:paraId="596D36AF">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项目经理</w:t>
            </w:r>
          </w:p>
        </w:tc>
        <w:tc>
          <w:tcPr>
            <w:tcW w:w="6287" w:type="dxa"/>
            <w:vAlign w:val="center"/>
          </w:tcPr>
          <w:p w14:paraId="172FE60F">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符合竞争性磋商公告中“项目经理资格要求”。</w:t>
            </w:r>
          </w:p>
          <w:p w14:paraId="74CC6B05">
            <w:pPr>
              <w:spacing w:line="360" w:lineRule="auto"/>
              <w:rPr>
                <w:rFonts w:hint="default" w:ascii="宋体" w:hAnsi="宋体" w:eastAsia="宋体" w:cs="@仿宋_GB2312"/>
                <w:b w:val="0"/>
                <w:bCs w:val="0"/>
                <w:kern w:val="2"/>
                <w:sz w:val="24"/>
                <w:szCs w:val="22"/>
              </w:rPr>
            </w:pPr>
            <w:bookmarkStart w:id="5" w:name="OLE_LINK9"/>
            <w:bookmarkStart w:id="6" w:name="OLE_LINK10"/>
            <w:r>
              <w:rPr>
                <w:rFonts w:hint="eastAsia" w:ascii="宋体" w:hAnsi="宋体" w:eastAsia="宋体" w:cs="@仿宋_GB2312"/>
                <w:b w:val="0"/>
                <w:bCs w:val="0"/>
                <w:kern w:val="2"/>
                <w:sz w:val="24"/>
                <w:szCs w:val="22"/>
              </w:rPr>
              <w:t>注：</w:t>
            </w:r>
          </w:p>
          <w:p w14:paraId="050853CF">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（1）拟派项目经理必须是本单位人员；</w:t>
            </w:r>
          </w:p>
          <w:p w14:paraId="3165067B">
            <w:pPr>
              <w:spacing w:line="360" w:lineRule="auto"/>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（2）响应文件中提供证书扫描件。</w:t>
            </w:r>
            <w:bookmarkEnd w:id="5"/>
            <w:bookmarkEnd w:id="6"/>
          </w:p>
        </w:tc>
      </w:tr>
      <w:tr w14:paraId="5879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4CD90F2">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7</w:t>
            </w:r>
          </w:p>
        </w:tc>
        <w:tc>
          <w:tcPr>
            <w:tcW w:w="1277" w:type="dxa"/>
            <w:vAlign w:val="center"/>
          </w:tcPr>
          <w:p w14:paraId="101D28A6">
            <w:pPr>
              <w:widowControl w:val="0"/>
              <w:spacing w:before="0" w:beforeAutospacing="0" w:after="0" w:afterAutospacing="0" w:line="360" w:lineRule="auto"/>
              <w:jc w:val="center"/>
              <w:rPr>
                <w:rFonts w:ascii="宋体" w:hAnsi="宋体" w:eastAsia="宋体" w:cs="@仿宋_GB2312"/>
                <w:b/>
                <w:bCs/>
                <w:kern w:val="2"/>
                <w:sz w:val="24"/>
                <w:szCs w:val="28"/>
                <w:lang w:val="en-US" w:eastAsia="zh-CN" w:bidi="ar-SA"/>
              </w:rPr>
            </w:pPr>
            <w:r>
              <w:rPr>
                <w:rFonts w:hint="eastAsia" w:ascii="Calibri" w:hAnsi="Calibri" w:eastAsia="宋体" w:cs="Times New Roman"/>
                <w:b w:val="0"/>
                <w:bCs/>
                <w:kern w:val="2"/>
                <w:sz w:val="24"/>
                <w:szCs w:val="28"/>
                <w:lang w:val="en-US" w:eastAsia="zh-CN" w:bidi="ar-SA"/>
              </w:rPr>
              <w:t>本项目采购标的名称及所属行业</w:t>
            </w:r>
          </w:p>
        </w:tc>
        <w:tc>
          <w:tcPr>
            <w:tcW w:w="6287" w:type="dxa"/>
            <w:vAlign w:val="center"/>
          </w:tcPr>
          <w:p w14:paraId="08BA34CF">
            <w:pPr>
              <w:spacing w:line="360" w:lineRule="auto"/>
              <w:jc w:val="left"/>
              <w:rPr>
                <w:rFonts w:hint="eastAsia" w:ascii="宋体" w:hAnsi="宋体" w:eastAsia="宋体" w:cs="Times New Roman"/>
                <w:b w:val="0"/>
                <w:bCs w:val="0"/>
                <w:kern w:val="2"/>
                <w:sz w:val="24"/>
                <w:szCs w:val="22"/>
                <w:lang w:eastAsia="zh-CN"/>
              </w:rPr>
            </w:pPr>
            <w:r>
              <w:rPr>
                <w:rFonts w:hint="eastAsia" w:ascii="宋体" w:hAnsi="宋体" w:eastAsia="宋体" w:cs="Times New Roman"/>
                <w:b w:val="0"/>
                <w:bCs w:val="0"/>
                <w:kern w:val="2"/>
                <w:sz w:val="24"/>
                <w:szCs w:val="22"/>
              </w:rPr>
              <w:t>标的名称：</w:t>
            </w:r>
            <w:r>
              <w:rPr>
                <w:rFonts w:hint="eastAsia" w:ascii="宋体" w:hAnsi="宋体" w:eastAsia="宋体" w:cs="Times New Roman"/>
                <w:b w:val="0"/>
                <w:bCs w:val="0"/>
                <w:kern w:val="2"/>
                <w:sz w:val="24"/>
                <w:szCs w:val="18"/>
                <w:lang w:eastAsia="zh-CN"/>
              </w:rPr>
              <w:t>安徽省产品质量监督检验研究院国家质检中心建设（第2包）</w:t>
            </w:r>
          </w:p>
          <w:p w14:paraId="0A0E5485">
            <w:pPr>
              <w:rPr>
                <w:rFonts w:hint="default" w:ascii="Calibri" w:hAnsi="Calibri" w:eastAsia="宋体" w:cs="Times New Roman"/>
                <w:b w:val="0"/>
                <w:bCs w:val="0"/>
                <w:kern w:val="2"/>
                <w:sz w:val="24"/>
                <w:szCs w:val="22"/>
              </w:rPr>
            </w:pPr>
            <w:r>
              <w:rPr>
                <w:rFonts w:hint="eastAsia" w:ascii="宋体" w:hAnsi="宋体" w:eastAsia="宋体" w:cs="Times New Roman"/>
                <w:b w:val="0"/>
                <w:bCs w:val="0"/>
                <w:kern w:val="2"/>
                <w:sz w:val="24"/>
                <w:szCs w:val="22"/>
              </w:rPr>
              <w:t>所属行业：建筑业</w:t>
            </w:r>
          </w:p>
        </w:tc>
      </w:tr>
      <w:tr w14:paraId="68D9C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574DCED1">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8</w:t>
            </w:r>
          </w:p>
        </w:tc>
        <w:tc>
          <w:tcPr>
            <w:tcW w:w="1277" w:type="dxa"/>
            <w:vAlign w:val="center"/>
          </w:tcPr>
          <w:p w14:paraId="38A9BD8A">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工程地点</w:t>
            </w:r>
          </w:p>
        </w:tc>
        <w:tc>
          <w:tcPr>
            <w:tcW w:w="6287" w:type="dxa"/>
            <w:vAlign w:val="center"/>
          </w:tcPr>
          <w:p w14:paraId="1BCB2D65">
            <w:pPr>
              <w:spacing w:line="360" w:lineRule="auto"/>
              <w:jc w:val="left"/>
              <w:rPr>
                <w:rFonts w:hint="default" w:ascii="宋体" w:hAnsi="宋体" w:eastAsia="宋体" w:cs="@仿宋_GB2312"/>
                <w:b w:val="0"/>
                <w:bCs w:val="0"/>
                <w:kern w:val="2"/>
                <w:sz w:val="24"/>
                <w:szCs w:val="22"/>
                <w:lang w:val="en-US" w:eastAsia="zh-CN"/>
              </w:rPr>
            </w:pPr>
            <w:r>
              <w:rPr>
                <w:rFonts w:hint="eastAsia" w:ascii="宋体" w:hAnsi="宋体" w:eastAsia="宋体" w:cs="Times New Roman"/>
                <w:b w:val="0"/>
                <w:bCs w:val="0"/>
                <w:kern w:val="2"/>
                <w:sz w:val="24"/>
                <w:szCs w:val="22"/>
                <w:lang w:eastAsia="zh-CN"/>
              </w:rPr>
              <w:t>安徽省六安市金安区汉王路与云溪路交叉口北</w:t>
            </w:r>
            <w:r>
              <w:rPr>
                <w:rFonts w:hint="eastAsia" w:ascii="宋体" w:hAnsi="宋体" w:eastAsia="宋体" w:cs="Times New Roman"/>
                <w:b w:val="0"/>
                <w:bCs w:val="0"/>
                <w:kern w:val="2"/>
                <w:sz w:val="24"/>
                <w:szCs w:val="22"/>
                <w:lang w:val="en-US" w:eastAsia="zh-CN"/>
              </w:rPr>
              <w:t>100米</w:t>
            </w:r>
          </w:p>
        </w:tc>
      </w:tr>
      <w:tr w14:paraId="6CCC9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24036EA0">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9</w:t>
            </w:r>
          </w:p>
        </w:tc>
        <w:tc>
          <w:tcPr>
            <w:tcW w:w="1277" w:type="dxa"/>
            <w:vAlign w:val="center"/>
          </w:tcPr>
          <w:p w14:paraId="74420980">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质量标准</w:t>
            </w:r>
          </w:p>
        </w:tc>
        <w:tc>
          <w:tcPr>
            <w:tcW w:w="6287" w:type="dxa"/>
            <w:vAlign w:val="center"/>
          </w:tcPr>
          <w:p w14:paraId="7BFF7EDC">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达到合格标准</w:t>
            </w:r>
          </w:p>
        </w:tc>
      </w:tr>
      <w:tr w14:paraId="01CE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8" w:type="dxa"/>
            <w:vAlign w:val="center"/>
          </w:tcPr>
          <w:p w14:paraId="48DC9B81">
            <w:pPr>
              <w:spacing w:line="360" w:lineRule="auto"/>
              <w:jc w:val="center"/>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10</w:t>
            </w:r>
          </w:p>
        </w:tc>
        <w:tc>
          <w:tcPr>
            <w:tcW w:w="1277" w:type="dxa"/>
            <w:vAlign w:val="center"/>
          </w:tcPr>
          <w:p w14:paraId="2C4C45CA">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计划工期</w:t>
            </w:r>
          </w:p>
        </w:tc>
        <w:tc>
          <w:tcPr>
            <w:tcW w:w="6287" w:type="dxa"/>
            <w:vAlign w:val="center"/>
          </w:tcPr>
          <w:p w14:paraId="1252BD91">
            <w:pPr>
              <w:spacing w:line="360" w:lineRule="auto"/>
              <w:jc w:val="left"/>
              <w:rPr>
                <w:rFonts w:hint="eastAsia" w:ascii="宋体" w:hAnsi="宋体" w:eastAsia="宋体" w:cs="@仿宋_GB2312"/>
                <w:b w:val="0"/>
                <w:bCs w:val="0"/>
                <w:kern w:val="2"/>
                <w:sz w:val="24"/>
                <w:szCs w:val="22"/>
                <w:lang w:eastAsia="zh-CN"/>
              </w:rPr>
            </w:pPr>
            <w:r>
              <w:rPr>
                <w:rFonts w:hint="eastAsia" w:ascii="宋体" w:hAnsi="宋体" w:eastAsia="宋体" w:cs="@仿宋_GB2312"/>
                <w:b w:val="0"/>
                <w:bCs w:val="0"/>
                <w:kern w:val="2"/>
                <w:sz w:val="24"/>
                <w:szCs w:val="22"/>
                <w:lang w:eastAsia="zh-CN"/>
              </w:rPr>
              <w:t>自合同生效之日起，45个日历天。</w:t>
            </w:r>
          </w:p>
          <w:p w14:paraId="0AE2F313">
            <w:pPr>
              <w:spacing w:line="360" w:lineRule="auto"/>
              <w:jc w:val="left"/>
              <w:rPr>
                <w:rFonts w:hint="default" w:ascii="宋体" w:hAnsi="宋体" w:eastAsia="宋体" w:cs="@仿宋_GB2312"/>
                <w:b w:val="0"/>
                <w:bCs w:val="0"/>
                <w:kern w:val="2"/>
                <w:sz w:val="24"/>
                <w:szCs w:val="22"/>
              </w:rPr>
            </w:pPr>
            <w:r>
              <w:rPr>
                <w:rFonts w:hint="eastAsia" w:ascii="宋体" w:hAnsi="宋体" w:eastAsia="宋体" w:cs="@仿宋_GB2312"/>
                <w:b w:val="0"/>
                <w:bCs w:val="0"/>
                <w:kern w:val="2"/>
                <w:sz w:val="24"/>
                <w:szCs w:val="22"/>
              </w:rPr>
              <w:t>除上述总工期外，采购人还要求以下区段/节点工期：/</w:t>
            </w:r>
          </w:p>
        </w:tc>
      </w:tr>
    </w:tbl>
    <w:p w14:paraId="1CDF8345">
      <w:pPr>
        <w:widowControl/>
        <w:spacing w:line="360" w:lineRule="auto"/>
        <w:ind w:firstLine="480" w:firstLineChars="200"/>
        <w:jc w:val="both"/>
        <w:rPr>
          <w:rFonts w:ascii="宋体" w:hAnsi="宋体" w:eastAsia="宋体" w:cs="宋体"/>
          <w:sz w:val="24"/>
          <w:szCs w:val="24"/>
          <w:lang w:val="en-US" w:eastAsia="zh-CN" w:bidi="ar-SA"/>
        </w:rPr>
      </w:pPr>
    </w:p>
    <w:p w14:paraId="05CB3797">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7" w:name="_Toc23730"/>
      <w:r>
        <w:rPr>
          <w:rFonts w:hint="eastAsia" w:ascii="宋体" w:hAnsi="宋体" w:eastAsia="宋体" w:cs="宋体"/>
          <w:b/>
          <w:bCs/>
          <w:kern w:val="2"/>
          <w:sz w:val="24"/>
          <w:szCs w:val="24"/>
          <w:lang w:val="en-US" w:eastAsia="zh-CN" w:bidi="ar-SA"/>
        </w:rPr>
        <w:t>一、</w:t>
      </w:r>
      <w:r>
        <w:rPr>
          <w:rFonts w:hint="eastAsia" w:ascii="宋体" w:hAnsi="宋体" w:eastAsia="宋体" w:cs="宋体"/>
          <w:b/>
          <w:bCs/>
          <w:kern w:val="2"/>
          <w:sz w:val="24"/>
          <w:szCs w:val="24"/>
          <w:lang w:val="zh-CN" w:eastAsia="zh-CN" w:bidi="ar-SA"/>
        </w:rPr>
        <w:t>项目概况及总体要求</w:t>
      </w:r>
      <w:bookmarkEnd w:id="7"/>
    </w:p>
    <w:p w14:paraId="495579C3">
      <w:pPr>
        <w:widowControl/>
        <w:spacing w:line="360" w:lineRule="auto"/>
        <w:ind w:firstLine="480" w:firstLineChars="200"/>
        <w:jc w:val="both"/>
        <w:outlineLvl w:val="1"/>
        <w:rPr>
          <w:rFonts w:hint="eastAsia" w:ascii="宋体" w:hAnsi="宋体" w:eastAsia="宋体" w:cs="宋体"/>
          <w:color w:val="auto"/>
          <w:sz w:val="24"/>
          <w:szCs w:val="24"/>
          <w:lang w:val="en-US" w:eastAsia="zh-CN" w:bidi="ar-SA"/>
        </w:rPr>
      </w:pPr>
      <w:bookmarkStart w:id="8" w:name="_Toc445554749"/>
      <w:bookmarkStart w:id="9" w:name="_Toc466024558"/>
      <w:bookmarkStart w:id="10" w:name="_Toc18199"/>
      <w:bookmarkStart w:id="11" w:name="_Toc455587275"/>
      <w:bookmarkStart w:id="12" w:name="_Toc455587091"/>
      <w:r>
        <w:rPr>
          <w:rFonts w:hint="eastAsia" w:ascii="宋体" w:hAnsi="宋体" w:eastAsia="宋体" w:cs="宋体"/>
          <w:color w:val="auto"/>
          <w:sz w:val="24"/>
          <w:szCs w:val="24"/>
          <w:lang w:val="en-US" w:eastAsia="zh-CN" w:bidi="ar-SA"/>
        </w:rPr>
        <w:t>安徽省产品质量监督检验研究院国家质检中心建设（第2包），进行六安基地配电改造，具体详见图纸及清单。</w:t>
      </w:r>
    </w:p>
    <w:p w14:paraId="0AB3C3FE">
      <w:pPr>
        <w:widowControl/>
        <w:spacing w:line="360" w:lineRule="auto"/>
        <w:jc w:val="both"/>
        <w:outlineLvl w:val="1"/>
        <w:rPr>
          <w:rFonts w:ascii="宋体" w:hAnsi="宋体" w:eastAsia="宋体" w:cs="宋体"/>
          <w:color w:val="auto"/>
          <w:sz w:val="24"/>
          <w:szCs w:val="24"/>
          <w:lang w:val="en-US" w:eastAsia="zh-CN" w:bidi="ar-SA"/>
        </w:rPr>
      </w:pPr>
      <w:r>
        <w:rPr>
          <w:rFonts w:hint="eastAsia" w:ascii="宋体" w:hAnsi="宋体" w:eastAsia="黑体" w:cs="宋体"/>
          <w:b/>
          <w:bCs/>
          <w:color w:val="auto"/>
          <w:kern w:val="2"/>
          <w:sz w:val="24"/>
          <w:szCs w:val="24"/>
          <w:lang w:val="en-US" w:eastAsia="zh-CN" w:bidi="ar-SA"/>
        </w:rPr>
        <w:t>二、</w:t>
      </w:r>
      <w:r>
        <w:rPr>
          <w:rFonts w:hint="eastAsia" w:ascii="宋体" w:hAnsi="宋体" w:eastAsia="宋体" w:cs="宋体"/>
          <w:b/>
          <w:bCs/>
          <w:color w:val="auto"/>
          <w:kern w:val="2"/>
          <w:sz w:val="24"/>
          <w:szCs w:val="24"/>
          <w:lang w:val="en-US" w:eastAsia="zh-CN" w:bidi="ar-SA"/>
        </w:rPr>
        <w:t>技术要求</w:t>
      </w:r>
      <w:bookmarkEnd w:id="8"/>
      <w:bookmarkEnd w:id="9"/>
      <w:bookmarkEnd w:id="10"/>
      <w:bookmarkEnd w:id="11"/>
      <w:bookmarkEnd w:id="12"/>
    </w:p>
    <w:p w14:paraId="14C90945">
      <w:pPr>
        <w:widowControl/>
        <w:spacing w:line="360" w:lineRule="auto"/>
        <w:ind w:firstLine="480" w:firstLineChars="200"/>
        <w:jc w:val="both"/>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按照图纸、工程量清单要求及最新国家相关标准、规范要求执行。</w:t>
      </w:r>
    </w:p>
    <w:p w14:paraId="027A34F3">
      <w:pPr>
        <w:keepNext/>
        <w:keepLines/>
        <w:widowControl w:val="0"/>
        <w:spacing w:before="0" w:after="0" w:line="360" w:lineRule="auto"/>
        <w:jc w:val="both"/>
        <w:outlineLvl w:val="1"/>
        <w:rPr>
          <w:rFonts w:ascii="宋体" w:hAnsi="宋体" w:eastAsia="宋体" w:cs="宋体"/>
          <w:b/>
          <w:bCs/>
          <w:kern w:val="2"/>
          <w:sz w:val="24"/>
          <w:szCs w:val="24"/>
          <w:lang w:val="zh-CN" w:eastAsia="zh-CN" w:bidi="ar-SA"/>
        </w:rPr>
      </w:pPr>
      <w:bookmarkStart w:id="13" w:name="_Toc29071"/>
      <w:bookmarkStart w:id="14" w:name="OLE_LINK7"/>
      <w:r>
        <w:rPr>
          <w:rFonts w:hint="eastAsia" w:ascii="宋体" w:hAnsi="宋体" w:eastAsia="宋体" w:cs="宋体"/>
          <w:b/>
          <w:bCs/>
          <w:kern w:val="2"/>
          <w:sz w:val="24"/>
          <w:szCs w:val="24"/>
          <w:lang w:val="en-US" w:eastAsia="zh-CN" w:bidi="ar-SA"/>
        </w:rPr>
        <w:t>三、</w:t>
      </w:r>
      <w:r>
        <w:rPr>
          <w:rFonts w:hint="eastAsia" w:ascii="宋体" w:hAnsi="宋体" w:eastAsia="宋体" w:cs="宋体"/>
          <w:b/>
          <w:bCs/>
          <w:kern w:val="2"/>
          <w:sz w:val="24"/>
          <w:szCs w:val="24"/>
          <w:lang w:val="zh-CN" w:eastAsia="zh-CN" w:bidi="ar-SA"/>
        </w:rPr>
        <w:t>报价要求</w:t>
      </w:r>
      <w:bookmarkEnd w:id="13"/>
    </w:p>
    <w:p w14:paraId="6D87E8CB">
      <w:pPr>
        <w:keepNext/>
        <w:keepLines/>
        <w:spacing w:line="360" w:lineRule="auto"/>
        <w:outlineLvl w:val="1"/>
        <w:rPr>
          <w:rFonts w:hint="default" w:ascii="宋体" w:hAnsi="宋体" w:eastAsia="宋体" w:cs="宋体"/>
          <w:b/>
          <w:bCs/>
          <w:color w:val="000000"/>
          <w:kern w:val="0"/>
          <w:sz w:val="24"/>
          <w:szCs w:val="24"/>
        </w:rPr>
      </w:pPr>
      <w:bookmarkStart w:id="15" w:name="_Toc28825"/>
      <w:bookmarkStart w:id="16" w:name="_Toc22767"/>
      <w:r>
        <w:rPr>
          <w:rFonts w:hint="eastAsia" w:ascii="宋体" w:hAnsi="宋体" w:eastAsia="宋体" w:cs="宋体"/>
          <w:b/>
          <w:bCs/>
          <w:color w:val="000000"/>
          <w:kern w:val="0"/>
          <w:sz w:val="24"/>
          <w:szCs w:val="24"/>
        </w:rPr>
        <w:t>3.1计价依据</w:t>
      </w:r>
      <w:bookmarkEnd w:id="15"/>
      <w:bookmarkEnd w:id="16"/>
    </w:p>
    <w:p w14:paraId="59C9585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3.1.1 计价依据的确定符合国家法律法规、现行有关标准与规范，工程所在地的省、市工程定额和工程造价的规定以及工程造价信息要求。</w:t>
      </w:r>
    </w:p>
    <w:p w14:paraId="339B2C00">
      <w:pPr>
        <w:spacing w:line="360" w:lineRule="auto"/>
        <w:ind w:firstLine="480" w:firstLineChars="200"/>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rPr>
        <w:t xml:space="preserve">3.1.2 </w:t>
      </w:r>
      <w:bookmarkStart w:id="17" w:name="OLE_LINK6"/>
      <w:r>
        <w:rPr>
          <w:rFonts w:hint="eastAsia" w:ascii="宋体" w:hAnsi="宋体" w:eastAsia="宋体" w:cs="宋体"/>
          <w:b w:val="0"/>
          <w:bCs w:val="0"/>
          <w:color w:val="000000"/>
          <w:kern w:val="0"/>
          <w:sz w:val="24"/>
          <w:szCs w:val="24"/>
        </w:rPr>
        <w:t>安全文明施工费</w:t>
      </w:r>
      <w:bookmarkEnd w:id="17"/>
      <w:r>
        <w:rPr>
          <w:rFonts w:hint="eastAsia" w:ascii="宋体" w:hAnsi="宋体" w:eastAsia="宋体" w:cs="宋体"/>
          <w:b w:val="0"/>
          <w:bCs w:val="0"/>
          <w:color w:val="000000"/>
          <w:kern w:val="0"/>
          <w:sz w:val="24"/>
          <w:szCs w:val="24"/>
        </w:rPr>
        <w:t>：</w:t>
      </w:r>
      <w:r>
        <w:rPr>
          <w:rFonts w:hint="eastAsia" w:ascii="宋体" w:hAnsi="宋体" w:eastAsia="宋体" w:cs="宋体"/>
          <w:b w:val="0"/>
          <w:bCs w:val="0"/>
          <w:color w:val="000000"/>
          <w:kern w:val="0"/>
          <w:sz w:val="24"/>
          <w:szCs w:val="24"/>
          <w:lang w:val="en-US" w:eastAsia="zh-CN"/>
        </w:rPr>
        <w:t>详见最高限价中</w:t>
      </w:r>
      <w:r>
        <w:rPr>
          <w:rFonts w:hint="eastAsia" w:ascii="宋体" w:hAnsi="宋体" w:eastAsia="宋体" w:cs="宋体"/>
          <w:b w:val="0"/>
          <w:bCs w:val="0"/>
          <w:color w:val="000000"/>
          <w:kern w:val="0"/>
          <w:sz w:val="24"/>
          <w:szCs w:val="24"/>
        </w:rPr>
        <w:t>安全文明施工费</w:t>
      </w:r>
      <w:r>
        <w:rPr>
          <w:rFonts w:hint="eastAsia" w:ascii="宋体" w:hAnsi="宋体" w:eastAsia="宋体" w:cs="宋体"/>
          <w:b w:val="0"/>
          <w:bCs w:val="0"/>
          <w:color w:val="000000"/>
          <w:kern w:val="0"/>
          <w:sz w:val="24"/>
          <w:szCs w:val="24"/>
          <w:lang w:val="en-US" w:eastAsia="zh-CN"/>
        </w:rPr>
        <w:t>。</w:t>
      </w:r>
    </w:p>
    <w:p w14:paraId="6FE5490E">
      <w:pPr>
        <w:keepNext/>
        <w:keepLines/>
        <w:spacing w:line="360" w:lineRule="auto"/>
        <w:outlineLvl w:val="1"/>
        <w:rPr>
          <w:rFonts w:hint="default" w:ascii="宋体" w:hAnsi="宋体" w:eastAsia="宋体" w:cs="宋体"/>
          <w:b/>
          <w:bCs/>
          <w:color w:val="000000"/>
          <w:kern w:val="0"/>
          <w:sz w:val="24"/>
          <w:szCs w:val="24"/>
        </w:rPr>
      </w:pPr>
      <w:bookmarkStart w:id="18" w:name="_Toc4564"/>
      <w:bookmarkStart w:id="19" w:name="_Toc22790"/>
      <w:r>
        <w:rPr>
          <w:rFonts w:hint="eastAsia" w:ascii="宋体" w:hAnsi="宋体" w:eastAsia="宋体" w:cs="宋体"/>
          <w:b/>
          <w:bCs/>
          <w:color w:val="000000"/>
          <w:kern w:val="0"/>
          <w:sz w:val="24"/>
          <w:szCs w:val="24"/>
        </w:rPr>
        <w:t>3.2响应报价参考编制要求</w:t>
      </w:r>
      <w:bookmarkEnd w:id="18"/>
      <w:bookmarkEnd w:id="19"/>
    </w:p>
    <w:p w14:paraId="3331E572">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3.2.1 响应报价编制参考依据如下：</w:t>
      </w:r>
    </w:p>
    <w:p w14:paraId="7EC75DA3">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（1）2018版安徽省建设工程计价依据及相关配套定额；</w:t>
      </w:r>
    </w:p>
    <w:p w14:paraId="6EF74328">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（2）关于发布《安徽省建设工程计价依据动态调整（第1期）》的公告（安徽省住房和城乡建设厅公告第51号）；</w:t>
      </w:r>
    </w:p>
    <w:p w14:paraId="0B534487">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 xml:space="preserve">（3）关于贯彻执行《2018版安徽省建设工程计价依据动态调整（第1期）》的通知（合建监管〔2024〕13号）； </w:t>
      </w:r>
    </w:p>
    <w:p w14:paraId="455DD23A">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（4）关于调整合肥市建设工程计价依据增值税税率的通知（合造价〔2019〕1号）；</w:t>
      </w:r>
    </w:p>
    <w:p w14:paraId="65F0C9DB">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（5）关于合肥市建设工程人工价格信息发布及计价应用工作的通知(合造价〔2021〕8号)；</w:t>
      </w:r>
    </w:p>
    <w:p w14:paraId="6490D638">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（6）建设工程设计文件及相关资料（如有）；</w:t>
      </w:r>
    </w:p>
    <w:p w14:paraId="1BF9F15B">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kern w:val="0"/>
          <w:sz w:val="24"/>
          <w:szCs w:val="24"/>
        </w:rPr>
        <w:t>（7）与建设项目有关的标准、规范、</w:t>
      </w:r>
      <w:r>
        <w:rPr>
          <w:rFonts w:hint="eastAsia" w:ascii="宋体" w:hAnsi="宋体" w:eastAsia="宋体" w:cs="宋体"/>
          <w:b w:val="0"/>
          <w:bCs w:val="0"/>
          <w:color w:val="000000"/>
          <w:kern w:val="0"/>
          <w:sz w:val="24"/>
          <w:szCs w:val="24"/>
        </w:rPr>
        <w:t>技术资料；</w:t>
      </w:r>
    </w:p>
    <w:p w14:paraId="76B1D739">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（8）采购文件及工程量清单及其补充通知更正； </w:t>
      </w:r>
    </w:p>
    <w:p w14:paraId="7B94EA43">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（9）施工现场情况、工程特点及拟定的施工组织设计；</w:t>
      </w:r>
    </w:p>
    <w:p w14:paraId="4955418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（10）市场价格信息或参照工程造价管理机构发布的工程造价信息；</w:t>
      </w:r>
    </w:p>
    <w:p w14:paraId="650A7888">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（11）合同执行期间由供应商承担的风险因素；</w:t>
      </w:r>
    </w:p>
    <w:p w14:paraId="695106C4">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（12）其他相关材料。</w:t>
      </w:r>
    </w:p>
    <w:p w14:paraId="22EA98C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3.2.2供应商应仔细阅读采购文件，了解全部工程内容。供应商的响应报价应是采购文件所确定的采购范围内全部工程内容的价格体现，但其响应报价不得低于供应商个别成本价。</w:t>
      </w:r>
    </w:p>
    <w:p w14:paraId="5CA1468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3.2.3供应商应按采购人提供的工程量清单填报综合单价和合价，未填报的综合单价和合价，视为此项费用已合在工程量清单的其他综合单价和合价中。</w:t>
      </w:r>
    </w:p>
    <w:p w14:paraId="0C883311">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3.2.4分部分项工程费根据采购文件中的工程量清单项目及项目特征描述等确定综合单价。其中综合单价是指完成一个规定清单项目所需的人工费、材料和工程设备费、施工机具使用费和综合费（企业管理费和利润）以及一定范围内供应商承担的风险费用。</w:t>
      </w:r>
    </w:p>
    <w:p w14:paraId="50EE9B39">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3.2.5措施项目费依据第3.2.1项编制依据确定。</w:t>
      </w:r>
    </w:p>
    <w:p w14:paraId="4362ABA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3.2.6不可竞争费（含安全文明施工费、环境保护税）根据工程量清单不可竞争项目，结合第3.2.1项编制依据确定，安全文明施工费费率不得调整。</w:t>
      </w:r>
    </w:p>
    <w:p w14:paraId="4AA3382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3.2.7其他项目费用应按照下列规定计价：</w:t>
      </w:r>
    </w:p>
    <w:p w14:paraId="0752E8DC">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（1）暂列金额按工程量清单中列出的金额填写，不得更改；</w:t>
      </w:r>
    </w:p>
    <w:p w14:paraId="7CF2A1EA">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（2）专业工程暂估价按工程量清单中列出的金额填写，不得更改；</w:t>
      </w:r>
    </w:p>
    <w:p w14:paraId="2EBFB487">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 xml:space="preserve">（3）计日工按采购人列出项目和数量，结合第3.2.1项编制依据的要求确定综合单价并计算费用； </w:t>
      </w:r>
    </w:p>
    <w:p w14:paraId="6AA4A1D5">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（4）总承包服务费根据采购文件列出的内容和要求计算。</w:t>
      </w:r>
    </w:p>
    <w:p w14:paraId="3C65B9FE">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3.2.8税金（增值税）按税金项目清单，结合第3.2.1项编制依据的要求编制，不得调整。</w:t>
      </w:r>
    </w:p>
    <w:p w14:paraId="3C27E423">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3.2.9 响应报价编制注意事项</w:t>
      </w:r>
    </w:p>
    <w:p w14:paraId="2A30D292">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（1）对于受施工现场场地限制，如需要另外寻找场地解决临时住宿、材料及设备堆放，由此所产生的费用应包含在响应报价范围内，采购人不再承担该费用；</w:t>
      </w:r>
    </w:p>
    <w:p w14:paraId="31EBAA2F">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2）开启前，供应商应认真对照施工设计图纸等文件核对采购人提供的工程量清单，发现工程量存在项目划分误差、计量单位误差、数量误差、遗漏项目的，必须在采购文件规定的时间内向采购人提出异议或修正要求，否则采购人可不予答复；</w:t>
      </w:r>
    </w:p>
    <w:p w14:paraId="0463BA54">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3）采购人对异议或修正要求应进行核实，确认工程量清单项目误差在±3%（含±3%）以内的，采购人可不予调整工程量，供应商应将其误差考虑在综合单价内；若有遗漏项目或清单项目工程量误差超过±3%的，采购人应进行修正并重新公布准确的工程量清单；</w:t>
      </w:r>
    </w:p>
    <w:p w14:paraId="5E4DBAA6">
      <w:pPr>
        <w:spacing w:line="360" w:lineRule="auto"/>
        <w:ind w:firstLine="480" w:firstLineChars="200"/>
        <w:rPr>
          <w:rFonts w:hint="default" w:ascii="宋体" w:hAnsi="宋体" w:eastAsia="宋体" w:cs="宋体"/>
          <w:b w:val="0"/>
          <w:bCs w:val="0"/>
          <w:color w:val="000000"/>
          <w:kern w:val="0"/>
          <w:sz w:val="24"/>
          <w:szCs w:val="24"/>
        </w:rPr>
      </w:pPr>
      <w:r>
        <w:rPr>
          <w:rFonts w:hint="eastAsia" w:ascii="宋体" w:hAnsi="宋体" w:eastAsia="宋体" w:cs="宋体"/>
          <w:b w:val="0"/>
          <w:bCs w:val="0"/>
          <w:color w:val="000000"/>
          <w:kern w:val="0"/>
          <w:sz w:val="24"/>
          <w:szCs w:val="24"/>
        </w:rPr>
        <w:t>（4）除合同另有约定外，成交供应商在工程量清单报价书中所报的综合单价在施工图纸和合同约定范围一律不予调整；</w:t>
      </w:r>
    </w:p>
    <w:p w14:paraId="6788D584">
      <w:pPr>
        <w:spacing w:line="360" w:lineRule="auto"/>
        <w:ind w:firstLine="480" w:firstLineChars="200"/>
        <w:rPr>
          <w:rFonts w:hint="default" w:ascii="宋体" w:hAnsi="宋体" w:eastAsia="宋体" w:cs="宋体"/>
          <w:b w:val="0"/>
          <w:bCs w:val="0"/>
          <w:kern w:val="0"/>
          <w:sz w:val="24"/>
          <w:szCs w:val="24"/>
        </w:rPr>
      </w:pPr>
      <w:r>
        <w:rPr>
          <w:rFonts w:hint="eastAsia" w:ascii="宋体" w:hAnsi="宋体" w:eastAsia="宋体" w:cs="宋体"/>
          <w:b w:val="0"/>
          <w:bCs w:val="0"/>
          <w:color w:val="000000"/>
          <w:kern w:val="0"/>
          <w:sz w:val="24"/>
          <w:szCs w:val="24"/>
        </w:rPr>
        <w:t>（5）本项目不接受恶意不平衡报价</w:t>
      </w:r>
      <w:r>
        <w:rPr>
          <w:rFonts w:hint="eastAsia" w:ascii="宋体" w:hAnsi="宋体" w:eastAsia="宋体" w:cs="宋体"/>
          <w:b w:val="0"/>
          <w:bCs/>
          <w:kern w:val="0"/>
          <w:sz w:val="24"/>
          <w:szCs w:val="24"/>
        </w:rPr>
        <w:t>。</w:t>
      </w:r>
    </w:p>
    <w:bookmarkEnd w:id="14"/>
    <w:p w14:paraId="4F50112B">
      <w:pPr>
        <w:keepNext/>
        <w:keepLines/>
        <w:pageBreakBefore w:val="0"/>
        <w:kinsoku/>
        <w:overflowPunct/>
        <w:autoSpaceDE/>
        <w:autoSpaceDN/>
        <w:bidi w:val="0"/>
        <w:spacing w:after="0" w:line="360" w:lineRule="auto"/>
        <w:ind w:left="0"/>
        <w:outlineLvl w:val="1"/>
        <w:rPr>
          <w:rFonts w:hint="eastAsia" w:ascii="宋体" w:hAnsi="宋体" w:eastAsia="宋体" w:cs="宋体"/>
          <w:b/>
          <w:bCs/>
          <w:kern w:val="2"/>
          <w:sz w:val="24"/>
          <w:szCs w:val="24"/>
          <w:lang w:val="zh-CN"/>
        </w:rPr>
      </w:pPr>
      <w:bookmarkStart w:id="20" w:name="_Toc25124"/>
      <w:bookmarkStart w:id="21" w:name="_Toc527541657"/>
      <w:r>
        <w:rPr>
          <w:rFonts w:hint="eastAsia" w:ascii="宋体" w:hAnsi="宋体" w:eastAsia="宋体" w:cs="宋体"/>
          <w:b/>
          <w:bCs/>
          <w:kern w:val="0"/>
          <w:sz w:val="24"/>
          <w:szCs w:val="24"/>
          <w:lang w:val="en-US"/>
        </w:rPr>
        <w:t>四、</w:t>
      </w:r>
      <w:r>
        <w:rPr>
          <w:rFonts w:hint="eastAsia" w:ascii="宋体" w:hAnsi="宋体" w:eastAsia="宋体" w:cs="宋体"/>
          <w:b/>
          <w:bCs/>
          <w:kern w:val="2"/>
          <w:sz w:val="24"/>
          <w:szCs w:val="24"/>
          <w:lang w:val="zh-CN"/>
        </w:rPr>
        <w:t>相当于或优于以下品牌</w:t>
      </w:r>
    </w:p>
    <w:tbl>
      <w:tblPr>
        <w:tblStyle w:val="2"/>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2770"/>
        <w:gridCol w:w="4155"/>
        <w:gridCol w:w="1169"/>
      </w:tblGrid>
      <w:tr w14:paraId="77938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4" w:type="dxa"/>
            <w:noWrap w:val="0"/>
            <w:vAlign w:val="center"/>
          </w:tcPr>
          <w:p w14:paraId="69E6CE8D">
            <w:pPr>
              <w:pageBreakBefore w:val="0"/>
              <w:kinsoku/>
              <w:overflowPunct/>
              <w:autoSpaceDE/>
              <w:autoSpaceDN/>
              <w:bidi w:val="0"/>
              <w:adjustRightInd w:val="0"/>
              <w:snapToGrid w:val="0"/>
              <w:spacing w:after="0" w:line="360" w:lineRule="auto"/>
              <w:ind w:left="0"/>
              <w:jc w:val="center"/>
              <w:rPr>
                <w:rFonts w:hint="default" w:ascii="宋体" w:hAnsi="宋体" w:eastAsia="宋体" w:cs="Times New Roman"/>
                <w:b/>
                <w:bCs/>
                <w:kern w:val="0"/>
                <w:sz w:val="24"/>
                <w:szCs w:val="24"/>
              </w:rPr>
            </w:pPr>
            <w:r>
              <w:rPr>
                <w:rFonts w:hint="eastAsia" w:ascii="宋体" w:hAnsi="宋体" w:eastAsia="宋体" w:cs="Times New Roman"/>
                <w:b/>
                <w:bCs/>
                <w:kern w:val="0"/>
                <w:sz w:val="24"/>
                <w:szCs w:val="24"/>
              </w:rPr>
              <w:t>序号</w:t>
            </w:r>
          </w:p>
        </w:tc>
        <w:tc>
          <w:tcPr>
            <w:tcW w:w="2770" w:type="dxa"/>
            <w:noWrap w:val="0"/>
            <w:vAlign w:val="center"/>
          </w:tcPr>
          <w:p w14:paraId="36111DA5">
            <w:pPr>
              <w:pageBreakBefore w:val="0"/>
              <w:kinsoku/>
              <w:overflowPunct/>
              <w:autoSpaceDE/>
              <w:autoSpaceDN/>
              <w:bidi w:val="0"/>
              <w:adjustRightInd w:val="0"/>
              <w:snapToGrid w:val="0"/>
              <w:spacing w:after="0" w:line="360" w:lineRule="auto"/>
              <w:ind w:left="0"/>
              <w:jc w:val="center"/>
              <w:rPr>
                <w:rFonts w:hint="default" w:ascii="宋体" w:hAnsi="宋体" w:eastAsia="宋体" w:cs="Times New Roman"/>
                <w:b/>
                <w:bCs/>
                <w:kern w:val="0"/>
                <w:sz w:val="24"/>
                <w:szCs w:val="24"/>
              </w:rPr>
            </w:pPr>
            <w:r>
              <w:rPr>
                <w:rFonts w:hint="eastAsia" w:ascii="宋体" w:hAnsi="宋体" w:eastAsia="宋体" w:cs="Times New Roman"/>
                <w:b/>
                <w:bCs/>
                <w:kern w:val="0"/>
                <w:sz w:val="24"/>
                <w:szCs w:val="24"/>
              </w:rPr>
              <w:t>材料</w:t>
            </w:r>
            <w:r>
              <w:rPr>
                <w:rFonts w:hint="eastAsia" w:ascii="宋体" w:hAnsi="宋体" w:eastAsia="宋体" w:cs="Times New Roman"/>
                <w:b/>
                <w:bCs/>
                <w:kern w:val="0"/>
                <w:sz w:val="24"/>
                <w:szCs w:val="24"/>
                <w:lang w:eastAsia="zh-CN"/>
              </w:rPr>
              <w:t>、</w:t>
            </w:r>
            <w:r>
              <w:rPr>
                <w:rFonts w:hint="eastAsia" w:ascii="宋体" w:hAnsi="宋体" w:eastAsia="宋体" w:cs="Times New Roman"/>
                <w:b/>
                <w:bCs/>
                <w:kern w:val="0"/>
                <w:sz w:val="24"/>
                <w:szCs w:val="24"/>
                <w:lang w:val="en-US" w:eastAsia="zh-CN"/>
              </w:rPr>
              <w:t>设备</w:t>
            </w:r>
            <w:r>
              <w:rPr>
                <w:rFonts w:hint="eastAsia" w:ascii="宋体" w:hAnsi="宋体" w:eastAsia="宋体" w:cs="Times New Roman"/>
                <w:b/>
                <w:bCs/>
                <w:kern w:val="0"/>
                <w:sz w:val="24"/>
                <w:szCs w:val="24"/>
              </w:rPr>
              <w:t>名称</w:t>
            </w:r>
          </w:p>
        </w:tc>
        <w:tc>
          <w:tcPr>
            <w:tcW w:w="4155" w:type="dxa"/>
            <w:noWrap w:val="0"/>
            <w:vAlign w:val="center"/>
          </w:tcPr>
          <w:p w14:paraId="404C5AF4">
            <w:pPr>
              <w:pageBreakBefore w:val="0"/>
              <w:kinsoku/>
              <w:overflowPunct/>
              <w:autoSpaceDE/>
              <w:autoSpaceDN/>
              <w:bidi w:val="0"/>
              <w:adjustRightInd w:val="0"/>
              <w:snapToGrid w:val="0"/>
              <w:spacing w:after="0" w:line="360" w:lineRule="auto"/>
              <w:ind w:left="0"/>
              <w:jc w:val="center"/>
              <w:rPr>
                <w:rFonts w:hint="default" w:ascii="宋体" w:hAnsi="宋体" w:eastAsia="宋体" w:cs="Times New Roman"/>
                <w:b/>
                <w:bCs w:val="0"/>
                <w:kern w:val="0"/>
                <w:sz w:val="24"/>
                <w:szCs w:val="24"/>
              </w:rPr>
            </w:pPr>
            <w:r>
              <w:rPr>
                <w:rFonts w:hint="eastAsia" w:ascii="宋体" w:hAnsi="宋体" w:eastAsia="宋体" w:cs="Times New Roman"/>
                <w:b/>
                <w:bCs w:val="0"/>
                <w:kern w:val="0"/>
                <w:sz w:val="24"/>
                <w:szCs w:val="24"/>
              </w:rPr>
              <w:t>参考品牌</w:t>
            </w:r>
          </w:p>
        </w:tc>
        <w:tc>
          <w:tcPr>
            <w:tcW w:w="1169" w:type="dxa"/>
            <w:noWrap w:val="0"/>
            <w:vAlign w:val="center"/>
          </w:tcPr>
          <w:p w14:paraId="1C751E14">
            <w:pPr>
              <w:pageBreakBefore w:val="0"/>
              <w:kinsoku/>
              <w:overflowPunct/>
              <w:autoSpaceDE/>
              <w:autoSpaceDN/>
              <w:bidi w:val="0"/>
              <w:adjustRightInd w:val="0"/>
              <w:snapToGrid w:val="0"/>
              <w:spacing w:after="0" w:line="360" w:lineRule="auto"/>
              <w:ind w:left="0"/>
              <w:jc w:val="center"/>
              <w:rPr>
                <w:rFonts w:hint="default" w:ascii="宋体" w:hAnsi="宋体" w:eastAsia="宋体" w:cs="Times New Roman"/>
                <w:b/>
                <w:bCs/>
                <w:kern w:val="0"/>
                <w:sz w:val="24"/>
                <w:szCs w:val="24"/>
              </w:rPr>
            </w:pPr>
            <w:r>
              <w:rPr>
                <w:rFonts w:hint="eastAsia" w:ascii="宋体" w:hAnsi="宋体" w:eastAsia="宋体" w:cs="Times New Roman"/>
                <w:b/>
                <w:bCs w:val="0"/>
                <w:kern w:val="0"/>
                <w:sz w:val="24"/>
                <w:szCs w:val="24"/>
              </w:rPr>
              <w:t>备注</w:t>
            </w:r>
          </w:p>
        </w:tc>
      </w:tr>
      <w:tr w14:paraId="41FE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24" w:type="dxa"/>
            <w:noWrap w:val="0"/>
            <w:vAlign w:val="center"/>
          </w:tcPr>
          <w:p w14:paraId="2B12C744">
            <w:pPr>
              <w:pageBreakBefore w:val="0"/>
              <w:numPr>
                <w:ilvl w:val="-1"/>
                <w:numId w:val="0"/>
              </w:numPr>
              <w:kinsoku/>
              <w:wordWrap w:val="0"/>
              <w:overflowPunct/>
              <w:autoSpaceDE/>
              <w:autoSpaceDN/>
              <w:bidi w:val="0"/>
              <w:adjustRightInd w:val="0"/>
              <w:snapToGrid w:val="0"/>
              <w:spacing w:after="0" w:line="360" w:lineRule="auto"/>
              <w:ind w:left="0" w:firstLine="0"/>
              <w:jc w:val="center"/>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1</w:t>
            </w:r>
          </w:p>
        </w:tc>
        <w:tc>
          <w:tcPr>
            <w:tcW w:w="2770" w:type="dxa"/>
            <w:noWrap w:val="0"/>
            <w:vAlign w:val="center"/>
          </w:tcPr>
          <w:p w14:paraId="77D32D11">
            <w:pPr>
              <w:pageBreakBefore w:val="0"/>
              <w:widowControl/>
              <w:kinsoku/>
              <w:overflowPunct/>
              <w:autoSpaceDE/>
              <w:autoSpaceDN/>
              <w:bidi w:val="0"/>
              <w:spacing w:after="0" w:line="360" w:lineRule="auto"/>
              <w:ind w:left="0"/>
              <w:jc w:val="center"/>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电线电缆</w:t>
            </w:r>
          </w:p>
        </w:tc>
        <w:tc>
          <w:tcPr>
            <w:tcW w:w="4155" w:type="dxa"/>
            <w:noWrap w:val="0"/>
            <w:vAlign w:val="center"/>
          </w:tcPr>
          <w:p w14:paraId="37D93895">
            <w:pPr>
              <w:pageBreakBefore w:val="0"/>
              <w:widowControl/>
              <w:kinsoku/>
              <w:overflowPunct/>
              <w:autoSpaceDE/>
              <w:autoSpaceDN/>
              <w:bidi w:val="0"/>
              <w:spacing w:after="0" w:line="360" w:lineRule="auto"/>
              <w:ind w:left="0"/>
              <w:jc w:val="center"/>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远东、</w:t>
            </w:r>
            <w:r>
              <w:rPr>
                <w:rFonts w:hint="eastAsia" w:ascii="宋体" w:hAnsi="宋体" w:eastAsia="宋体" w:cs="宋体"/>
                <w:b w:val="0"/>
                <w:bCs w:val="0"/>
                <w:kern w:val="0"/>
                <w:sz w:val="24"/>
                <w:szCs w:val="24"/>
                <w:lang w:eastAsia="zh-CN"/>
              </w:rPr>
              <w:t>起帆</w:t>
            </w:r>
            <w:r>
              <w:rPr>
                <w:rFonts w:hint="eastAsia" w:ascii="宋体" w:hAnsi="宋体" w:eastAsia="宋体" w:cs="宋体"/>
                <w:b w:val="0"/>
                <w:bCs w:val="0"/>
                <w:kern w:val="0"/>
                <w:sz w:val="24"/>
                <w:szCs w:val="24"/>
              </w:rPr>
              <w:t>、上上</w:t>
            </w:r>
          </w:p>
        </w:tc>
        <w:tc>
          <w:tcPr>
            <w:tcW w:w="1169" w:type="dxa"/>
            <w:noWrap w:val="0"/>
            <w:vAlign w:val="center"/>
          </w:tcPr>
          <w:p w14:paraId="2CC91045">
            <w:pPr>
              <w:pageBreakBefore w:val="0"/>
              <w:kinsoku/>
              <w:wordWrap w:val="0"/>
              <w:overflowPunct/>
              <w:autoSpaceDE/>
              <w:autoSpaceDN/>
              <w:bidi w:val="0"/>
              <w:adjustRightInd w:val="0"/>
              <w:snapToGrid w:val="0"/>
              <w:spacing w:after="0" w:line="360" w:lineRule="auto"/>
              <w:ind w:left="0"/>
              <w:rPr>
                <w:rFonts w:hint="default" w:ascii="宋体" w:hAnsi="宋体" w:eastAsia="宋体" w:cs="Times New Roman"/>
                <w:b w:val="0"/>
                <w:bCs w:val="0"/>
                <w:kern w:val="0"/>
                <w:sz w:val="24"/>
                <w:szCs w:val="24"/>
              </w:rPr>
            </w:pPr>
          </w:p>
        </w:tc>
      </w:tr>
      <w:tr w14:paraId="72EC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24" w:type="dxa"/>
            <w:noWrap w:val="0"/>
            <w:vAlign w:val="center"/>
          </w:tcPr>
          <w:p w14:paraId="3ACFB5A8">
            <w:pPr>
              <w:pageBreakBefore w:val="0"/>
              <w:numPr>
                <w:ilvl w:val="-1"/>
                <w:numId w:val="0"/>
              </w:numPr>
              <w:kinsoku/>
              <w:wordWrap w:val="0"/>
              <w:overflowPunct/>
              <w:autoSpaceDE/>
              <w:autoSpaceDN/>
              <w:bidi w:val="0"/>
              <w:adjustRightInd w:val="0"/>
              <w:snapToGrid w:val="0"/>
              <w:spacing w:after="0" w:line="360" w:lineRule="auto"/>
              <w:ind w:left="0" w:firstLine="0"/>
              <w:jc w:val="center"/>
              <w:rPr>
                <w:rFonts w:hint="eastAsia" w:ascii="宋体" w:hAnsi="宋体" w:eastAsia="宋体" w:cs="Times New Roman"/>
                <w:b w:val="0"/>
                <w:bCs w:val="0"/>
                <w:kern w:val="0"/>
                <w:sz w:val="24"/>
                <w:szCs w:val="24"/>
                <w:lang w:val="en-US" w:eastAsia="zh-CN"/>
              </w:rPr>
            </w:pPr>
            <w:r>
              <w:rPr>
                <w:rFonts w:hint="eastAsia" w:ascii="宋体" w:hAnsi="宋体" w:eastAsia="宋体" w:cs="Times New Roman"/>
                <w:b w:val="0"/>
                <w:bCs w:val="0"/>
                <w:kern w:val="0"/>
                <w:sz w:val="24"/>
                <w:szCs w:val="24"/>
                <w:lang w:val="en-US" w:eastAsia="zh-CN"/>
              </w:rPr>
              <w:t>2</w:t>
            </w:r>
          </w:p>
        </w:tc>
        <w:tc>
          <w:tcPr>
            <w:tcW w:w="2770" w:type="dxa"/>
            <w:noWrap w:val="0"/>
            <w:vAlign w:val="center"/>
          </w:tcPr>
          <w:p w14:paraId="373560B3">
            <w:pPr>
              <w:pageBreakBefore w:val="0"/>
              <w:widowControl/>
              <w:kinsoku/>
              <w:overflowPunct/>
              <w:autoSpaceDE/>
              <w:autoSpaceDN/>
              <w:bidi w:val="0"/>
              <w:spacing w:after="0" w:line="360" w:lineRule="auto"/>
              <w:ind w:left="0"/>
              <w:jc w:val="center"/>
              <w:rPr>
                <w:rFonts w:hint="default" w:ascii="宋体" w:hAnsi="宋体" w:eastAsia="宋体" w:cs="宋体"/>
                <w:b w:val="0"/>
                <w:bCs w:val="0"/>
                <w:kern w:val="0"/>
                <w:sz w:val="24"/>
                <w:szCs w:val="24"/>
              </w:rPr>
            </w:pPr>
            <w:r>
              <w:rPr>
                <w:rFonts w:hint="eastAsia" w:ascii="宋体" w:hAnsi="宋体" w:eastAsia="宋体" w:cs="宋体"/>
                <w:b w:val="0"/>
                <w:bCs w:val="0"/>
                <w:kern w:val="0"/>
                <w:sz w:val="24"/>
                <w:szCs w:val="24"/>
              </w:rPr>
              <w:t>塑壳断路器</w:t>
            </w:r>
          </w:p>
        </w:tc>
        <w:tc>
          <w:tcPr>
            <w:tcW w:w="4155" w:type="dxa"/>
            <w:noWrap w:val="0"/>
            <w:vAlign w:val="center"/>
          </w:tcPr>
          <w:p w14:paraId="76D1A6D8">
            <w:pPr>
              <w:pageBreakBefore w:val="0"/>
              <w:widowControl/>
              <w:kinsoku/>
              <w:overflowPunct/>
              <w:autoSpaceDE/>
              <w:autoSpaceDN/>
              <w:bidi w:val="0"/>
              <w:spacing w:after="0" w:line="360" w:lineRule="auto"/>
              <w:ind w:left="0"/>
              <w:jc w:val="center"/>
              <w:rPr>
                <w:rFonts w:hint="eastAsia" w:ascii="宋体" w:hAnsi="宋体" w:eastAsia="宋体" w:cs="Times New Roman"/>
                <w:b w:val="0"/>
                <w:bCs w:val="0"/>
                <w:kern w:val="0"/>
                <w:sz w:val="24"/>
                <w:szCs w:val="24"/>
              </w:rPr>
            </w:pPr>
            <w:r>
              <w:rPr>
                <w:rFonts w:hint="eastAsia" w:ascii="宋体" w:hAnsi="宋体" w:eastAsia="宋体" w:cs="Times New Roman"/>
                <w:b w:val="0"/>
                <w:bCs w:val="0"/>
                <w:kern w:val="0"/>
                <w:sz w:val="24"/>
                <w:szCs w:val="24"/>
              </w:rPr>
              <w:t>ABB、</w:t>
            </w:r>
            <w:r>
              <w:rPr>
                <w:rFonts w:hint="eastAsia" w:ascii="宋体" w:hAnsi="宋体" w:eastAsia="宋体" w:cs="Times New Roman"/>
                <w:b w:val="0"/>
                <w:bCs w:val="0"/>
                <w:kern w:val="0"/>
                <w:sz w:val="24"/>
                <w:szCs w:val="24"/>
                <w:lang w:eastAsia="zh-CN"/>
              </w:rPr>
              <w:t>正泰</w:t>
            </w:r>
            <w:r>
              <w:rPr>
                <w:rFonts w:hint="eastAsia" w:ascii="宋体" w:hAnsi="宋体" w:eastAsia="宋体" w:cs="Times New Roman"/>
                <w:b w:val="0"/>
                <w:bCs w:val="0"/>
                <w:kern w:val="0"/>
                <w:sz w:val="24"/>
                <w:szCs w:val="24"/>
              </w:rPr>
              <w:t>、施耐德</w:t>
            </w:r>
          </w:p>
        </w:tc>
        <w:tc>
          <w:tcPr>
            <w:tcW w:w="1169" w:type="dxa"/>
            <w:noWrap w:val="0"/>
            <w:vAlign w:val="center"/>
          </w:tcPr>
          <w:p w14:paraId="1DC0B1D2">
            <w:pPr>
              <w:pageBreakBefore w:val="0"/>
              <w:kinsoku/>
              <w:wordWrap w:val="0"/>
              <w:overflowPunct/>
              <w:autoSpaceDE/>
              <w:autoSpaceDN/>
              <w:bidi w:val="0"/>
              <w:adjustRightInd w:val="0"/>
              <w:snapToGrid w:val="0"/>
              <w:spacing w:after="0" w:line="360" w:lineRule="auto"/>
              <w:ind w:left="0"/>
              <w:rPr>
                <w:rFonts w:hint="default" w:ascii="宋体" w:hAnsi="宋体" w:eastAsia="宋体" w:cs="Times New Roman"/>
                <w:b w:val="0"/>
                <w:bCs w:val="0"/>
                <w:kern w:val="0"/>
                <w:sz w:val="24"/>
                <w:szCs w:val="24"/>
              </w:rPr>
            </w:pPr>
          </w:p>
        </w:tc>
      </w:tr>
    </w:tbl>
    <w:p w14:paraId="5C0B1A37">
      <w:pPr>
        <w:pageBreakBefore w:val="0"/>
        <w:kinsoku/>
        <w:overflowPunct/>
        <w:topLinePunct/>
        <w:autoSpaceDE/>
        <w:autoSpaceDN/>
        <w:bidi w:val="0"/>
        <w:spacing w:after="0"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注：</w:t>
      </w:r>
    </w:p>
    <w:p w14:paraId="30F9846D">
      <w:pPr>
        <w:pageBreakBefore w:val="0"/>
        <w:kinsoku/>
        <w:overflowPunct/>
        <w:topLinePunct/>
        <w:autoSpaceDE/>
        <w:autoSpaceDN/>
        <w:bidi w:val="0"/>
        <w:spacing w:after="0" w:line="360" w:lineRule="auto"/>
        <w:ind w:left="0" w:firstLine="480" w:firstLineChars="200"/>
        <w:rPr>
          <w:rFonts w:hint="eastAsia" w:ascii="宋体" w:hAnsi="宋体" w:eastAsia="宋体" w:cs="宋体"/>
          <w:b w:val="0"/>
          <w:bCs w:val="0"/>
          <w:kern w:val="2"/>
          <w:sz w:val="24"/>
          <w:szCs w:val="24"/>
        </w:rPr>
      </w:pPr>
      <w:r>
        <w:rPr>
          <w:rFonts w:hint="eastAsia" w:ascii="宋体" w:hAnsi="宋体" w:eastAsia="宋体" w:cs="宋体"/>
          <w:b w:val="0"/>
          <w:bCs w:val="0"/>
          <w:kern w:val="2"/>
          <w:sz w:val="24"/>
          <w:szCs w:val="24"/>
        </w:rPr>
        <w:t>（1）以上产品设备，不具有限制性和排他性；</w:t>
      </w:r>
    </w:p>
    <w:p w14:paraId="6F5A1845">
      <w:pPr>
        <w:pageBreakBefore w:val="0"/>
        <w:kinsoku/>
        <w:overflowPunct/>
        <w:topLinePunct/>
        <w:autoSpaceDE/>
        <w:autoSpaceDN/>
        <w:bidi w:val="0"/>
        <w:spacing w:after="0" w:line="360" w:lineRule="auto"/>
        <w:ind w:left="0" w:firstLine="480" w:firstLineChars="200"/>
        <w:rPr>
          <w:rFonts w:hint="default" w:ascii="Times New Roman" w:hAnsi="Times New Roman" w:eastAsia="宋体" w:cs="宋体"/>
          <w:b w:val="0"/>
          <w:bCs w:val="0"/>
          <w:kern w:val="0"/>
          <w:sz w:val="24"/>
          <w:szCs w:val="24"/>
        </w:rPr>
      </w:pPr>
      <w:r>
        <w:rPr>
          <w:rFonts w:hint="eastAsia" w:ascii="宋体" w:hAnsi="宋体" w:eastAsia="宋体" w:cs="宋体"/>
          <w:b w:val="0"/>
          <w:bCs w:val="0"/>
          <w:kern w:val="2"/>
          <w:sz w:val="24"/>
          <w:szCs w:val="24"/>
        </w:rPr>
        <w:t>（2）供应商可选用不低于以上品牌技术性能指标的其他品牌；采用其他品牌的应在响应文件中注明并提供相关技术性能指标等供磋商小组评审，未在响应文件中注明或未提供相关技术性能指标，或经磋商小组评审未通过的，成交后成交供应商只能从采购人以上品牌中进行选择，合同价格不予调整。</w:t>
      </w:r>
    </w:p>
    <w:p w14:paraId="6FC986A2">
      <w:pPr>
        <w:keepNext/>
        <w:keepLines/>
        <w:widowControl w:val="0"/>
        <w:spacing w:before="0" w:after="0" w:line="360" w:lineRule="auto"/>
        <w:jc w:val="both"/>
        <w:outlineLvl w:val="1"/>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五、其他要求</w:t>
      </w:r>
    </w:p>
    <w:p w14:paraId="65C7255C">
      <w:pPr>
        <w:spacing w:line="360" w:lineRule="auto"/>
        <w:ind w:firstLine="480" w:firstLineChars="200"/>
        <w:rPr>
          <w:rFonts w:hint="eastAsia" w:ascii="宋体" w:hAnsi="宋体" w:eastAsia="宋体" w:cs="宋体"/>
          <w:b w:val="0"/>
          <w:bCs/>
          <w:kern w:val="0"/>
          <w:sz w:val="24"/>
          <w:szCs w:val="24"/>
        </w:rPr>
      </w:pPr>
      <w:r>
        <w:rPr>
          <w:rFonts w:hint="eastAsia" w:ascii="宋体" w:hAnsi="宋体" w:eastAsia="宋体" w:cs="宋体"/>
          <w:b w:val="0"/>
          <w:bCs/>
          <w:kern w:val="0"/>
          <w:sz w:val="24"/>
          <w:szCs w:val="24"/>
        </w:rPr>
        <w:t>成交供应商订货的电缆材料进场后，须在采购人见证下进行抽样，由具备检验资质的检验机构检验并出具检验报告，检测费由采购人支付。如存在检测质量不合格，该部分费用由成交供应商支付。</w:t>
      </w:r>
    </w:p>
    <w:p w14:paraId="6EFF9E4D">
      <w:pPr>
        <w:keepNext/>
        <w:keepLines/>
        <w:widowControl w:val="0"/>
        <w:spacing w:before="0" w:after="0" w:line="360" w:lineRule="auto"/>
        <w:ind w:firstLine="0" w:firstLineChars="0"/>
        <w:jc w:val="both"/>
        <w:outlineLvl w:val="1"/>
        <w:rPr>
          <w:rFonts w:ascii="宋体" w:hAnsi="宋体" w:eastAsia="宋体" w:cs="宋体"/>
          <w:b/>
          <w:bCs/>
          <w:kern w:val="2"/>
          <w:sz w:val="24"/>
          <w:szCs w:val="24"/>
          <w:lang w:val="zh-CN" w:eastAsia="zh-CN" w:bidi="ar-SA"/>
        </w:rPr>
      </w:pPr>
      <w:r>
        <w:rPr>
          <w:rFonts w:hint="eastAsia" w:ascii="宋体" w:hAnsi="宋体" w:eastAsia="宋体" w:cs="宋体"/>
          <w:b/>
          <w:bCs/>
          <w:kern w:val="2"/>
          <w:sz w:val="24"/>
          <w:szCs w:val="24"/>
          <w:lang w:val="en-US" w:eastAsia="zh-CN" w:bidi="ar-SA"/>
        </w:rPr>
        <w:t>六、</w:t>
      </w:r>
      <w:r>
        <w:rPr>
          <w:rFonts w:hint="eastAsia" w:ascii="宋体" w:hAnsi="宋体" w:eastAsia="宋体" w:cs="宋体"/>
          <w:b/>
          <w:bCs/>
          <w:kern w:val="2"/>
          <w:sz w:val="24"/>
          <w:szCs w:val="24"/>
          <w:lang w:val="zh-CN" w:eastAsia="zh-CN" w:bidi="ar-SA"/>
        </w:rPr>
        <w:t>工程量清单</w:t>
      </w:r>
      <w:bookmarkEnd w:id="20"/>
    </w:p>
    <w:bookmarkEnd w:id="21"/>
    <w:p w14:paraId="04F3ACA3">
      <w:r>
        <w:rPr>
          <w:rFonts w:hint="eastAsia" w:ascii="宋体" w:hAnsi="宋体" w:eastAsia="宋体" w:cs="宋体"/>
          <w:b/>
          <w:color w:val="auto"/>
          <w:sz w:val="24"/>
          <w:szCs w:val="24"/>
          <w:lang w:val="en-US" w:eastAsia="zh-CN" w:bidi="ar-SA"/>
        </w:rPr>
        <w:t>另行发放。如工程量清单中涉及证明材料，供应商无须提供。如工程量清单中出现特定性、唯一性品牌的表述，该品牌仅作为参考，施工过程中不具有限定性。</w:t>
      </w:r>
      <w:bookmarkStart w:id="22" w:name="_GoBack"/>
      <w:bookmarkEnd w:id="2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2265D9"/>
    <w:rsid w:val="10394623"/>
    <w:rsid w:val="302265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eastAsia" w:eastAsia="仿宋" w:asciiTheme="minorHAnsi" w:hAnsiTheme="minorHAnsi" w:cstheme="minorBidi"/>
      <w:b/>
      <w:bCs/>
      <w:kern w:val="2"/>
      <w:sz w:val="28"/>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网格型2"/>
    <w:unhideWhenUsed/>
    <w:qFormat/>
    <w:uiPriority w:val="59"/>
    <w:rPr>
      <w:rFonts w:ascii="Calibri" w:hAnsi="Calibri" w:eastAsia="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2025-09-30T02:54:00Z</dcterms:created>
  <dc:creator>admin</dc:creator>
  <cp:lastModifiedBy>admin</cp:lastModifiedBy>
  <dcterms:modified xsi:type="dcterms:W3CDTF">2025-09-30T02:54:57Z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897BBC567C8A4A7F835A7A51CF18C66B_11</vt:lpwstr>
  </property>
  <property fmtid="{D5CDD505-2E9C-101B-9397-08002B2CF9AE}" pid="4" name="KSOTemplateDocerSaveRecord">
    <vt:lpwstr>eyJoZGlkIjoiNGMwMTQ4YTY5ZjhmMzQyYzc0YTE3NTkyOGVmODk0MTIiLCJ1c2VySWQiOiI2OTIxNzQ3NjMifQ==</vt:lpwstr>
  </property>
</Properties>
</file>