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56975D">
      <w:pPr>
        <w:numPr>
          <w:numId w:val="0"/>
        </w:numPr>
        <w:spacing w:line="360" w:lineRule="auto"/>
        <w:jc w:val="center"/>
        <w:outlineLvl w:val="0"/>
        <w:rPr>
          <w:rFonts w:hint="eastAsia" w:asciiTheme="minorEastAsia" w:hAnsiTheme="minorEastAsia" w:eastAsiaTheme="minorEastAsia" w:cstheme="minorEastAsia"/>
          <w:b/>
          <w:color w:val="auto"/>
          <w:sz w:val="28"/>
          <w:highlight w:val="none"/>
          <w:lang w:eastAsia="zh-CN"/>
        </w:rPr>
      </w:pPr>
      <w:bookmarkStart w:id="10" w:name="_GoBack"/>
      <w:bookmarkStart w:id="0" w:name="_Toc22605"/>
      <w:r>
        <w:rPr>
          <w:rFonts w:hint="eastAsia" w:asciiTheme="minorEastAsia" w:hAnsiTheme="minorEastAsia" w:eastAsiaTheme="minorEastAsia" w:cstheme="minorEastAsia"/>
          <w:b/>
          <w:color w:val="auto"/>
          <w:sz w:val="28"/>
          <w:highlight w:val="none"/>
        </w:rPr>
        <w:t>采购需求</w:t>
      </w:r>
      <w:bookmarkEnd w:id="0"/>
    </w:p>
    <w:bookmarkEnd w:id="10"/>
    <w:p w14:paraId="6A5DD3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b/>
          <w:color w:val="auto"/>
          <w:sz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4"/>
          <w:highlight w:val="none"/>
        </w:rPr>
        <w:t>前注：</w:t>
      </w:r>
    </w:p>
    <w:p w14:paraId="055322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35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本采购需求中提出的服务方案仅为参考，如无明确限制，投标人可以进行优化，提供满足采购人实际需要的更优（或者性能实质上不低于的）服务方案，且此方案须经评标委员会评审认可。</w:t>
      </w:r>
    </w:p>
    <w:p w14:paraId="1B2FF7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2.政府采购政策（包括但不限于下列具体政策要求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：</w:t>
      </w:r>
    </w:p>
    <w:p w14:paraId="5C5786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（1）如属于《节能产品政府采购品目清单》中政府强制采购的节能产品，则投标人所投产品须具有市场监管总局公布的《参与实施政府采购节能产品认证机构目录》中的认证机构出具的、处于有效期内的节能产品认证证书。</w:t>
      </w:r>
    </w:p>
    <w:p w14:paraId="64B27F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（2）如涉及商品包装和快递包装，投标人应当执行《关于印发〈商品包装政府采购需求标准（试行）〉、〈快递包装政府采购需求标准（试行）〉的通知》（财办库〔2020〕123号）、《安徽省财政厅关于贯彻落实政府绿色采购有关政策的通知》（皖财购〔2023〕853号）的要求，提供符合需求标准的绿色包装、绿色运输，同时，采购人将对包装材料和运输环节作为履约验收条款进行验收。</w:t>
      </w:r>
    </w:p>
    <w:p w14:paraId="08BF27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18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3.如采购人允许采用分包方式履行合同的，应当明确可以分包履行的相关内容。</w:t>
      </w:r>
    </w:p>
    <w:p w14:paraId="04C4E1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37"/>
        <w:textAlignment w:val="auto"/>
        <w:outlineLvl w:val="1"/>
        <w:rPr>
          <w:rFonts w:hint="eastAsia" w:asciiTheme="minorEastAsia" w:hAnsiTheme="minorEastAsia" w:eastAsiaTheme="minorEastAsia" w:cstheme="minorEastAsia"/>
          <w:b/>
          <w:color w:val="auto"/>
          <w:sz w:val="24"/>
          <w:szCs w:val="18"/>
          <w:highlight w:val="none"/>
        </w:rPr>
      </w:pPr>
      <w:bookmarkStart w:id="1" w:name="_Toc4148"/>
      <w:bookmarkStart w:id="2" w:name="_Toc21798"/>
      <w:bookmarkStart w:id="3" w:name="_Hlk23621890"/>
      <w:r>
        <w:rPr>
          <w:rFonts w:hint="eastAsia" w:asciiTheme="minorEastAsia" w:hAnsiTheme="minorEastAsia" w:eastAsiaTheme="minorEastAsia" w:cstheme="minorEastAsia"/>
          <w:b/>
          <w:color w:val="auto"/>
          <w:sz w:val="24"/>
          <w:szCs w:val="18"/>
          <w:highlight w:val="none"/>
        </w:rPr>
        <w:t>一、采购需求前附表</w:t>
      </w:r>
      <w:bookmarkEnd w:id="1"/>
      <w:bookmarkEnd w:id="2"/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6"/>
        <w:gridCol w:w="2032"/>
        <w:gridCol w:w="5484"/>
      </w:tblGrid>
      <w:tr w14:paraId="4D85B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90" w:type="pct"/>
            <w:vAlign w:val="center"/>
          </w:tcPr>
          <w:p w14:paraId="05142892">
            <w:pPr>
              <w:pStyle w:val="6"/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textAlignment w:val="auto"/>
              <w:rPr>
                <w:rFonts w:hint="eastAsia" w:asciiTheme="minorEastAsia" w:hAnsiTheme="minorEastAsia" w:eastAsiaTheme="minorEastAsia" w:cstheme="minorEastAsia"/>
                <w:b/>
                <w:color w:val="auto"/>
                <w:kern w:val="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kern w:val="2"/>
                <w:highlight w:val="none"/>
              </w:rPr>
              <w:t>序号</w:t>
            </w:r>
          </w:p>
        </w:tc>
        <w:tc>
          <w:tcPr>
            <w:tcW w:w="1192" w:type="pct"/>
            <w:vAlign w:val="center"/>
          </w:tcPr>
          <w:p w14:paraId="3383168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00" w:lineRule="auto"/>
              <w:textAlignment w:val="auto"/>
              <w:rPr>
                <w:rFonts w:hint="eastAsia" w:asciiTheme="minorEastAsia" w:hAnsiTheme="minorEastAsia" w:eastAsiaTheme="minorEastAsia" w:cstheme="minorEastAsia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 w:val="0"/>
                <w:color w:val="auto"/>
                <w:sz w:val="24"/>
                <w:highlight w:val="none"/>
              </w:rPr>
              <w:t>条款名称</w:t>
            </w:r>
          </w:p>
        </w:tc>
        <w:tc>
          <w:tcPr>
            <w:tcW w:w="3217" w:type="pct"/>
            <w:vAlign w:val="center"/>
          </w:tcPr>
          <w:p w14:paraId="58F5938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00" w:lineRule="auto"/>
              <w:textAlignment w:val="auto"/>
              <w:rPr>
                <w:rFonts w:hint="eastAsia" w:asciiTheme="minorEastAsia" w:hAnsiTheme="minorEastAsia" w:eastAsiaTheme="minorEastAsia" w:cstheme="minorEastAsia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 w:val="0"/>
                <w:color w:val="auto"/>
                <w:sz w:val="24"/>
                <w:highlight w:val="none"/>
              </w:rPr>
              <w:t>内容、说明与要求</w:t>
            </w:r>
          </w:p>
        </w:tc>
      </w:tr>
      <w:tr w14:paraId="33237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90" w:type="pct"/>
            <w:vAlign w:val="center"/>
          </w:tcPr>
          <w:p w14:paraId="33BE52A7">
            <w:pPr>
              <w:pStyle w:val="6"/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kern w:val="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kern w:val="2"/>
                <w:highlight w:val="none"/>
              </w:rPr>
              <w:t>1</w:t>
            </w:r>
          </w:p>
        </w:tc>
        <w:tc>
          <w:tcPr>
            <w:tcW w:w="1192" w:type="pct"/>
            <w:vAlign w:val="center"/>
          </w:tcPr>
          <w:p w14:paraId="1BFE8AA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00" w:lineRule="auto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auto"/>
                <w:sz w:val="24"/>
                <w:highlight w:val="none"/>
              </w:rPr>
              <w:t>付款方式</w:t>
            </w:r>
          </w:p>
        </w:tc>
        <w:tc>
          <w:tcPr>
            <w:tcW w:w="3217" w:type="pct"/>
            <w:vAlign w:val="center"/>
          </w:tcPr>
          <w:p w14:paraId="73B802E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0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auto"/>
                <w:sz w:val="24"/>
                <w:highlight w:val="none"/>
                <w:u w:val="none"/>
              </w:rPr>
              <w:t>合同签订后预付合同金额的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color w:val="auto"/>
                <w:sz w:val="24"/>
                <w:highlight w:val="none"/>
                <w:u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color w:val="auto"/>
                <w:sz w:val="24"/>
                <w:highlight w:val="none"/>
                <w:u w:val="none"/>
              </w:rPr>
              <w:t>0%，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color w:val="auto"/>
                <w:sz w:val="24"/>
                <w:highlight w:val="none"/>
                <w:u w:val="none"/>
                <w:lang w:val="en-US" w:eastAsia="zh-CN"/>
              </w:rPr>
              <w:t>经采购人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color w:val="auto"/>
                <w:sz w:val="24"/>
                <w:highlight w:val="none"/>
                <w:u w:val="none"/>
              </w:rPr>
              <w:t>验收合格后，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color w:val="auto"/>
                <w:sz w:val="24"/>
                <w:highlight w:val="none"/>
                <w:u w:val="none"/>
                <w:lang w:val="en-US" w:eastAsia="zh-CN"/>
              </w:rPr>
              <w:t>一次性付清合同价款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color w:val="auto"/>
                <w:sz w:val="24"/>
                <w:highlight w:val="none"/>
                <w:u w:val="none"/>
              </w:rPr>
              <w:t>。</w:t>
            </w:r>
          </w:p>
        </w:tc>
      </w:tr>
      <w:tr w14:paraId="56E57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90" w:type="pct"/>
            <w:vAlign w:val="center"/>
          </w:tcPr>
          <w:p w14:paraId="49EC4161">
            <w:pPr>
              <w:pStyle w:val="6"/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kern w:val="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kern w:val="2"/>
                <w:highlight w:val="none"/>
              </w:rPr>
              <w:t>2</w:t>
            </w:r>
          </w:p>
        </w:tc>
        <w:tc>
          <w:tcPr>
            <w:tcW w:w="1192" w:type="pct"/>
            <w:vAlign w:val="center"/>
          </w:tcPr>
          <w:p w14:paraId="1C182C6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00" w:lineRule="auto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auto"/>
                <w:sz w:val="24"/>
                <w:highlight w:val="none"/>
              </w:rPr>
              <w:t>服务地点</w:t>
            </w:r>
          </w:p>
        </w:tc>
        <w:tc>
          <w:tcPr>
            <w:tcW w:w="3217" w:type="pct"/>
            <w:vAlign w:val="center"/>
          </w:tcPr>
          <w:p w14:paraId="3F86AE3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0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auto"/>
                <w:sz w:val="24"/>
                <w:highlight w:val="none"/>
                <w:u w:val="none"/>
              </w:rPr>
              <w:t>安徽省武术拳击运动管理中心，具体按采购人指定地点。</w:t>
            </w:r>
          </w:p>
        </w:tc>
      </w:tr>
      <w:tr w14:paraId="436CD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90" w:type="pct"/>
            <w:vAlign w:val="center"/>
          </w:tcPr>
          <w:p w14:paraId="527C3119">
            <w:pPr>
              <w:pStyle w:val="6"/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kern w:val="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kern w:val="2"/>
                <w:highlight w:val="none"/>
              </w:rPr>
              <w:t>3</w:t>
            </w:r>
          </w:p>
        </w:tc>
        <w:tc>
          <w:tcPr>
            <w:tcW w:w="1192" w:type="pct"/>
            <w:vAlign w:val="center"/>
          </w:tcPr>
          <w:p w14:paraId="616F356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00" w:lineRule="auto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auto"/>
                <w:sz w:val="24"/>
                <w:highlight w:val="none"/>
              </w:rPr>
              <w:t>服务期限</w:t>
            </w:r>
          </w:p>
        </w:tc>
        <w:tc>
          <w:tcPr>
            <w:tcW w:w="3217" w:type="pct"/>
            <w:vAlign w:val="center"/>
          </w:tcPr>
          <w:p w14:paraId="70AF4A4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0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auto"/>
                <w:sz w:val="24"/>
                <w:highlight w:val="none"/>
              </w:rPr>
              <w:t>合同签订后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color w:val="auto"/>
                <w:sz w:val="24"/>
                <w:highlight w:val="none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color w:val="auto"/>
                <w:sz w:val="24"/>
                <w:highlight w:val="none"/>
              </w:rPr>
              <w:t>2026年12月31日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color w:val="auto"/>
                <w:sz w:val="24"/>
                <w:highlight w:val="none"/>
                <w:lang w:val="en-US" w:eastAsia="zh-CN"/>
              </w:rPr>
              <w:t>之前完成所有工作内容</w:t>
            </w:r>
          </w:p>
        </w:tc>
      </w:tr>
      <w:tr w14:paraId="4FB50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90" w:type="pct"/>
            <w:vAlign w:val="center"/>
          </w:tcPr>
          <w:p w14:paraId="569363AF">
            <w:pPr>
              <w:pStyle w:val="6"/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kern w:val="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kern w:val="2"/>
                <w:highlight w:val="none"/>
                <w:lang w:val="en-US" w:eastAsia="zh-CN"/>
              </w:rPr>
              <w:t>4</w:t>
            </w:r>
          </w:p>
        </w:tc>
        <w:tc>
          <w:tcPr>
            <w:tcW w:w="1192" w:type="pct"/>
            <w:vAlign w:val="center"/>
          </w:tcPr>
          <w:p w14:paraId="51BB34F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00" w:lineRule="auto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auto"/>
                <w:sz w:val="24"/>
                <w:highlight w:val="none"/>
              </w:rPr>
              <w:t>本项目采购标的名称及所属行业</w:t>
            </w:r>
          </w:p>
        </w:tc>
        <w:tc>
          <w:tcPr>
            <w:tcW w:w="3217" w:type="pct"/>
            <w:vAlign w:val="center"/>
          </w:tcPr>
          <w:p w14:paraId="74EDA2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  <w:t>标的名称：2026年安徽省武术拳击运动管理中心青少年体育比赛承办服务</w:t>
            </w:r>
          </w:p>
          <w:p w14:paraId="5625FD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  <w:t>所属行业：其他未列明行业</w:t>
            </w:r>
          </w:p>
        </w:tc>
      </w:tr>
      <w:bookmarkEnd w:id="3"/>
    </w:tbl>
    <w:p w14:paraId="5949C8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2" w:firstLineChars="200"/>
        <w:textAlignment w:val="auto"/>
        <w:outlineLvl w:val="1"/>
        <w:rPr>
          <w:rFonts w:hint="eastAsia" w:asciiTheme="minorEastAsia" w:hAnsiTheme="minorEastAsia" w:eastAsiaTheme="minorEastAsia" w:cstheme="minorEastAsia"/>
          <w:b/>
          <w:color w:val="auto"/>
          <w:sz w:val="24"/>
          <w:szCs w:val="18"/>
          <w:highlight w:val="none"/>
        </w:rPr>
      </w:pPr>
      <w:bookmarkStart w:id="4" w:name="_Toc8753"/>
      <w:r>
        <w:rPr>
          <w:rFonts w:hint="eastAsia" w:asciiTheme="minorEastAsia" w:hAnsiTheme="minorEastAsia" w:eastAsiaTheme="minorEastAsia" w:cstheme="minorEastAsia"/>
          <w:b/>
          <w:color w:val="auto"/>
          <w:sz w:val="24"/>
          <w:szCs w:val="18"/>
          <w:highlight w:val="none"/>
          <w:lang w:val="en-US" w:eastAsia="zh-CN"/>
        </w:rPr>
        <w:t>二、</w:t>
      </w:r>
      <w:r>
        <w:rPr>
          <w:rFonts w:hint="eastAsia" w:asciiTheme="minorEastAsia" w:hAnsiTheme="minorEastAsia" w:eastAsiaTheme="minorEastAsia" w:cstheme="minorEastAsia"/>
          <w:b/>
          <w:color w:val="auto"/>
          <w:sz w:val="24"/>
          <w:szCs w:val="18"/>
          <w:highlight w:val="none"/>
        </w:rPr>
        <w:t>项目概况</w:t>
      </w:r>
      <w:bookmarkEnd w:id="4"/>
    </w:p>
    <w:p w14:paraId="75476DF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left="0" w:leftChars="0" w:right="74" w:firstLine="48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highlight w:val="none"/>
          <w:lang w:val="en-US" w:eastAsia="zh-CN" w:bidi="ar-SA"/>
        </w:rPr>
        <w:t>为加强后备人才梯队建设培养优秀运动员，安徽省武术拳击运动管理中心拟开展全省青少年比赛承办服务，采购一家供应商为本项目提供2026年安徽省青少年拳击锦标赛、2026年安徽省青少年武术散打锦标赛、2026年安徽省青少年武术套路锦标赛、2026年安徽省青少年跆拳道锦标赛赛事服务。</w:t>
      </w:r>
    </w:p>
    <w:p w14:paraId="09E0A4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482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二、比赛参加人数和比赛天数</w:t>
      </w:r>
    </w:p>
    <w:p w14:paraId="1BE11EAA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left="0" w:leftChars="0" w:right="0" w:firstLine="48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highlight w:val="none"/>
          <w:lang w:val="en-US" w:eastAsia="zh-CN" w:bidi="ar-SA"/>
        </w:rPr>
        <w:t>安徽省青少年拳击锦标赛裁判员、工作人员约60人，运动队约500人，比赛天数为8天（含运动队报到天数）。</w:t>
      </w:r>
    </w:p>
    <w:p w14:paraId="65656C50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left="0" w:leftChars="0" w:right="0" w:firstLine="48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highlight w:val="none"/>
          <w:lang w:val="en-US" w:eastAsia="zh-CN" w:bidi="ar-SA"/>
        </w:rPr>
        <w:t>安徽省青少年跆拳道锦标赛裁判员、工作人员约60人，运动队约500人，比赛天数为7天（含运动队报到天数）。</w:t>
      </w:r>
    </w:p>
    <w:p w14:paraId="2840BFD9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left="0" w:leftChars="0" w:right="0" w:firstLine="48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highlight w:val="none"/>
          <w:lang w:val="en-US" w:eastAsia="zh-CN" w:bidi="ar-SA"/>
        </w:rPr>
        <w:t>安徽省青少年武术散打锦标赛裁判员、工作人员约60人，运动队约600人，比赛天数为7天（含运动队报到天数）。</w:t>
      </w:r>
    </w:p>
    <w:p w14:paraId="500A55BA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left="0" w:leftChars="0" w:right="0" w:firstLine="48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highlight w:val="none"/>
          <w:lang w:val="en-US" w:eastAsia="zh-CN" w:bidi="ar-SA"/>
        </w:rPr>
        <w:t>安徽省青少年武术套路锦标赛裁判员、工作人员约80人，运动队约600人，比赛天数为7天（含运动队报到天数）。</w:t>
      </w:r>
    </w:p>
    <w:p w14:paraId="39AFA4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482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三、比赛举办时间</w:t>
      </w:r>
    </w:p>
    <w:p w14:paraId="6C0DC1A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left="0" w:leftChars="0" w:right="74" w:firstLine="48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color w:val="auto"/>
          <w:sz w:val="24"/>
          <w:szCs w:val="1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highlight w:val="none"/>
          <w:lang w:val="en-US" w:eastAsia="zh-CN" w:bidi="ar-SA"/>
        </w:rPr>
        <w:t>比赛举办时间以采购人指定为准。</w:t>
      </w:r>
      <w:bookmarkStart w:id="5" w:name="_Toc13016"/>
      <w:bookmarkStart w:id="6" w:name="_Toc27920"/>
    </w:p>
    <w:p w14:paraId="4B19054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2" w:firstLineChars="200"/>
        <w:textAlignment w:val="auto"/>
        <w:outlineLvl w:val="1"/>
        <w:rPr>
          <w:rFonts w:hint="eastAsia" w:asciiTheme="minorEastAsia" w:hAnsiTheme="minorEastAsia" w:eastAsiaTheme="minorEastAsia" w:cstheme="minorEastAsia"/>
          <w:b/>
          <w:color w:val="auto"/>
          <w:sz w:val="24"/>
          <w:szCs w:val="1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4"/>
          <w:szCs w:val="18"/>
          <w:highlight w:val="none"/>
          <w:lang w:val="en-US" w:eastAsia="zh-CN"/>
        </w:rPr>
        <w:t>四、服务需求</w:t>
      </w:r>
      <w:bookmarkEnd w:id="5"/>
      <w:bookmarkEnd w:id="6"/>
    </w:p>
    <w:p w14:paraId="0BF750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482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  <w:highlight w:val="none"/>
          <w:lang w:val="en-US" w:eastAsia="zh-CN"/>
        </w:rPr>
        <w:t>（一）比赛器材设施条件要求（投标人提供的配备的器材设施所属权归投标人）</w:t>
      </w:r>
    </w:p>
    <w:p w14:paraId="7B5583C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left="0" w:leftChars="0" w:right="74" w:firstLine="482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1、场地要求</w:t>
      </w:r>
    </w:p>
    <w:p w14:paraId="050BD92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left="0" w:leftChars="0" w:right="74" w:firstLine="48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highlight w:val="none"/>
          <w:lang w:val="en-US" w:eastAsia="zh-CN" w:bidi="ar-SA"/>
        </w:rPr>
        <w:t>（1）比赛场馆：场地要求为室内体育馆，比赛场地面积不少于1000平方米，长宽不低于30米，有</w:t>
      </w:r>
      <w:r>
        <w:rPr>
          <w:rFonts w:hint="eastAsia" w:asciiTheme="minorEastAsia" w:hAnsiTheme="minorEastAsia" w:eastAsiaTheme="minorEastAsia" w:cstheme="minorEastAsia"/>
          <w:color w:val="auto"/>
          <w:highlight w:val="none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highlight w:val="none"/>
          <w:lang w:val="en-US" w:eastAsia="zh-CN" w:bidi="ar-SA"/>
        </w:rPr>
        <w:t>间运动员更衣室，裁判员休息室、检录口等。</w:t>
      </w:r>
    </w:p>
    <w:p w14:paraId="3DDE329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left="0" w:leftChars="0" w:right="74" w:firstLine="48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highlight w:val="none"/>
          <w:lang w:val="en-US" w:eastAsia="zh-CN" w:bidi="ar-SA"/>
        </w:rPr>
        <w:t>其中拳击不少于2个标准比赛擂台；跆拳道不少于2块比赛地垫；武术散打不少于2个标准比赛擂台；武术套路不少于3块比赛地垫。</w:t>
      </w:r>
    </w:p>
    <w:p w14:paraId="465D19F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left="0" w:leftChars="0" w:right="74" w:firstLine="48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highlight w:val="none"/>
          <w:lang w:val="en-US" w:eastAsia="zh-CN" w:bidi="ar-SA"/>
        </w:rPr>
        <w:t>（2）训练场馆：室内训练馆，比赛主场馆不到3分钟步行距离，面积不低于600平方米。</w:t>
      </w:r>
    </w:p>
    <w:p w14:paraId="65869FE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left="0" w:leftChars="0" w:right="74" w:firstLine="48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highlight w:val="none"/>
          <w:lang w:val="en-US" w:eastAsia="zh-CN" w:bidi="ar-SA"/>
        </w:rPr>
        <w:t>其中拳击、跆拳道、武术散打项目训练场馆需铺设不低于400平方米保护地垫；武术套路项目训练场馆铺设不少于3块训练地垫。</w:t>
      </w:r>
    </w:p>
    <w:p w14:paraId="146B73B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left="0" w:leftChars="0" w:right="74" w:firstLine="48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highlight w:val="none"/>
          <w:lang w:val="en-US" w:eastAsia="zh-CN" w:bidi="ar-SA"/>
        </w:rPr>
        <w:t>如因中标人提供的场地不符合国家法定安全标准，导致赛事被叫停或发生安全事故的，一切法律后果及经济赔偿责任均由中标人独立承担，采购人不承担连带责任。</w:t>
      </w:r>
    </w:p>
    <w:p w14:paraId="3A25C6D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left="0" w:leftChars="0" w:right="74" w:firstLine="482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2、配备器材要求</w:t>
      </w:r>
    </w:p>
    <w:p w14:paraId="36113AB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left="0" w:leftChars="0" w:right="74" w:firstLine="482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2.1拳击项目</w:t>
      </w:r>
    </w:p>
    <w:p w14:paraId="03A09CA3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left="0" w:leftChars="0" w:right="74" w:rightChars="0" w:firstLine="48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lang w:val="en-US" w:eastAsia="zh-CN" w:bidi="ar-SA"/>
        </w:rPr>
        <w:t>（1）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highlight w:val="none"/>
          <w:lang w:val="en-US" w:eastAsia="zh-CN" w:bidi="ar-SA"/>
        </w:rPr>
        <w:t>拳击头盔（全封闭护耳，红/蓝，S/M/L码）60个；</w:t>
      </w:r>
    </w:p>
    <w:p w14:paraId="02879900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left="0" w:leftChars="0" w:right="74" w:rightChars="0" w:firstLine="48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lang w:val="en-US" w:eastAsia="zh-CN" w:bidi="ar-SA"/>
        </w:rPr>
        <w:t>（2）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highlight w:val="none"/>
          <w:lang w:val="en-US" w:eastAsia="zh-CN" w:bidi="ar-SA"/>
        </w:rPr>
        <w:t>拳击手套（按组别配盎司数，统一品牌型号）80副；</w:t>
      </w:r>
    </w:p>
    <w:p w14:paraId="5C529B8A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left="0" w:leftChars="0" w:right="74" w:rightChars="0" w:firstLine="48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lang w:val="en-US" w:eastAsia="zh-CN" w:bidi="ar-SA"/>
        </w:rPr>
        <w:t>（3）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highlight w:val="none"/>
          <w:lang w:val="en-US" w:eastAsia="zh-CN" w:bidi="ar-SA"/>
        </w:rPr>
        <w:t>急救箱（含碘伏、纱布、绷带、创可贴、止血带等）2个；</w:t>
      </w:r>
    </w:p>
    <w:p w14:paraId="7FDF5DE4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left="0" w:leftChars="0" w:right="74" w:rightChars="0" w:firstLine="48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lang w:val="en-US" w:eastAsia="zh-CN" w:bidi="ar-SA"/>
        </w:rPr>
        <w:t>（4）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highlight w:val="none"/>
          <w:lang w:val="en-US" w:eastAsia="zh-CN" w:bidi="ar-SA"/>
        </w:rPr>
        <w:t>AED自动体外除颤器2个；</w:t>
      </w:r>
    </w:p>
    <w:p w14:paraId="17AC6A0E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left="0" w:leftChars="0" w:right="74" w:rightChars="0" w:firstLine="48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lang w:val="en-US" w:eastAsia="zh-CN" w:bidi="ar-SA"/>
        </w:rPr>
        <w:t>（5）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highlight w:val="none"/>
          <w:lang w:val="en-US" w:eastAsia="zh-CN" w:bidi="ar-SA"/>
        </w:rPr>
        <w:t>医用手套500个；</w:t>
      </w:r>
    </w:p>
    <w:p w14:paraId="4BADF79F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left="0" w:leftChars="0" w:right="74" w:rightChars="0" w:firstLine="48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lang w:val="en-US" w:eastAsia="zh-CN" w:bidi="ar-SA"/>
        </w:rPr>
        <w:t>（6）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highlight w:val="none"/>
          <w:lang w:val="en-US" w:eastAsia="zh-CN" w:bidi="ar-SA"/>
        </w:rPr>
        <w:t>体重秤（校准）4台；</w:t>
      </w:r>
    </w:p>
    <w:p w14:paraId="0B8F0B52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left="0" w:leftChars="0" w:right="74" w:rightChars="0" w:firstLine="48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lang w:val="en-US" w:eastAsia="zh-CN" w:bidi="ar-SA"/>
        </w:rPr>
        <w:t>（7）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highlight w:val="none"/>
          <w:lang w:val="en-US" w:eastAsia="zh-CN" w:bidi="ar-SA"/>
        </w:rPr>
        <w:t>卷尺（检查拳台、围绳高度）2个；</w:t>
      </w:r>
    </w:p>
    <w:p w14:paraId="7AF758AF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left="0" w:leftChars="0" w:right="74" w:rightChars="0" w:firstLine="48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lang w:val="en-US" w:eastAsia="zh-CN" w:bidi="ar-SA"/>
        </w:rPr>
        <w:t>（8）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highlight w:val="none"/>
          <w:lang w:val="en-US" w:eastAsia="zh-CN" w:bidi="ar-SA"/>
        </w:rPr>
        <w:t>电子计时计分系统1套，含裁判终端、显示屏；</w:t>
      </w:r>
    </w:p>
    <w:p w14:paraId="7A1B3819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left="0" w:leftChars="0" w:right="74" w:rightChars="0" w:firstLine="48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lang w:val="en-US" w:eastAsia="zh-CN" w:bidi="ar-SA"/>
        </w:rPr>
        <w:t>（9）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highlight w:val="none"/>
          <w:lang w:val="en-US" w:eastAsia="zh-CN" w:bidi="ar-SA"/>
        </w:rPr>
        <w:t>音响一套、摄像机2台、电视机6台、编排记录电脑2台、打印机2台、复印机2台、对讲机4台及其他必要比赛器材。</w:t>
      </w:r>
    </w:p>
    <w:p w14:paraId="55523B5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left="0" w:leftChars="0" w:right="74" w:firstLine="482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2.2跆拳道项目</w:t>
      </w:r>
    </w:p>
    <w:p w14:paraId="7AB69514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left="0" w:leftChars="0" w:right="74" w:rightChars="0" w:firstLine="48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lang w:val="en-US" w:eastAsia="zh-CN" w:bidi="ar-SA"/>
        </w:rPr>
        <w:t>（1）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highlight w:val="none"/>
          <w:lang w:val="en-US" w:eastAsia="zh-CN" w:bidi="ar-SA"/>
        </w:rPr>
        <w:t>电子护具20套；</w:t>
      </w:r>
    </w:p>
    <w:p w14:paraId="0A475A40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left="0" w:leftChars="0" w:right="74" w:rightChars="0" w:firstLine="48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lang w:val="en-US" w:eastAsia="zh-CN" w:bidi="ar-SA"/>
        </w:rPr>
        <w:t>（2）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highlight w:val="none"/>
          <w:lang w:val="en-US" w:eastAsia="zh-CN" w:bidi="ar-SA"/>
        </w:rPr>
        <w:t>急救箱（含碘伏、纱布、绷带、创可贴、止血带等）2个；</w:t>
      </w:r>
    </w:p>
    <w:p w14:paraId="7ECFBCCC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left="0" w:leftChars="0" w:right="74" w:rightChars="0" w:firstLine="48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lang w:val="en-US" w:eastAsia="zh-CN" w:bidi="ar-SA"/>
        </w:rPr>
        <w:t>（3）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highlight w:val="none"/>
          <w:lang w:val="en-US" w:eastAsia="zh-CN" w:bidi="ar-SA"/>
        </w:rPr>
        <w:t>AED自动体外除颤器2个；</w:t>
      </w:r>
    </w:p>
    <w:p w14:paraId="0FAC9BAF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left="0" w:leftChars="0" w:right="74" w:rightChars="0" w:firstLine="48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lang w:val="en-US" w:eastAsia="zh-CN" w:bidi="ar-SA"/>
        </w:rPr>
        <w:t>（4）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highlight w:val="none"/>
          <w:lang w:val="en-US" w:eastAsia="zh-CN" w:bidi="ar-SA"/>
        </w:rPr>
        <w:t>体重秤（校准）4台；</w:t>
      </w:r>
    </w:p>
    <w:p w14:paraId="58573FB0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left="0" w:leftChars="0" w:right="74" w:rightChars="0" w:firstLine="48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lang w:val="en-US" w:eastAsia="zh-CN" w:bidi="ar-SA"/>
        </w:rPr>
        <w:t>（5）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highlight w:val="none"/>
          <w:lang w:val="en-US" w:eastAsia="zh-CN" w:bidi="ar-SA"/>
        </w:rPr>
        <w:t>电子计时计分系统1套，含裁判终端、显示屏；</w:t>
      </w:r>
    </w:p>
    <w:p w14:paraId="53EF0E60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left="0" w:leftChars="0" w:right="74" w:rightChars="0" w:firstLine="48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lang w:val="en-US" w:eastAsia="zh-CN" w:bidi="ar-SA"/>
        </w:rPr>
        <w:t>（6）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highlight w:val="none"/>
          <w:lang w:val="en-US" w:eastAsia="zh-CN" w:bidi="ar-SA"/>
        </w:rPr>
        <w:t>音响一套、摄像机2台、电视机6台、编排记录电脑2台、打印机2台、复印机2台、对讲机4台及其他必要比赛器材。</w:t>
      </w:r>
    </w:p>
    <w:p w14:paraId="29B9C0B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left="0" w:leftChars="0" w:right="74" w:firstLine="482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2.3武术散打项目</w:t>
      </w:r>
    </w:p>
    <w:p w14:paraId="67236BAC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left="0" w:leftChars="0" w:right="74" w:rightChars="0" w:firstLine="48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lang w:val="en-US" w:eastAsia="zh-CN" w:bidi="ar-SA"/>
        </w:rPr>
        <w:t>（1）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highlight w:val="none"/>
          <w:lang w:val="en-US" w:eastAsia="zh-CN" w:bidi="ar-SA"/>
        </w:rPr>
        <w:t>散打头盔（全封闭护耳，红/蓝，S/M/L码）60个；</w:t>
      </w:r>
    </w:p>
    <w:p w14:paraId="4A03AC03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left="0" w:leftChars="0" w:right="74" w:rightChars="0" w:firstLine="48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lang w:val="en-US" w:eastAsia="zh-CN" w:bidi="ar-SA"/>
        </w:rPr>
        <w:t>（2）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highlight w:val="none"/>
          <w:lang w:val="en-US" w:eastAsia="zh-CN" w:bidi="ar-SA"/>
        </w:rPr>
        <w:t>散打手套（按组别配盎司数）80副；</w:t>
      </w:r>
    </w:p>
    <w:p w14:paraId="571F1B46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left="0" w:leftChars="0" w:right="74" w:rightChars="0" w:firstLine="48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lang w:val="en-US" w:eastAsia="zh-CN" w:bidi="ar-SA"/>
        </w:rPr>
        <w:t>（3）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highlight w:val="none"/>
          <w:lang w:val="en-US" w:eastAsia="zh-CN" w:bidi="ar-SA"/>
        </w:rPr>
        <w:t>急救箱（含碘伏、纱布、绷带、创可贴、止血带等）2个；</w:t>
      </w:r>
    </w:p>
    <w:p w14:paraId="5A810729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left="0" w:leftChars="0" w:right="74" w:rightChars="0" w:firstLine="48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lang w:val="en-US" w:eastAsia="zh-CN" w:bidi="ar-SA"/>
        </w:rPr>
        <w:t>（4）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highlight w:val="none"/>
          <w:lang w:val="en-US" w:eastAsia="zh-CN" w:bidi="ar-SA"/>
        </w:rPr>
        <w:t>AED自动体外除颤器2个；</w:t>
      </w:r>
    </w:p>
    <w:p w14:paraId="2AD617EB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left="0" w:leftChars="0" w:right="74" w:rightChars="0" w:firstLine="48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lang w:val="en-US" w:eastAsia="zh-CN" w:bidi="ar-SA"/>
        </w:rPr>
        <w:t>（5）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highlight w:val="none"/>
          <w:lang w:val="en-US" w:eastAsia="zh-CN" w:bidi="ar-SA"/>
        </w:rPr>
        <w:t>体重秤（校准）4台；</w:t>
      </w:r>
    </w:p>
    <w:p w14:paraId="56223993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left="0" w:leftChars="0" w:right="74" w:rightChars="0" w:firstLine="48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lang w:val="en-US" w:eastAsia="zh-CN" w:bidi="ar-SA"/>
        </w:rPr>
        <w:t>（6）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highlight w:val="none"/>
          <w:lang w:val="en-US" w:eastAsia="zh-CN" w:bidi="ar-SA"/>
        </w:rPr>
        <w:t>卷尺（检查拳台、围绳高度）2个；</w:t>
      </w:r>
    </w:p>
    <w:p w14:paraId="7A120898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left="0" w:leftChars="0" w:right="74" w:rightChars="0" w:firstLine="48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lang w:val="en-US" w:eastAsia="zh-CN" w:bidi="ar-SA"/>
        </w:rPr>
        <w:t>（7）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highlight w:val="none"/>
          <w:lang w:val="en-US" w:eastAsia="zh-CN" w:bidi="ar-SA"/>
        </w:rPr>
        <w:t>电子计时计分系统1套，含裁判终端、显示屏；</w:t>
      </w:r>
    </w:p>
    <w:p w14:paraId="537B008E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left="0" w:leftChars="0" w:right="74" w:rightChars="0" w:firstLine="48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lang w:val="en-US" w:eastAsia="zh-CN" w:bidi="ar-SA"/>
        </w:rPr>
        <w:t>（8）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highlight w:val="none"/>
          <w:lang w:val="en-US" w:eastAsia="zh-CN" w:bidi="ar-SA"/>
        </w:rPr>
        <w:t>音响一套、摄像机2台、电视机6台、编排记录电脑2台、打印机2台、复印机2台、对讲机4台及其他必要比赛器材。</w:t>
      </w:r>
    </w:p>
    <w:p w14:paraId="462E5C9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left="0" w:leftChars="0" w:right="74" w:firstLine="482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2.4武术套路项目</w:t>
      </w:r>
    </w:p>
    <w:p w14:paraId="3D7760D9">
      <w:pPr>
        <w:pStyle w:val="2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left="0" w:leftChars="0" w:right="74" w:firstLine="48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highlight w:val="none"/>
          <w:lang w:val="en-US" w:eastAsia="zh-CN" w:bidi="ar-SA"/>
        </w:rPr>
        <w:t>急救箱（含碘伏、纱布、绷带、创可贴、止血带等）2个；</w:t>
      </w:r>
    </w:p>
    <w:p w14:paraId="4EE5ECA7">
      <w:pPr>
        <w:pStyle w:val="2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left="0" w:leftChars="0" w:right="74" w:firstLine="48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highlight w:val="none"/>
          <w:lang w:val="en-US" w:eastAsia="zh-CN" w:bidi="ar-SA"/>
        </w:rPr>
        <w:t>AED自动体外除颤器2个；</w:t>
      </w:r>
    </w:p>
    <w:p w14:paraId="064DEE48">
      <w:pPr>
        <w:pStyle w:val="2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left="0" w:leftChars="0" w:right="74" w:firstLine="48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highlight w:val="none"/>
          <w:lang w:val="en-US" w:eastAsia="zh-CN" w:bidi="ar-SA"/>
        </w:rPr>
        <w:t>电子计时计分系统1套，含裁判终端、显示屏；</w:t>
      </w:r>
    </w:p>
    <w:p w14:paraId="36CF4F7E">
      <w:pPr>
        <w:pStyle w:val="2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left="0" w:leftChars="0" w:right="74" w:firstLine="48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highlight w:val="none"/>
          <w:lang w:val="en-US" w:eastAsia="zh-CN" w:bidi="ar-SA"/>
        </w:rPr>
        <w:t>音响一套、摄像机2台、电视机6台、编排记录电脑2台、打印机2台、复印机2台、对讲机4台及其他必要比赛器材。</w:t>
      </w:r>
    </w:p>
    <w:p w14:paraId="12C3A45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left="0" w:leftChars="0" w:right="74" w:firstLine="482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3、裁判设备要求</w:t>
      </w:r>
    </w:p>
    <w:p w14:paraId="182C85F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left="0" w:leftChars="0" w:right="74" w:firstLine="48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highlight w:val="none"/>
          <w:lang w:val="en-US" w:eastAsia="zh-CN" w:bidi="ar-SA"/>
        </w:rPr>
        <w:t>裁判电子系统由中标单位提供，中标单位负责支付技术服务费用及工作人员食宿、车旅、劳务费。</w:t>
      </w:r>
    </w:p>
    <w:p w14:paraId="4B82BA8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left="0" w:leftChars="0" w:firstLine="482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kern w:val="2"/>
          <w:sz w:val="24"/>
          <w:szCs w:val="24"/>
          <w:highlight w:val="none"/>
          <w:lang w:val="en-US" w:eastAsia="zh-CN" w:bidi="ar-SA"/>
        </w:rPr>
        <w:t>（二）裁判、竞赛辅助人员选调、酬金及组织实施能力要求</w:t>
      </w:r>
    </w:p>
    <w:p w14:paraId="37AEC09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left="0" w:leftChars="0" w:right="74" w:firstLine="48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highlight w:val="none"/>
          <w:lang w:val="en-US" w:eastAsia="zh-CN" w:bidi="ar-SA"/>
        </w:rPr>
        <w:t>1、根据比赛需要，保障比赛所需的工作人员、辅助人员和志愿者。</w:t>
      </w:r>
    </w:p>
    <w:p w14:paraId="656C1FB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left="0" w:leftChars="0" w:right="74" w:firstLine="48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highlight w:val="none"/>
          <w:lang w:val="en-US" w:eastAsia="zh-CN" w:bidi="ar-SA"/>
        </w:rPr>
        <w:t>2、裁判员差旅费用由中标供应商承担，包含在本项目投标报价中，采购人不再另行支付费用。</w:t>
      </w:r>
    </w:p>
    <w:p w14:paraId="10CC319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left="0" w:leftChars="0" w:right="74" w:firstLine="48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highlight w:val="none"/>
          <w:lang w:val="en-US" w:eastAsia="zh-CN" w:bidi="ar-SA"/>
        </w:rPr>
        <w:t>3、裁判员及工作人员酬金由中标人承担，包含在本项目投标报价中，采购人不再另行支付费用。工作人员酬金为每人每天300-350元、仲裁主任和裁判长酬金为每人每天450-550元，仲裁委员和副裁判长酬金为每人每天400-450元、裁判员酬金为每人每天300-350元。</w:t>
      </w:r>
    </w:p>
    <w:p w14:paraId="2062EC8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left="0" w:leftChars="0" w:firstLine="482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kern w:val="2"/>
          <w:sz w:val="24"/>
          <w:szCs w:val="24"/>
          <w:highlight w:val="none"/>
          <w:lang w:val="en-US" w:eastAsia="zh-CN" w:bidi="ar-SA"/>
        </w:rPr>
        <w:t>（三）医疗及应急能力</w:t>
      </w:r>
    </w:p>
    <w:p w14:paraId="311B79B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left="0" w:leftChars="0" w:right="74" w:firstLine="48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highlight w:val="none"/>
          <w:lang w:val="en-US" w:eastAsia="zh-CN" w:bidi="ar-SA"/>
        </w:rPr>
        <w:t>1、比赛期间，赛场外应安排救护车一辆；</w:t>
      </w:r>
    </w:p>
    <w:p w14:paraId="481AD6D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left="0" w:leftChars="0" w:right="74" w:firstLine="48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highlight w:val="none"/>
          <w:lang w:val="en-US" w:eastAsia="zh-CN" w:bidi="ar-SA"/>
        </w:rPr>
        <w:t>2、比赛及赛前训练期间，场地内应配备1名医生（具有医师资格证书）、1名护士（具有护士资格证书），配备AED和相关急救药品。</w:t>
      </w:r>
    </w:p>
    <w:p w14:paraId="30DDF7C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left="0" w:leftChars="0" w:firstLine="482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kern w:val="2"/>
          <w:sz w:val="24"/>
          <w:szCs w:val="24"/>
          <w:highlight w:val="none"/>
          <w:lang w:val="en-US" w:eastAsia="zh-CN" w:bidi="ar-SA"/>
        </w:rPr>
        <w:t>（四）食宿标准及条件</w:t>
      </w:r>
    </w:p>
    <w:p w14:paraId="3F264CD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left="0" w:leftChars="0" w:right="74" w:firstLine="48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highlight w:val="none"/>
          <w:lang w:val="en-US" w:eastAsia="zh-CN" w:bidi="ar-SA"/>
        </w:rPr>
        <w:t>1、比赛接待宾馆应当干净、卫生、安全，有空调；就餐条件应达到卫生B类及以上。</w:t>
      </w:r>
    </w:p>
    <w:p w14:paraId="45C62D5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left="0" w:leftChars="0" w:right="74" w:firstLine="48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highlight w:val="none"/>
          <w:lang w:val="en-US" w:eastAsia="zh-CN" w:bidi="ar-SA"/>
        </w:rPr>
        <w:t>2、裁判员及竞赛工作人员应安排标准间；运动队领队、教练员及其他工作人员应安排标准间；运动员应安排标准间。</w:t>
      </w:r>
    </w:p>
    <w:p w14:paraId="18A7BA3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left="0" w:leftChars="0" w:right="74" w:firstLine="48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highlight w:val="none"/>
          <w:lang w:val="en-US" w:eastAsia="zh-CN" w:bidi="ar-SA"/>
        </w:rPr>
        <w:t>3、伙食标准不得低于80元/人/天。中餐、晚餐菜品不得少于6个。</w:t>
      </w:r>
    </w:p>
    <w:p w14:paraId="75DD815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left="0" w:leftChars="0" w:firstLine="482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kern w:val="2"/>
          <w:sz w:val="24"/>
          <w:szCs w:val="24"/>
          <w:highlight w:val="none"/>
          <w:lang w:val="en-US" w:eastAsia="zh-CN" w:bidi="ar-SA"/>
        </w:rPr>
        <w:t>（五）经费预算总额</w:t>
      </w:r>
    </w:p>
    <w:p w14:paraId="17C8856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left="0" w:leftChars="0" w:right="74" w:firstLine="48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highlight w:val="none"/>
          <w:u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highlight w:val="none"/>
          <w:lang w:val="en-US" w:eastAsia="zh-CN" w:bidi="ar-SA"/>
        </w:rPr>
        <w:t>1、本项目预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highlight w:val="none"/>
          <w:u w:val="none"/>
          <w:lang w:val="en-US" w:eastAsia="zh-CN" w:bidi="ar-SA"/>
        </w:rPr>
        <w:t>算为225.598万元，用于四项比赛所涉及到的裁判员、工作人员食宿支出和劳务费用，以及638名运动员(拳击锦标赛150名、跆拳道锦标赛150名、武术散打锦标赛150名、武术套路锦标赛188名)住宿补贴。</w:t>
      </w:r>
    </w:p>
    <w:p w14:paraId="26C5F37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left="0" w:leftChars="0" w:right="74" w:firstLine="48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highlight w:val="none"/>
          <w:u w:val="none"/>
          <w:lang w:val="en-US" w:eastAsia="zh-CN" w:bidi="ar-SA"/>
        </w:rPr>
        <w:t>2、中标单位可向参赛代表队收取食宿费，其中享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highlight w:val="none"/>
          <w:lang w:val="en-US" w:eastAsia="zh-CN" w:bidi="ar-SA"/>
        </w:rPr>
        <w:t>受住宿补贴运动员每人每天伙食费80元，其他参赛人员每人每天食宿费不超过200元。</w:t>
      </w:r>
    </w:p>
    <w:p w14:paraId="4E4082B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left="0" w:leftChars="0" w:right="74" w:firstLine="48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highlight w:val="none"/>
          <w:lang w:val="en-US" w:eastAsia="zh-CN" w:bidi="ar-SA"/>
        </w:rPr>
        <w:t>3、赛事中标单位可根据赛区用车情况，收取赛区交通费，最高不得超过50元/人。</w:t>
      </w:r>
    </w:p>
    <w:p w14:paraId="359E43B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left="0" w:leftChars="0" w:firstLine="482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kern w:val="2"/>
          <w:sz w:val="24"/>
          <w:szCs w:val="24"/>
          <w:highlight w:val="none"/>
          <w:lang w:val="en-US" w:eastAsia="zh-CN" w:bidi="ar-SA"/>
        </w:rPr>
        <w:t>（六）无形资产开发</w:t>
      </w:r>
    </w:p>
    <w:p w14:paraId="15FBF62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left="0" w:leftChars="0" w:right="74" w:firstLine="48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highlight w:val="none"/>
          <w:lang w:val="en-US" w:eastAsia="zh-CN" w:bidi="ar-SA"/>
        </w:rPr>
        <w:t>各项比赛无形资产开发权属于采购人，中标人或承办单位进行无形资产开发应与采购人协商。严禁中标人未经书面许可，擅自将采购人名称用于商业赞助招商或与本项目无关的宣传。</w:t>
      </w:r>
    </w:p>
    <w:p w14:paraId="5B19CDA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left="0" w:leftChars="0" w:firstLine="482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kern w:val="2"/>
          <w:sz w:val="24"/>
          <w:szCs w:val="24"/>
          <w:highlight w:val="none"/>
          <w:lang w:val="en-US" w:eastAsia="zh-CN" w:bidi="ar-SA"/>
        </w:rPr>
        <w:t>（七）其他要求</w:t>
      </w:r>
    </w:p>
    <w:p w14:paraId="792783B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left="0" w:leftChars="0" w:right="74" w:firstLine="48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highlight w:val="none"/>
          <w:lang w:val="en-US" w:eastAsia="zh-CN" w:bidi="ar-SA"/>
        </w:rPr>
        <w:t>1、中标单位应为参赛单位提供比赛秩序册、成绩册各2份。</w:t>
      </w:r>
    </w:p>
    <w:p w14:paraId="3EE557B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left="0" w:leftChars="0" w:right="74" w:firstLine="48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highlight w:val="none"/>
          <w:lang w:val="en-US" w:eastAsia="zh-CN" w:bidi="ar-SA"/>
        </w:rPr>
        <w:t>2、比赛结束后15天内，中标单位须将比赛工作总结2份，秩序册、成绩册各10份（A4幅面和秩序册、成绩册含封面PDF版）送交省体育局青少年体育处。</w:t>
      </w:r>
    </w:p>
    <w:p w14:paraId="082B379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left="0" w:leftChars="0" w:right="74" w:firstLine="48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highlight w:val="none"/>
          <w:lang w:val="en-US" w:eastAsia="zh-CN" w:bidi="ar-SA"/>
        </w:rPr>
        <w:t>3、比赛结束后15天内，中标单位须将比赛秩序册、成绩册各2份寄各市体育行政部门。</w:t>
      </w:r>
    </w:p>
    <w:p w14:paraId="1C4EC43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left="0" w:leftChars="0" w:right="74" w:firstLine="48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highlight w:val="none"/>
          <w:lang w:val="en-US" w:eastAsia="zh-CN" w:bidi="ar-SA"/>
        </w:rPr>
        <w:t>4、中标人收集的未成年人敏感个人信息仅用于本次赛事。赛事结束后30日内，中标人必须彻底销毁相关数据，并向采购人出具销毁证明。若发生数据泄露，中标人承担全部维权费用及法定罚款。</w:t>
      </w:r>
    </w:p>
    <w:p w14:paraId="7EF7B2D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left="0" w:leftChars="0" w:right="74" w:firstLine="48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highlight w:val="none"/>
          <w:lang w:val="en-US" w:eastAsia="zh-CN" w:bidi="ar-SA"/>
        </w:rPr>
        <w:t>5、中标人须为本次赛事购买公众责任险，并为所有参赛选手及工作人员购买意外伤害险。因未足额投保或未投保导致的纠纷及赔偿责任，全部由中标人承担。</w:t>
      </w:r>
    </w:p>
    <w:p w14:paraId="21F4513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37" w:leftChars="0"/>
        <w:textAlignment w:val="auto"/>
        <w:outlineLvl w:val="1"/>
        <w:rPr>
          <w:rFonts w:hint="eastAsia" w:asciiTheme="minorEastAsia" w:hAnsiTheme="minorEastAsia" w:eastAsiaTheme="minorEastAsia" w:cstheme="minorEastAsia"/>
          <w:b/>
          <w:color w:val="auto"/>
          <w:sz w:val="24"/>
          <w:szCs w:val="18"/>
          <w:highlight w:val="none"/>
        </w:rPr>
      </w:pPr>
      <w:bookmarkStart w:id="7" w:name="bookmark4"/>
      <w:bookmarkEnd w:id="7"/>
      <w:bookmarkStart w:id="8" w:name="_Toc20717"/>
      <w:bookmarkStart w:id="9" w:name="_Toc16414"/>
      <w:r>
        <w:rPr>
          <w:rFonts w:hint="eastAsia" w:asciiTheme="minorEastAsia" w:hAnsiTheme="minorEastAsia" w:eastAsiaTheme="minorEastAsia" w:cstheme="minorEastAsia"/>
          <w:b/>
          <w:color w:val="auto"/>
          <w:sz w:val="24"/>
          <w:szCs w:val="18"/>
          <w:highlight w:val="none"/>
          <w:lang w:val="en-US" w:eastAsia="zh-CN"/>
        </w:rPr>
        <w:t>五、</w:t>
      </w:r>
      <w:r>
        <w:rPr>
          <w:rFonts w:hint="eastAsia" w:asciiTheme="minorEastAsia" w:hAnsiTheme="minorEastAsia" w:eastAsiaTheme="minorEastAsia" w:cstheme="minorEastAsia"/>
          <w:b/>
          <w:color w:val="auto"/>
          <w:sz w:val="24"/>
          <w:szCs w:val="18"/>
          <w:highlight w:val="none"/>
        </w:rPr>
        <w:t>报价要求</w:t>
      </w:r>
      <w:bookmarkEnd w:id="8"/>
      <w:bookmarkEnd w:id="9"/>
    </w:p>
    <w:p w14:paraId="052175E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left="0" w:leftChars="0" w:right="74" w:firstLine="48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highlight w:val="none"/>
          <w:lang w:val="en-US" w:eastAsia="zh-CN" w:bidi="ar-SA"/>
        </w:rPr>
        <w:t>本项目报总价，投标人的投标报价包括提供服务的一切成本和费用、管理费、利润和税金，以及采购合同中明示或暗示的所有责任、义务和风险。采购人后期不再另行支付其他费用，中标单位自行考虑报价风险。</w:t>
      </w:r>
    </w:p>
    <w:p w14:paraId="14CD016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@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@微软简标宋">
    <w:altName w:val="@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94FFA2"/>
    <w:multiLevelType w:val="singleLevel"/>
    <w:tmpl w:val="5A94FFA2"/>
    <w:lvl w:ilvl="0" w:tentative="0">
      <w:start w:val="1"/>
      <w:numFmt w:val="decimal"/>
      <w:suff w:val="nothing"/>
      <w:lvlText w:val="%1."/>
      <w:lvlJc w:val="left"/>
      <w:pPr>
        <w:ind w:left="0" w:leftChars="0" w:firstLine="0" w:firstLineChars="0"/>
      </w:pPr>
      <w:rPr>
        <w:rFonts w:hint="default"/>
      </w:rPr>
    </w:lvl>
  </w:abstractNum>
  <w:abstractNum w:abstractNumId="1">
    <w:nsid w:val="6312328C"/>
    <w:multiLevelType w:val="singleLevel"/>
    <w:tmpl w:val="6312328C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6E1047"/>
    <w:rsid w:val="316E1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@仿宋_GB2312" w:hAnsi="@仿宋_GB2312" w:eastAsia="@仿宋_GB2312" w:cs="@仿宋_GB2312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ascii="@微软简标宋" w:hAnsi="@微软简标宋" w:eastAsia="@微软简标宋" w:cs="@微软简标宋"/>
      <w:szCs w:val="24"/>
      <w:lang w:val="zh-CN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D&amp;L"/>
    <w:basedOn w:val="3"/>
    <w:autoRedefine/>
    <w:qFormat/>
    <w:uiPriority w:val="0"/>
    <w:pPr>
      <w:pBdr>
        <w:bottom w:val="thinThickSmallGap" w:color="auto" w:sz="18" w:space="1"/>
      </w:pBdr>
      <w:adjustRightInd w:val="0"/>
      <w:snapToGrid/>
      <w:spacing w:line="240" w:lineRule="atLeast"/>
      <w:textAlignment w:val="baseline"/>
    </w:pPr>
    <w:rPr>
      <w:kern w:val="0"/>
      <w:sz w:val="24"/>
      <w:szCs w:val="20"/>
    </w:rPr>
  </w:style>
  <w:style w:type="paragraph" w:customStyle="1" w:styleId="7">
    <w:name w:val="xl31"/>
    <w:basedOn w:val="1"/>
    <w:autoRedefine/>
    <w:qFormat/>
    <w:uiPriority w:val="0"/>
    <w:pPr>
      <w:widowControl/>
      <w:spacing w:before="100" w:beforeAutospacing="1" w:after="100" w:afterAutospacing="1"/>
      <w:jc w:val="center"/>
    </w:pPr>
    <w:rPr>
      <w:b/>
      <w:bCs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2026-04-29T09:44:00Z</dcterms:created>
  <dc:creator>早川</dc:creator>
  <cp:lastModifiedBy>早川</cp:lastModifiedBy>
  <dcterms:modified xsi:type="dcterms:W3CDTF">2026-04-29T09:44:58Z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A196F6A450D9481B835F7A09A40811C7_11</vt:lpwstr>
  </property>
  <property fmtid="{D5CDD505-2E9C-101B-9397-08002B2CF9AE}" pid="4" name="KSOTemplateDocerSaveRecord">
    <vt:lpwstr>eyJoZGlkIjoiMjkxZTE2NGE4YTFkYjA2ZDQ2ZWIzNWU4MDNhOGEyODciLCJ1c2VySWQiOiI2ODEyNDY0NzEifQ==</vt:lpwstr>
  </property>
</Properties>
</file>