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29A95">
      <w:pPr>
        <w:spacing w:line="360" w:lineRule="auto"/>
        <w:jc w:val="center"/>
        <w:outlineLvl w:val="0"/>
        <w:rPr>
          <w:rFonts w:hint="eastAsia" w:ascii="宋体" w:hAnsi="宋体" w:eastAsia="宋体" w:cs="@仿宋_GB2312"/>
          <w:b/>
          <w:color w:val="auto"/>
          <w:sz w:val="28"/>
          <w:szCs w:val="20"/>
          <w:highlight w:val="none"/>
          <w:lang w:eastAsia="zh-CN"/>
        </w:rPr>
      </w:pPr>
      <w:r>
        <w:rPr>
          <w:rFonts w:hint="eastAsia" w:ascii="宋体" w:hAnsi="宋体" w:eastAsia="宋体" w:cs="@仿宋_GB2312"/>
          <w:b/>
          <w:color w:val="auto"/>
          <w:sz w:val="28"/>
          <w:szCs w:val="20"/>
          <w:highlight w:val="none"/>
        </w:rPr>
        <w:t>采购需求</w:t>
      </w:r>
    </w:p>
    <w:p w14:paraId="0D9E3639">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eastAsia="宋体" w:cs="@仿宋_GB2312"/>
          <w:b/>
          <w:color w:val="auto"/>
          <w:sz w:val="21"/>
          <w:szCs w:val="21"/>
          <w:highlight w:val="none"/>
        </w:rPr>
      </w:pPr>
      <w:r>
        <w:rPr>
          <w:rFonts w:hint="eastAsia" w:ascii="宋体" w:hAnsi="宋体" w:eastAsia="宋体" w:cs="@仿宋_GB2312"/>
          <w:b/>
          <w:color w:val="auto"/>
          <w:sz w:val="21"/>
          <w:szCs w:val="21"/>
          <w:highlight w:val="none"/>
        </w:rPr>
        <w:t>前注：</w:t>
      </w:r>
    </w:p>
    <w:p w14:paraId="648A9894">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1.</w:t>
      </w:r>
      <w:r>
        <w:rPr>
          <w:rFonts w:ascii="宋体" w:hAnsi="宋体" w:eastAsia="宋体" w:cs="@仿宋_GB2312"/>
          <w:color w:val="auto"/>
          <w:sz w:val="21"/>
          <w:szCs w:val="21"/>
          <w:highlight w:val="none"/>
        </w:rPr>
        <w:t>根据《</w:t>
      </w:r>
      <w:r>
        <w:rPr>
          <w:rFonts w:hint="eastAsia" w:ascii="宋体" w:hAnsi="宋体" w:eastAsia="宋体" w:cs="@仿宋_GB2312"/>
          <w:color w:val="auto"/>
          <w:sz w:val="21"/>
          <w:szCs w:val="21"/>
          <w:highlight w:val="none"/>
        </w:rPr>
        <w:t>政府采购进口产品管理办法</w:t>
      </w:r>
      <w:r>
        <w:rPr>
          <w:rFonts w:ascii="宋体" w:hAnsi="宋体" w:eastAsia="宋体" w:cs="@仿宋_GB2312"/>
          <w:color w:val="auto"/>
          <w:sz w:val="21"/>
          <w:szCs w:val="21"/>
          <w:highlight w:val="none"/>
        </w:rPr>
        <w:t>》及政府采购管理部门的相关规定，下列采购需求中</w:t>
      </w:r>
      <w:r>
        <w:rPr>
          <w:rFonts w:hint="eastAsia" w:ascii="宋体" w:hAnsi="宋体" w:eastAsia="宋体" w:cs="@仿宋_GB2312"/>
          <w:color w:val="auto"/>
          <w:sz w:val="21"/>
          <w:szCs w:val="21"/>
          <w:highlight w:val="none"/>
        </w:rPr>
        <w:t>标注进口产品的货物均</w:t>
      </w:r>
      <w:r>
        <w:rPr>
          <w:rFonts w:ascii="宋体" w:hAnsi="宋体" w:eastAsia="宋体" w:cs="@仿宋_GB2312"/>
          <w:color w:val="auto"/>
          <w:sz w:val="21"/>
          <w:szCs w:val="21"/>
          <w:highlight w:val="none"/>
        </w:rPr>
        <w:t>已履行相关论证手续，经核准采购进口</w:t>
      </w:r>
      <w:r>
        <w:rPr>
          <w:rFonts w:hint="eastAsia" w:ascii="宋体" w:hAnsi="宋体" w:eastAsia="宋体" w:cs="@仿宋_GB2312"/>
          <w:color w:val="auto"/>
          <w:sz w:val="21"/>
          <w:szCs w:val="21"/>
          <w:highlight w:val="none"/>
        </w:rPr>
        <w:t>产品</w:t>
      </w:r>
      <w:r>
        <w:rPr>
          <w:rFonts w:ascii="宋体" w:hAnsi="宋体" w:eastAsia="宋体" w:cs="@仿宋_GB2312"/>
          <w:color w:val="auto"/>
          <w:sz w:val="21"/>
          <w:szCs w:val="21"/>
          <w:highlight w:val="none"/>
        </w:rPr>
        <w:t>，但不限制满足招标文件要求的国内产品参与竞争</w:t>
      </w:r>
      <w:r>
        <w:rPr>
          <w:rFonts w:hint="eastAsia" w:ascii="宋体" w:hAnsi="宋体" w:eastAsia="宋体" w:cs="@仿宋_GB2312"/>
          <w:color w:val="auto"/>
          <w:sz w:val="21"/>
          <w:szCs w:val="21"/>
          <w:highlight w:val="none"/>
        </w:rPr>
        <w:t>。未标注进口产品的货物均</w:t>
      </w:r>
      <w:r>
        <w:rPr>
          <w:rFonts w:ascii="宋体" w:hAnsi="宋体" w:eastAsia="宋体" w:cs="@仿宋_GB2312"/>
          <w:color w:val="auto"/>
          <w:sz w:val="21"/>
          <w:szCs w:val="21"/>
          <w:highlight w:val="none"/>
        </w:rPr>
        <w:t>为拒绝采购进口产品</w:t>
      </w:r>
      <w:r>
        <w:rPr>
          <w:rFonts w:hint="eastAsia" w:ascii="宋体" w:hAnsi="宋体" w:eastAsia="宋体" w:cs="@仿宋_GB2312"/>
          <w:color w:val="auto"/>
          <w:sz w:val="21"/>
          <w:szCs w:val="21"/>
          <w:highlight w:val="none"/>
        </w:rPr>
        <w:t>。</w:t>
      </w:r>
    </w:p>
    <w:p w14:paraId="3D19009F">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w:t>
      </w:r>
      <w:r>
        <w:rPr>
          <w:rFonts w:hint="eastAsia" w:ascii="宋体" w:hAnsi="宋体" w:eastAsia="宋体" w:cs="@仿宋_GB2312"/>
          <w:color w:val="auto"/>
          <w:sz w:val="21"/>
          <w:szCs w:val="21"/>
          <w:highlight w:val="none"/>
          <w:lang w:eastAsia="zh-CN"/>
        </w:rPr>
        <w:t>.</w:t>
      </w:r>
      <w:r>
        <w:rPr>
          <w:rFonts w:ascii="宋体" w:hAnsi="宋体" w:eastAsia="宋体" w:cs="宋体"/>
          <w:color w:val="auto"/>
          <w:sz w:val="21"/>
          <w:szCs w:val="21"/>
          <w:highlight w:val="none"/>
        </w:rPr>
        <w:t>政府采购政策（包括但不限于下列具体政策要求</w:t>
      </w:r>
      <w:r>
        <w:rPr>
          <w:rFonts w:hint="eastAsia" w:ascii="宋体" w:hAnsi="宋体" w:eastAsia="宋体" w:cs="宋体"/>
          <w:color w:val="auto"/>
          <w:sz w:val="21"/>
          <w:szCs w:val="21"/>
          <w:highlight w:val="none"/>
          <w:lang w:eastAsia="zh-CN"/>
        </w:rPr>
        <w:t>）</w:t>
      </w:r>
      <w:r>
        <w:rPr>
          <w:rFonts w:hint="eastAsia" w:ascii="宋体" w:hAnsi="宋体" w:eastAsia="宋体" w:cs="@仿宋_GB2312"/>
          <w:color w:val="auto"/>
          <w:sz w:val="21"/>
          <w:szCs w:val="21"/>
          <w:highlight w:val="none"/>
        </w:rPr>
        <w:t>：</w:t>
      </w:r>
    </w:p>
    <w:p w14:paraId="471EC60B">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仿宋_GB2312"/>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仿宋_GB2312"/>
          <w:color w:val="auto"/>
          <w:sz w:val="21"/>
          <w:szCs w:val="21"/>
          <w:highlight w:val="none"/>
        </w:rPr>
        <w:t>如采购人允许采用分包方式履行合同的，应当明确可以分包履行的相关内容。</w:t>
      </w:r>
    </w:p>
    <w:p w14:paraId="0A603A90">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default"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val="en-US" w:eastAsia="zh-CN"/>
        </w:rPr>
        <w:t>4.下列采购需求中：标注▲的产品为核心产品（主要中标标的）。</w:t>
      </w:r>
    </w:p>
    <w:p w14:paraId="30B0ED3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
          <w:color w:val="auto"/>
          <w:sz w:val="21"/>
          <w:szCs w:val="21"/>
          <w:highlight w:val="none"/>
        </w:rPr>
      </w:pPr>
      <w:bookmarkStart w:id="0" w:name="_Toc9011"/>
      <w:bookmarkStart w:id="1" w:name="_Toc32151"/>
      <w:bookmarkStart w:id="2" w:name="_Toc2554"/>
      <w:r>
        <w:rPr>
          <w:rFonts w:hint="eastAsia" w:ascii="宋体" w:hAnsi="宋体" w:eastAsia="宋体" w:cs="@仿宋_GB2312"/>
          <w:b/>
          <w:color w:val="auto"/>
          <w:sz w:val="21"/>
          <w:szCs w:val="21"/>
          <w:highlight w:val="none"/>
        </w:rPr>
        <w:t>一、采购需求前附表</w:t>
      </w:r>
      <w:bookmarkEnd w:id="0"/>
      <w:bookmarkEnd w:id="1"/>
      <w:bookmarkEnd w:id="2"/>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1749"/>
        <w:gridCol w:w="5767"/>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color w:val="auto"/>
                <w:kern w:val="2"/>
                <w:sz w:val="21"/>
                <w:szCs w:val="21"/>
                <w:highlight w:val="none"/>
                <w:lang w:val="en-US" w:eastAsia="zh-CN" w:bidi="ar-SA"/>
              </w:rPr>
            </w:pPr>
            <w:r>
              <w:rPr>
                <w:rFonts w:hint="eastAsia" w:ascii="宋体" w:hAnsi="宋体" w:eastAsia="宋体" w:cs="@仿宋_GB2312"/>
                <w:b/>
                <w:color w:val="auto"/>
                <w:kern w:val="2"/>
                <w:sz w:val="21"/>
                <w:szCs w:val="21"/>
                <w:highlight w:val="none"/>
                <w:lang w:val="en-US" w:eastAsia="zh-CN" w:bidi="ar-SA"/>
              </w:rPr>
              <w:t>序号</w:t>
            </w:r>
          </w:p>
        </w:tc>
        <w:tc>
          <w:tcPr>
            <w:tcW w:w="1026" w:type="pct"/>
            <w:vAlign w:val="center"/>
          </w:tcPr>
          <w:p w14:paraId="200C6B6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bCs w:val="0"/>
                <w:color w:val="auto"/>
                <w:kern w:val="0"/>
                <w:sz w:val="21"/>
                <w:szCs w:val="21"/>
                <w:highlight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条款名称</w:t>
            </w:r>
          </w:p>
        </w:tc>
        <w:tc>
          <w:tcPr>
            <w:tcW w:w="3383" w:type="pct"/>
            <w:vAlign w:val="center"/>
          </w:tcPr>
          <w:p w14:paraId="1E08E05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bCs w:val="0"/>
                <w:color w:val="auto"/>
                <w:kern w:val="0"/>
                <w:sz w:val="21"/>
                <w:szCs w:val="21"/>
                <w:highlight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1</w:t>
            </w:r>
          </w:p>
        </w:tc>
        <w:tc>
          <w:tcPr>
            <w:tcW w:w="1026" w:type="pct"/>
            <w:vAlign w:val="center"/>
          </w:tcPr>
          <w:p w14:paraId="7EA999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付款方式</w:t>
            </w:r>
          </w:p>
        </w:tc>
        <w:tc>
          <w:tcPr>
            <w:tcW w:w="3383" w:type="pct"/>
            <w:vAlign w:val="center"/>
          </w:tcPr>
          <w:p w14:paraId="39B29540">
            <w:pPr>
              <w:keepNext w:val="0"/>
              <w:keepLines w:val="0"/>
              <w:widowControl w:val="0"/>
              <w:suppressLineNumbers w:val="0"/>
              <w:snapToGrid w:val="0"/>
              <w:spacing w:before="0" w:beforeAutospacing="0" w:after="0" w:afterAutospacing="0" w:line="300" w:lineRule="auto"/>
              <w:ind w:left="0" w:right="0"/>
              <w:jc w:val="left"/>
              <w:rPr>
                <w:rFonts w:hint="eastAsia"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合同生效后，采购人付至合同价的40%（中标人须提供等额预付款担保），货物运送至采购人指定地点并经采购人核对设备清单后支付至合同价的70%，项目经验收合格且相关资料齐备己移交后，一次性付清合同价款。</w:t>
            </w:r>
          </w:p>
          <w:p w14:paraId="2DB45ADA">
            <w:pPr>
              <w:keepNext w:val="0"/>
              <w:keepLines w:val="0"/>
              <w:widowControl w:val="0"/>
              <w:suppressLineNumbers w:val="0"/>
              <w:snapToGrid w:val="0"/>
              <w:spacing w:before="0" w:beforeAutospacing="0" w:after="0" w:afterAutospacing="0" w:line="300" w:lineRule="auto"/>
              <w:ind w:left="0" w:right="0"/>
              <w:jc w:val="left"/>
              <w:rPr>
                <w:rFonts w:hint="eastAsia" w:ascii="宋体" w:hAnsi="宋体" w:eastAsia="宋体" w:cs="@仿宋_GB2312"/>
                <w:b/>
                <w:bCs w:val="0"/>
                <w:color w:val="auto"/>
                <w:kern w:val="0"/>
                <w:sz w:val="21"/>
                <w:szCs w:val="21"/>
                <w:highlight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注：</w:t>
            </w:r>
          </w:p>
          <w:p w14:paraId="706FF3BA">
            <w:pPr>
              <w:keepNext w:val="0"/>
              <w:keepLines w:val="0"/>
              <w:widowControl w:val="0"/>
              <w:suppressLineNumbers w:val="0"/>
              <w:snapToGrid w:val="0"/>
              <w:spacing w:before="0" w:beforeAutospacing="0" w:after="0" w:afterAutospacing="0" w:line="300" w:lineRule="auto"/>
              <w:ind w:left="0" w:right="0"/>
              <w:jc w:val="left"/>
              <w:rPr>
                <w:rFonts w:hint="eastAsia" w:ascii="宋体" w:hAnsi="宋体" w:eastAsia="宋体" w:cs="@仿宋_GB2312"/>
                <w:b/>
                <w:bCs w:val="0"/>
                <w:color w:val="auto"/>
                <w:kern w:val="0"/>
                <w:sz w:val="21"/>
                <w:szCs w:val="21"/>
                <w:highlight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（1）中标人未按规定提供预付款担保的，视为放弃预付款；</w:t>
            </w:r>
          </w:p>
          <w:p w14:paraId="7681461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bCs w:val="0"/>
                <w:color w:val="auto"/>
                <w:kern w:val="0"/>
                <w:sz w:val="21"/>
                <w:szCs w:val="21"/>
                <w:highlight w:val="none"/>
                <w:lang w:val="en-US" w:eastAsia="zh-CN" w:bidi="ar-SA"/>
              </w:rPr>
              <w:t>（2）预付款担保要求：采用银行保函（或担保机构担保或保证保险）形式提交的，必须具有明确有效的查询途径（二维码；或网址链接及查询方式），否则该银行保函（或担保机构担保或保证保险）不予认可。以上各类机构出具的以担保函、保证保险承担责任的方式均须满足无条件见索即付条件。</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2</w:t>
            </w:r>
          </w:p>
        </w:tc>
        <w:tc>
          <w:tcPr>
            <w:tcW w:w="1026" w:type="pct"/>
            <w:vAlign w:val="center"/>
          </w:tcPr>
          <w:p w14:paraId="400801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供货及安装地点</w:t>
            </w:r>
          </w:p>
        </w:tc>
        <w:tc>
          <w:tcPr>
            <w:tcW w:w="3383" w:type="pct"/>
            <w:vAlign w:val="center"/>
          </w:tcPr>
          <w:p w14:paraId="008E163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安徽省产品质量监督检验研究院，具体按采购人指定地点。</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3</w:t>
            </w:r>
          </w:p>
        </w:tc>
        <w:tc>
          <w:tcPr>
            <w:tcW w:w="1026" w:type="pct"/>
            <w:vAlign w:val="center"/>
          </w:tcPr>
          <w:p w14:paraId="28D0729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供货及安装期限</w:t>
            </w:r>
          </w:p>
        </w:tc>
        <w:tc>
          <w:tcPr>
            <w:tcW w:w="3383" w:type="pct"/>
            <w:vAlign w:val="center"/>
          </w:tcPr>
          <w:p w14:paraId="64A45A1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合同生效之日起，3个月内完成供货、安装、调试、培训、检定或校准等所有工作内容。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keepNext w:val="0"/>
              <w:keepLines w:val="0"/>
              <w:pageBreakBefore w:val="0"/>
              <w:widowControl w:val="0"/>
              <w:suppressLineNumbers w:val="0"/>
              <w:pBdr>
                <w:bottom w:val="none" w:color="auto" w:sz="0" w:space="0"/>
              </w:pBdr>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Cs/>
                <w:color w:val="auto"/>
                <w:kern w:val="2"/>
                <w:sz w:val="21"/>
                <w:szCs w:val="21"/>
                <w:highlight w:val="none"/>
                <w:lang w:val="en-US" w:eastAsia="zh-CN" w:bidi="ar-SA"/>
              </w:rPr>
            </w:pPr>
            <w:r>
              <w:rPr>
                <w:rFonts w:hint="eastAsia" w:ascii="宋体" w:hAnsi="宋体" w:eastAsia="宋体" w:cs="@仿宋_GB2312"/>
                <w:bCs/>
                <w:color w:val="auto"/>
                <w:kern w:val="2"/>
                <w:sz w:val="21"/>
                <w:szCs w:val="21"/>
                <w:highlight w:val="none"/>
                <w:lang w:val="en-US" w:eastAsia="zh-CN" w:bidi="ar-SA"/>
              </w:rPr>
              <w:t>4</w:t>
            </w:r>
          </w:p>
        </w:tc>
        <w:tc>
          <w:tcPr>
            <w:tcW w:w="1026" w:type="pct"/>
            <w:vAlign w:val="center"/>
          </w:tcPr>
          <w:p w14:paraId="6BA5A37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center"/>
              <w:textAlignment w:val="auto"/>
              <w:rPr>
                <w:rFonts w:hint="default" w:ascii="宋体" w:hAnsi="宋体" w:eastAsia="宋体" w:cs="@仿宋_GB2312"/>
                <w:b w:val="0"/>
                <w:bCs/>
                <w:color w:val="auto"/>
                <w:kern w:val="0"/>
                <w:sz w:val="21"/>
                <w:szCs w:val="21"/>
                <w:highlight w:val="none"/>
                <w:lang w:val="en-US" w:eastAsia="zh-CN" w:bidi="ar-SA"/>
              </w:rPr>
            </w:pPr>
            <w:r>
              <w:rPr>
                <w:rFonts w:hint="eastAsia" w:ascii="宋体" w:hAnsi="宋体" w:eastAsia="宋体" w:cs="@仿宋_GB2312"/>
                <w:b w:val="0"/>
                <w:bCs/>
                <w:color w:val="auto"/>
                <w:kern w:val="0"/>
                <w:sz w:val="21"/>
                <w:szCs w:val="21"/>
                <w:highlight w:val="none"/>
                <w:lang w:val="en-US" w:eastAsia="zh-CN" w:bidi="ar-SA"/>
              </w:rPr>
              <w:t>免费质保期</w:t>
            </w:r>
          </w:p>
        </w:tc>
        <w:tc>
          <w:tcPr>
            <w:tcW w:w="3383" w:type="pct"/>
            <w:vAlign w:val="center"/>
          </w:tcPr>
          <w:p w14:paraId="0D94A5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auto"/>
              <w:ind w:left="0" w:right="0"/>
              <w:jc w:val="both"/>
              <w:textAlignment w:val="auto"/>
              <w:rPr>
                <w:rFonts w:hint="default" w:ascii="宋体" w:hAnsi="宋体" w:eastAsia="宋体" w:cs="@仿宋_GB2312"/>
                <w:b w:val="0"/>
                <w:bCs/>
                <w:color w:val="auto"/>
                <w:kern w:val="0"/>
                <w:sz w:val="21"/>
                <w:szCs w:val="21"/>
                <w:highlight w:val="none"/>
                <w:u w:val="none"/>
                <w:lang w:val="en-US" w:eastAsia="zh-CN" w:bidi="ar-SA"/>
              </w:rPr>
            </w:pPr>
            <w:r>
              <w:rPr>
                <w:rFonts w:hint="eastAsia" w:ascii="宋体" w:hAnsi="宋体" w:eastAsia="宋体" w:cs="@仿宋_GB2312"/>
                <w:b w:val="0"/>
                <w:bCs/>
                <w:color w:val="auto"/>
                <w:kern w:val="0"/>
                <w:sz w:val="21"/>
                <w:szCs w:val="21"/>
                <w:highlight w:val="none"/>
                <w:u w:val="none"/>
                <w:lang w:val="en-US" w:eastAsia="zh-CN" w:bidi="ar-SA"/>
              </w:rPr>
              <w:t>货物需求清单中未明确的，免费质保期为自验收合格之日起3年；货物需求清单中明确的，免费质保期按货物需求清单执行。</w:t>
            </w:r>
          </w:p>
        </w:tc>
      </w:tr>
    </w:tbl>
    <w:p w14:paraId="358ACA4C">
      <w:pPr>
        <w:spacing w:line="360" w:lineRule="auto"/>
        <w:ind w:firstLine="437"/>
        <w:outlineLvl w:val="1"/>
        <w:rPr>
          <w:rFonts w:hint="eastAsia" w:ascii="宋体" w:hAnsi="宋体" w:eastAsia="宋体" w:cs="@仿宋_GB2312"/>
          <w:b/>
          <w:bCs/>
          <w:color w:val="auto"/>
          <w:sz w:val="21"/>
          <w:szCs w:val="21"/>
          <w:highlight w:val="none"/>
        </w:rPr>
      </w:pPr>
      <w:bookmarkStart w:id="3" w:name="_Toc5944"/>
      <w:bookmarkStart w:id="4" w:name="_Toc7671"/>
    </w:p>
    <w:bookmarkEnd w:id="3"/>
    <w:bookmarkEnd w:id="4"/>
    <w:p w14:paraId="5299384B">
      <w:pPr>
        <w:keepNext w:val="0"/>
        <w:keepLines w:val="0"/>
        <w:pageBreakBefore w:val="0"/>
        <w:numPr>
          <w:ilvl w:val="0"/>
          <w:numId w:val="1"/>
        </w:numPr>
        <w:kinsoku/>
        <w:overflowPunct/>
        <w:topLinePunct w:val="0"/>
        <w:autoSpaceDE/>
        <w:autoSpaceDN/>
        <w:bidi w:val="0"/>
        <w:spacing w:line="312" w:lineRule="auto"/>
        <w:ind w:firstLine="437"/>
        <w:textAlignment w:val="auto"/>
        <w:outlineLvl w:val="1"/>
        <w:rPr>
          <w:rFonts w:hint="eastAsia" w:ascii="宋体" w:hAnsi="宋体" w:eastAsia="宋体" w:cs="宋体"/>
          <w:b/>
          <w:color w:val="auto"/>
          <w:sz w:val="21"/>
          <w:szCs w:val="21"/>
          <w:highlight w:val="none"/>
          <w:lang w:val="en-US" w:eastAsia="zh-CN"/>
        </w:rPr>
      </w:pPr>
      <w:bookmarkStart w:id="5" w:name="_Toc12179"/>
      <w:bookmarkStart w:id="6" w:name="_Toc7421"/>
      <w:bookmarkStart w:id="7" w:name="_Toc4843"/>
      <w:r>
        <w:rPr>
          <w:rFonts w:hint="eastAsia" w:ascii="宋体" w:hAnsi="宋体" w:eastAsia="宋体" w:cs="宋体"/>
          <w:b/>
          <w:color w:val="auto"/>
          <w:sz w:val="21"/>
          <w:szCs w:val="21"/>
          <w:highlight w:val="none"/>
          <w:lang w:val="en-US" w:eastAsia="zh-CN"/>
        </w:rPr>
        <w:t>货物需求</w:t>
      </w:r>
    </w:p>
    <w:p w14:paraId="3AC74F0A">
      <w:pPr>
        <w:keepNext w:val="0"/>
        <w:keepLines w:val="0"/>
        <w:pageBreakBefore w:val="0"/>
        <w:widowControl/>
        <w:kinsoku/>
        <w:wordWrap/>
        <w:overflowPunct/>
        <w:topLinePunct w:val="0"/>
        <w:autoSpaceDE/>
        <w:autoSpaceDN/>
        <w:bidi w:val="0"/>
        <w:spacing w:line="312" w:lineRule="auto"/>
        <w:ind w:firstLine="422" w:firstLineChars="200"/>
        <w:textAlignment w:val="auto"/>
        <w:outlineLvl w:val="2"/>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第3包</w:t>
      </w:r>
    </w:p>
    <w:p w14:paraId="26FE0EF9">
      <w:pPr>
        <w:keepNext w:val="0"/>
        <w:keepLines w:val="0"/>
        <w:pageBreakBefore w:val="0"/>
        <w:widowControl/>
        <w:kinsoku/>
        <w:wordWrap/>
        <w:overflowPunct/>
        <w:topLinePunct w:val="0"/>
        <w:autoSpaceDE/>
        <w:autoSpaceDN/>
        <w:bidi w:val="0"/>
        <w:spacing w:line="312" w:lineRule="auto"/>
        <w:ind w:firstLine="422" w:firstLineChars="200"/>
        <w:textAlignment w:val="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标识符号</w:t>
      </w:r>
    </w:p>
    <w:tbl>
      <w:tblPr>
        <w:tblStyle w:val="2"/>
        <w:tblW w:w="52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4"/>
        <w:gridCol w:w="1406"/>
        <w:gridCol w:w="5650"/>
      </w:tblGrid>
      <w:tr w14:paraId="0C4F6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9" w:type="pct"/>
            <w:vAlign w:val="center"/>
          </w:tcPr>
          <w:p w14:paraId="064A95FA">
            <w:pPr>
              <w:keepNext w:val="0"/>
              <w:keepLines w:val="0"/>
              <w:pageBreakBefore w:val="0"/>
              <w:suppressLineNumbers w:val="0"/>
              <w:kinsoku/>
              <w:overflowPunct/>
              <w:topLinePunct w:val="0"/>
              <w:autoSpaceDE/>
              <w:autoSpaceDN/>
              <w:bidi w:val="0"/>
              <w:spacing w:before="0" w:beforeAutospacing="0" w:after="0" w:afterAutospacing="0" w:line="312" w:lineRule="auto"/>
              <w:ind w:left="0" w:right="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标识重要性</w:t>
            </w:r>
          </w:p>
        </w:tc>
        <w:tc>
          <w:tcPr>
            <w:tcW w:w="779" w:type="pct"/>
            <w:vAlign w:val="center"/>
          </w:tcPr>
          <w:p w14:paraId="6B1AEC9E">
            <w:pPr>
              <w:keepNext w:val="0"/>
              <w:keepLines w:val="0"/>
              <w:pageBreakBefore w:val="0"/>
              <w:suppressLineNumbers w:val="0"/>
              <w:kinsoku/>
              <w:overflowPunct/>
              <w:topLinePunct w:val="0"/>
              <w:autoSpaceDE/>
              <w:autoSpaceDN/>
              <w:bidi w:val="0"/>
              <w:spacing w:before="0" w:beforeAutospacing="0" w:after="0" w:afterAutospacing="0" w:line="312" w:lineRule="auto"/>
              <w:ind w:left="0" w:right="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标识符号</w:t>
            </w:r>
          </w:p>
        </w:tc>
        <w:tc>
          <w:tcPr>
            <w:tcW w:w="3131" w:type="pct"/>
            <w:vAlign w:val="center"/>
          </w:tcPr>
          <w:p w14:paraId="300E621D">
            <w:pPr>
              <w:keepNext w:val="0"/>
              <w:keepLines w:val="0"/>
              <w:pageBreakBefore w:val="0"/>
              <w:suppressLineNumbers w:val="0"/>
              <w:kinsoku/>
              <w:overflowPunct/>
              <w:topLinePunct w:val="0"/>
              <w:autoSpaceDE/>
              <w:autoSpaceDN/>
              <w:bidi w:val="0"/>
              <w:spacing w:before="0" w:beforeAutospacing="0" w:after="0" w:afterAutospacing="0" w:line="312" w:lineRule="auto"/>
              <w:ind w:left="0" w:right="0"/>
              <w:jc w:val="center"/>
              <w:textAlignment w:val="auto"/>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符号说明</w:t>
            </w:r>
          </w:p>
        </w:tc>
      </w:tr>
      <w:tr w14:paraId="4449E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965" w:type="dxa"/>
            <w:shd w:val="clear" w:color="auto" w:fill="auto"/>
            <w:vAlign w:val="center"/>
          </w:tcPr>
          <w:p w14:paraId="28548B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重要指标</w:t>
            </w:r>
            <w:r>
              <w:rPr>
                <w:rFonts w:hint="eastAsia" w:ascii="宋体" w:hAnsi="宋体" w:eastAsia="宋体" w:cs="宋体"/>
                <w:color w:val="auto"/>
                <w:sz w:val="21"/>
                <w:szCs w:val="21"/>
                <w:highlight w:val="none"/>
              </w:rPr>
              <w:t>项</w:t>
            </w:r>
          </w:p>
        </w:tc>
        <w:tc>
          <w:tcPr>
            <w:tcW w:w="1405" w:type="dxa"/>
            <w:shd w:val="clear" w:color="auto" w:fill="auto"/>
            <w:vAlign w:val="center"/>
          </w:tcPr>
          <w:p w14:paraId="3F925CE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w:t>
            </w:r>
          </w:p>
        </w:tc>
        <w:tc>
          <w:tcPr>
            <w:tcW w:w="5650" w:type="dxa"/>
            <w:shd w:val="clear" w:color="auto" w:fill="auto"/>
            <w:vAlign w:val="center"/>
          </w:tcPr>
          <w:p w14:paraId="19219F19">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评分项，</w:t>
            </w:r>
            <w:r>
              <w:rPr>
                <w:rFonts w:hint="eastAsia" w:ascii="宋体" w:hAnsi="宋体" w:eastAsia="宋体" w:cs="宋体"/>
                <w:color w:val="auto"/>
                <w:kern w:val="2"/>
                <w:sz w:val="21"/>
                <w:szCs w:val="21"/>
                <w:highlight w:val="none"/>
                <w:lang w:val="en-US" w:eastAsia="zh-CN" w:bidi="ar"/>
              </w:rPr>
              <w:t>详见评标办法和标准。</w:t>
            </w:r>
          </w:p>
        </w:tc>
      </w:tr>
      <w:tr w14:paraId="5A0C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9" w:type="pct"/>
            <w:shd w:val="clear" w:color="auto" w:fill="auto"/>
            <w:vAlign w:val="center"/>
          </w:tcPr>
          <w:p w14:paraId="3DEDB50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一般</w:t>
            </w:r>
            <w:r>
              <w:rPr>
                <w:rFonts w:hint="eastAsia" w:ascii="宋体" w:hAnsi="宋体" w:eastAsia="宋体" w:cs="宋体"/>
                <w:color w:val="auto"/>
                <w:sz w:val="21"/>
                <w:szCs w:val="21"/>
                <w:highlight w:val="none"/>
              </w:rPr>
              <w:t>指标项</w:t>
            </w:r>
          </w:p>
        </w:tc>
        <w:tc>
          <w:tcPr>
            <w:tcW w:w="779" w:type="pct"/>
            <w:shd w:val="clear" w:color="auto" w:fill="auto"/>
            <w:vAlign w:val="center"/>
          </w:tcPr>
          <w:p w14:paraId="5C5AE34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w:t>
            </w:r>
          </w:p>
        </w:tc>
        <w:tc>
          <w:tcPr>
            <w:tcW w:w="3131" w:type="pct"/>
            <w:shd w:val="clear" w:color="auto" w:fill="auto"/>
            <w:vAlign w:val="center"/>
          </w:tcPr>
          <w:p w14:paraId="6403EB7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评分项，</w:t>
            </w:r>
            <w:r>
              <w:rPr>
                <w:rFonts w:hint="eastAsia" w:ascii="宋体" w:hAnsi="宋体" w:eastAsia="宋体" w:cs="宋体"/>
                <w:color w:val="auto"/>
                <w:kern w:val="2"/>
                <w:sz w:val="21"/>
                <w:szCs w:val="21"/>
                <w:highlight w:val="none"/>
                <w:lang w:val="en-US" w:eastAsia="zh-CN" w:bidi="ar"/>
              </w:rPr>
              <w:t>详见评标办法和标准。</w:t>
            </w:r>
          </w:p>
        </w:tc>
      </w:tr>
      <w:tr w14:paraId="172C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89" w:type="pct"/>
            <w:shd w:val="clear" w:color="auto" w:fill="auto"/>
            <w:vAlign w:val="center"/>
          </w:tcPr>
          <w:p w14:paraId="1CF8C34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无标识项</w:t>
            </w:r>
          </w:p>
        </w:tc>
        <w:tc>
          <w:tcPr>
            <w:tcW w:w="1405" w:type="dxa"/>
            <w:shd w:val="clear" w:color="auto" w:fill="auto"/>
            <w:vAlign w:val="center"/>
          </w:tcPr>
          <w:p w14:paraId="413E483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center"/>
              <w:textAlignment w:val="auto"/>
              <w:rPr>
                <w:rFonts w:hint="eastAsia" w:ascii="宋体" w:hAnsi="宋体" w:eastAsia="宋体" w:cs="宋体"/>
                <w:bCs/>
                <w:color w:val="auto"/>
                <w:kern w:val="2"/>
                <w:sz w:val="21"/>
                <w:szCs w:val="21"/>
                <w:highlight w:val="none"/>
                <w:lang w:val="en-US" w:eastAsia="zh-CN" w:bidi="ar-SA"/>
              </w:rPr>
            </w:pPr>
          </w:p>
        </w:tc>
        <w:tc>
          <w:tcPr>
            <w:tcW w:w="5650" w:type="dxa"/>
            <w:shd w:val="clear" w:color="auto" w:fill="auto"/>
            <w:vAlign w:val="center"/>
          </w:tcPr>
          <w:p w14:paraId="1B41431B">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符合性审查项，该指标项最大允许负偏离</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5</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项，超过最大允许负偏离项数的，</w:t>
            </w:r>
            <w:r>
              <w:rPr>
                <w:rFonts w:hint="eastAsia" w:ascii="宋体" w:hAnsi="宋体" w:eastAsia="宋体" w:cs="宋体"/>
                <w:b/>
                <w:color w:val="auto"/>
                <w:sz w:val="21"/>
                <w:szCs w:val="21"/>
                <w:highlight w:val="none"/>
              </w:rPr>
              <w:t>投标无效</w:t>
            </w:r>
            <w:r>
              <w:rPr>
                <w:rFonts w:hint="eastAsia" w:ascii="宋体" w:hAnsi="宋体" w:eastAsia="宋体" w:cs="宋体"/>
                <w:bCs/>
                <w:color w:val="auto"/>
                <w:sz w:val="21"/>
                <w:szCs w:val="21"/>
                <w:highlight w:val="none"/>
              </w:rPr>
              <w:t>。</w:t>
            </w:r>
          </w:p>
        </w:tc>
      </w:tr>
      <w:tr w14:paraId="233C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20" w:type="dxa"/>
            <w:gridSpan w:val="3"/>
            <w:vAlign w:val="center"/>
          </w:tcPr>
          <w:p w14:paraId="632B2C80">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399F64DB">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lang w:eastAsia="zh-CN"/>
              </w:rPr>
              <w:t>如某项标识中包含多条技术参数或要求，则该项标识所含内容均需满足或优于招标文件要求，否则不予认可。</w:t>
            </w:r>
          </w:p>
          <w:p w14:paraId="47F88651">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kern w:val="0"/>
                <w:sz w:val="21"/>
                <w:szCs w:val="21"/>
                <w:highlight w:val="none"/>
              </w:rPr>
              <w:t>下述技术参数所涉及的具体物理尺寸</w:t>
            </w:r>
            <w:r>
              <w:rPr>
                <w:rFonts w:hint="eastAsia" w:ascii="宋体" w:hAnsi="宋体" w:eastAsia="宋体" w:cs="宋体"/>
                <w:color w:val="auto"/>
                <w:kern w:val="0"/>
                <w:sz w:val="21"/>
                <w:szCs w:val="21"/>
                <w:highlight w:val="none"/>
                <w:lang w:eastAsia="zh-CN"/>
              </w:rPr>
              <w:t>：货物需求清单</w:t>
            </w:r>
            <w:r>
              <w:rPr>
                <w:rFonts w:hint="eastAsia" w:ascii="宋体" w:hAnsi="宋体" w:eastAsia="宋体" w:cs="宋体"/>
                <w:color w:val="auto"/>
                <w:kern w:val="0"/>
                <w:sz w:val="21"/>
                <w:szCs w:val="21"/>
                <w:highlight w:val="none"/>
                <w:lang w:val="en-US" w:eastAsia="zh-CN"/>
              </w:rPr>
              <w:t>中明确允许偏离范围的，按货物需求清单</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kern w:val="0"/>
                <w:sz w:val="21"/>
                <w:szCs w:val="21"/>
                <w:highlight w:val="none"/>
                <w:lang w:val="en-US" w:eastAsia="zh-CN"/>
              </w:rPr>
              <w:t>执行；货物需求清单中未明确允许偏离范围的，</w:t>
            </w:r>
            <w:r>
              <w:rPr>
                <w:rFonts w:hint="eastAsia" w:ascii="宋体" w:hAnsi="宋体" w:eastAsia="宋体" w:cs="宋体"/>
                <w:color w:val="auto"/>
                <w:kern w:val="0"/>
                <w:sz w:val="21"/>
                <w:szCs w:val="21"/>
                <w:highlight w:val="none"/>
              </w:rPr>
              <w:t>允许±5%偏离</w:t>
            </w:r>
            <w:r>
              <w:rPr>
                <w:rFonts w:hint="eastAsia" w:ascii="宋体" w:hAnsi="宋体" w:eastAsia="宋体" w:cs="宋体"/>
                <w:color w:val="auto"/>
                <w:sz w:val="21"/>
                <w:szCs w:val="21"/>
                <w:highlight w:val="none"/>
              </w:rPr>
              <w:t>。</w:t>
            </w:r>
          </w:p>
          <w:p w14:paraId="7C6D7387">
            <w:pPr>
              <w:keepNext w:val="0"/>
              <w:keepLines w:val="0"/>
              <w:pageBreakBefore w:val="0"/>
              <w:widowControl w:val="0"/>
              <w:numPr>
                <w:ilvl w:val="0"/>
                <w:numId w:val="0"/>
              </w:numPr>
              <w:suppressLineNumbers w:val="0"/>
              <w:kinsoku/>
              <w:overflowPunct/>
              <w:topLinePunct w:val="0"/>
              <w:autoSpaceDE/>
              <w:autoSpaceDN/>
              <w:bidi w:val="0"/>
              <w:adjustRightInd/>
              <w:snapToGrid/>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b w:val="0"/>
                <w:bCs w:val="0"/>
                <w:color w:val="auto"/>
                <w:kern w:val="2"/>
                <w:sz w:val="21"/>
                <w:szCs w:val="21"/>
                <w:highlight w:val="none"/>
                <w:u w:val="none"/>
                <w:lang w:val="en-US" w:eastAsia="zh-CN"/>
              </w:rPr>
            </w:pPr>
            <w:r>
              <w:rPr>
                <w:rFonts w:hint="eastAsia" w:ascii="宋体" w:hAnsi="宋体" w:eastAsia="宋体" w:cs="宋体"/>
                <w:b w:val="0"/>
                <w:bCs w:val="0"/>
                <w:color w:val="auto"/>
                <w:kern w:val="0"/>
                <w:sz w:val="21"/>
                <w:szCs w:val="21"/>
                <w:highlight w:val="none"/>
                <w:lang w:val="en-US" w:eastAsia="zh-CN"/>
              </w:rPr>
              <w:t>（</w:t>
            </w:r>
            <w:r>
              <w:rPr>
                <w:rFonts w:hint="eastAsia" w:ascii="宋体" w:hAnsi="宋体" w:eastAsia="宋体" w:cs="宋体"/>
                <w:b w:val="0"/>
                <w:bCs w:val="0"/>
                <w:color w:val="auto"/>
                <w:kern w:val="2"/>
                <w:sz w:val="21"/>
                <w:szCs w:val="21"/>
                <w:highlight w:val="none"/>
                <w:lang w:val="en-US" w:eastAsia="zh-CN"/>
              </w:rPr>
              <w:t>3）货物需求清单中未要求提供证明材料的参数以6.2技术响应表作为评审依据。货物需求清单中要求提供证明材料的参数：技术参数及要求中未明确证明材料类型的，证明材料为产品技术说明书或产品彩页或产品功能截图或产品官网截图或第三方机构出具的检测报告，提供其一即可（需能体现关键评审因素，建议标注关键评审因素便于评审）；技术参数及要求中明确要求证明材料类型的，按要求执行。</w:t>
            </w:r>
          </w:p>
          <w:p w14:paraId="587E5B72">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312" w:lineRule="auto"/>
              <w:ind w:left="0" w:leftChars="0" w:right="0" w:rightChars="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u w:val="none"/>
                <w:lang w:val="en-US" w:eastAsia="zh-CN"/>
              </w:rPr>
              <w:t>（4）招标文件中出现的标准，包含年代号的，需满足指定年代版本标准要求；不含年代号的标准需满足最新版本标准要求。</w:t>
            </w:r>
          </w:p>
        </w:tc>
      </w:tr>
    </w:tbl>
    <w:p w14:paraId="667B0511">
      <w:pPr>
        <w:keepNext w:val="0"/>
        <w:keepLines w:val="0"/>
        <w:pageBreakBefore w:val="0"/>
        <w:widowControl/>
        <w:kinsoku/>
        <w:wordWrap/>
        <w:overflowPunct/>
        <w:topLinePunct w:val="0"/>
        <w:autoSpaceDE/>
        <w:autoSpaceDN/>
        <w:bidi w:val="0"/>
        <w:adjustRightInd/>
        <w:snapToGrid w:val="0"/>
        <w:spacing w:line="312" w:lineRule="auto"/>
        <w:ind w:firstLine="422" w:firstLineChars="200"/>
        <w:textAlignment w:val="auto"/>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lang w:val="en-US" w:eastAsia="zh-CN"/>
        </w:rPr>
        <w:t>技术参数及要求</w:t>
      </w:r>
    </w:p>
    <w:tbl>
      <w:tblPr>
        <w:tblStyle w:val="3"/>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084"/>
        <w:gridCol w:w="5682"/>
        <w:gridCol w:w="1001"/>
        <w:gridCol w:w="640"/>
      </w:tblGrid>
      <w:tr w14:paraId="6619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1" w:type="dxa"/>
            <w:shd w:val="clear" w:color="auto" w:fill="auto"/>
            <w:vAlign w:val="center"/>
          </w:tcPr>
          <w:p w14:paraId="14F5FDDD">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序号</w:t>
            </w:r>
          </w:p>
        </w:tc>
        <w:tc>
          <w:tcPr>
            <w:tcW w:w="1084" w:type="dxa"/>
            <w:shd w:val="clear" w:color="auto" w:fill="auto"/>
            <w:vAlign w:val="center"/>
          </w:tcPr>
          <w:p w14:paraId="1C0B21F9">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lang w:val="en-US" w:eastAsia="zh-CN"/>
              </w:rPr>
              <w:t>货物名称</w:t>
            </w:r>
          </w:p>
        </w:tc>
        <w:tc>
          <w:tcPr>
            <w:tcW w:w="5682" w:type="dxa"/>
            <w:shd w:val="clear" w:color="auto" w:fill="auto"/>
            <w:vAlign w:val="center"/>
          </w:tcPr>
          <w:p w14:paraId="6558AA1C">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技术参数及要求</w:t>
            </w:r>
          </w:p>
        </w:tc>
        <w:tc>
          <w:tcPr>
            <w:tcW w:w="1001" w:type="dxa"/>
            <w:shd w:val="clear" w:color="auto" w:fill="auto"/>
            <w:vAlign w:val="center"/>
          </w:tcPr>
          <w:p w14:paraId="678EF360">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3527A0BD">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台/套</w:t>
            </w:r>
            <w:r>
              <w:rPr>
                <w:rFonts w:hint="eastAsia" w:ascii="宋体" w:hAnsi="宋体" w:eastAsia="宋体" w:cs="宋体"/>
                <w:b/>
                <w:bCs/>
                <w:color w:val="auto"/>
                <w:sz w:val="21"/>
                <w:szCs w:val="21"/>
                <w:highlight w:val="none"/>
              </w:rPr>
              <w:t>）</w:t>
            </w:r>
          </w:p>
        </w:tc>
        <w:tc>
          <w:tcPr>
            <w:tcW w:w="640" w:type="dxa"/>
            <w:shd w:val="clear" w:color="auto" w:fill="auto"/>
            <w:vAlign w:val="center"/>
          </w:tcPr>
          <w:p w14:paraId="4C623F75">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05B888B3">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sz w:val="21"/>
                <w:szCs w:val="21"/>
                <w:highlight w:val="none"/>
              </w:rPr>
              <w:t>行业</w:t>
            </w:r>
          </w:p>
        </w:tc>
      </w:tr>
      <w:tr w14:paraId="4CE4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61" w:type="dxa"/>
            <w:shd w:val="clear" w:color="auto" w:fill="auto"/>
            <w:vAlign w:val="center"/>
          </w:tcPr>
          <w:p w14:paraId="15D1933B">
            <w:pPr>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leftChars="0" w:righ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084" w:type="dxa"/>
            <w:shd w:val="clear" w:color="auto" w:fill="auto"/>
            <w:vAlign w:val="center"/>
          </w:tcPr>
          <w:p w14:paraId="72D25967">
            <w:pPr>
              <w:keepNext w:val="0"/>
              <w:keepLines w:val="0"/>
              <w:pageBreakBefore w:val="0"/>
              <w:numPr>
                <w:ilvl w:val="0"/>
                <w:numId w:val="0"/>
              </w:numPr>
              <w:suppressLineNumbers w:val="0"/>
              <w:kinsoku/>
              <w:wordWrap/>
              <w:overflowPunct/>
              <w:topLinePunct w:val="0"/>
              <w:bidi w:val="0"/>
              <w:snapToGrid/>
              <w:spacing w:before="0" w:beforeAutospacing="0" w:after="0" w:afterAutospacing="0" w:line="312" w:lineRule="auto"/>
              <w:ind w:left="0" w:leftChars="0" w:right="0" w:firstLine="0" w:firstLineChars="0"/>
              <w:jc w:val="left"/>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▲IP防护等级试验系统（砂尘试验箱）</w:t>
            </w:r>
          </w:p>
        </w:tc>
        <w:tc>
          <w:tcPr>
            <w:tcW w:w="5682" w:type="dxa"/>
            <w:shd w:val="clear" w:color="auto" w:fill="auto"/>
            <w:vAlign w:val="center"/>
          </w:tcPr>
          <w:p w14:paraId="0830EEDC">
            <w:pPr>
              <w:keepNext w:val="0"/>
              <w:keepLines w:val="0"/>
              <w:pageBreakBefore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eastAsia="宋体" w:cs="宋体"/>
                <w:b/>
                <w:bCs/>
                <w:color w:val="auto"/>
                <w:sz w:val="21"/>
                <w:szCs w:val="21"/>
                <w:highlight w:val="none"/>
                <w:lang w:val="en-US" w:eastAsia="zh-CN"/>
              </w:rPr>
              <w:t>主要用途：</w:t>
            </w:r>
            <w:r>
              <w:rPr>
                <w:rFonts w:hint="eastAsia" w:ascii="宋体" w:hAnsi="宋体" w:eastAsia="宋体" w:cs="宋体"/>
                <w:color w:val="auto"/>
                <w:sz w:val="21"/>
                <w:szCs w:val="21"/>
                <w:highlight w:val="none"/>
                <w:lang w:val="en-US" w:eastAsia="zh-CN"/>
              </w:rPr>
              <w:t>评估产品在恶劣沙尘环境下的防尘等级测试、密封性验证、机械与电气性能评估、材料与涂层耐久性。</w:t>
            </w:r>
          </w:p>
          <w:p w14:paraId="1C38AFAC">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二、检测依据标准：</w:t>
            </w:r>
          </w:p>
          <w:p w14:paraId="24710DFD">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满足GB/T4208-2017外壳防护等级、GB/T 2423.37-2006电工电子产品基本环境试验规程试验L砂尘试验方法LA2中的检测要求。</w:t>
            </w:r>
          </w:p>
          <w:p w14:paraId="3ECD85C6">
            <w:pPr>
              <w:keepNext w:val="0"/>
              <w:keepLines w:val="0"/>
              <w:pageBreakBefore w:val="0"/>
              <w:numPr>
                <w:ilvl w:val="0"/>
                <w:numId w:val="2"/>
              </w:numPr>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技术指标：</w:t>
            </w:r>
          </w:p>
          <w:p w14:paraId="1DA1FE67">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1"/>
                <w:szCs w:val="21"/>
                <w:highlight w:val="none"/>
                <w:lang w:val="en-US" w:eastAsia="zh-CN"/>
              </w:rPr>
              <w:t>工作尺寸（箱内尺寸）≥W1500mm×D1000mm×H1000 mm。</w:t>
            </w:r>
            <w:r>
              <w:rPr>
                <w:rFonts w:hint="eastAsia" w:ascii="宋体" w:hAnsi="宋体" w:eastAsia="宋体" w:cs="宋体"/>
                <w:b/>
                <w:bCs/>
                <w:color w:val="auto"/>
                <w:sz w:val="21"/>
                <w:szCs w:val="21"/>
                <w:highlight w:val="none"/>
                <w:lang w:val="en-US" w:eastAsia="zh-CN"/>
              </w:rPr>
              <w:t>（投标文件中提供证明材料）</w:t>
            </w:r>
          </w:p>
          <w:p w14:paraId="43E035EF">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2.●温湿度范围：温湿度控制，常温至65摄氏度可设可调，湿度维持＜25%。</w:t>
            </w:r>
          </w:p>
          <w:p w14:paraId="1E95AD89">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3.金属筛网标称线径：50μm。</w:t>
            </w:r>
          </w:p>
          <w:p w14:paraId="05173872">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4.线间标称间距：75μm。</w:t>
            </w:r>
          </w:p>
          <w:p w14:paraId="168C100F">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1"/>
                <w:szCs w:val="21"/>
                <w:highlight w:val="none"/>
                <w:lang w:val="en-US" w:eastAsia="zh-CN"/>
              </w:rPr>
              <w:t>抽气速度：5～50（m</w:t>
            </w:r>
            <w:r>
              <w:rPr>
                <w:rFonts w:hint="eastAsia" w:ascii="宋体" w:hAnsi="宋体" w:eastAsia="宋体" w:cs="宋体"/>
                <w:color w:val="auto"/>
                <w:sz w:val="21"/>
                <w:szCs w:val="21"/>
                <w:highlight w:val="none"/>
                <w:vertAlign w:val="superscript"/>
                <w:lang w:val="en-US" w:eastAsia="zh-CN"/>
              </w:rPr>
              <w:t>3</w:t>
            </w:r>
            <w:r>
              <w:rPr>
                <w:rFonts w:hint="eastAsia" w:ascii="宋体" w:hAnsi="宋体" w:eastAsia="宋体" w:cs="宋体"/>
                <w:color w:val="auto"/>
                <w:sz w:val="21"/>
                <w:szCs w:val="21"/>
                <w:highlight w:val="none"/>
                <w:lang w:val="en-US" w:eastAsia="zh-CN"/>
              </w:rPr>
              <w:t>/h）可设可调。</w:t>
            </w:r>
            <w:r>
              <w:rPr>
                <w:rFonts w:hint="eastAsia" w:ascii="宋体" w:hAnsi="宋体" w:eastAsia="宋体" w:cs="宋体"/>
                <w:b/>
                <w:bCs/>
                <w:color w:val="auto"/>
                <w:sz w:val="21"/>
                <w:szCs w:val="21"/>
                <w:highlight w:val="none"/>
                <w:lang w:val="en-US" w:eastAsia="zh-CN"/>
              </w:rPr>
              <w:t>（投标文件中提供证明材料）</w:t>
            </w:r>
          </w:p>
          <w:p w14:paraId="7AD7F989">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1"/>
                <w:szCs w:val="21"/>
                <w:highlight w:val="none"/>
                <w:lang w:val="en-US" w:eastAsia="zh-CN"/>
              </w:rPr>
              <w:t>压差：-2～0（kPa）可设可调</w:t>
            </w:r>
            <w:r>
              <w:rPr>
                <w:rFonts w:hint="eastAsia" w:ascii="宋体" w:hAnsi="宋体" w:eastAsia="宋体" w:cs="宋体"/>
                <w:color w:val="auto"/>
                <w:szCs w:val="20"/>
                <w:highlight w:val="none"/>
                <w:lang w:val="en-US" w:eastAsia="zh-CN"/>
              </w:rPr>
              <w:t>,</w:t>
            </w:r>
            <w:r>
              <w:rPr>
                <w:rFonts w:hint="eastAsia" w:ascii="宋体" w:hAnsi="宋体" w:eastAsia="宋体" w:cs="宋体"/>
                <w:color w:val="auto"/>
                <w:sz w:val="21"/>
                <w:szCs w:val="21"/>
                <w:highlight w:val="none"/>
                <w:lang w:val="en-US" w:eastAsia="zh-CN"/>
              </w:rPr>
              <w:t>±0.1kPa。</w:t>
            </w:r>
            <w:r>
              <w:rPr>
                <w:rFonts w:hint="eastAsia" w:ascii="宋体" w:hAnsi="宋体" w:eastAsia="宋体" w:cs="宋体"/>
                <w:b/>
                <w:bCs/>
                <w:color w:val="auto"/>
                <w:sz w:val="21"/>
                <w:szCs w:val="21"/>
                <w:highlight w:val="none"/>
                <w:lang w:val="en-US" w:eastAsia="zh-CN"/>
              </w:rPr>
              <w:t>（投标文件中提供证明材料）</w:t>
            </w:r>
          </w:p>
          <w:p w14:paraId="53F5A4CA">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1"/>
                <w:szCs w:val="21"/>
                <w:highlight w:val="none"/>
                <w:lang w:val="en-US" w:eastAsia="zh-CN"/>
              </w:rPr>
              <w:t>气流速度：≤2m/s。</w:t>
            </w:r>
            <w:r>
              <w:rPr>
                <w:rFonts w:hint="eastAsia" w:ascii="宋体" w:hAnsi="宋体" w:eastAsia="宋体" w:cs="宋体"/>
                <w:b/>
                <w:bCs/>
                <w:color w:val="auto"/>
                <w:sz w:val="21"/>
                <w:szCs w:val="21"/>
                <w:highlight w:val="none"/>
                <w:lang w:val="en-US" w:eastAsia="zh-CN"/>
              </w:rPr>
              <w:t>（投标文件中提供证明材料）</w:t>
            </w:r>
          </w:p>
          <w:p w14:paraId="660D683A">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1"/>
                <w:szCs w:val="21"/>
                <w:highlight w:val="none"/>
                <w:lang w:val="en-US" w:eastAsia="zh-CN"/>
              </w:rPr>
              <w:t>吹尘量：2～4（kg/m</w:t>
            </w:r>
            <w:r>
              <w:rPr>
                <w:rFonts w:hint="eastAsia" w:ascii="宋体" w:hAnsi="宋体" w:eastAsia="宋体" w:cs="宋体"/>
                <w:color w:val="auto"/>
                <w:sz w:val="21"/>
                <w:szCs w:val="21"/>
                <w:highlight w:val="none"/>
                <w:vertAlign w:val="superscript"/>
                <w:lang w:val="en-US" w:eastAsia="zh-CN"/>
              </w:rPr>
              <w:t>3</w:t>
            </w:r>
            <w:r>
              <w:rPr>
                <w:rFonts w:hint="eastAsia" w:ascii="宋体" w:hAnsi="宋体" w:eastAsia="宋体" w:cs="宋体"/>
                <w:color w:val="auto"/>
                <w:sz w:val="21"/>
                <w:szCs w:val="21"/>
                <w:highlight w:val="none"/>
                <w:vertAlign w:val="baseline"/>
                <w:lang w:val="en-US" w:eastAsia="zh-CN"/>
              </w:rPr>
              <w:t>）。</w:t>
            </w:r>
            <w:r>
              <w:rPr>
                <w:rFonts w:hint="eastAsia" w:ascii="宋体" w:hAnsi="宋体" w:eastAsia="宋体" w:cs="宋体"/>
                <w:b/>
                <w:bCs/>
                <w:color w:val="auto"/>
                <w:sz w:val="21"/>
                <w:szCs w:val="21"/>
                <w:highlight w:val="none"/>
                <w:lang w:val="en-US" w:eastAsia="zh-CN"/>
              </w:rPr>
              <w:t>（投标文件中提供证明材料）</w:t>
            </w:r>
          </w:p>
          <w:p w14:paraId="6EB6D254">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9.振动时间：1s—999h 可设可调。</w:t>
            </w:r>
          </w:p>
          <w:p w14:paraId="23753D8F">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10.吹尘时间：1s—999h 可设可调。</w:t>
            </w:r>
          </w:p>
          <w:p w14:paraId="2D344816">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11.定时范围：1—9999h/m/s。</w:t>
            </w:r>
          </w:p>
          <w:p w14:paraId="6243D14D">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12.功能主要配置</w:t>
            </w:r>
          </w:p>
          <w:p w14:paraId="0C8E7182">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●12.1.外箱材质：采用冷轧钢板，厚度为 ≥1.2mm，双面喷涂处理。</w:t>
            </w:r>
          </w:p>
          <w:p w14:paraId="6EAAB38A">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●12.2.内箱材质：采用 SUS304#不锈钢板，立板与顶板厚度≥ 1.0mm，底板为厚度≥2.0mm，底部加强设计。</w:t>
            </w:r>
          </w:p>
          <w:p w14:paraId="34AC25EB">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12.3.箱门结构：手动双开铰链门，颜色与箱体材料一致，保证密封性能。</w:t>
            </w:r>
          </w:p>
          <w:p w14:paraId="6CF2BFFE">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12.4.观察窗：门上有透明观察窗（钢化玻璃材质）。</w:t>
            </w:r>
          </w:p>
          <w:p w14:paraId="679FB310">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●12.5.照明灯：防爆防潮灯。</w:t>
            </w:r>
          </w:p>
          <w:p w14:paraId="0D47973F">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4"/>
                <w:szCs w:val="18"/>
                <w:highlight w:val="none"/>
                <w:lang w:eastAsia="zh-CN"/>
              </w:rPr>
              <w:t>★</w:t>
            </w:r>
            <w:r>
              <w:rPr>
                <w:rFonts w:hint="eastAsia" w:ascii="宋体" w:hAnsi="宋体" w:eastAsia="宋体" w:cs="宋体"/>
                <w:color w:val="auto"/>
                <w:sz w:val="21"/>
                <w:szCs w:val="21"/>
                <w:highlight w:val="none"/>
                <w:lang w:val="en-US" w:eastAsia="zh-CN"/>
              </w:rPr>
              <w:t>12.6.灰尘更换装置：设备的底部有可更换灰尘的装置。</w:t>
            </w:r>
            <w:r>
              <w:rPr>
                <w:rFonts w:hint="eastAsia" w:ascii="宋体" w:hAnsi="宋体" w:eastAsia="宋体" w:cs="宋体"/>
                <w:b/>
                <w:bCs/>
                <w:color w:val="auto"/>
                <w:sz w:val="21"/>
                <w:szCs w:val="21"/>
                <w:highlight w:val="none"/>
                <w:lang w:val="en-US" w:eastAsia="zh-CN"/>
              </w:rPr>
              <w:t>（投标文件中提供证明材料）</w:t>
            </w:r>
          </w:p>
          <w:p w14:paraId="26CE0AB8">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●12.7．除尘装置：配备振动装置，工作时间可调，以确保箱内空气中沙尘浓度始终满足标准要求。</w:t>
            </w:r>
          </w:p>
          <w:p w14:paraId="3E580EF5">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12.8．测试孔： 1个直径100mm±mm 测试引线孔，配硅胶塞和不锈钢盖。</w:t>
            </w:r>
          </w:p>
          <w:p w14:paraId="62E36C0D">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13.安全配置要求</w:t>
            </w:r>
          </w:p>
          <w:p w14:paraId="6D843193">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13.1. 安全保护功能：缺相保护，漏电保护，超温保护等多重保护功能。</w:t>
            </w:r>
          </w:p>
          <w:p w14:paraId="5320E91B">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13.2. 三色灯：设备安装三色灯，指示设备的运行状态，具备声光报警功能。</w:t>
            </w:r>
          </w:p>
          <w:p w14:paraId="20C57F97">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●14.控制系统要求</w:t>
            </w:r>
          </w:p>
          <w:p w14:paraId="18898439">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控制系统：采用≥10 寸液晶触摸屏控制仪，PLC 控制可分别对吹尘风机、粉尘振动、抽负压、通断电、温度和时间进行控制。</w:t>
            </w:r>
          </w:p>
          <w:p w14:paraId="5763F385">
            <w:pPr>
              <w:keepNext w:val="0"/>
              <w:keepLines w:val="0"/>
              <w:pageBreakBefore w:val="0"/>
              <w:widowControl w:val="0"/>
              <w:numPr>
                <w:ilvl w:val="0"/>
                <w:numId w:val="0"/>
              </w:numPr>
              <w:suppressLineNumbers w:val="0"/>
              <w:kinsoku/>
              <w:wordWrap w:val="0"/>
              <w:overflowPunct/>
              <w:topLinePunct w:val="0"/>
              <w:autoSpaceDE/>
              <w:autoSpaceDN/>
              <w:bidi w:val="0"/>
              <w:adjustRightInd/>
              <w:snapToGrid w:val="0"/>
              <w:spacing w:before="0" w:beforeAutospacing="0" w:after="0" w:afterAutospacing="0" w:line="312" w:lineRule="auto"/>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（四）主要配置：</w:t>
            </w:r>
            <w:r>
              <w:rPr>
                <w:rFonts w:hint="eastAsia" w:ascii="宋体" w:hAnsi="宋体" w:eastAsia="宋体" w:cs="宋体"/>
                <w:color w:val="auto"/>
                <w:kern w:val="2"/>
                <w:sz w:val="21"/>
                <w:szCs w:val="21"/>
                <w:highlight w:val="none"/>
                <w:lang w:val="en-US" w:eastAsia="zh-CN" w:bidi="ar-SA"/>
              </w:rPr>
              <w:t>主机一套及配套气源。提供滑石粉等耗材。</w:t>
            </w:r>
          </w:p>
        </w:tc>
        <w:tc>
          <w:tcPr>
            <w:tcW w:w="1001" w:type="dxa"/>
            <w:shd w:val="clear" w:color="auto" w:fill="auto"/>
            <w:vAlign w:val="center"/>
          </w:tcPr>
          <w:p w14:paraId="3B4F8159">
            <w:pPr>
              <w:keepNext w:val="0"/>
              <w:keepLines w:val="0"/>
              <w:pageBreakBefore w:val="0"/>
              <w:suppressLineNumbers w:val="0"/>
              <w:kinsoku/>
              <w:wordWrap w:val="0"/>
              <w:overflowPunct/>
              <w:topLinePunct w:val="0"/>
              <w:autoSpaceDE/>
              <w:autoSpaceDN/>
              <w:bidi w:val="0"/>
              <w:adjustRightInd/>
              <w:spacing w:before="0" w:beforeAutospacing="0" w:after="0" w:afterAutospacing="0" w:line="312" w:lineRule="auto"/>
              <w:ind w:left="0" w:right="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640" w:type="dxa"/>
            <w:shd w:val="clear" w:color="auto" w:fill="auto"/>
            <w:vAlign w:val="center"/>
          </w:tcPr>
          <w:p w14:paraId="5FC11A4B">
            <w:pPr>
              <w:keepNext w:val="0"/>
              <w:keepLines w:val="0"/>
              <w:pageBreakBefore w:val="0"/>
              <w:suppressLineNumbers w:val="0"/>
              <w:kinsoku/>
              <w:wordWrap w:val="0"/>
              <w:overflowPunct/>
              <w:topLinePunct w:val="0"/>
              <w:autoSpaceDE/>
              <w:autoSpaceDN/>
              <w:bidi w:val="0"/>
              <w:adjustRightInd/>
              <w:snapToGrid w:val="0"/>
              <w:spacing w:before="0" w:beforeAutospacing="0" w:after="0" w:afterAutospacing="0" w:line="312" w:lineRule="auto"/>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7"/>
                <w:sz w:val="21"/>
                <w:szCs w:val="21"/>
                <w:highlight w:val="none"/>
              </w:rPr>
              <w:t>工业</w:t>
            </w:r>
          </w:p>
        </w:tc>
      </w:tr>
    </w:tbl>
    <w:p w14:paraId="3D601B86">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b/>
          <w:bCs/>
          <w:color w:val="auto"/>
          <w:sz w:val="21"/>
          <w:szCs w:val="21"/>
          <w:highlight w:val="none"/>
          <w:lang w:val="en-US" w:eastAsia="zh-CN"/>
        </w:rPr>
      </w:pPr>
    </w:p>
    <w:p w14:paraId="4A8B6259">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ascii="宋体" w:hAnsi="宋体" w:eastAsia="宋体" w:cs="@仿宋_GB2312"/>
          <w:b/>
          <w:bCs/>
          <w:color w:val="auto"/>
          <w:sz w:val="21"/>
          <w:szCs w:val="15"/>
          <w:highlight w:val="none"/>
        </w:rPr>
      </w:pPr>
      <w:r>
        <w:rPr>
          <w:rFonts w:hint="eastAsia" w:ascii="宋体" w:hAnsi="宋体" w:eastAsia="宋体" w:cs="@仿宋_GB2312"/>
          <w:b/>
          <w:bCs/>
          <w:color w:val="auto"/>
          <w:kern w:val="2"/>
          <w:sz w:val="21"/>
          <w:szCs w:val="15"/>
          <w:highlight w:val="none"/>
          <w:lang w:val="en-US" w:eastAsia="zh-CN" w:bidi="ar-SA"/>
        </w:rPr>
        <w:t>三、</w:t>
      </w:r>
      <w:r>
        <w:rPr>
          <w:rFonts w:hint="eastAsia" w:ascii="宋体" w:hAnsi="宋体" w:eastAsia="宋体" w:cs="@仿宋_GB2312"/>
          <w:b/>
          <w:bCs/>
          <w:color w:val="auto"/>
          <w:sz w:val="21"/>
          <w:szCs w:val="15"/>
          <w:highlight w:val="none"/>
          <w:lang w:val="en-US" w:eastAsia="zh-CN"/>
        </w:rPr>
        <w:t>其他要求</w:t>
      </w:r>
      <w:bookmarkEnd w:id="5"/>
    </w:p>
    <w:p w14:paraId="5FB2113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cs="@仿宋_GB2312"/>
          <w:bCs/>
          <w:color w:val="auto"/>
          <w:sz w:val="21"/>
          <w:szCs w:val="15"/>
          <w:highlight w:val="none"/>
        </w:rPr>
      </w:pPr>
      <w:r>
        <w:rPr>
          <w:rFonts w:hint="eastAsia" w:ascii="宋体" w:hAnsi="宋体" w:eastAsia="宋体" w:cs="@仿宋_GB2312"/>
          <w:bCs/>
          <w:color w:val="auto"/>
          <w:kern w:val="2"/>
          <w:sz w:val="21"/>
          <w:szCs w:val="15"/>
          <w:highlight w:val="none"/>
          <w:lang w:val="en-US" w:eastAsia="zh-CN" w:bidi="ar-SA"/>
        </w:rPr>
        <w:t>1.</w:t>
      </w:r>
      <w:r>
        <w:rPr>
          <w:rFonts w:hint="eastAsia" w:ascii="宋体" w:hAnsi="宋体" w:eastAsia="宋体" w:cs="@仿宋_GB2312"/>
          <w:bCs/>
          <w:color w:val="auto"/>
          <w:sz w:val="21"/>
          <w:szCs w:val="15"/>
          <w:highlight w:val="none"/>
        </w:rPr>
        <w:t xml:space="preserve">中标人提供软、硬件设备的现场安装、调试和开通，并保证整个系统的正常运行；保证不同时期提供的同类设备（软件、硬件）兼容，所供设备在使用之前，必须提供现场培训。 </w:t>
      </w:r>
    </w:p>
    <w:p w14:paraId="7169A15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cs="@仿宋_GB2312"/>
          <w:bCs/>
          <w:color w:val="auto"/>
          <w:sz w:val="21"/>
          <w:szCs w:val="15"/>
          <w:highlight w:val="none"/>
        </w:rPr>
      </w:pPr>
      <w:r>
        <w:rPr>
          <w:rFonts w:hint="eastAsia" w:ascii="宋体" w:hAnsi="宋体" w:eastAsia="宋体" w:cs="@仿宋_GB2312"/>
          <w:bCs/>
          <w:color w:val="auto"/>
          <w:kern w:val="2"/>
          <w:sz w:val="21"/>
          <w:szCs w:val="15"/>
          <w:highlight w:val="none"/>
          <w:lang w:val="en-US" w:eastAsia="zh-CN" w:bidi="ar-SA"/>
        </w:rPr>
        <w:t>2.</w:t>
      </w:r>
      <w:r>
        <w:rPr>
          <w:rFonts w:hint="eastAsia" w:ascii="宋体" w:hAnsi="宋体" w:eastAsia="宋体" w:cs="@仿宋_GB2312"/>
          <w:bCs/>
          <w:color w:val="auto"/>
          <w:sz w:val="21"/>
          <w:szCs w:val="15"/>
          <w:highlight w:val="none"/>
        </w:rPr>
        <w:t xml:space="preserve">质保期内设备的软件升级、硬件保修由中标人承担。普通国产设备，质保期内，原生产厂提供全机免费保修。所有费用均包含在投标人的投标报价中，中标后采购人不再另行支付任何费用。 </w:t>
      </w:r>
    </w:p>
    <w:p w14:paraId="328D414F">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cs="@仿宋_GB2312"/>
          <w:bCs/>
          <w:color w:val="auto"/>
          <w:sz w:val="21"/>
          <w:szCs w:val="15"/>
          <w:highlight w:val="none"/>
        </w:rPr>
      </w:pPr>
      <w:r>
        <w:rPr>
          <w:rFonts w:hint="eastAsia" w:ascii="宋体" w:hAnsi="宋体" w:eastAsia="宋体" w:cs="@仿宋_GB2312"/>
          <w:bCs/>
          <w:color w:val="auto"/>
          <w:sz w:val="21"/>
          <w:szCs w:val="15"/>
          <w:highlight w:val="none"/>
        </w:rPr>
        <w:t xml:space="preserve">3.任何出具检测数据的仪器设备在安装调试阶段或仪器设备验收前，中标人（供应商）应需免费提供一份委托方为采购人（安徽省产品质量监督检验研究院）名义的检定/校准合格证书一份，且计量参数指标为采购人确认合格。需在本地安装或移动后影响计量性能的仪器设备，应提供本地量值溯源机构的检定/校准合格证书一份（本地机构不具备量值溯源能力的除外）。 </w:t>
      </w:r>
    </w:p>
    <w:p w14:paraId="3F69B73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rPr>
          <w:rFonts w:hint="eastAsia" w:ascii="宋体" w:hAnsi="宋体" w:eastAsia="宋体" w:cs="@仿宋_GB2312"/>
          <w:bCs/>
          <w:color w:val="auto"/>
          <w:sz w:val="21"/>
          <w:szCs w:val="15"/>
          <w:highlight w:val="none"/>
        </w:rPr>
      </w:pPr>
      <w:r>
        <w:rPr>
          <w:rFonts w:hint="eastAsia" w:ascii="宋体" w:hAnsi="宋体" w:eastAsia="宋体" w:cs="@仿宋_GB2312"/>
          <w:bCs/>
          <w:color w:val="auto"/>
          <w:sz w:val="21"/>
          <w:szCs w:val="15"/>
          <w:highlight w:val="none"/>
        </w:rPr>
        <w:t>4.根据设备安装的复杂程度，需现场装配、安装的大型设备，以及设备本身所需水、电、气安装条件超过实验室原有的基本配置，设备供应商应通过现场勘察，并与相关实验室进行沟通，该部分费用包含在投标报价中，由中标人负责实施。</w:t>
      </w:r>
    </w:p>
    <w:p w14:paraId="7211EA8A">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37" w:firstLineChars="0"/>
        <w:textAlignment w:val="auto"/>
        <w:outlineLvl w:val="1"/>
        <w:rPr>
          <w:rFonts w:ascii="宋体" w:hAnsi="宋体" w:eastAsia="宋体" w:cs="@仿宋_GB2312"/>
          <w:b/>
          <w:bCs/>
          <w:color w:val="auto"/>
          <w:sz w:val="21"/>
          <w:szCs w:val="15"/>
          <w:highlight w:val="none"/>
        </w:rPr>
      </w:pPr>
      <w:bookmarkStart w:id="8" w:name="_Toc8438"/>
      <w:r>
        <w:rPr>
          <w:rFonts w:hint="eastAsia" w:ascii="宋体" w:hAnsi="宋体" w:eastAsia="宋体" w:cs="@仿宋_GB2312"/>
          <w:b/>
          <w:bCs/>
          <w:color w:val="auto"/>
          <w:kern w:val="2"/>
          <w:sz w:val="21"/>
          <w:szCs w:val="15"/>
          <w:highlight w:val="none"/>
          <w:lang w:val="en-US" w:eastAsia="zh-CN" w:bidi="ar-SA"/>
        </w:rPr>
        <w:t>四、</w:t>
      </w:r>
      <w:r>
        <w:rPr>
          <w:rFonts w:hint="eastAsia" w:ascii="宋体" w:hAnsi="宋体" w:eastAsia="宋体" w:cs="@仿宋_GB2312"/>
          <w:b/>
          <w:bCs/>
          <w:color w:val="auto"/>
          <w:sz w:val="21"/>
          <w:szCs w:val="15"/>
          <w:highlight w:val="none"/>
        </w:rPr>
        <w:t>报价要求</w:t>
      </w:r>
      <w:bookmarkEnd w:id="6"/>
      <w:bookmarkEnd w:id="7"/>
      <w:bookmarkEnd w:id="8"/>
    </w:p>
    <w:p w14:paraId="6015AA1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ascii="宋体" w:hAnsi="宋体" w:eastAsia="宋体" w:cs="@仿宋_GB2312"/>
          <w:bCs/>
          <w:color w:val="auto"/>
          <w:sz w:val="21"/>
          <w:szCs w:val="15"/>
          <w:highlight w:val="none"/>
        </w:rPr>
      </w:pPr>
      <w:r>
        <w:rPr>
          <w:rFonts w:hint="eastAsia" w:ascii="宋体" w:hAnsi="宋体" w:eastAsia="宋体" w:cs="@仿宋_GB2312"/>
          <w:bCs/>
          <w:color w:val="auto"/>
          <w:sz w:val="21"/>
          <w:szCs w:val="15"/>
          <w:highlight w:val="none"/>
        </w:rPr>
        <w:t>本项目报总价，投标报价</w:t>
      </w:r>
      <w:r>
        <w:rPr>
          <w:rFonts w:ascii="宋体" w:hAnsi="宋体" w:eastAsia="宋体" w:cs="@仿宋_GB2312"/>
          <w:bCs/>
          <w:color w:val="auto"/>
          <w:sz w:val="21"/>
          <w:szCs w:val="15"/>
          <w:highlight w:val="none"/>
        </w:rPr>
        <w:t>包括</w:t>
      </w:r>
      <w:r>
        <w:rPr>
          <w:rFonts w:hint="eastAsia" w:ascii="宋体" w:hAnsi="宋体" w:eastAsia="宋体" w:cs="@仿宋_GB2312"/>
          <w:bCs/>
          <w:color w:val="auto"/>
          <w:sz w:val="21"/>
          <w:szCs w:val="15"/>
          <w:highlight w:val="none"/>
        </w:rPr>
        <w:t>本项目需求的全部货物及所需附件购置费、包装费、运输费、人工费、保险费</w:t>
      </w:r>
      <w:r>
        <w:rPr>
          <w:rFonts w:hint="eastAsia" w:ascii="宋体" w:hAnsi="宋体" w:eastAsia="宋体" w:cs="@仿宋_GB2312"/>
          <w:bCs/>
          <w:color w:val="auto"/>
          <w:sz w:val="21"/>
          <w:szCs w:val="15"/>
          <w:highlight w:val="none"/>
          <w:lang w:eastAsia="zh-CN"/>
        </w:rPr>
        <w:t>（</w:t>
      </w:r>
      <w:r>
        <w:rPr>
          <w:rFonts w:hint="eastAsia" w:ascii="宋体" w:hAnsi="宋体" w:eastAsia="宋体" w:cs="@仿宋_GB2312"/>
          <w:bCs/>
          <w:color w:val="auto"/>
          <w:sz w:val="21"/>
          <w:szCs w:val="15"/>
          <w:highlight w:val="none"/>
          <w:lang w:val="en-US" w:eastAsia="zh-CN"/>
        </w:rPr>
        <w:t>如有</w:t>
      </w:r>
      <w:r>
        <w:rPr>
          <w:rFonts w:hint="eastAsia" w:ascii="宋体" w:hAnsi="宋体" w:eastAsia="宋体" w:cs="@仿宋_GB2312"/>
          <w:bCs/>
          <w:color w:val="auto"/>
          <w:sz w:val="21"/>
          <w:szCs w:val="15"/>
          <w:highlight w:val="none"/>
          <w:lang w:eastAsia="zh-CN"/>
        </w:rPr>
        <w:t>）</w:t>
      </w:r>
      <w:r>
        <w:rPr>
          <w:rFonts w:hint="eastAsia" w:ascii="宋体" w:hAnsi="宋体" w:eastAsia="宋体" w:cs="@仿宋_GB2312"/>
          <w:bCs/>
          <w:color w:val="auto"/>
          <w:sz w:val="21"/>
          <w:szCs w:val="15"/>
          <w:highlight w:val="none"/>
        </w:rPr>
        <w:t>、安装调试费、各种税费、资料费、售后服务费及完成项目应有的全部费用。</w:t>
      </w:r>
    </w:p>
    <w:p w14:paraId="75A8253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仿宋_GB2312"/>
          <w:b/>
          <w:bCs/>
          <w:color w:val="auto"/>
          <w:sz w:val="21"/>
          <w:szCs w:val="15"/>
          <w:highlight w:val="none"/>
        </w:rPr>
      </w:pPr>
      <w:bookmarkStart w:id="9" w:name="_Toc5724"/>
      <w:r>
        <w:rPr>
          <w:rFonts w:hint="eastAsia" w:ascii="宋体" w:hAnsi="宋体" w:eastAsia="宋体" w:cs="@仿宋_GB2312"/>
          <w:b/>
          <w:bCs/>
          <w:color w:val="auto"/>
          <w:sz w:val="21"/>
          <w:szCs w:val="15"/>
          <w:highlight w:val="none"/>
          <w:lang w:val="en-US" w:eastAsia="zh-CN"/>
        </w:rPr>
        <w:t>五</w:t>
      </w:r>
      <w:r>
        <w:rPr>
          <w:rFonts w:hint="eastAsia" w:ascii="宋体" w:hAnsi="宋体" w:eastAsia="宋体" w:cs="@仿宋_GB2312"/>
          <w:b/>
          <w:bCs/>
          <w:color w:val="auto"/>
          <w:sz w:val="21"/>
          <w:szCs w:val="15"/>
          <w:highlight w:val="none"/>
        </w:rPr>
        <w:t>、备品备件及专用工具</w:t>
      </w:r>
      <w:bookmarkEnd w:id="9"/>
    </w:p>
    <w:p w14:paraId="0A60713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10" w:name="_Toc7851"/>
      <w:bookmarkStart w:id="11" w:name="_Toc445554752"/>
      <w:bookmarkStart w:id="12" w:name="_Toc455587277"/>
      <w:bookmarkStart w:id="13" w:name="_Toc455587093"/>
      <w:r>
        <w:rPr>
          <w:rFonts w:ascii="宋体" w:hAnsi="宋体" w:eastAsia="宋体" w:cs="@仿宋_GB2312"/>
          <w:bCs/>
          <w:color w:val="auto"/>
          <w:sz w:val="21"/>
          <w:szCs w:val="15"/>
          <w:highlight w:val="none"/>
        </w:rPr>
        <w:t>1</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备品备件：中标人提供能够满足质量保证期内的设备维修要求的备品备件，备品备件应是新品。</w:t>
      </w:r>
      <w:bookmarkEnd w:id="10"/>
    </w:p>
    <w:p w14:paraId="4DD3331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14" w:name="_Toc15530"/>
      <w:r>
        <w:rPr>
          <w:rFonts w:ascii="宋体" w:hAnsi="宋体" w:eastAsia="宋体" w:cs="@仿宋_GB2312"/>
          <w:bCs/>
          <w:color w:val="auto"/>
          <w:sz w:val="21"/>
          <w:szCs w:val="15"/>
          <w:highlight w:val="none"/>
        </w:rPr>
        <w:t>2</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专用工具：中标人提供设备安装、调试、验收、维修、保养所必要的专用工具、仪器、仪表等工具。</w:t>
      </w:r>
      <w:bookmarkEnd w:id="14"/>
    </w:p>
    <w:bookmarkEnd w:id="11"/>
    <w:bookmarkEnd w:id="12"/>
    <w:bookmarkEnd w:id="13"/>
    <w:p w14:paraId="29D6A96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仿宋_GB2312"/>
          <w:b/>
          <w:bCs/>
          <w:color w:val="auto"/>
          <w:sz w:val="21"/>
          <w:szCs w:val="15"/>
          <w:highlight w:val="none"/>
        </w:rPr>
      </w:pPr>
      <w:bookmarkStart w:id="15" w:name="_Toc532199625"/>
      <w:bookmarkStart w:id="16" w:name="_Toc11418"/>
      <w:bookmarkStart w:id="17" w:name="_Toc455587278"/>
      <w:bookmarkStart w:id="18" w:name="_Toc445554753"/>
      <w:bookmarkStart w:id="19" w:name="_Toc455587094"/>
      <w:r>
        <w:rPr>
          <w:rFonts w:hint="eastAsia" w:ascii="宋体" w:hAnsi="宋体" w:eastAsia="宋体" w:cs="@仿宋_GB2312"/>
          <w:b/>
          <w:bCs/>
          <w:color w:val="auto"/>
          <w:sz w:val="21"/>
          <w:szCs w:val="15"/>
          <w:highlight w:val="none"/>
          <w:lang w:val="en-US" w:eastAsia="zh-CN"/>
        </w:rPr>
        <w:t>六</w:t>
      </w:r>
      <w:r>
        <w:rPr>
          <w:rFonts w:hint="eastAsia" w:ascii="宋体" w:hAnsi="宋体" w:eastAsia="宋体" w:cs="@仿宋_GB2312"/>
          <w:b/>
          <w:bCs/>
          <w:color w:val="auto"/>
          <w:sz w:val="21"/>
          <w:szCs w:val="15"/>
          <w:highlight w:val="none"/>
        </w:rPr>
        <w:t>、安装调试、验收试验及质量保证</w:t>
      </w:r>
      <w:bookmarkEnd w:id="15"/>
      <w:bookmarkEnd w:id="16"/>
    </w:p>
    <w:p w14:paraId="49EDBB3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0" w:name="_Toc29429"/>
      <w:r>
        <w:rPr>
          <w:rFonts w:ascii="宋体" w:hAnsi="宋体" w:eastAsia="宋体" w:cs="@仿宋_GB2312"/>
          <w:bCs/>
          <w:color w:val="auto"/>
          <w:sz w:val="21"/>
          <w:szCs w:val="15"/>
          <w:highlight w:val="none"/>
        </w:rPr>
        <w:t>1</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中标人在设备安装地点负责安装、调试。</w:t>
      </w:r>
      <w:bookmarkEnd w:id="20"/>
    </w:p>
    <w:p w14:paraId="7C8BDAD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1" w:name="_Toc16786"/>
      <w:r>
        <w:rPr>
          <w:rFonts w:ascii="宋体" w:hAnsi="宋体" w:eastAsia="宋体" w:cs="@仿宋_GB2312"/>
          <w:bCs/>
          <w:color w:val="auto"/>
          <w:sz w:val="21"/>
          <w:szCs w:val="15"/>
          <w:highlight w:val="none"/>
        </w:rPr>
        <w:t>2</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具体设备验收标准和程序按采购人要求执行，下列验收程序可参照执行：</w:t>
      </w:r>
      <w:bookmarkEnd w:id="21"/>
    </w:p>
    <w:p w14:paraId="11840BE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2" w:name="_Toc1056"/>
      <w:r>
        <w:rPr>
          <w:rFonts w:ascii="宋体" w:hAnsi="宋体" w:eastAsia="宋体" w:cs="@仿宋_GB2312"/>
          <w:bCs/>
          <w:color w:val="auto"/>
          <w:sz w:val="21"/>
          <w:szCs w:val="15"/>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bookmarkEnd w:id="22"/>
    </w:p>
    <w:p w14:paraId="44EDDDC2">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3" w:name="_Toc14068"/>
      <w:r>
        <w:rPr>
          <w:rFonts w:ascii="宋体" w:hAnsi="宋体" w:eastAsia="宋体" w:cs="@仿宋_GB2312"/>
          <w:bCs/>
          <w:color w:val="auto"/>
          <w:sz w:val="21"/>
          <w:szCs w:val="15"/>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3"/>
    </w:p>
    <w:p w14:paraId="585538B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4" w:name="_Toc24043"/>
      <w:r>
        <w:rPr>
          <w:rFonts w:ascii="宋体" w:hAnsi="宋体" w:eastAsia="宋体" w:cs="@仿宋_GB2312"/>
          <w:bCs/>
          <w:color w:val="auto"/>
          <w:sz w:val="21"/>
          <w:szCs w:val="15"/>
          <w:highlight w:val="none"/>
        </w:rPr>
        <w:t>2.3 中标人应根据采购人使用单位的技术要求提供相应的产品。由中标人所提供的设备部件间的连线和插接件均应视为设备内部器件，包含在相应的设备之中。</w:t>
      </w:r>
      <w:bookmarkEnd w:id="24"/>
    </w:p>
    <w:p w14:paraId="3AFACE8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5" w:name="_Toc24031"/>
      <w:r>
        <w:rPr>
          <w:rFonts w:ascii="宋体" w:hAnsi="宋体" w:eastAsia="宋体" w:cs="@仿宋_GB2312"/>
          <w:bCs/>
          <w:color w:val="auto"/>
          <w:sz w:val="21"/>
          <w:szCs w:val="15"/>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5"/>
    </w:p>
    <w:p w14:paraId="0BED61D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6" w:name="_Toc9709"/>
      <w:r>
        <w:rPr>
          <w:rFonts w:ascii="宋体" w:hAnsi="宋体" w:eastAsia="宋体" w:cs="@仿宋_GB2312"/>
          <w:bCs/>
          <w:color w:val="auto"/>
          <w:sz w:val="21"/>
          <w:szCs w:val="15"/>
          <w:highlight w:val="none"/>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bookmarkEnd w:id="26"/>
    </w:p>
    <w:p w14:paraId="5B2E9AB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27" w:name="_Toc17072"/>
      <w:r>
        <w:rPr>
          <w:rFonts w:ascii="宋体" w:hAnsi="宋体" w:eastAsia="宋体" w:cs="@仿宋_GB2312"/>
          <w:bCs/>
          <w:color w:val="auto"/>
          <w:sz w:val="21"/>
          <w:szCs w:val="15"/>
          <w:highlight w:val="none"/>
        </w:rPr>
        <w:t>3</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如设备在验收时有一个或多个指标未能达到要求而属于中标人责任时，则中标人自费采取有效措施，在规定时间内使之达到保证指标。如在规定的时间内仍达不到合格标准时，则中标人应向采购人赔偿。</w:t>
      </w:r>
      <w:bookmarkEnd w:id="27"/>
    </w:p>
    <w:p w14:paraId="2714D47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仿宋_GB2312"/>
          <w:b/>
          <w:bCs/>
          <w:color w:val="auto"/>
          <w:sz w:val="21"/>
          <w:szCs w:val="15"/>
          <w:highlight w:val="none"/>
        </w:rPr>
      </w:pPr>
      <w:bookmarkStart w:id="28" w:name="_Toc532199626"/>
      <w:bookmarkStart w:id="29" w:name="_Toc26512"/>
      <w:r>
        <w:rPr>
          <w:rFonts w:hint="eastAsia" w:ascii="宋体" w:hAnsi="宋体" w:eastAsia="宋体" w:cs="@仿宋_GB2312"/>
          <w:b/>
          <w:bCs/>
          <w:color w:val="auto"/>
          <w:sz w:val="21"/>
          <w:szCs w:val="15"/>
          <w:highlight w:val="none"/>
          <w:lang w:val="en-US" w:eastAsia="zh-CN"/>
        </w:rPr>
        <w:t>七</w:t>
      </w:r>
      <w:r>
        <w:rPr>
          <w:rFonts w:hint="eastAsia" w:ascii="宋体" w:hAnsi="宋体" w:eastAsia="宋体" w:cs="@仿宋_GB2312"/>
          <w:b/>
          <w:bCs/>
          <w:color w:val="auto"/>
          <w:sz w:val="21"/>
          <w:szCs w:val="15"/>
          <w:highlight w:val="none"/>
        </w:rPr>
        <w:t>、包装运输</w:t>
      </w:r>
      <w:bookmarkEnd w:id="17"/>
      <w:bookmarkEnd w:id="18"/>
      <w:bookmarkEnd w:id="19"/>
      <w:bookmarkEnd w:id="28"/>
      <w:bookmarkEnd w:id="29"/>
    </w:p>
    <w:p w14:paraId="4786D7C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0" w:name="_Toc14762"/>
      <w:bookmarkStart w:id="31" w:name="_Toc445554754"/>
      <w:bookmarkStart w:id="32" w:name="_Toc455587279"/>
      <w:bookmarkStart w:id="33" w:name="_Toc455587095"/>
      <w:r>
        <w:rPr>
          <w:rFonts w:ascii="宋体" w:hAnsi="宋体" w:eastAsia="宋体" w:cs="@仿宋_GB2312"/>
          <w:bCs/>
          <w:color w:val="auto"/>
          <w:sz w:val="21"/>
          <w:szCs w:val="15"/>
          <w:highlight w:val="none"/>
        </w:rPr>
        <w:t>1</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中标人负责设备包装、办理运输和保险，将设备安全运抵交货地点。</w:t>
      </w:r>
      <w:bookmarkEnd w:id="30"/>
    </w:p>
    <w:p w14:paraId="69524BB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4" w:name="_Toc10904"/>
      <w:r>
        <w:rPr>
          <w:rFonts w:ascii="宋体" w:hAnsi="宋体" w:eastAsia="宋体" w:cs="@仿宋_GB2312"/>
          <w:bCs/>
          <w:color w:val="auto"/>
          <w:sz w:val="21"/>
          <w:szCs w:val="15"/>
          <w:highlight w:val="none"/>
        </w:rPr>
        <w:t>2</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设备制造完成并通过试验后应及时包装，否则应得到切实的保护，确保其不受污损。</w:t>
      </w:r>
      <w:bookmarkEnd w:id="34"/>
    </w:p>
    <w:p w14:paraId="2419B0B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5" w:name="_Toc26055"/>
      <w:r>
        <w:rPr>
          <w:rFonts w:ascii="宋体" w:hAnsi="宋体" w:eastAsia="宋体" w:cs="@仿宋_GB2312"/>
          <w:bCs/>
          <w:color w:val="auto"/>
          <w:sz w:val="21"/>
          <w:szCs w:val="15"/>
          <w:highlight w:val="none"/>
        </w:rPr>
        <w:t>3</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在包装箱外应标明采购人的订货号、发货号。</w:t>
      </w:r>
      <w:bookmarkEnd w:id="35"/>
    </w:p>
    <w:p w14:paraId="20860EA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6" w:name="_Toc32577"/>
      <w:r>
        <w:rPr>
          <w:rFonts w:ascii="宋体" w:hAnsi="宋体" w:eastAsia="宋体" w:cs="@仿宋_GB2312"/>
          <w:bCs/>
          <w:color w:val="auto"/>
          <w:sz w:val="21"/>
          <w:szCs w:val="15"/>
          <w:highlight w:val="none"/>
        </w:rPr>
        <w:t>4</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各种包装应能确保各零部件在运输过程中不致遭到损坏、丢失、变形、受潮和腐蚀。</w:t>
      </w:r>
      <w:bookmarkEnd w:id="36"/>
    </w:p>
    <w:p w14:paraId="7AD9D44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7" w:name="_Toc13041"/>
      <w:r>
        <w:rPr>
          <w:rFonts w:ascii="宋体" w:hAnsi="宋体" w:eastAsia="宋体" w:cs="@仿宋_GB2312"/>
          <w:bCs/>
          <w:color w:val="auto"/>
          <w:sz w:val="21"/>
          <w:szCs w:val="15"/>
          <w:highlight w:val="none"/>
        </w:rPr>
        <w:t>5</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包装箱上应有明显的包装储运图示标志。</w:t>
      </w:r>
      <w:bookmarkEnd w:id="37"/>
    </w:p>
    <w:p w14:paraId="3C3B605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8" w:name="_Toc13306"/>
      <w:r>
        <w:rPr>
          <w:rFonts w:ascii="宋体" w:hAnsi="宋体" w:eastAsia="宋体" w:cs="@仿宋_GB2312"/>
          <w:bCs/>
          <w:color w:val="auto"/>
          <w:sz w:val="21"/>
          <w:szCs w:val="15"/>
          <w:highlight w:val="none"/>
        </w:rPr>
        <w:t>6</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整体产品或分别运输的部件都要适应运输和装载的要求。</w:t>
      </w:r>
      <w:bookmarkEnd w:id="38"/>
    </w:p>
    <w:p w14:paraId="2B200FB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39" w:name="_Toc18238"/>
      <w:r>
        <w:rPr>
          <w:rFonts w:ascii="宋体" w:hAnsi="宋体" w:eastAsia="宋体" w:cs="@仿宋_GB2312"/>
          <w:bCs/>
          <w:color w:val="auto"/>
          <w:sz w:val="21"/>
          <w:szCs w:val="15"/>
          <w:highlight w:val="none"/>
        </w:rPr>
        <w:t>7</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随产品提供的技术资料应完整无缺。</w:t>
      </w:r>
      <w:bookmarkEnd w:id="39"/>
    </w:p>
    <w:p w14:paraId="3C0B484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仿宋_GB2312"/>
          <w:b/>
          <w:bCs/>
          <w:color w:val="auto"/>
          <w:sz w:val="21"/>
          <w:szCs w:val="15"/>
          <w:highlight w:val="none"/>
        </w:rPr>
      </w:pPr>
      <w:bookmarkStart w:id="40" w:name="_Toc532199627"/>
      <w:bookmarkStart w:id="41" w:name="_Toc19176"/>
      <w:r>
        <w:rPr>
          <w:rFonts w:hint="eastAsia" w:ascii="宋体" w:hAnsi="宋体" w:eastAsia="宋体" w:cs="@仿宋_GB2312"/>
          <w:b/>
          <w:bCs/>
          <w:color w:val="auto"/>
          <w:sz w:val="21"/>
          <w:szCs w:val="15"/>
          <w:highlight w:val="none"/>
          <w:lang w:val="en-US" w:eastAsia="zh-CN"/>
        </w:rPr>
        <w:t>八</w:t>
      </w:r>
      <w:r>
        <w:rPr>
          <w:rFonts w:hint="eastAsia" w:ascii="宋体" w:hAnsi="宋体" w:eastAsia="宋体" w:cs="@仿宋_GB2312"/>
          <w:b/>
          <w:bCs/>
          <w:color w:val="auto"/>
          <w:sz w:val="21"/>
          <w:szCs w:val="15"/>
          <w:highlight w:val="none"/>
        </w:rPr>
        <w:t>、技术培训</w:t>
      </w:r>
      <w:bookmarkEnd w:id="31"/>
      <w:bookmarkEnd w:id="32"/>
      <w:bookmarkEnd w:id="33"/>
      <w:bookmarkEnd w:id="40"/>
      <w:bookmarkEnd w:id="41"/>
    </w:p>
    <w:p w14:paraId="35B2AD81">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42" w:name="_Toc11077"/>
      <w:r>
        <w:rPr>
          <w:rFonts w:ascii="宋体" w:hAnsi="宋体" w:eastAsia="宋体" w:cs="@仿宋_GB2312"/>
          <w:bCs/>
          <w:color w:val="auto"/>
          <w:sz w:val="21"/>
          <w:szCs w:val="15"/>
          <w:highlight w:val="none"/>
        </w:rPr>
        <w:t>1</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为使合同设备能正常安装和运行，由中标人提供相应的技术培训</w:t>
      </w:r>
      <w:bookmarkEnd w:id="42"/>
      <w:bookmarkStart w:id="43" w:name="_Toc9488"/>
      <w:r>
        <w:rPr>
          <w:rFonts w:hint="eastAsia" w:ascii="宋体" w:hAnsi="宋体" w:eastAsia="宋体" w:cs="@仿宋_GB2312"/>
          <w:bCs/>
          <w:color w:val="auto"/>
          <w:sz w:val="21"/>
          <w:szCs w:val="15"/>
          <w:highlight w:val="none"/>
          <w:lang w:eastAsia="zh-CN"/>
        </w:rPr>
        <w:t>，</w:t>
      </w:r>
      <w:r>
        <w:rPr>
          <w:rFonts w:hint="eastAsia" w:ascii="宋体" w:hAnsi="宋体" w:eastAsia="宋体" w:cs="@仿宋_GB2312"/>
          <w:bCs/>
          <w:color w:val="auto"/>
          <w:sz w:val="21"/>
          <w:szCs w:val="15"/>
          <w:highlight w:val="none"/>
          <w:lang w:val="en-US" w:eastAsia="zh-CN"/>
        </w:rPr>
        <w:t>相关费用包含在本项目投标报价中</w:t>
      </w:r>
      <w:r>
        <w:rPr>
          <w:rFonts w:ascii="宋体" w:hAnsi="宋体" w:eastAsia="宋体" w:cs="@仿宋_GB2312"/>
          <w:bCs/>
          <w:color w:val="auto"/>
          <w:sz w:val="21"/>
          <w:szCs w:val="15"/>
          <w:highlight w:val="none"/>
        </w:rPr>
        <w:t>。</w:t>
      </w:r>
    </w:p>
    <w:p w14:paraId="7183CAF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r>
        <w:rPr>
          <w:rFonts w:ascii="宋体" w:hAnsi="宋体" w:eastAsia="宋体" w:cs="@仿宋_GB2312"/>
          <w:bCs/>
          <w:color w:val="auto"/>
          <w:sz w:val="21"/>
          <w:szCs w:val="15"/>
          <w:highlight w:val="none"/>
        </w:rPr>
        <w:t>2</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培训的时间、人数、地点等具体内容由买卖双方商定，内容至少包括：设备原理、使用、维护、运行操作、常见故障处理等。</w:t>
      </w:r>
      <w:bookmarkEnd w:id="43"/>
    </w:p>
    <w:p w14:paraId="016D874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cs="@仿宋_GB2312"/>
          <w:b/>
          <w:bCs/>
          <w:color w:val="auto"/>
          <w:sz w:val="21"/>
          <w:szCs w:val="15"/>
          <w:highlight w:val="none"/>
        </w:rPr>
      </w:pPr>
      <w:bookmarkStart w:id="44" w:name="_Toc25081"/>
      <w:bookmarkStart w:id="45" w:name="_Toc532199628"/>
      <w:r>
        <w:rPr>
          <w:rFonts w:hint="eastAsia" w:ascii="宋体" w:hAnsi="宋体" w:eastAsia="宋体" w:cs="@仿宋_GB2312"/>
          <w:b/>
          <w:bCs/>
          <w:color w:val="auto"/>
          <w:sz w:val="21"/>
          <w:szCs w:val="15"/>
          <w:highlight w:val="none"/>
          <w:lang w:val="en-US" w:eastAsia="zh-CN"/>
        </w:rPr>
        <w:t>九</w:t>
      </w:r>
      <w:r>
        <w:rPr>
          <w:rFonts w:hint="eastAsia" w:ascii="宋体" w:hAnsi="宋体" w:eastAsia="宋体" w:cs="@仿宋_GB2312"/>
          <w:b/>
          <w:bCs/>
          <w:color w:val="auto"/>
          <w:sz w:val="21"/>
          <w:szCs w:val="15"/>
          <w:highlight w:val="none"/>
        </w:rPr>
        <w:t>、质保及售后服务</w:t>
      </w:r>
      <w:bookmarkEnd w:id="44"/>
    </w:p>
    <w:p w14:paraId="5827F99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1"/>
          <w:szCs w:val="15"/>
          <w:highlight w:val="none"/>
        </w:rPr>
      </w:pPr>
      <w:bookmarkStart w:id="46" w:name="_Toc31632"/>
      <w:r>
        <w:rPr>
          <w:rFonts w:ascii="宋体" w:hAnsi="宋体" w:eastAsia="宋体" w:cs="@仿宋_GB2312"/>
          <w:bCs/>
          <w:color w:val="auto"/>
          <w:sz w:val="21"/>
          <w:szCs w:val="15"/>
          <w:highlight w:val="none"/>
        </w:rPr>
        <w:t>1</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自双方签订《验收报告》起进入免费质保期。</w:t>
      </w:r>
      <w:bookmarkEnd w:id="46"/>
    </w:p>
    <w:p w14:paraId="04DF5FF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cs="@仿宋_GB2312"/>
          <w:bCs/>
          <w:color w:val="auto"/>
          <w:sz w:val="24"/>
          <w:szCs w:val="18"/>
          <w:highlight w:val="none"/>
        </w:rPr>
      </w:pPr>
      <w:bookmarkStart w:id="47" w:name="_Toc4165"/>
      <w:r>
        <w:rPr>
          <w:rFonts w:ascii="宋体" w:hAnsi="宋体" w:eastAsia="宋体" w:cs="@仿宋_GB2312"/>
          <w:bCs/>
          <w:color w:val="auto"/>
          <w:sz w:val="21"/>
          <w:szCs w:val="15"/>
          <w:highlight w:val="none"/>
        </w:rPr>
        <w:t>2</w:t>
      </w:r>
      <w:r>
        <w:rPr>
          <w:rFonts w:hint="eastAsia" w:ascii="宋体" w:hAnsi="宋体" w:eastAsia="宋体" w:cs="@仿宋_GB2312"/>
          <w:bCs/>
          <w:color w:val="auto"/>
          <w:sz w:val="21"/>
          <w:szCs w:val="15"/>
          <w:highlight w:val="none"/>
          <w:lang w:eastAsia="zh-CN"/>
        </w:rPr>
        <w:t>.</w:t>
      </w:r>
      <w:r>
        <w:rPr>
          <w:rFonts w:ascii="宋体" w:hAnsi="宋体" w:eastAsia="宋体" w:cs="@仿宋_GB2312"/>
          <w:bCs/>
          <w:color w:val="auto"/>
          <w:sz w:val="21"/>
          <w:szCs w:val="15"/>
          <w:highlight w:val="none"/>
        </w:rPr>
        <w:t>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bookmarkEnd w:id="45"/>
      <w:bookmarkEnd w:id="47"/>
    </w:p>
    <w:p w14:paraId="56C993D7">
      <w:pPr>
        <w:spacing w:line="360" w:lineRule="auto"/>
        <w:ind w:firstLine="437"/>
        <w:outlineLvl w:val="1"/>
        <w:rPr>
          <w:rFonts w:ascii="宋体" w:hAnsi="宋体" w:eastAsia="宋体" w:cs="@仿宋_GB2312"/>
          <w:bCs/>
          <w:color w:val="auto"/>
          <w:sz w:val="24"/>
          <w:szCs w:val="18"/>
          <w:highlight w:val="none"/>
        </w:rPr>
      </w:pPr>
    </w:p>
    <w:p w14:paraId="324C67BE">
      <w:bookmarkStart w:id="48" w:name="_GoBack"/>
      <w:bookmarkEnd w:id="4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5C24D8"/>
    <w:multiLevelType w:val="singleLevel"/>
    <w:tmpl w:val="985C24D8"/>
    <w:lvl w:ilvl="0" w:tentative="0">
      <w:start w:val="2"/>
      <w:numFmt w:val="chineseCounting"/>
      <w:suff w:val="nothing"/>
      <w:lvlText w:val="%1、"/>
      <w:lvlJc w:val="left"/>
      <w:rPr>
        <w:rFonts w:hint="eastAsia"/>
      </w:rPr>
    </w:lvl>
  </w:abstractNum>
  <w:abstractNum w:abstractNumId="1">
    <w:nsid w:val="6553F6A9"/>
    <w:multiLevelType w:val="singleLevel"/>
    <w:tmpl w:val="6553F6A9"/>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623301"/>
    <w:rsid w:val="35430471"/>
    <w:rsid w:val="62623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2026-08-20T03:16:00Z</dcterms:created>
  <dc:creator>冯楠</dc:creator>
  <cp:lastModifiedBy>冯楠</cp:lastModifiedBy>
  <dcterms:modified xsi:type="dcterms:W3CDTF">2026-08-20T03:17:18Z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128D67A15E60426D86A193716BBC595A_11</vt:lpwstr>
  </property>
  <property fmtid="{D5CDD505-2E9C-101B-9397-08002B2CF9AE}" pid="4" name="KSOTemplateDocerSaveRecord">
    <vt:lpwstr>eyJoZGlkIjoiMzBiOTgyNGNmZjc0NDM5ZTM0OWI0OGFlNThkNzVkNmYiLCJ1c2VySWQiOiIxNzU0NDMzODI4In0=</vt:lpwstr>
  </property>
</Properties>
</file>