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068CC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color w:val="auto"/>
          <w:sz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highlight w:val="none"/>
        </w:rPr>
        <w:t>采购需求</w:t>
      </w:r>
    </w:p>
    <w:p w14:paraId="39565665"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前注：</w:t>
      </w:r>
    </w:p>
    <w:p w14:paraId="45E9D316">
      <w:pPr>
        <w:adjustRightInd w:val="0"/>
        <w:snapToGrid w:val="0"/>
        <w:spacing w:line="360" w:lineRule="auto"/>
        <w:ind w:firstLine="435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1.本采购需求中提出的服务方案仅为参考，如无明确限制，供应商可以进行优化，提供满足采购人实际需要的更优（或者性能实质上不低于的）服务方案，且此方案须经磋商小组评审认可。</w:t>
      </w:r>
    </w:p>
    <w:p w14:paraId="1B0CD913">
      <w:pPr>
        <w:adjustRightInd w:val="0"/>
        <w:snapToGrid w:val="0"/>
        <w:spacing w:line="360" w:lineRule="auto"/>
        <w:ind w:firstLine="435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2.下列采购需求中（包括但不限于下列具体政策要求）：</w:t>
      </w:r>
    </w:p>
    <w:p w14:paraId="13BA3CA9">
      <w:pPr>
        <w:adjustRightInd w:val="0"/>
        <w:snapToGrid w:val="0"/>
        <w:spacing w:line="360" w:lineRule="auto"/>
        <w:ind w:firstLine="435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（1）如属于《节能产品政府采购品目清单》中政府强制采购的节能产品，则供应商所投产品须具有市场监管总局公布的《参与实施政府采购节能产品认证机构目录》中的认证机构出具的、处于有效期内的节能产品认证证书。</w:t>
      </w:r>
    </w:p>
    <w:p w14:paraId="518A0E15">
      <w:pPr>
        <w:adjustRightInd w:val="0"/>
        <w:snapToGrid w:val="0"/>
        <w:spacing w:line="360" w:lineRule="auto"/>
        <w:ind w:firstLine="435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（2）如涉及商品包装和快递包装，供应商应当执行《关于印发〈商品包装政府采购需求标准（试行）〉、〈快递包装政府采购需求标准（试行）〉的通知》（财办库〔2020〕123 号）、《安徽省财政厅关于贯彻落实政府绿色采购有关政策的通知》（皖财购〔2023〕853号）的要求，提供符合需求标准的绿色包装、绿色运输，同时，采购人将对包装材料和运输环节作为履约验收条款进行验收。</w:t>
      </w:r>
    </w:p>
    <w:p w14:paraId="4578CD76">
      <w:pPr>
        <w:adjustRightInd w:val="0"/>
        <w:snapToGrid w:val="0"/>
        <w:spacing w:line="360" w:lineRule="auto"/>
        <w:ind w:firstLine="435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3.如采购人允许采用分包方式履行合同的，应当明确可以分包履行的相关内容。</w:t>
      </w:r>
    </w:p>
    <w:p w14:paraId="0543652A">
      <w:pPr>
        <w:adjustRightInd w:val="0"/>
        <w:snapToGrid w:val="0"/>
        <w:spacing w:line="360" w:lineRule="auto"/>
        <w:ind w:firstLine="437"/>
        <w:outlineLvl w:val="1"/>
        <w:rPr>
          <w:rFonts w:ascii="宋体" w:hAnsi="宋体" w:eastAsia="宋体" w:cs="宋体"/>
          <w:b/>
          <w:color w:val="auto"/>
          <w:szCs w:val="21"/>
          <w:highlight w:val="none"/>
        </w:rPr>
      </w:pPr>
      <w:bookmarkStart w:id="0" w:name="_Toc4148"/>
      <w:bookmarkStart w:id="1" w:name="_Toc21798"/>
      <w:bookmarkStart w:id="2" w:name="_Toc32349"/>
      <w:bookmarkStart w:id="3" w:name="_Hlk16461016"/>
      <w:bookmarkStart w:id="4" w:name="_Hlk23621890"/>
      <w:bookmarkStart w:id="5" w:name="_Toc23116"/>
      <w:bookmarkStart w:id="6" w:name="_Toc25144"/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一、采购需求前附表</w:t>
      </w:r>
      <w:bookmarkEnd w:id="0"/>
      <w:bookmarkEnd w:id="1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2032"/>
        <w:gridCol w:w="5483"/>
      </w:tblGrid>
      <w:tr w14:paraId="1A265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07" w:type="dxa"/>
            <w:noWrap w:val="0"/>
            <w:vAlign w:val="center"/>
          </w:tcPr>
          <w:p w14:paraId="471F90B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2032" w:type="dxa"/>
            <w:noWrap w:val="0"/>
            <w:vAlign w:val="center"/>
          </w:tcPr>
          <w:p w14:paraId="5185A969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  <w:t>条款名称</w:t>
            </w:r>
          </w:p>
        </w:tc>
        <w:tc>
          <w:tcPr>
            <w:tcW w:w="5483" w:type="dxa"/>
            <w:noWrap w:val="0"/>
            <w:vAlign w:val="center"/>
          </w:tcPr>
          <w:p w14:paraId="3460E61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</w:rPr>
              <w:t>内容、说明与要求</w:t>
            </w:r>
          </w:p>
        </w:tc>
      </w:tr>
      <w:tr w14:paraId="58A08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07" w:type="dxa"/>
            <w:noWrap w:val="0"/>
            <w:vAlign w:val="center"/>
          </w:tcPr>
          <w:p w14:paraId="2911C6A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2032" w:type="dxa"/>
            <w:noWrap w:val="0"/>
            <w:vAlign w:val="center"/>
          </w:tcPr>
          <w:p w14:paraId="67A61905">
            <w:pPr>
              <w:adjustRightInd w:val="0"/>
              <w:snapToGrid w:val="0"/>
              <w:spacing w:line="300" w:lineRule="auto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</w:rPr>
              <w:t>付款方式</w:t>
            </w:r>
          </w:p>
        </w:tc>
        <w:tc>
          <w:tcPr>
            <w:tcW w:w="5483" w:type="dxa"/>
            <w:noWrap w:val="0"/>
            <w:vAlign w:val="center"/>
          </w:tcPr>
          <w:p w14:paraId="2E8E4514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项目履约完成验收合格后一次性支付合同金额。</w:t>
            </w:r>
          </w:p>
        </w:tc>
      </w:tr>
      <w:tr w14:paraId="01988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07" w:type="dxa"/>
            <w:noWrap w:val="0"/>
            <w:vAlign w:val="center"/>
          </w:tcPr>
          <w:p w14:paraId="6E7C1962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2032" w:type="dxa"/>
            <w:noWrap w:val="0"/>
            <w:vAlign w:val="center"/>
          </w:tcPr>
          <w:p w14:paraId="476C0B1D">
            <w:pPr>
              <w:adjustRightInd w:val="0"/>
              <w:snapToGrid w:val="0"/>
              <w:spacing w:line="300" w:lineRule="auto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</w:rPr>
              <w:t>服务地点</w:t>
            </w:r>
          </w:p>
        </w:tc>
        <w:tc>
          <w:tcPr>
            <w:tcW w:w="5483" w:type="dxa"/>
            <w:noWrap w:val="0"/>
            <w:vAlign w:val="center"/>
          </w:tcPr>
          <w:p w14:paraId="12B4BDC4">
            <w:pPr>
              <w:adjustRightInd w:val="0"/>
              <w:snapToGrid w:val="0"/>
              <w:spacing w:line="300" w:lineRule="auto"/>
              <w:rPr>
                <w:rFonts w:ascii="宋体" w:hAnsi="宋体" w:eastAsia="宋体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</w:rPr>
              <w:t>安徽农业大学，具体按采购人指定地点。</w:t>
            </w:r>
          </w:p>
        </w:tc>
      </w:tr>
      <w:tr w14:paraId="0DDD9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07" w:type="dxa"/>
            <w:noWrap w:val="0"/>
            <w:vAlign w:val="center"/>
          </w:tcPr>
          <w:p w14:paraId="2C4E7C1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2032" w:type="dxa"/>
            <w:noWrap w:val="0"/>
            <w:vAlign w:val="center"/>
          </w:tcPr>
          <w:p w14:paraId="0B78C869">
            <w:pPr>
              <w:adjustRightInd w:val="0"/>
              <w:snapToGrid w:val="0"/>
              <w:spacing w:line="300" w:lineRule="auto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</w:rPr>
              <w:t>服务期限</w:t>
            </w:r>
          </w:p>
        </w:tc>
        <w:tc>
          <w:tcPr>
            <w:tcW w:w="5483" w:type="dxa"/>
            <w:noWrap w:val="0"/>
            <w:vAlign w:val="center"/>
          </w:tcPr>
          <w:p w14:paraId="52E20FD4">
            <w:pPr>
              <w:adjustRightInd w:val="0"/>
              <w:snapToGrid w:val="0"/>
              <w:spacing w:line="300" w:lineRule="auto"/>
              <w:rPr>
                <w:rFonts w:ascii="宋体" w:hAnsi="宋体" w:eastAsia="宋体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  <w:lang w:bidi="zh-CN"/>
              </w:rPr>
              <w:t>自合同生效之日起45个日历日内完成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</w:rPr>
              <w:t>。</w:t>
            </w:r>
          </w:p>
        </w:tc>
      </w:tr>
      <w:tr w14:paraId="7FC3B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07" w:type="dxa"/>
            <w:noWrap w:val="0"/>
            <w:vAlign w:val="center"/>
          </w:tcPr>
          <w:p w14:paraId="5CD7BBE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2032" w:type="dxa"/>
            <w:noWrap w:val="0"/>
            <w:vAlign w:val="center"/>
          </w:tcPr>
          <w:p w14:paraId="60E26E74">
            <w:pPr>
              <w:adjustRightInd w:val="0"/>
              <w:snapToGrid w:val="0"/>
              <w:spacing w:line="300" w:lineRule="auto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</w:rPr>
              <w:t>本项目采购标的名称及所属行业</w:t>
            </w:r>
          </w:p>
        </w:tc>
        <w:tc>
          <w:tcPr>
            <w:tcW w:w="5483" w:type="dxa"/>
            <w:noWrap w:val="0"/>
            <w:vAlign w:val="center"/>
          </w:tcPr>
          <w:p w14:paraId="64F1CA49">
            <w:pPr>
              <w:adjustRightInd w:val="0"/>
              <w:snapToGrid w:val="0"/>
              <w:spacing w:line="300" w:lineRule="auto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标的名称：安徽农业大学植物基因组测序分析服务采购项目</w:t>
            </w:r>
          </w:p>
          <w:p w14:paraId="1E70905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所属行业：其他未列明行业</w:t>
            </w:r>
          </w:p>
        </w:tc>
      </w:tr>
      <w:bookmarkEnd w:id="2"/>
      <w:bookmarkEnd w:id="3"/>
      <w:bookmarkEnd w:id="4"/>
      <w:bookmarkEnd w:id="5"/>
      <w:bookmarkEnd w:id="6"/>
    </w:tbl>
    <w:p w14:paraId="1E67237B">
      <w:pPr>
        <w:adjustRightInd w:val="0"/>
        <w:snapToGrid w:val="0"/>
        <w:spacing w:line="360" w:lineRule="auto"/>
        <w:ind w:firstLine="422" w:firstLineChars="200"/>
        <w:jc w:val="left"/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</w:pPr>
    </w:p>
    <w:p w14:paraId="7673356B">
      <w:pPr>
        <w:adjustRightInd w:val="0"/>
        <w:snapToGrid w:val="0"/>
        <w:spacing w:line="360" w:lineRule="auto"/>
        <w:ind w:firstLine="437"/>
        <w:outlineLvl w:val="1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  <w:bookmarkStart w:id="7" w:name="_Toc161131509"/>
      <w:bookmarkStart w:id="8" w:name="_Toc161131611"/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二、</w:t>
      </w:r>
      <w:bookmarkEnd w:id="7"/>
      <w:bookmarkEnd w:id="8"/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项目概况</w:t>
      </w:r>
    </w:p>
    <w:p w14:paraId="57BF5793"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本项目针对22个植物样本进行基因组、转录组、Hi-C测序，并对测序数据进行质量评估。</w:t>
      </w:r>
    </w:p>
    <w:p w14:paraId="72D98008">
      <w:pPr>
        <w:adjustRightInd w:val="0"/>
        <w:snapToGrid w:val="0"/>
        <w:spacing w:line="360" w:lineRule="auto"/>
        <w:ind w:firstLine="437"/>
        <w:outlineLvl w:val="1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三、服务内容</w:t>
      </w:r>
    </w:p>
    <w:p w14:paraId="60D81155">
      <w:pPr>
        <w:adjustRightInd w:val="0"/>
        <w:snapToGrid w:val="0"/>
        <w:spacing w:line="360" w:lineRule="auto"/>
        <w:ind w:firstLine="422" w:firstLineChars="200"/>
        <w:jc w:val="left"/>
        <w:rPr>
          <w:rFonts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Cs w:val="21"/>
          <w:highlight w:val="none"/>
        </w:rPr>
        <w:t>3.1技术要求</w:t>
      </w:r>
    </w:p>
    <w:p w14:paraId="74064C1C"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eastAsia="宋体"/>
          <w:color w:val="auto"/>
          <w:szCs w:val="21"/>
          <w:highlight w:val="none"/>
        </w:rPr>
      </w:pPr>
      <w:r>
        <w:rPr>
          <w:rFonts w:ascii="宋体" w:hAnsi="宋体" w:eastAsia="宋体"/>
          <w:color w:val="auto"/>
          <w:szCs w:val="21"/>
          <w:highlight w:val="none"/>
        </w:rPr>
        <w:t>（</w:t>
      </w:r>
      <w:r>
        <w:rPr>
          <w:rFonts w:hint="eastAsia" w:ascii="宋体" w:hAnsi="宋体" w:eastAsia="宋体"/>
          <w:color w:val="auto"/>
          <w:szCs w:val="21"/>
          <w:highlight w:val="none"/>
        </w:rPr>
        <w:t>1</w:t>
      </w:r>
      <w:r>
        <w:rPr>
          <w:rFonts w:ascii="宋体" w:hAnsi="宋体" w:eastAsia="宋体"/>
          <w:color w:val="auto"/>
          <w:szCs w:val="21"/>
          <w:highlight w:val="none"/>
        </w:rPr>
        <w:t>）ONT（SUP）测序</w:t>
      </w:r>
    </w:p>
    <w:p w14:paraId="309B8103"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eastAsia="宋体"/>
          <w:color w:val="auto"/>
          <w:szCs w:val="21"/>
          <w:highlight w:val="none"/>
        </w:rPr>
      </w:pPr>
      <w:r>
        <w:rPr>
          <w:rFonts w:ascii="宋体" w:hAnsi="宋体" w:eastAsia="宋体"/>
          <w:color w:val="auto"/>
          <w:szCs w:val="21"/>
          <w:highlight w:val="none"/>
        </w:rPr>
        <w:t>ONT测序（Oxford Nanopore Technologies，简称ONT）</w:t>
      </w:r>
      <w:r>
        <w:rPr>
          <w:rFonts w:hint="eastAsia" w:ascii="宋体" w:hAnsi="宋体" w:eastAsia="宋体"/>
          <w:color w:val="auto"/>
          <w:szCs w:val="21"/>
          <w:highlight w:val="none"/>
        </w:rPr>
        <w:t>，</w:t>
      </w:r>
      <w:r>
        <w:rPr>
          <w:rFonts w:ascii="宋体" w:hAnsi="宋体" w:eastAsia="宋体"/>
          <w:color w:val="auto"/>
          <w:szCs w:val="21"/>
          <w:highlight w:val="none"/>
        </w:rPr>
        <w:t>基于纳米孔的单分子实时电信号测序技术，</w:t>
      </w:r>
      <w:r>
        <w:rPr>
          <w:rFonts w:hint="eastAsia" w:ascii="宋体" w:hAnsi="宋体" w:eastAsia="宋体"/>
          <w:color w:val="auto"/>
          <w:szCs w:val="21"/>
          <w:highlight w:val="none"/>
        </w:rPr>
        <w:t>提供</w:t>
      </w:r>
      <w:r>
        <w:rPr>
          <w:rFonts w:ascii="宋体" w:hAnsi="宋体" w:eastAsia="宋体"/>
          <w:color w:val="auto"/>
          <w:szCs w:val="21"/>
          <w:highlight w:val="none"/>
        </w:rPr>
        <w:t>ONT的sup模式（Super Accuracy Mode），提高单链读取的准确性</w:t>
      </w:r>
      <w:r>
        <w:rPr>
          <w:rFonts w:hint="eastAsia" w:ascii="宋体" w:hAnsi="宋体" w:eastAsia="宋体"/>
          <w:color w:val="auto"/>
          <w:szCs w:val="21"/>
          <w:highlight w:val="none"/>
        </w:rPr>
        <w:t>，</w:t>
      </w:r>
      <w:r>
        <w:rPr>
          <w:rFonts w:ascii="宋体" w:hAnsi="宋体" w:eastAsia="宋体"/>
          <w:color w:val="auto"/>
          <w:szCs w:val="21"/>
          <w:highlight w:val="none"/>
        </w:rPr>
        <w:t>适用于需要高精度数据的基因组组装和变异检测。</w:t>
      </w:r>
    </w:p>
    <w:p w14:paraId="0E09BA6C"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eastAsia="宋体"/>
          <w:color w:val="auto"/>
          <w:szCs w:val="21"/>
          <w:highlight w:val="none"/>
        </w:rPr>
      </w:pPr>
      <w:r>
        <w:rPr>
          <w:rFonts w:ascii="宋体" w:hAnsi="宋体" w:eastAsia="宋体"/>
          <w:color w:val="auto"/>
          <w:szCs w:val="21"/>
          <w:highlight w:val="none"/>
        </w:rPr>
        <w:t>（</w:t>
      </w:r>
      <w:r>
        <w:rPr>
          <w:rFonts w:hint="eastAsia" w:ascii="宋体" w:hAnsi="宋体" w:eastAsia="宋体"/>
          <w:color w:val="auto"/>
          <w:szCs w:val="21"/>
          <w:highlight w:val="none"/>
        </w:rPr>
        <w:t>2</w:t>
      </w:r>
      <w:r>
        <w:rPr>
          <w:rFonts w:ascii="宋体" w:hAnsi="宋体" w:eastAsia="宋体"/>
          <w:color w:val="auto"/>
          <w:szCs w:val="21"/>
          <w:highlight w:val="none"/>
        </w:rPr>
        <w:t>）Hi-C技术</w:t>
      </w:r>
    </w:p>
    <w:p w14:paraId="4E375B4A"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eastAsia="宋体"/>
          <w:color w:val="auto"/>
          <w:szCs w:val="21"/>
          <w:highlight w:val="none"/>
        </w:rPr>
      </w:pPr>
      <w:r>
        <w:rPr>
          <w:rFonts w:ascii="宋体" w:hAnsi="宋体" w:eastAsia="宋体"/>
          <w:color w:val="auto"/>
          <w:szCs w:val="21"/>
          <w:highlight w:val="none"/>
        </w:rPr>
        <w:t>Hi-C技术是高通量染色体构象捕获技术（High-throughput chromosome conformation capture）。利用高通量测序技术，结合生物信息学分析方法，研究全基因组范围内整个染色质DNA在空间位置上的关系，构建染色体跨度单体型，同时捕获不同基因座位上之间的空间交互信息，获得高分辨率的染色质三维结构信息，辅助基因组组装挂载，并能开发调控基因的DNA元件。</w:t>
      </w:r>
    </w:p>
    <w:p w14:paraId="07001823"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eastAsia="宋体"/>
          <w:color w:val="auto"/>
          <w:szCs w:val="21"/>
          <w:highlight w:val="none"/>
        </w:rPr>
      </w:pPr>
      <w:r>
        <w:rPr>
          <w:rFonts w:ascii="宋体" w:hAnsi="宋体" w:eastAsia="宋体"/>
          <w:color w:val="auto"/>
          <w:szCs w:val="21"/>
          <w:highlight w:val="none"/>
        </w:rPr>
        <w:t>（</w:t>
      </w:r>
      <w:r>
        <w:rPr>
          <w:rFonts w:hint="eastAsia" w:ascii="宋体" w:hAnsi="宋体" w:eastAsia="宋体"/>
          <w:color w:val="auto"/>
          <w:szCs w:val="21"/>
          <w:highlight w:val="none"/>
        </w:rPr>
        <w:t>3</w:t>
      </w:r>
      <w:r>
        <w:rPr>
          <w:rFonts w:ascii="宋体" w:hAnsi="宋体" w:eastAsia="宋体"/>
          <w:color w:val="auto"/>
          <w:szCs w:val="21"/>
          <w:highlight w:val="none"/>
        </w:rPr>
        <w:t>）WGBS技术</w:t>
      </w:r>
    </w:p>
    <w:p w14:paraId="3F29F3B1"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eastAsia="宋体"/>
          <w:color w:val="auto"/>
          <w:szCs w:val="21"/>
          <w:highlight w:val="none"/>
        </w:rPr>
      </w:pPr>
      <w:r>
        <w:rPr>
          <w:rFonts w:ascii="宋体" w:hAnsi="宋体" w:eastAsia="宋体"/>
          <w:color w:val="auto"/>
          <w:szCs w:val="21"/>
          <w:highlight w:val="none"/>
        </w:rPr>
        <w:t>全基因组甲基化测序 (Whole Genome Bisulfite Sequencing, WGBS)是结合重亚硫酸盐Bisulfite处理和高通量测序，对有参考基因组进行全基因组的单碱基分辨率的甲基化检测“金标准”方案。</w:t>
      </w:r>
    </w:p>
    <w:p w14:paraId="5E084E2A"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eastAsia="宋体"/>
          <w:color w:val="auto"/>
          <w:szCs w:val="21"/>
          <w:highlight w:val="none"/>
        </w:rPr>
      </w:pPr>
      <w:r>
        <w:rPr>
          <w:rFonts w:ascii="宋体" w:hAnsi="宋体" w:eastAsia="宋体"/>
          <w:color w:val="auto"/>
          <w:szCs w:val="21"/>
          <w:highlight w:val="none"/>
        </w:rPr>
        <w:t>（</w:t>
      </w:r>
      <w:r>
        <w:rPr>
          <w:rFonts w:hint="eastAsia" w:ascii="宋体" w:hAnsi="宋体" w:eastAsia="宋体"/>
          <w:color w:val="auto"/>
          <w:szCs w:val="21"/>
          <w:highlight w:val="none"/>
        </w:rPr>
        <w:t>4</w:t>
      </w:r>
      <w:r>
        <w:rPr>
          <w:rFonts w:ascii="宋体" w:hAnsi="宋体" w:eastAsia="宋体"/>
          <w:color w:val="auto"/>
          <w:szCs w:val="21"/>
          <w:highlight w:val="none"/>
        </w:rPr>
        <w:t>）全长转录组测序技术</w:t>
      </w:r>
    </w:p>
    <w:p w14:paraId="0FA88F2A"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eastAsia="宋体"/>
          <w:color w:val="auto"/>
          <w:szCs w:val="21"/>
          <w:highlight w:val="none"/>
        </w:rPr>
      </w:pPr>
      <w:r>
        <w:rPr>
          <w:rFonts w:ascii="宋体" w:hAnsi="宋体" w:eastAsia="宋体"/>
          <w:color w:val="auto"/>
          <w:szCs w:val="21"/>
          <w:highlight w:val="none"/>
        </w:rPr>
        <w:t>对完整的mRNA直接进行从头测序，从而得到转录本的全长信息。</w:t>
      </w:r>
    </w:p>
    <w:p w14:paraId="3D98D3BF">
      <w:pPr>
        <w:adjustRightInd w:val="0"/>
        <w:snapToGrid w:val="0"/>
        <w:spacing w:line="360" w:lineRule="auto"/>
        <w:ind w:firstLine="422" w:firstLineChars="200"/>
        <w:jc w:val="left"/>
        <w:rPr>
          <w:rFonts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Cs w:val="21"/>
          <w:highlight w:val="none"/>
        </w:rPr>
        <w:t>3.2</w:t>
      </w:r>
      <w:r>
        <w:rPr>
          <w:rFonts w:ascii="宋体" w:hAnsi="宋体" w:eastAsia="宋体"/>
          <w:b/>
          <w:bCs/>
          <w:color w:val="auto"/>
          <w:szCs w:val="21"/>
          <w:highlight w:val="none"/>
        </w:rPr>
        <w:t>技术参数</w:t>
      </w:r>
    </w:p>
    <w:p w14:paraId="38E86065"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eastAsia="宋体"/>
          <w:color w:val="auto"/>
          <w:szCs w:val="21"/>
          <w:highlight w:val="none"/>
        </w:rPr>
      </w:pPr>
      <w:r>
        <w:rPr>
          <w:rFonts w:ascii="宋体" w:hAnsi="宋体" w:eastAsia="宋体"/>
          <w:color w:val="auto"/>
          <w:szCs w:val="21"/>
          <w:highlight w:val="none"/>
        </w:rPr>
        <w:t>（1）基因组测序相关技术指标</w:t>
      </w:r>
    </w:p>
    <w:p w14:paraId="5EF80A82"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①</w:t>
      </w:r>
      <w:r>
        <w:rPr>
          <w:rFonts w:ascii="宋体" w:hAnsi="宋体" w:eastAsia="宋体"/>
          <w:color w:val="auto"/>
          <w:szCs w:val="21"/>
          <w:highlight w:val="none"/>
        </w:rPr>
        <w:t>进行ONT（SUP）建库测序，采用DNA 超长片段测序试剂盒 V14（SQK-ULK114）进行20K文库建库，单个样品测序2个cell，获得Clean data测序数据不少于 150 Gb，保证ONT reads准确率达到99%以上，平均读长不小于15K，Reads N50长度20K以上；</w:t>
      </w:r>
    </w:p>
    <w:p w14:paraId="7FA7B22E"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②</w:t>
      </w:r>
      <w:r>
        <w:rPr>
          <w:rFonts w:ascii="宋体" w:hAnsi="宋体" w:eastAsia="宋体"/>
          <w:color w:val="auto"/>
          <w:szCs w:val="21"/>
          <w:highlight w:val="none"/>
        </w:rPr>
        <w:t>进行ONT（SUP）超长建库测序，构建100K文库，单个样品测序1个cell，获得Clean data测序数据不少于 15 Gb，保证ONT reads准确率达到99%以上，平均读长不小于80K，Reads N50长度100K以上。</w:t>
      </w:r>
    </w:p>
    <w:p w14:paraId="6858B044"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eastAsia="宋体"/>
          <w:color w:val="auto"/>
          <w:szCs w:val="21"/>
          <w:highlight w:val="none"/>
        </w:rPr>
      </w:pPr>
      <w:r>
        <w:rPr>
          <w:rFonts w:ascii="宋体" w:hAnsi="宋体" w:eastAsia="宋体"/>
          <w:color w:val="auto"/>
          <w:szCs w:val="21"/>
          <w:highlight w:val="none"/>
        </w:rPr>
        <w:t>（2）辅助基因组组装的具体技术指标</w:t>
      </w:r>
    </w:p>
    <w:p w14:paraId="545874DE"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①</w:t>
      </w:r>
      <w:r>
        <w:rPr>
          <w:rFonts w:ascii="宋体" w:hAnsi="宋体" w:eastAsia="宋体"/>
          <w:color w:val="auto"/>
          <w:szCs w:val="21"/>
          <w:highlight w:val="none"/>
        </w:rPr>
        <w:t>利用二代测序平台进行Hi-C测序，获得测序数据不低于100 Gb Clean data，保证Q20达到99%以上，Q30达到90%以上；</w:t>
      </w:r>
    </w:p>
    <w:p w14:paraId="5D5994E5"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②</w:t>
      </w:r>
      <w:r>
        <w:rPr>
          <w:rFonts w:ascii="宋体" w:hAnsi="宋体" w:eastAsia="宋体"/>
          <w:color w:val="auto"/>
          <w:szCs w:val="21"/>
          <w:highlight w:val="none"/>
        </w:rPr>
        <w:t>完成</w:t>
      </w:r>
      <w:r>
        <w:rPr>
          <w:rFonts w:hint="eastAsia" w:ascii="宋体" w:hAnsi="宋体" w:eastAsia="宋体"/>
          <w:color w:val="auto"/>
          <w:szCs w:val="21"/>
          <w:highlight w:val="none"/>
        </w:rPr>
        <w:t>采购人</w:t>
      </w:r>
      <w:r>
        <w:rPr>
          <w:rFonts w:ascii="宋体" w:hAnsi="宋体" w:eastAsia="宋体"/>
          <w:color w:val="auto"/>
          <w:szCs w:val="21"/>
          <w:highlight w:val="none"/>
        </w:rPr>
        <w:t>提供的多组织材料进行PacBio全长转录组测序，单个样品不低于5M reads数据量，用于全基因组基因预测；</w:t>
      </w:r>
    </w:p>
    <w:p w14:paraId="41BA679C"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③</w:t>
      </w:r>
      <w:r>
        <w:rPr>
          <w:rFonts w:ascii="宋体" w:hAnsi="宋体" w:eastAsia="宋体"/>
          <w:color w:val="auto"/>
          <w:szCs w:val="21"/>
          <w:highlight w:val="none"/>
        </w:rPr>
        <w:t>完成采购人提供的多组织材料二代转录组测序（共66个样品），单个样品不少于 6 Gb clean reads数据量，用于基因表达分析；</w:t>
      </w:r>
    </w:p>
    <w:p w14:paraId="383F66FA"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④</w:t>
      </w:r>
      <w:r>
        <w:rPr>
          <w:rFonts w:ascii="宋体" w:hAnsi="宋体" w:eastAsia="宋体"/>
          <w:color w:val="auto"/>
          <w:szCs w:val="21"/>
          <w:highlight w:val="none"/>
        </w:rPr>
        <w:t>基于每个样本的ONT数据进行全基因组DNA甲基化检测。</w:t>
      </w:r>
    </w:p>
    <w:p w14:paraId="11728B71">
      <w:pPr>
        <w:adjustRightInd w:val="0"/>
        <w:snapToGrid w:val="0"/>
        <w:spacing w:line="360" w:lineRule="auto"/>
        <w:ind w:firstLine="422" w:firstLineChars="200"/>
        <w:jc w:val="left"/>
        <w:rPr>
          <w:rFonts w:ascii="宋体" w:hAnsi="宋体" w:eastAsia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Cs w:val="21"/>
          <w:highlight w:val="none"/>
        </w:rPr>
        <w:t>四、</w:t>
      </w:r>
      <w:r>
        <w:rPr>
          <w:rFonts w:ascii="宋体" w:hAnsi="宋体" w:eastAsia="宋体"/>
          <w:b/>
          <w:bCs/>
          <w:color w:val="auto"/>
          <w:szCs w:val="21"/>
          <w:highlight w:val="none"/>
        </w:rPr>
        <w:t>测序数据评估</w:t>
      </w:r>
    </w:p>
    <w:p w14:paraId="3ED522B3"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数据评估</w:t>
      </w:r>
      <w:r>
        <w:rPr>
          <w:rFonts w:ascii="宋体" w:hAnsi="宋体" w:eastAsia="宋体"/>
          <w:color w:val="auto"/>
          <w:szCs w:val="21"/>
          <w:highlight w:val="none"/>
        </w:rPr>
        <w:t>分析具体包括以下几个方面内容</w:t>
      </w:r>
      <w:r>
        <w:rPr>
          <w:rFonts w:hint="eastAsia" w:ascii="宋体" w:hAnsi="宋体" w:eastAsia="宋体"/>
          <w:color w:val="auto"/>
          <w:szCs w:val="21"/>
          <w:highlight w:val="none"/>
        </w:rPr>
        <w:t>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5811"/>
        <w:gridCol w:w="1156"/>
      </w:tblGrid>
      <w:tr w14:paraId="75EF0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555" w:type="dxa"/>
            <w:noWrap w:val="0"/>
            <w:vAlign w:val="center"/>
          </w:tcPr>
          <w:p w14:paraId="79DCE10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811" w:type="dxa"/>
            <w:noWrap w:val="0"/>
            <w:vAlign w:val="center"/>
          </w:tcPr>
          <w:p w14:paraId="55FEEBEA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</w:rPr>
              <w:t>具体分析内容</w:t>
            </w:r>
          </w:p>
        </w:tc>
        <w:tc>
          <w:tcPr>
            <w:tcW w:w="1156" w:type="dxa"/>
            <w:noWrap w:val="0"/>
            <w:vAlign w:val="center"/>
          </w:tcPr>
          <w:p w14:paraId="3BBA2E32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</w:rPr>
              <w:t>备注</w:t>
            </w:r>
          </w:p>
        </w:tc>
      </w:tr>
      <w:tr w14:paraId="09685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noWrap w:val="0"/>
            <w:vAlign w:val="center"/>
          </w:tcPr>
          <w:p w14:paraId="60BE8E70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</w:rPr>
              <w:t>ONT（SUP）测序结果评估</w:t>
            </w:r>
          </w:p>
        </w:tc>
        <w:tc>
          <w:tcPr>
            <w:tcW w:w="5811" w:type="dxa"/>
            <w:noWrap w:val="0"/>
            <w:vAlign w:val="center"/>
          </w:tcPr>
          <w:p w14:paraId="526E3DFD">
            <w:pPr>
              <w:adjustRightInd w:val="0"/>
              <w:snapToGrid w:val="0"/>
              <w:spacing w:line="300" w:lineRule="auto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ONT测序（包括普通和超长）基因组测序数据评估：</w:t>
            </w:r>
          </w:p>
          <w:p w14:paraId="648E94E4">
            <w:pPr>
              <w:adjustRightInd w:val="0"/>
              <w:snapToGrid w:val="0"/>
              <w:spacing w:line="300" w:lineRule="auto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(1)进行base calling (SUP)，过滤接头、低质量以及短片段（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&lt;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500bp）；</w:t>
            </w:r>
          </w:p>
          <w:p w14:paraId="17A1B833">
            <w:pPr>
              <w:adjustRightInd w:val="0"/>
              <w:snapToGrid w:val="0"/>
              <w:spacing w:line="300" w:lineRule="auto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(2)评估测序数据量以及测序质量等；</w:t>
            </w:r>
          </w:p>
          <w:p w14:paraId="1966090B">
            <w:pPr>
              <w:adjustRightInd w:val="0"/>
              <w:snapToGrid w:val="0"/>
              <w:spacing w:line="300" w:lineRule="auto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(3)评估读长长度、GC和N50等。</w:t>
            </w:r>
          </w:p>
        </w:tc>
        <w:tc>
          <w:tcPr>
            <w:tcW w:w="1156" w:type="dxa"/>
            <w:noWrap w:val="0"/>
            <w:vAlign w:val="top"/>
          </w:tcPr>
          <w:p w14:paraId="06128443">
            <w:pPr>
              <w:adjustRightInd w:val="0"/>
              <w:snapToGrid w:val="0"/>
              <w:spacing w:line="300" w:lineRule="auto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0172D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noWrap w:val="0"/>
            <w:vAlign w:val="center"/>
          </w:tcPr>
          <w:p w14:paraId="35759BFC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</w:rPr>
              <w:t>转录组数据质量评估</w:t>
            </w:r>
          </w:p>
        </w:tc>
        <w:tc>
          <w:tcPr>
            <w:tcW w:w="5811" w:type="dxa"/>
            <w:noWrap w:val="0"/>
            <w:vAlign w:val="center"/>
          </w:tcPr>
          <w:p w14:paraId="37F22469">
            <w:pPr>
              <w:adjustRightInd w:val="0"/>
              <w:snapToGrid w:val="0"/>
              <w:spacing w:line="300" w:lineRule="auto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(1) 测序数据产出统计与数据质控；</w:t>
            </w:r>
          </w:p>
          <w:p w14:paraId="617C7D56">
            <w:pPr>
              <w:adjustRightInd w:val="0"/>
              <w:snapToGrid w:val="0"/>
              <w:spacing w:line="300" w:lineRule="auto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(2) 测序质量分布统计和数据质量评估。</w:t>
            </w:r>
          </w:p>
        </w:tc>
        <w:tc>
          <w:tcPr>
            <w:tcW w:w="1156" w:type="dxa"/>
            <w:noWrap w:val="0"/>
            <w:vAlign w:val="top"/>
          </w:tcPr>
          <w:p w14:paraId="31121F21">
            <w:pPr>
              <w:adjustRightInd w:val="0"/>
              <w:snapToGrid w:val="0"/>
              <w:spacing w:line="300" w:lineRule="auto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243FE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noWrap w:val="0"/>
            <w:vAlign w:val="center"/>
          </w:tcPr>
          <w:p w14:paraId="28A95E23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</w:rPr>
              <w:t>HiC测序数据评估</w:t>
            </w:r>
          </w:p>
        </w:tc>
        <w:tc>
          <w:tcPr>
            <w:tcW w:w="5811" w:type="dxa"/>
            <w:noWrap w:val="0"/>
            <w:vAlign w:val="center"/>
          </w:tcPr>
          <w:p w14:paraId="2E000F5F">
            <w:pPr>
              <w:adjustRightInd w:val="0"/>
              <w:snapToGrid w:val="0"/>
              <w:spacing w:line="300" w:lineRule="auto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(1) 测序数据过滤和数据量等统计；</w:t>
            </w:r>
          </w:p>
          <w:p w14:paraId="1CFA1EAA">
            <w:pPr>
              <w:adjustRightInd w:val="0"/>
              <w:snapToGrid w:val="0"/>
              <w:spacing w:line="300" w:lineRule="auto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(2) 有效Hi-C数据量评估（有参考基因组，小数据量评估；数据下机前需提供参考基因组）；</w:t>
            </w:r>
          </w:p>
          <w:p w14:paraId="1229B078">
            <w:pPr>
              <w:adjustRightInd w:val="0"/>
              <w:snapToGrid w:val="0"/>
              <w:spacing w:line="300" w:lineRule="auto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(3) Truncter比例评估（无参考基因组）。</w:t>
            </w:r>
          </w:p>
        </w:tc>
        <w:tc>
          <w:tcPr>
            <w:tcW w:w="1156" w:type="dxa"/>
            <w:noWrap w:val="0"/>
            <w:vAlign w:val="top"/>
          </w:tcPr>
          <w:p w14:paraId="153A1982">
            <w:pPr>
              <w:adjustRightInd w:val="0"/>
              <w:snapToGrid w:val="0"/>
              <w:spacing w:line="300" w:lineRule="auto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6F16F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noWrap w:val="0"/>
            <w:vAlign w:val="center"/>
          </w:tcPr>
          <w:p w14:paraId="34F7EEBE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</w:rPr>
              <w:t>DNA甲基化数据分析</w:t>
            </w:r>
          </w:p>
        </w:tc>
        <w:tc>
          <w:tcPr>
            <w:tcW w:w="5811" w:type="dxa"/>
            <w:noWrap w:val="0"/>
            <w:vAlign w:val="center"/>
          </w:tcPr>
          <w:p w14:paraId="79A11030">
            <w:pPr>
              <w:adjustRightInd w:val="0"/>
              <w:snapToGrid w:val="0"/>
              <w:spacing w:line="300" w:lineRule="auto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基于ONT数据进行全基因组DNA甲基化检测。</w:t>
            </w:r>
          </w:p>
        </w:tc>
        <w:tc>
          <w:tcPr>
            <w:tcW w:w="1156" w:type="dxa"/>
            <w:noWrap w:val="0"/>
            <w:vAlign w:val="top"/>
          </w:tcPr>
          <w:p w14:paraId="1AA18069">
            <w:pPr>
              <w:adjustRightInd w:val="0"/>
              <w:snapToGrid w:val="0"/>
              <w:spacing w:line="300" w:lineRule="auto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</w:tbl>
    <w:p w14:paraId="221617C8">
      <w:pPr>
        <w:adjustRightInd w:val="0"/>
        <w:snapToGrid w:val="0"/>
        <w:spacing w:line="360" w:lineRule="auto"/>
        <w:ind w:firstLine="422" w:firstLineChars="200"/>
        <w:jc w:val="left"/>
        <w:rPr>
          <w:rFonts w:ascii="宋体" w:hAnsi="宋体" w:eastAsia="宋体"/>
          <w:b/>
          <w:bCs/>
          <w:color w:val="auto"/>
          <w:szCs w:val="21"/>
          <w:highlight w:val="none"/>
        </w:rPr>
      </w:pPr>
    </w:p>
    <w:p w14:paraId="1760995A">
      <w:pPr>
        <w:adjustRightInd w:val="0"/>
        <w:snapToGrid w:val="0"/>
        <w:spacing w:line="360" w:lineRule="auto"/>
        <w:ind w:firstLine="422" w:firstLineChars="200"/>
        <w:jc w:val="left"/>
        <w:rPr>
          <w:rFonts w:ascii="宋体" w:hAnsi="宋体" w:eastAsia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Cs w:val="21"/>
          <w:highlight w:val="none"/>
        </w:rPr>
        <w:t>五、</w:t>
      </w:r>
      <w:r>
        <w:rPr>
          <w:rFonts w:ascii="宋体" w:hAnsi="宋体" w:eastAsia="宋体"/>
          <w:b/>
          <w:bCs/>
          <w:color w:val="auto"/>
          <w:szCs w:val="21"/>
          <w:highlight w:val="none"/>
        </w:rPr>
        <w:t>服务标准</w:t>
      </w:r>
    </w:p>
    <w:p w14:paraId="368CEF48"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eastAsia="宋体"/>
          <w:color w:val="auto"/>
          <w:szCs w:val="21"/>
          <w:highlight w:val="none"/>
        </w:rPr>
      </w:pPr>
      <w:r>
        <w:rPr>
          <w:rFonts w:ascii="宋体" w:hAnsi="宋体" w:eastAsia="宋体"/>
          <w:color w:val="auto"/>
          <w:szCs w:val="21"/>
          <w:highlight w:val="none"/>
        </w:rPr>
        <w:t>（</w:t>
      </w:r>
      <w:r>
        <w:rPr>
          <w:rFonts w:hint="eastAsia" w:ascii="宋体" w:hAnsi="宋体" w:eastAsia="宋体"/>
          <w:color w:val="auto"/>
          <w:szCs w:val="21"/>
          <w:highlight w:val="none"/>
        </w:rPr>
        <w:t>1</w:t>
      </w:r>
      <w:r>
        <w:rPr>
          <w:rFonts w:ascii="宋体" w:hAnsi="宋体" w:eastAsia="宋体"/>
          <w:color w:val="auto"/>
          <w:szCs w:val="21"/>
          <w:highlight w:val="none"/>
        </w:rPr>
        <w:t>）</w:t>
      </w:r>
      <w:r>
        <w:rPr>
          <w:rFonts w:hint="eastAsia" w:ascii="宋体" w:hAnsi="宋体" w:eastAsia="宋体"/>
          <w:color w:val="auto"/>
          <w:szCs w:val="21"/>
          <w:highlight w:val="none"/>
        </w:rPr>
        <w:t>供应商</w:t>
      </w:r>
      <w:r>
        <w:rPr>
          <w:rFonts w:ascii="宋体" w:hAnsi="宋体" w:eastAsia="宋体"/>
          <w:color w:val="auto"/>
          <w:szCs w:val="21"/>
          <w:highlight w:val="none"/>
        </w:rPr>
        <w:t>完成所有测序分析内容，并提供硬盘交付完整的测序数据及项目结题报告（包括质检报告）。</w:t>
      </w:r>
    </w:p>
    <w:p w14:paraId="639412BE"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eastAsia="宋体"/>
          <w:color w:val="auto"/>
          <w:szCs w:val="21"/>
          <w:highlight w:val="none"/>
        </w:rPr>
      </w:pPr>
      <w:r>
        <w:rPr>
          <w:rFonts w:ascii="宋体" w:hAnsi="宋体" w:eastAsia="宋体"/>
          <w:color w:val="auto"/>
          <w:szCs w:val="21"/>
          <w:highlight w:val="none"/>
        </w:rPr>
        <w:t>（</w:t>
      </w:r>
      <w:r>
        <w:rPr>
          <w:rFonts w:hint="eastAsia" w:ascii="宋体" w:hAnsi="宋体" w:eastAsia="宋体"/>
          <w:color w:val="auto"/>
          <w:szCs w:val="21"/>
          <w:highlight w:val="none"/>
        </w:rPr>
        <w:t>2</w:t>
      </w:r>
      <w:r>
        <w:rPr>
          <w:rFonts w:ascii="宋体" w:hAnsi="宋体" w:eastAsia="宋体"/>
          <w:color w:val="auto"/>
          <w:szCs w:val="21"/>
          <w:highlight w:val="none"/>
        </w:rPr>
        <w:t>）合同周期内完成所有分析，项目开始及完成后建立该项目沟通和售后服务微信群，由负责该项目的专业技术人员进行24小时内回复。</w:t>
      </w:r>
    </w:p>
    <w:p w14:paraId="48D18350"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eastAsia="宋体"/>
          <w:color w:val="auto"/>
          <w:szCs w:val="21"/>
          <w:highlight w:val="none"/>
        </w:rPr>
      </w:pPr>
      <w:r>
        <w:rPr>
          <w:rFonts w:ascii="宋体" w:hAnsi="宋体" w:eastAsia="宋体"/>
          <w:color w:val="auto"/>
          <w:szCs w:val="21"/>
          <w:highlight w:val="none"/>
        </w:rPr>
        <w:t>（</w:t>
      </w:r>
      <w:r>
        <w:rPr>
          <w:rFonts w:hint="eastAsia" w:ascii="宋体" w:hAnsi="宋体" w:eastAsia="宋体"/>
          <w:color w:val="auto"/>
          <w:szCs w:val="21"/>
          <w:highlight w:val="none"/>
        </w:rPr>
        <w:t>3</w:t>
      </w:r>
      <w:r>
        <w:rPr>
          <w:rFonts w:ascii="宋体" w:hAnsi="宋体" w:eastAsia="宋体"/>
          <w:color w:val="auto"/>
          <w:szCs w:val="21"/>
          <w:highlight w:val="none"/>
        </w:rPr>
        <w:t>）</w:t>
      </w:r>
      <w:r>
        <w:rPr>
          <w:rFonts w:hint="eastAsia" w:ascii="宋体" w:hAnsi="宋体" w:eastAsia="宋体"/>
          <w:color w:val="auto"/>
          <w:szCs w:val="21"/>
          <w:highlight w:val="none"/>
        </w:rPr>
        <w:t>供应商</w:t>
      </w:r>
      <w:r>
        <w:rPr>
          <w:rFonts w:ascii="宋体" w:hAnsi="宋体" w:eastAsia="宋体"/>
          <w:color w:val="auto"/>
          <w:szCs w:val="21"/>
          <w:highlight w:val="none"/>
        </w:rPr>
        <w:t>应按照项目总周期提出项目具体方案和实施周期，如出现单项测序或分析延期或不符合数据验收要求，</w:t>
      </w:r>
      <w:r>
        <w:rPr>
          <w:rFonts w:hint="eastAsia" w:ascii="宋体" w:hAnsi="宋体" w:eastAsia="宋体"/>
          <w:color w:val="auto"/>
          <w:szCs w:val="21"/>
          <w:highlight w:val="none"/>
        </w:rPr>
        <w:t>供应商应进行整改直至达到验收要求</w:t>
      </w:r>
      <w:r>
        <w:rPr>
          <w:rFonts w:ascii="宋体" w:hAnsi="宋体" w:eastAsia="宋体"/>
          <w:color w:val="auto"/>
          <w:szCs w:val="21"/>
          <w:highlight w:val="none"/>
        </w:rPr>
        <w:t>。</w:t>
      </w:r>
    </w:p>
    <w:p w14:paraId="6557DE8B">
      <w:pPr>
        <w:adjustRightInd w:val="0"/>
        <w:snapToGrid w:val="0"/>
        <w:spacing w:line="360" w:lineRule="auto"/>
        <w:ind w:firstLine="422" w:firstLineChars="200"/>
        <w:jc w:val="left"/>
        <w:rPr>
          <w:rFonts w:hint="eastAsia" w:ascii="宋体" w:hAnsi="宋体" w:eastAsia="宋体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Cs w:val="21"/>
          <w:highlight w:val="none"/>
          <w:lang w:val="en-US" w:eastAsia="zh-CN"/>
        </w:rPr>
        <w:t>六、报价要求</w:t>
      </w:r>
    </w:p>
    <w:p w14:paraId="37A55189">
      <w:pPr>
        <w:adjustRightInd w:val="0"/>
        <w:snapToGrid w:val="0"/>
        <w:spacing w:line="360" w:lineRule="auto"/>
        <w:ind w:firstLine="420" w:firstLineChars="200"/>
        <w:jc w:val="left"/>
      </w:pPr>
      <w:bookmarkStart w:id="9" w:name="_GoBack"/>
      <w:bookmarkEnd w:id="9"/>
      <w:r>
        <w:rPr>
          <w:rFonts w:hint="eastAsia" w:ascii="宋体" w:hAnsi="宋体" w:eastAsia="宋体"/>
          <w:b w:val="0"/>
          <w:bCs w:val="0"/>
          <w:color w:val="auto"/>
          <w:szCs w:val="21"/>
          <w:highlight w:val="none"/>
          <w:lang w:val="en-US" w:eastAsia="zh-CN"/>
        </w:rPr>
        <w:t>本项目报总价，报价应含有服务、利润、税金、政策性文件规定及合同包含的所有风险、责任、义务等，即为完成采购文件要求的服务内容所包含的一切应有费用，采购人后期不再追加费用，供应商自行考虑报价风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074CD"/>
    <w:rsid w:val="09265392"/>
    <w:rsid w:val="382D45FA"/>
    <w:rsid w:val="3FB0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@仿宋_GB2312" w:hAnsi="@仿宋_GB2312" w:eastAsia="@仿宋_GB2312" w:cs="@仿宋_GB2312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2025-09-09T09:47:00Z</dcterms:created>
  <dc:creator>xmy</dc:creator>
  <cp:lastModifiedBy>xmy</cp:lastModifiedBy>
  <dcterms:modified xsi:type="dcterms:W3CDTF">2025-09-09T10:39:57Z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0CBA81111ED440E1AD805EB29B426F94_11</vt:lpwstr>
  </property>
  <property fmtid="{D5CDD505-2E9C-101B-9397-08002B2CF9AE}" pid="4" name="KSOTemplateDocerSaveRecord">
    <vt:lpwstr>eyJoZGlkIjoiZWJjNjZmNTVkZTA2MzRiMTE5NTEwNzk1MzVhYWVkYTQiLCJ1c2VySWQiOiIzMjQ4MTEwODkifQ==</vt:lpwstr>
  </property>
</Properties>
</file>