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C7460">
      <w:pPr>
        <w:pStyle w:val="2"/>
        <w:wordWrap w:val="0"/>
        <w:rPr>
          <w:rFonts w:hint="eastAsia" w:ascii="方正小标宋_GBK" w:hAnsi="方正小标宋_GBK" w:eastAsia="华文中宋" w:cs="方正小标宋_GBK"/>
          <w:color w:val="auto"/>
          <w:highlight w:val="none"/>
        </w:rPr>
      </w:pPr>
      <w:r>
        <w:rPr>
          <w:rFonts w:hint="eastAsia" w:ascii="方正小标宋_GBK" w:hAnsi="方正小标宋_GBK" w:eastAsia="华文中宋" w:cs="方正小标宋_GBK"/>
          <w:color w:val="auto"/>
          <w:highlight w:val="none"/>
        </w:rPr>
        <w:t>采购需求</w:t>
      </w:r>
    </w:p>
    <w:p w14:paraId="1B1F667E">
      <w:pPr>
        <w:wordWrap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前注：</w:t>
      </w:r>
    </w:p>
    <w:p w14:paraId="63A718CA">
      <w:pPr>
        <w:wordWrap w:val="0"/>
        <w:spacing w:line="360" w:lineRule="auto"/>
        <w:ind w:firstLine="480" w:firstLineChars="200"/>
        <w:rPr>
          <w:rFonts w:hint="eastAsia" w:ascii="宋体" w:hAnsi="宋体" w:eastAsia="宋体" w:cs="宋体"/>
          <w:color w:val="auto"/>
          <w:sz w:val="24"/>
          <w:szCs w:val="18"/>
          <w:highlight w:val="none"/>
        </w:rPr>
      </w:pPr>
      <w:bookmarkStart w:id="0" w:name="_Hlk16461016"/>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80A3D9C">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2.下列采购需求中：</w:t>
      </w:r>
    </w:p>
    <w:p w14:paraId="75242824">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34C55B5">
      <w:pPr>
        <w:wordWrap w:val="0"/>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3546434">
      <w:pPr>
        <w:wordWrap w:val="0"/>
        <w:spacing w:line="360" w:lineRule="auto"/>
        <w:ind w:firstLine="480" w:firstLineChars="200"/>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3.下列采购需求中：标注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18"/>
          <w:highlight w:val="none"/>
        </w:rPr>
        <w:t>的产品（核心产品），投标人在投标文件《主要中标标的承诺函》中填写名称、品牌、规格、型号、数量、单价等信息。</w:t>
      </w:r>
    </w:p>
    <w:p w14:paraId="495BCFC2">
      <w:pPr>
        <w:pStyle w:val="3"/>
        <w:wordWrap w:val="0"/>
        <w:ind w:firstLine="0" w:firstLineChars="0"/>
        <w:rPr>
          <w:rFonts w:eastAsia="黑体"/>
          <w:color w:val="auto"/>
          <w:highlight w:val="none"/>
        </w:rPr>
      </w:pPr>
      <w:bookmarkStart w:id="1" w:name="_Toc1452677390"/>
      <w:bookmarkStart w:id="2" w:name="_Toc337877615"/>
      <w:bookmarkStart w:id="3" w:name="_Toc2025078090"/>
      <w:bookmarkStart w:id="4" w:name="_Toc292361325"/>
      <w:bookmarkStart w:id="5" w:name="_Toc1064185329"/>
      <w:bookmarkStart w:id="6" w:name="_Toc1899401549"/>
      <w:bookmarkStart w:id="7" w:name="_Toc1437377518_WPSOffice_Level2"/>
      <w:bookmarkStart w:id="8" w:name="_Toc382548620"/>
      <w:r>
        <w:rPr>
          <w:rFonts w:hint="eastAsia" w:eastAsia="黑体"/>
          <w:color w:val="auto"/>
          <w:highlight w:val="none"/>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892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77B5E6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2054" w:type="dxa"/>
            <w:vAlign w:val="center"/>
          </w:tcPr>
          <w:p w14:paraId="1801C661">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5544" w:type="dxa"/>
            <w:vAlign w:val="center"/>
          </w:tcPr>
          <w:p w14:paraId="3F77F9A2">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5613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1DA034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2054" w:type="dxa"/>
            <w:vAlign w:val="center"/>
          </w:tcPr>
          <w:p w14:paraId="4ED31361">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5544" w:type="dxa"/>
            <w:vAlign w:val="center"/>
          </w:tcPr>
          <w:p w14:paraId="5769BCE5">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项目验收合格后，一次性支付合同价款。</w:t>
            </w:r>
          </w:p>
        </w:tc>
      </w:tr>
      <w:tr w14:paraId="106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2026A70">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2054" w:type="dxa"/>
            <w:vAlign w:val="center"/>
          </w:tcPr>
          <w:p w14:paraId="4ADCBED7">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5544" w:type="dxa"/>
            <w:vAlign w:val="center"/>
          </w:tcPr>
          <w:p w14:paraId="316FBAF7">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eastAsia="zh-CN"/>
              </w:rPr>
              <w:t>安徽农业大学繁昌创新港</w:t>
            </w:r>
            <w:r>
              <w:rPr>
                <w:rFonts w:hint="eastAsia" w:ascii="宋体" w:hAnsi="宋体" w:eastAsia="宋体" w:cs="宋体"/>
                <w:b w:val="0"/>
                <w:color w:val="auto"/>
                <w:sz w:val="24"/>
                <w:highlight w:val="none"/>
              </w:rPr>
              <w:t>，具体按采购人指定。</w:t>
            </w:r>
          </w:p>
        </w:tc>
      </w:tr>
      <w:tr w14:paraId="090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56E7AA84">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2054" w:type="dxa"/>
            <w:vAlign w:val="center"/>
          </w:tcPr>
          <w:p w14:paraId="409C1A9A">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5544" w:type="dxa"/>
            <w:vAlign w:val="center"/>
          </w:tcPr>
          <w:p w14:paraId="17135501">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合同生效后，90个日历日内完成供货、安装、调试、培训等所有工作内容。</w:t>
            </w:r>
          </w:p>
        </w:tc>
      </w:tr>
      <w:tr w14:paraId="603E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1C21F3D">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2054" w:type="dxa"/>
            <w:vAlign w:val="center"/>
          </w:tcPr>
          <w:p w14:paraId="3B5AB874">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5544" w:type="dxa"/>
            <w:vAlign w:val="center"/>
          </w:tcPr>
          <w:p w14:paraId="1C66D44D">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rPr>
              <w:t>自验收合格后</w:t>
            </w:r>
            <w:r>
              <w:rPr>
                <w:rFonts w:hint="eastAsia" w:ascii="宋体" w:hAnsi="宋体" w:eastAsia="宋体" w:cs="宋体"/>
                <w:b w:val="0"/>
                <w:color w:val="auto"/>
                <w:sz w:val="24"/>
                <w:highlight w:val="none"/>
                <w:lang w:val="en-US" w:eastAsia="zh-CN"/>
              </w:rPr>
              <w:t>1</w:t>
            </w:r>
            <w:r>
              <w:rPr>
                <w:rFonts w:hint="eastAsia" w:ascii="宋体" w:hAnsi="宋体" w:eastAsia="宋体" w:cs="宋体"/>
                <w:b w:val="0"/>
                <w:color w:val="auto"/>
                <w:sz w:val="24"/>
                <w:highlight w:val="none"/>
              </w:rPr>
              <w:t>年</w:t>
            </w:r>
            <w:r>
              <w:rPr>
                <w:rFonts w:hint="eastAsia" w:ascii="宋体" w:hAnsi="宋体" w:eastAsia="宋体" w:cs="宋体"/>
                <w:b w:val="0"/>
                <w:color w:val="auto"/>
                <w:sz w:val="24"/>
                <w:highlight w:val="none"/>
                <w:lang w:eastAsia="zh-CN"/>
              </w:rPr>
              <w:t>，货物需求中另有规定的，按货物需求执行。</w:t>
            </w:r>
          </w:p>
          <w:p w14:paraId="2B5590D3">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注：免费质保期从验收合格之日起开始计算。</w:t>
            </w:r>
          </w:p>
        </w:tc>
      </w:tr>
    </w:tbl>
    <w:p w14:paraId="0271EEB9">
      <w:pPr>
        <w:pStyle w:val="3"/>
        <w:wordWrap w:val="0"/>
        <w:ind w:firstLine="0" w:firstLineChars="0"/>
        <w:rPr>
          <w:rFonts w:eastAsia="黑体"/>
          <w:color w:val="auto"/>
          <w:highlight w:val="none"/>
        </w:rPr>
      </w:pPr>
      <w:bookmarkStart w:id="9" w:name="_Toc717369146"/>
      <w:bookmarkStart w:id="10" w:name="_Toc1715351726"/>
      <w:bookmarkStart w:id="11" w:name="_Toc369119811"/>
      <w:bookmarkStart w:id="12" w:name="_Toc1191965283_WPSOffice_Level2"/>
      <w:bookmarkStart w:id="13" w:name="_Toc1693477008"/>
      <w:bookmarkStart w:id="14" w:name="_Toc58935147"/>
      <w:bookmarkStart w:id="15" w:name="_Toc302804901"/>
      <w:bookmarkStart w:id="16" w:name="_Toc626387511"/>
      <w:r>
        <w:rPr>
          <w:rFonts w:hint="eastAsia" w:eastAsia="黑体"/>
          <w:color w:val="auto"/>
          <w:highlight w:val="none"/>
        </w:rPr>
        <w:t>二、货物需求</w:t>
      </w:r>
      <w:bookmarkEnd w:id="9"/>
      <w:bookmarkEnd w:id="10"/>
      <w:bookmarkEnd w:id="11"/>
      <w:bookmarkEnd w:id="12"/>
      <w:bookmarkEnd w:id="13"/>
      <w:bookmarkEnd w:id="14"/>
      <w:bookmarkEnd w:id="15"/>
      <w:bookmarkEnd w:id="16"/>
    </w:p>
    <w:p w14:paraId="300B16CE">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33A3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7F32E4A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需求内容类别</w:t>
            </w:r>
          </w:p>
        </w:tc>
        <w:tc>
          <w:tcPr>
            <w:tcW w:w="1277" w:type="dxa"/>
          </w:tcPr>
          <w:p w14:paraId="2E7B0F36">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标识符号</w:t>
            </w:r>
          </w:p>
        </w:tc>
        <w:tc>
          <w:tcPr>
            <w:tcW w:w="5692" w:type="dxa"/>
          </w:tcPr>
          <w:p w14:paraId="6B1AF368">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投标要求</w:t>
            </w:r>
          </w:p>
        </w:tc>
      </w:tr>
      <w:tr w14:paraId="6229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8A1622B">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重要指标项</w:t>
            </w:r>
          </w:p>
        </w:tc>
        <w:tc>
          <w:tcPr>
            <w:tcW w:w="1277" w:type="dxa"/>
            <w:vAlign w:val="center"/>
          </w:tcPr>
          <w:p w14:paraId="2723150D">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692" w:type="dxa"/>
            <w:vAlign w:val="center"/>
          </w:tcPr>
          <w:p w14:paraId="52087767">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评分项，详见“第四章评标方法和标准”中评分细则。</w:t>
            </w:r>
          </w:p>
        </w:tc>
      </w:tr>
      <w:tr w14:paraId="41B9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460FC752">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关键指标项</w:t>
            </w:r>
          </w:p>
        </w:tc>
        <w:tc>
          <w:tcPr>
            <w:tcW w:w="1277" w:type="dxa"/>
            <w:vAlign w:val="center"/>
          </w:tcPr>
          <w:p w14:paraId="3D6B1C5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692" w:type="dxa"/>
            <w:vAlign w:val="center"/>
          </w:tcPr>
          <w:p w14:paraId="3E8750A5">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符合性审查项，该指标项负偏离或未响应，将导致</w:t>
            </w:r>
            <w:r>
              <w:rPr>
                <w:rFonts w:hint="eastAsia" w:ascii="宋体" w:hAnsi="宋体" w:eastAsia="宋体" w:cs="宋体"/>
                <w:b/>
                <w:bCs/>
                <w:color w:val="auto"/>
                <w:sz w:val="24"/>
                <w:szCs w:val="24"/>
                <w:highlight w:val="none"/>
              </w:rPr>
              <w:t>投标无效</w:t>
            </w:r>
            <w:r>
              <w:rPr>
                <w:rFonts w:hint="eastAsia" w:ascii="宋体" w:hAnsi="宋体" w:eastAsia="宋体" w:cs="宋体"/>
                <w:color w:val="auto"/>
                <w:sz w:val="24"/>
                <w:szCs w:val="24"/>
                <w:highlight w:val="none"/>
              </w:rPr>
              <w:t>。</w:t>
            </w:r>
          </w:p>
        </w:tc>
      </w:tr>
      <w:tr w14:paraId="723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935C7F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277" w:type="dxa"/>
            <w:vAlign w:val="center"/>
          </w:tcPr>
          <w:p w14:paraId="3177F10E">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highlight w:val="none"/>
              </w:rPr>
            </w:pPr>
          </w:p>
        </w:tc>
        <w:tc>
          <w:tcPr>
            <w:tcW w:w="5692" w:type="dxa"/>
            <w:vAlign w:val="center"/>
          </w:tcPr>
          <w:p w14:paraId="08722E4E">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5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2692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41BBCB61">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8F45D0B">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default" w:ascii="宋体" w:hAnsi="宋体" w:eastAsia="宋体" w:cs="宋体"/>
                <w:color w:val="auto"/>
                <w:sz w:val="24"/>
                <w:szCs w:val="24"/>
                <w:highlight w:val="none"/>
              </w:rPr>
              <w:t>.如某项标识中包含多条技术参数或要求，则该项标识所含内容均需满足或优于招标文件要求，否则不予认可。</w:t>
            </w:r>
          </w:p>
          <w:p w14:paraId="1F1A5DF5">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default" w:ascii="宋体" w:hAnsi="宋体" w:eastAsia="宋体" w:cs="宋体"/>
                <w:color w:val="auto"/>
                <w:sz w:val="24"/>
                <w:szCs w:val="24"/>
                <w:highlight w:val="none"/>
              </w:rPr>
              <w:t>.“所属行业”栏标注为“/”的项为所投产品配套的工程或服务，无需在《中小企业声明函》中列明。</w:t>
            </w:r>
          </w:p>
        </w:tc>
      </w:tr>
    </w:tbl>
    <w:p w14:paraId="07F12FD8">
      <w:pPr>
        <w:pStyle w:val="8"/>
        <w:wordWrap w:val="0"/>
        <w:ind w:left="0" w:firstLine="0" w:firstLineChars="0"/>
        <w:rPr>
          <w:rFonts w:hint="eastAsia" w:ascii="宋体" w:hAnsi="宋体" w:eastAsia="宋体" w:cs="宋体"/>
          <w:b/>
          <w:bCs/>
          <w:color w:val="auto"/>
          <w:sz w:val="24"/>
          <w:szCs w:val="24"/>
          <w:highlight w:val="none"/>
        </w:rPr>
      </w:pPr>
    </w:p>
    <w:p w14:paraId="267A74CC">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（二）货物需求清单</w:t>
      </w:r>
    </w:p>
    <w:p w14:paraId="60AC4BC6">
      <w:pPr>
        <w:pStyle w:val="8"/>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4DA8A36C">
      <w:pPr>
        <w:pStyle w:val="7"/>
        <w:ind w:left="482" w:hanging="482"/>
        <w:rPr>
          <w:rFonts w:hint="eastAsia" w:ascii="宋体" w:hAnsi="宋体" w:cs="宋体"/>
          <w:b/>
          <w:bCs/>
          <w:color w:val="auto"/>
          <w:sz w:val="24"/>
          <w:highlight w:val="none"/>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0FEB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1BB98A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fldChar w:fldCharType="begin"/>
            </w:r>
            <w:r>
              <w:rPr>
                <w:rFonts w:hint="eastAsia" w:asciiTheme="minorEastAsia" w:hAnsiTheme="minorEastAsia" w:eastAsiaTheme="minorEastAsia" w:cstheme="minorEastAsia"/>
                <w:b/>
                <w:color w:val="auto"/>
                <w:sz w:val="24"/>
                <w:szCs w:val="24"/>
                <w:highlight w:val="none"/>
              </w:rPr>
              <w:instrText xml:space="preserve">ADDIN CNKISM.UserStyle</w:instrText>
            </w:r>
            <w:r>
              <w:rPr>
                <w:rFonts w:hint="eastAsia" w:asciiTheme="minorEastAsia" w:hAnsiTheme="minorEastAsia" w:eastAsiaTheme="minorEastAsia" w:cstheme="minorEastAsia"/>
                <w:b/>
                <w:color w:val="auto"/>
                <w:sz w:val="24"/>
                <w:szCs w:val="24"/>
                <w:highlight w:val="none"/>
              </w:rPr>
              <w:fldChar w:fldCharType="end"/>
            </w:r>
            <w:r>
              <w:rPr>
                <w:rFonts w:hint="eastAsia" w:asciiTheme="minorEastAsia" w:hAnsiTheme="minorEastAsia" w:eastAsiaTheme="minorEastAsia" w:cstheme="minorEastAsia"/>
                <w:b/>
                <w:color w:val="auto"/>
                <w:sz w:val="24"/>
                <w:szCs w:val="24"/>
                <w:highlight w:val="none"/>
              </w:rPr>
              <w:t>序号</w:t>
            </w:r>
          </w:p>
        </w:tc>
        <w:tc>
          <w:tcPr>
            <w:tcW w:w="1230" w:type="dxa"/>
            <w:vAlign w:val="center"/>
          </w:tcPr>
          <w:p w14:paraId="1D45E5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货物名称</w:t>
            </w:r>
          </w:p>
        </w:tc>
        <w:tc>
          <w:tcPr>
            <w:tcW w:w="5175" w:type="dxa"/>
            <w:vAlign w:val="center"/>
          </w:tcPr>
          <w:p w14:paraId="413ACB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技术参数及要求</w:t>
            </w:r>
          </w:p>
        </w:tc>
        <w:tc>
          <w:tcPr>
            <w:tcW w:w="780" w:type="dxa"/>
            <w:vAlign w:val="center"/>
          </w:tcPr>
          <w:p w14:paraId="7B6B0A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数量</w:t>
            </w:r>
          </w:p>
        </w:tc>
        <w:tc>
          <w:tcPr>
            <w:tcW w:w="795" w:type="dxa"/>
            <w:vAlign w:val="center"/>
          </w:tcPr>
          <w:p w14:paraId="0C3FA8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所属行业</w:t>
            </w:r>
          </w:p>
        </w:tc>
        <w:tc>
          <w:tcPr>
            <w:tcW w:w="897" w:type="dxa"/>
            <w:vAlign w:val="center"/>
          </w:tcPr>
          <w:p w14:paraId="4C009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备注（进口或强制节能）</w:t>
            </w:r>
          </w:p>
        </w:tc>
      </w:tr>
      <w:tr w14:paraId="271B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EA7CC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230" w:type="dxa"/>
            <w:shd w:val="clear" w:color="auto" w:fill="auto"/>
            <w:vAlign w:val="center"/>
          </w:tcPr>
          <w:p w14:paraId="3BB3FF1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▲智能结晶筛选平台</w:t>
            </w:r>
          </w:p>
        </w:tc>
        <w:tc>
          <w:tcPr>
            <w:tcW w:w="5175" w:type="dxa"/>
            <w:shd w:val="clear" w:color="auto" w:fill="auto"/>
            <w:vAlign w:val="center"/>
          </w:tcPr>
          <w:p w14:paraId="67FC2FF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1.智能结晶</w:t>
            </w:r>
            <w:r>
              <w:rPr>
                <w:rFonts w:hint="eastAsia" w:asciiTheme="minorEastAsia" w:hAnsiTheme="minorEastAsia" w:eastAsiaTheme="minorEastAsia" w:cstheme="minorEastAsia"/>
                <w:bCs/>
                <w:color w:val="auto"/>
                <w:kern w:val="0"/>
                <w:sz w:val="24"/>
                <w:szCs w:val="24"/>
                <w:highlight w:val="none"/>
                <w:lang w:eastAsia="zh-CN"/>
              </w:rPr>
              <w:t>筛选平台</w:t>
            </w:r>
            <w:r>
              <w:rPr>
                <w:rFonts w:hint="eastAsia" w:asciiTheme="minorEastAsia" w:hAnsiTheme="minorEastAsia" w:eastAsiaTheme="minorEastAsia" w:cstheme="minorEastAsia"/>
                <w:bCs/>
                <w:color w:val="auto"/>
                <w:kern w:val="0"/>
                <w:sz w:val="24"/>
                <w:szCs w:val="24"/>
                <w:highlight w:val="none"/>
              </w:rPr>
              <w:t>机架</w:t>
            </w:r>
          </w:p>
          <w:p w14:paraId="2E879C9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1.1 供电标准为单相AC 220 V，50 Hz；</w:t>
            </w:r>
          </w:p>
          <w:p w14:paraId="0E567A7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1.2 整套单机</w:t>
            </w:r>
            <w:r>
              <w:rPr>
                <w:rFonts w:hint="eastAsia" w:asciiTheme="minorEastAsia" w:hAnsiTheme="minorEastAsia" w:eastAsiaTheme="minorEastAsia" w:cstheme="minorEastAsia"/>
                <w:bCs/>
                <w:color w:val="auto"/>
                <w:kern w:val="0"/>
                <w:sz w:val="24"/>
                <w:szCs w:val="24"/>
                <w:highlight w:val="none"/>
                <w:lang w:eastAsia="zh-CN"/>
              </w:rPr>
              <w:t>筛选平台</w:t>
            </w:r>
            <w:r>
              <w:rPr>
                <w:rFonts w:hint="eastAsia" w:asciiTheme="minorEastAsia" w:hAnsiTheme="minorEastAsia" w:eastAsiaTheme="minorEastAsia" w:cstheme="minorEastAsia"/>
                <w:bCs/>
                <w:color w:val="auto"/>
                <w:kern w:val="0"/>
                <w:sz w:val="24"/>
                <w:szCs w:val="24"/>
                <w:highlight w:val="none"/>
              </w:rPr>
              <w:t>总运行功率 ≤ 5000 W；</w:t>
            </w:r>
          </w:p>
          <w:p w14:paraId="1E21FAC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Cs/>
                <w:color w:val="auto"/>
                <w:kern w:val="0"/>
                <w:sz w:val="24"/>
                <w:szCs w:val="24"/>
                <w:highlight w:val="none"/>
              </w:rPr>
              <w:t>1.3设备配套操控终端配置不低于：采用四核八线程处理器，配置≥8 GB内存、≥1TB 本地存储；</w:t>
            </w:r>
            <w:r>
              <w:rPr>
                <w:rFonts w:hint="eastAsia" w:asciiTheme="minorEastAsia" w:hAnsiTheme="minorEastAsia" w:eastAsiaTheme="minorEastAsia" w:cstheme="minorEastAsia"/>
                <w:b/>
                <w:bCs/>
                <w:color w:val="auto"/>
                <w:sz w:val="24"/>
                <w:szCs w:val="24"/>
                <w:highlight w:val="none"/>
              </w:rPr>
              <w:t>（需在投标响应表中列出产品品牌和型号，否则视为本条参数不响应）</w:t>
            </w:r>
          </w:p>
          <w:p w14:paraId="1154DF7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1.4</w:t>
            </w:r>
            <w:r>
              <w:rPr>
                <w:rFonts w:hint="eastAsia" w:asciiTheme="minorEastAsia" w:hAnsiTheme="minorEastAsia" w:eastAsiaTheme="minorEastAsia" w:cstheme="minorEastAsia"/>
                <w:bCs/>
                <w:color w:val="auto"/>
                <w:kern w:val="0"/>
                <w:sz w:val="24"/>
                <w:szCs w:val="24"/>
                <w:highlight w:val="none"/>
              </w:rPr>
              <w:t>配备 750 W 工业电源，可同步全模块数据实时采集、本地永久存储。</w:t>
            </w:r>
          </w:p>
          <w:p w14:paraId="0A4287E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2.六轴协作机械臂系统</w:t>
            </w:r>
          </w:p>
          <w:p w14:paraId="134ADD0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2.1 工作半径：≥ 900 mm</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5E26DFD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2.2 重复定位精度：≤ ± 0.1 mm；</w:t>
            </w:r>
          </w:p>
          <w:p w14:paraId="5C71656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2.3 额定负载：≥ 5 kg；</w:t>
            </w:r>
          </w:p>
          <w:p w14:paraId="0F19D8B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2.4 防护等级：≥ IP54（抵御实验室粉尘、有机溶剂挥发腐蚀）；</w:t>
            </w:r>
          </w:p>
          <w:p w14:paraId="5201260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2.5 安全系统：碰撞检测 + 物理急停双重防护，符合协作机器人安全标准，工站开门机械臂自动降速停机。</w:t>
            </w:r>
          </w:p>
          <w:p w14:paraId="76DC3A1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3.针泵加液开关盖模块</w:t>
            </w:r>
          </w:p>
          <w:p w14:paraId="7541F6A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3.1 适配8 mL反应瓶快速加液和8mL反应瓶的开关盖；</w:t>
            </w:r>
          </w:p>
          <w:p w14:paraId="262F1BE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3.2 最大支持独立加液通道≥3</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5A536E8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3.3 单次最大移液10 mL，支持多次叠加移液；</w:t>
            </w:r>
          </w:p>
          <w:p w14:paraId="4513101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3.4 单步移液分辨率 ≤ 3 μL；</w:t>
            </w:r>
          </w:p>
          <w:p w14:paraId="6D008A6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3.5 以去离子水为介质，100 μL准确度≤ ± 2.0%，精确度＜1.0%</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044EF9C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3.6 夹持重复精度≤±0.05mm，旋转重复精度≤±0.5°；</w:t>
            </w:r>
          </w:p>
          <w:p w14:paraId="690FD21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3.7瓶盖夹紧力≤ 100 N，瓶盖旋转扭力≤ 2 N·m；</w:t>
            </w:r>
          </w:p>
          <w:p w14:paraId="25CFA2EE">
            <w:pPr>
              <w:keepNext w:val="0"/>
              <w:keepLines w:val="0"/>
              <w:pageBreakBefore w:val="0"/>
              <w:widowControl w:val="0"/>
              <w:suppressLineNumbers w:val="0"/>
              <w:kinsoku/>
              <w:wordWrap/>
              <w:overflowPunct/>
              <w:topLinePunct w:val="0"/>
              <w:autoSpaceDE/>
              <w:autoSpaceDN/>
              <w:bidi w:val="0"/>
              <w:spacing w:before="0" w:beforeAutospacing="0" w:after="6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3.8夹爪具备力矩过载保护，支持掉落检测，</w:t>
            </w:r>
            <w:r>
              <w:rPr>
                <w:rFonts w:hint="eastAsia" w:asciiTheme="minorEastAsia" w:hAnsiTheme="minorEastAsia" w:eastAsiaTheme="minorEastAsia" w:cstheme="minorEastAsia"/>
                <w:bCs/>
                <w:color w:val="auto"/>
                <w:kern w:val="0"/>
                <w:sz w:val="24"/>
                <w:szCs w:val="24"/>
                <w:highlight w:val="none"/>
              </w:rPr>
              <w:t>配套管路防漏液安全检测，管路漏液并触发软件报警。</w:t>
            </w:r>
          </w:p>
          <w:p w14:paraId="2466554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4.</w:t>
            </w:r>
            <w:r>
              <w:rPr>
                <w:rFonts w:hint="eastAsia" w:asciiTheme="minorEastAsia" w:hAnsiTheme="minorEastAsia" w:eastAsiaTheme="minorEastAsia" w:cstheme="minorEastAsia"/>
                <w:color w:val="auto"/>
                <w:kern w:val="0"/>
                <w:sz w:val="24"/>
                <w:szCs w:val="24"/>
                <w:highlight w:val="none"/>
              </w:rPr>
              <w:t>自动开关盖模块</w:t>
            </w:r>
          </w:p>
          <w:p w14:paraId="3DC09A8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4.1 适配8/20/40 mL多规格反应瓶的自动化开关盖操作；</w:t>
            </w:r>
          </w:p>
          <w:p w14:paraId="0E29789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4.2 配置不少于24位瓶盖缓存区；</w:t>
            </w:r>
          </w:p>
          <w:p w14:paraId="50273D0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4.3</w:t>
            </w:r>
            <w:r>
              <w:rPr>
                <w:rFonts w:hint="eastAsia" w:asciiTheme="minorEastAsia" w:hAnsiTheme="minorEastAsia" w:eastAsiaTheme="minorEastAsia" w:cstheme="minorEastAsia"/>
                <w:bCs/>
                <w:color w:val="auto"/>
                <w:kern w:val="0"/>
                <w:sz w:val="24"/>
                <w:szCs w:val="24"/>
                <w:highlight w:val="none"/>
              </w:rPr>
              <w:t>夹持重复精度≤±0.05mm，旋转重复精度≤±0.5°</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2499706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4.4 最大旋转速度</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1000°/s；</w:t>
            </w:r>
          </w:p>
          <w:p w14:paraId="7C5CC79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4.5瓶盖夹紧力≤ 100 N，瓶盖旋转扭力≤ 2 N·m；</w:t>
            </w:r>
          </w:p>
          <w:p w14:paraId="0A53A007">
            <w:pPr>
              <w:keepNext w:val="0"/>
              <w:keepLines w:val="0"/>
              <w:pageBreakBefore w:val="0"/>
              <w:widowControl w:val="0"/>
              <w:suppressLineNumbers w:val="0"/>
              <w:kinsoku/>
              <w:wordWrap/>
              <w:overflowPunct/>
              <w:topLinePunct w:val="0"/>
              <w:autoSpaceDE/>
              <w:autoSpaceDN/>
              <w:bidi w:val="0"/>
              <w:spacing w:before="0" w:beforeAutospacing="0" w:after="6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4.6夹爪具备力矩过载保护，支持掉落检测。</w:t>
            </w:r>
          </w:p>
          <w:p w14:paraId="73535B0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移液模块系统</w:t>
            </w:r>
          </w:p>
          <w:p w14:paraId="05F35AC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 mL移液模块</w:t>
            </w:r>
          </w:p>
          <w:p w14:paraId="36F89EB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5.1 配置300 μL和1 mL tip头，单次移液范围至少能覆盖：10 ~ 1000 µL；</w:t>
            </w:r>
          </w:p>
          <w:p w14:paraId="630FDF1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5.2 移液准确度：10 µL ≤ ±8.5%，100 µL ≤ ±2.0%，1000 µL ≤ ±1.0%</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07F6614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5.3 移液精确度：10 µL ≤ 4.0%，100 µL ≤ 1.0%，1000 µL ≤ 0.8%；</w:t>
            </w:r>
          </w:p>
          <w:p w14:paraId="1AC08D3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5.4 测试环境：温度20 ℃ ± 5 ℃，液体温度波动范围：≤ ±0.5℃，以去离子水为测试介质；</w:t>
            </w:r>
          </w:p>
          <w:p w14:paraId="787E356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5.5 移液器具备耐有机溶剂、自动探液、防滴液、吸头装载感应、多次移液、缓慢滴加等功能；</w:t>
            </w:r>
          </w:p>
          <w:p w14:paraId="15026C6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（2）5 mL移液模块</w:t>
            </w:r>
          </w:p>
          <w:p w14:paraId="1542C50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5.6 配置5 mL tip头，单次移液范围至少能覆盖：100 ~ 5000 µL；</w:t>
            </w:r>
          </w:p>
          <w:p w14:paraId="48D7A7B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5.7 移液准确度：100 µL ≤ ±3.0%，500 µL ≤ ±2.0%，1000 µL ≤ ± 2.0%，5000 µL ≤ ±1.0%</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4814DD1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5.8 移液精确度：100 µL≤2.0%，500 µL ≤ 1.5%，1000 µL ≤ 1.0%，5000 µL ≤ 0.5%；</w:t>
            </w:r>
          </w:p>
          <w:p w14:paraId="1DC7476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5.9 测试环境：温度20 ℃ ± 5 ℃，液体温度波动范围：≤ ±0.5℃，以去离子水为测试介质；</w:t>
            </w:r>
          </w:p>
          <w:p w14:paraId="211468F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5.10移液器具备耐有机溶剂、自动探液、防滴液、吸头装载感应、多次移液、缓慢滴加等功能。</w:t>
            </w:r>
          </w:p>
          <w:p w14:paraId="7FC783F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温控搅拌反应模块</w:t>
            </w:r>
          </w:p>
          <w:p w14:paraId="48CA112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（1）风冷温控反应模块</w:t>
            </w:r>
          </w:p>
          <w:p w14:paraId="53DF701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 反应瓶体积与通量：8 mL，总通量48个；</w:t>
            </w:r>
          </w:p>
          <w:p w14:paraId="06BAE82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6.2 控温方式：金属浴，电加热 + TEC冷却；</w:t>
            </w:r>
          </w:p>
          <w:p w14:paraId="7C09265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6.3 搅拌方式：磁力搅拌，搅拌速度：0 rpm-1200 rpm；</w:t>
            </w:r>
          </w:p>
          <w:p w14:paraId="5AA27BB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6.4 温度范围：室温~150 ℃；</w:t>
            </w:r>
          </w:p>
          <w:p w14:paraId="52DA1C2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6.5控温精度：±1.0 ℃</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0408F15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6.6安全防护：支持过温保护、防止干烧、自动断电、软件报警功能；</w:t>
            </w:r>
          </w:p>
          <w:p w14:paraId="5DA43D8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（2）水冷温控反应模块</w:t>
            </w:r>
          </w:p>
          <w:p w14:paraId="277D012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6.7 反应瓶体积与通量：8 mL，总通量48个；</w:t>
            </w:r>
          </w:p>
          <w:p w14:paraId="67534DE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6.8 控温方式：金属浴，电加热 + TEC冷却；</w:t>
            </w:r>
          </w:p>
          <w:p w14:paraId="6E61059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6.9 搅拌方式：磁力搅拌，搅拌速度：0 rpm–1200 rpm；</w:t>
            </w:r>
          </w:p>
          <w:p w14:paraId="45BA806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6.10温度范围：-20~150 ℃；</w:t>
            </w:r>
          </w:p>
          <w:p w14:paraId="4BAE207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6.11控温精度：±1.0 ℃；</w:t>
            </w:r>
          </w:p>
          <w:p w14:paraId="646497E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6.12 支持过温保护功能；</w:t>
            </w:r>
          </w:p>
          <w:p w14:paraId="6940437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6.13 整机外部密闭氮气保护箱，持续通入干燥氮气隔绝外界水汽，低温实验时避免反应瓶外壁、内壁产生冷凝水；</w:t>
            </w:r>
          </w:p>
          <w:p w14:paraId="6872AEA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6.14安全防护：支持过温保护、防止干烧、自动断电、软件报警功能。</w:t>
            </w:r>
          </w:p>
          <w:p w14:paraId="4BA86E6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正压过滤模块</w:t>
            </w:r>
          </w:p>
          <w:p w14:paraId="2B1D923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7.1 兼容 5 mL标准注射器、0.45 μm滤膜、密封堵头整套过滤耗材，无需定制特殊配件；</w:t>
            </w:r>
          </w:p>
          <w:p w14:paraId="4C9626D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7.2 支持正压吹扫、管路自动溶剂清洗；</w:t>
            </w:r>
          </w:p>
          <w:p w14:paraId="22366AE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7.3最大压力≤ 0.5 MPa，压力超过阈值时会触发超压报警</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4ABD4E5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7.4 滤膜孔径支持0.45 μm。</w:t>
            </w:r>
          </w:p>
          <w:p w14:paraId="28DED30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视觉检测模块</w:t>
            </w:r>
          </w:p>
          <w:p w14:paraId="1A53671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8.1 底部相机分辨率 ≥ 5 MP ；</w:t>
            </w:r>
          </w:p>
          <w:p w14:paraId="7D1804A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8.2 侧面相机分辨率 ≥ 20 MP；</w:t>
            </w:r>
          </w:p>
          <w:p w14:paraId="0C2FFA2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8.3 底部视觉相机定位精度≤ ± 0.3 mm</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6A1EB1A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8.4 配备带已知间距网格的幕布或参照物，以支持照片中标尺标识功能。</w:t>
            </w:r>
          </w:p>
          <w:p w14:paraId="7E35A52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通用电爪工具</w:t>
            </w:r>
          </w:p>
          <w:p w14:paraId="45EAC8A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9.1 夹爪单边行程 ≥ 16 mm；</w:t>
            </w:r>
          </w:p>
          <w:p w14:paraId="1778668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9.2 最大夹持力 ≥ 375 N；</w:t>
            </w:r>
          </w:p>
          <w:p w14:paraId="3F7DCD48">
            <w:pPr>
              <w:pStyle w:val="13"/>
              <w:keepNext w:val="0"/>
              <w:keepLines w:val="0"/>
              <w:pageBreakBefore w:val="0"/>
              <w:widowControl w:val="0"/>
              <w:numPr>
                <w:ilvl w:val="1"/>
                <w:numId w:val="1"/>
              </w:numPr>
              <w:suppressLineNumbers w:val="0"/>
              <w:kinsoku/>
              <w:wordWrap/>
              <w:overflowPunct/>
              <w:topLinePunct w:val="0"/>
              <w:autoSpaceDE/>
              <w:autoSpaceDN/>
              <w:bidi w:val="0"/>
              <w:spacing w:before="0" w:beforeAutospacing="0" w:after="0" w:afterAutospacing="0" w:line="560" w:lineRule="exact"/>
              <w:ind w:right="0" w:firstLineChars="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托盘夹爪定位精度≤ ±0.02 mm；</w:t>
            </w:r>
          </w:p>
          <w:p w14:paraId="3296EE9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9.4 内置夹持力矩过载保护。</w:t>
            </w:r>
          </w:p>
          <w:p w14:paraId="0B62E41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托盘夹爪工具</w:t>
            </w:r>
          </w:p>
          <w:p w14:paraId="7928336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10.1 重复定位精度 ≤ ±0.02 mm</w:t>
            </w:r>
            <w:r>
              <w:rPr>
                <w:rFonts w:hint="eastAsia" w:asciiTheme="minorEastAsia" w:hAnsiTheme="minorEastAsia" w:eastAsiaTheme="minorEastAsia" w:cstheme="minorEastAsia"/>
                <w:b/>
                <w:bCs/>
                <w:snapToGrid w:val="0"/>
                <w:color w:val="auto"/>
                <w:kern w:val="0"/>
                <w:sz w:val="24"/>
                <w:szCs w:val="24"/>
                <w:highlight w:val="none"/>
              </w:rPr>
              <w:t>（投标文件中提供证明材料）</w:t>
            </w:r>
            <w:r>
              <w:rPr>
                <w:rFonts w:hint="eastAsia" w:asciiTheme="minorEastAsia" w:hAnsiTheme="minorEastAsia" w:eastAsiaTheme="minorEastAsia" w:cstheme="minorEastAsia"/>
                <w:snapToGrid w:val="0"/>
                <w:color w:val="auto"/>
                <w:kern w:val="0"/>
                <w:sz w:val="24"/>
                <w:szCs w:val="24"/>
                <w:highlight w:val="none"/>
              </w:rPr>
              <w:t>；</w:t>
            </w:r>
          </w:p>
          <w:p w14:paraId="07E3FEF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10.2 夹爪行程 ≥ 16 mm；</w:t>
            </w:r>
          </w:p>
          <w:p w14:paraId="2D4EA79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10.3 最大夹持力 ≥ 375 N；</w:t>
            </w:r>
          </w:p>
          <w:p w14:paraId="1DD73843">
            <w:pPr>
              <w:keepNext w:val="0"/>
              <w:keepLines w:val="0"/>
              <w:pageBreakBefore w:val="0"/>
              <w:widowControl w:val="0"/>
              <w:suppressLineNumbers w:val="0"/>
              <w:kinsoku/>
              <w:wordWrap/>
              <w:overflowPunct/>
              <w:topLinePunct w:val="0"/>
              <w:autoSpaceDE/>
              <w:autoSpaceDN/>
              <w:bidi w:val="0"/>
              <w:spacing w:before="0" w:beforeAutospacing="0" w:after="6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10.4具备夹空报警，夹爪抓空后会马上触发设备暂停，软件报警功能。</w:t>
            </w:r>
          </w:p>
          <w:p w14:paraId="31BE912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11.</w:t>
            </w:r>
            <w:r>
              <w:rPr>
                <w:rFonts w:hint="eastAsia" w:asciiTheme="minorEastAsia" w:hAnsiTheme="minorEastAsia" w:eastAsiaTheme="minorEastAsia" w:cstheme="minorEastAsia"/>
                <w:color w:val="auto"/>
                <w:sz w:val="24"/>
                <w:szCs w:val="24"/>
                <w:highlight w:val="none"/>
              </w:rPr>
              <w:t>结晶</w:t>
            </w:r>
            <w:r>
              <w:rPr>
                <w:rFonts w:hint="eastAsia" w:asciiTheme="minorEastAsia" w:hAnsiTheme="minorEastAsia" w:eastAsiaTheme="minorEastAsia" w:cstheme="minorEastAsia"/>
                <w:color w:val="auto"/>
                <w:sz w:val="24"/>
                <w:szCs w:val="24"/>
                <w:highlight w:val="none"/>
                <w:lang w:val="en-US" w:eastAsia="zh-CN"/>
              </w:rPr>
              <w:t>数据处理系统</w:t>
            </w:r>
            <w:r>
              <w:rPr>
                <w:rFonts w:hint="eastAsia" w:asciiTheme="minorEastAsia" w:hAnsiTheme="minorEastAsia" w:eastAsiaTheme="minorEastAsia" w:cstheme="minorEastAsia"/>
                <w:b/>
                <w:bCs/>
                <w:color w:val="auto"/>
                <w:sz w:val="24"/>
                <w:szCs w:val="24"/>
                <w:highlight w:val="none"/>
              </w:rPr>
              <w:t>（投标人需在6.2技术响应表中列出产品品牌和型号，否则视为本条参数不响应）</w:t>
            </w:r>
          </w:p>
          <w:p w14:paraId="4A92E82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 4U 机架式服务器，含准系统方案（机箱、主板、散热器等）平台后期可扩展至8张水冷卡方案；</w:t>
            </w:r>
          </w:p>
          <w:p w14:paraId="145D567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11.2 处理器：配置2颗及以上高性能服务器专用处理器，单颗CPU核心48核，线程数≥96；主频≥2.7GHz，睿频3.2 GHz；</w:t>
            </w:r>
          </w:p>
          <w:p w14:paraId="411D31E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11.3 内存：配置≥288GB DDR5 RDIMM以上内存，配置≥16个内存插槽，最大可支持3TB内存容量；</w:t>
            </w:r>
          </w:p>
          <w:p w14:paraId="7A9299A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11.4 硬盘：配置一块 1*960GB M.2或PCI-e SSD，1块14TB SATA服务器专用硬盘；配置≥1个NVMe U.2 SSD 板载控制器接口，支持2个M.2或PCI-e SSD硬盘配置硬件RAID1；</w:t>
            </w:r>
          </w:p>
          <w:p w14:paraId="2AFEEB6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11.5 RAID卡：配置板载12Gb SAS RAID控制器，不占用标准PCI-E插槽，缓存不低于2G，支持RAID 0/1/10/5等；</w:t>
            </w:r>
          </w:p>
          <w:p w14:paraId="4A0BBC8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11.6 扩展性：配置一张24G显存涡轮显卡，计算精度不低于：419.00 TFLOPS，平台后期可扩展至8张水冷卡方案；</w:t>
            </w:r>
          </w:p>
          <w:p w14:paraId="69AC373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11.7 电源：配置白金冗余电源2个及以上，单电源模块额定功率≥1200W；</w:t>
            </w:r>
          </w:p>
          <w:p w14:paraId="5674B42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11.8 实现基于Python、C/C++、Java、Fortran等代码的程序开发与基于CPU或GPU的长时间并行计算；提供仿真、深度学习等工具箱（caffeTorch、cxxnet、TensorFlow安装调试），需支持与思科交换机及NVIDIA ConnectX InfiniBand的互联互通,支持对客户端进行模块化部署，按照管理需求给客户端分配模块，客户端按照已勾选的功能模块进行安装和运行；</w:t>
            </w:r>
          </w:p>
          <w:p w14:paraId="6C02DE4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11.9 支持跨网段和跨平台的集中管理，支持硬件健康监测、备份还原功能，完成多任务多用户管理，提供局域网搭建，安装集群管理及作业调度系统PBS/Slurm管理模块,支持服务器全方位性能监控；</w:t>
            </w:r>
          </w:p>
          <w:p w14:paraId="54C3DF8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11.10 科学计算库：LAPACK、BLAS、ATLAS、ScaLAPACK、FFTW、OpenBLAS、Intel MKL等. 高性能编译器：GCC、高性能Python编译器：Codon、GFortran、G77、LLVM-GCC软件开发环境：C、C++、Fortran、Compiler、Python、JAVA 等编程环境；</w:t>
            </w:r>
          </w:p>
          <w:p w14:paraId="501E467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11.11 整机全新配件，</w:t>
            </w:r>
            <w:r>
              <w:rPr>
                <w:rFonts w:hint="eastAsia" w:asciiTheme="minorEastAsia" w:hAnsiTheme="minorEastAsia" w:eastAsiaTheme="minorEastAsia" w:cstheme="minorEastAsia"/>
                <w:b/>
                <w:bCs/>
                <w:color w:val="auto"/>
                <w:kern w:val="0"/>
                <w:sz w:val="24"/>
                <w:szCs w:val="24"/>
                <w:highlight w:val="none"/>
              </w:rPr>
              <w:t>3年质保</w:t>
            </w:r>
            <w:r>
              <w:rPr>
                <w:rFonts w:hint="eastAsia" w:asciiTheme="minorEastAsia" w:hAnsiTheme="minorEastAsia" w:eastAsiaTheme="minorEastAsia" w:cstheme="minorEastAsia"/>
                <w:color w:val="auto"/>
                <w:kern w:val="0"/>
                <w:sz w:val="24"/>
                <w:szCs w:val="24"/>
                <w:highlight w:val="none"/>
              </w:rPr>
              <w:t>，必须提供工程师上门安装调试服务。投标供应商严格按照品牌、型号投标。</w:t>
            </w:r>
          </w:p>
          <w:p w14:paraId="56D45DA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软件系统</w:t>
            </w:r>
          </w:p>
          <w:p w14:paraId="167A217F">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（1）任务管理模块</w:t>
            </w:r>
          </w:p>
          <w:p w14:paraId="4A80789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 支持创建、编辑实验任务；</w:t>
            </w:r>
          </w:p>
          <w:p w14:paraId="3A786C9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12.2 支持查看实验任务列表，搜索实验任务；</w:t>
            </w:r>
          </w:p>
          <w:p w14:paraId="77781F3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12.3 支持暂停、恢复、删除、终止实验任务；</w:t>
            </w:r>
          </w:p>
          <w:p w14:paraId="58E8AC6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12.4 支持复制并通过模板创建实验任务；</w:t>
            </w:r>
          </w:p>
          <w:p w14:paraId="5E844DC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12.5 支持查看、导出实验任务详情；</w:t>
            </w:r>
          </w:p>
          <w:p w14:paraId="3372F72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（2）资源管理模块</w:t>
            </w:r>
          </w:p>
          <w:p w14:paraId="0FAF071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12.6 支持放入、编辑、移出资源；</w:t>
            </w:r>
          </w:p>
          <w:p w14:paraId="3B640AC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12.7 支持查看、清空站内和实验区资源；</w:t>
            </w:r>
          </w:p>
          <w:p w14:paraId="1874BB2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12.8 支持统计实验区内耗材数量；</w:t>
            </w:r>
          </w:p>
          <w:p w14:paraId="15D0D14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kern w:val="0"/>
                <w:sz w:val="24"/>
                <w:szCs w:val="24"/>
                <w:highlight w:val="none"/>
                <w:lang w:val="en-US" w:eastAsia="zh-CN"/>
              </w:rPr>
              <w:t>筛选平台</w:t>
            </w:r>
            <w:r>
              <w:rPr>
                <w:rFonts w:hint="eastAsia" w:asciiTheme="minorEastAsia" w:hAnsiTheme="minorEastAsia" w:eastAsiaTheme="minorEastAsia" w:cstheme="minorEastAsia"/>
                <w:color w:val="auto"/>
                <w:kern w:val="0"/>
                <w:sz w:val="24"/>
                <w:szCs w:val="24"/>
                <w:highlight w:val="none"/>
              </w:rPr>
              <w:t>管理模块</w:t>
            </w:r>
          </w:p>
          <w:p w14:paraId="2160D1A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12.9 支持查看</w:t>
            </w:r>
            <w:r>
              <w:rPr>
                <w:rFonts w:hint="eastAsia" w:asciiTheme="minorEastAsia" w:hAnsiTheme="minorEastAsia" w:eastAsiaTheme="minorEastAsia" w:cstheme="minorEastAsia"/>
                <w:color w:val="auto"/>
                <w:kern w:val="0"/>
                <w:sz w:val="24"/>
                <w:szCs w:val="24"/>
                <w:highlight w:val="none"/>
                <w:lang w:eastAsia="zh-CN"/>
              </w:rPr>
              <w:t>筛选平台</w:t>
            </w:r>
            <w:r>
              <w:rPr>
                <w:rFonts w:hint="eastAsia" w:asciiTheme="minorEastAsia" w:hAnsiTheme="minorEastAsia" w:eastAsiaTheme="minorEastAsia" w:cstheme="minorEastAsia"/>
                <w:color w:val="auto"/>
                <w:kern w:val="0"/>
                <w:sz w:val="24"/>
                <w:szCs w:val="24"/>
                <w:highlight w:val="none"/>
              </w:rPr>
              <w:t>状态，支持</w:t>
            </w:r>
            <w:r>
              <w:rPr>
                <w:rFonts w:hint="eastAsia" w:asciiTheme="minorEastAsia" w:hAnsiTheme="minorEastAsia" w:eastAsiaTheme="minorEastAsia" w:cstheme="minorEastAsia"/>
                <w:color w:val="auto"/>
                <w:kern w:val="0"/>
                <w:sz w:val="24"/>
                <w:szCs w:val="24"/>
                <w:highlight w:val="none"/>
                <w:lang w:eastAsia="zh-CN"/>
              </w:rPr>
              <w:t>筛选平台</w:t>
            </w:r>
            <w:r>
              <w:rPr>
                <w:rFonts w:hint="eastAsia" w:asciiTheme="minorEastAsia" w:hAnsiTheme="minorEastAsia" w:eastAsiaTheme="minorEastAsia" w:cstheme="minorEastAsia"/>
                <w:color w:val="auto"/>
                <w:kern w:val="0"/>
                <w:sz w:val="24"/>
                <w:szCs w:val="24"/>
                <w:highlight w:val="none"/>
              </w:rPr>
              <w:t>初始化；</w:t>
            </w:r>
          </w:p>
          <w:p w14:paraId="115F2F3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（4）异常处理模块</w:t>
            </w:r>
          </w:p>
          <w:p w14:paraId="15DF1757">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12.10 系统运行过程中出现错误、故障时有相应的提示；</w:t>
            </w:r>
          </w:p>
          <w:p w14:paraId="3B181DE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12.11 系统具备故障处理功能，对于简单故障可自我修复或指导操作者自行修复；</w:t>
            </w:r>
          </w:p>
          <w:p w14:paraId="5F0B2E20">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（5）视觉检测模块</w:t>
            </w:r>
          </w:p>
          <w:p w14:paraId="2AE548F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12.12 支持视觉照片的查看和导出；</w:t>
            </w:r>
          </w:p>
          <w:p w14:paraId="6C9874A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12.13 支持照片与实验任务关联；</w:t>
            </w:r>
          </w:p>
          <w:p w14:paraId="57BFB3D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（6）统计模块</w:t>
            </w:r>
          </w:p>
          <w:p w14:paraId="660D95E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12.14 支持任务详情追踪；</w:t>
            </w:r>
          </w:p>
          <w:p w14:paraId="68BB1A9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12.15 支持实验报告生成；</w:t>
            </w:r>
          </w:p>
          <w:p w14:paraId="46FE2D7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12.16 具有资源耗材统计和任务缺料统计功能；</w:t>
            </w:r>
          </w:p>
          <w:p w14:paraId="15213DB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（7）知识库管理模块</w:t>
            </w:r>
          </w:p>
          <w:p w14:paraId="363C409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12.17具有化学品管理功能；</w:t>
            </w:r>
          </w:p>
          <w:p w14:paraId="1F20F1B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12.18提供常见有机溶剂的移液补偿值，支持新增移液补偿参数设置；</w:t>
            </w:r>
          </w:p>
          <w:p w14:paraId="4435792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（8）用户管理模块</w:t>
            </w:r>
          </w:p>
          <w:p w14:paraId="69B13A8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12.19支持用户添加，删除功能；</w:t>
            </w:r>
          </w:p>
          <w:p w14:paraId="545520B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12.20具有用户权限管理；</w:t>
            </w:r>
          </w:p>
          <w:p w14:paraId="38CE0AB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（9）其它辅助功能模块</w:t>
            </w:r>
          </w:p>
          <w:p w14:paraId="39F755F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12.21支持支持关联外部设备并获取相关实验报告或运行结果；</w:t>
            </w:r>
          </w:p>
          <w:p w14:paraId="1455D59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12.22支持软件远程升级或现场U盘升级；</w:t>
            </w:r>
          </w:p>
          <w:p w14:paraId="1B0B25E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12.23支持用户通过软件完成部分人工实验流程信息的回填及记录。</w:t>
            </w:r>
          </w:p>
          <w:p w14:paraId="32E98423">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13.安全防护模块</w:t>
            </w:r>
          </w:p>
          <w:p w14:paraId="66B3F62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13.1配置紧急停止功能，按下紧急停止按钮，机器停止运行；</w:t>
            </w:r>
          </w:p>
          <w:p w14:paraId="3872DA5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13.2配置暂停功能，暂停机械臂但不切断电源情况下，机器会完成正在进行的子任务后暂停在一个安全的位置，暂停状态下，设备外罩可以被打开。</w:t>
            </w:r>
          </w:p>
          <w:p w14:paraId="7FB520F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14.调试设备服务</w:t>
            </w:r>
          </w:p>
          <w:p w14:paraId="066DD38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14.1 供应商应负责结晶</w:t>
            </w:r>
            <w:r>
              <w:rPr>
                <w:rFonts w:hint="eastAsia" w:asciiTheme="minorEastAsia" w:hAnsiTheme="minorEastAsia" w:eastAsiaTheme="minorEastAsia" w:cstheme="minorEastAsia"/>
                <w:color w:val="auto"/>
                <w:kern w:val="0"/>
                <w:sz w:val="24"/>
                <w:szCs w:val="24"/>
                <w:highlight w:val="none"/>
                <w:lang w:eastAsia="zh-CN"/>
              </w:rPr>
              <w:t>筛选平台</w:t>
            </w:r>
            <w:r>
              <w:rPr>
                <w:rFonts w:hint="eastAsia" w:asciiTheme="minorEastAsia" w:hAnsiTheme="minorEastAsia" w:eastAsiaTheme="minorEastAsia" w:cstheme="minorEastAsia"/>
                <w:color w:val="auto"/>
                <w:kern w:val="0"/>
                <w:sz w:val="24"/>
                <w:szCs w:val="24"/>
                <w:highlight w:val="none"/>
              </w:rPr>
              <w:t>的出厂预调试、现场安装、联机调试和试运行工作。设备到场后，应根据采购方实验需求完成模块校准、软件配置和流程测试，确保交付时设备处于可直接使用状态；</w:t>
            </w:r>
          </w:p>
          <w:p w14:paraId="6ABA7B0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14.2 供应商应配备专业调试和测试人员，在现场开展不少于2-3周的试运行验证，并围绕采购方围绕采购方约定的结晶实验流程完成不少于10批次稳定运行测试。测试结束后应提交完整测试报告，内容包括运行条件、实验批次、异常记录、问题整改及稳定性结论。连续测试稳定且满足实验需求后，方可进入验收；</w:t>
            </w:r>
          </w:p>
          <w:p w14:paraId="4ABCA8F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14.3 设备应具备后续软硬件升级和功能扩展能力。供应商应及时向采购方反馈软件更新、硬件升级、新增模块及功能拓展信息，具体升级内容、费用和实施方式可根据后续科研需求另行协商；</w:t>
            </w:r>
          </w:p>
          <w:p w14:paraId="428EF8B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14.4 设备应开放过程数据和结果数据的获取权限。过程数据包括温度、搅拌、加料、运行步骤、报警信息和异常日志等；结果数据包括实验是否完成、失败步骤、故障原因和运行记录等。相关数据应支持导出、备份和追溯分析。</w:t>
            </w:r>
          </w:p>
          <w:p w14:paraId="7D9E38F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15</w:t>
            </w:r>
            <w:r>
              <w:rPr>
                <w:rFonts w:hint="eastAsia" w:asciiTheme="minorEastAsia" w:hAnsiTheme="minorEastAsia" w:eastAsiaTheme="minorEastAsia" w:cstheme="minorEastAsia"/>
                <w:bCs/>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配置清单</w:t>
            </w:r>
          </w:p>
          <w:p w14:paraId="4F771A5D">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15.1 智能结晶</w:t>
            </w:r>
            <w:r>
              <w:rPr>
                <w:rFonts w:hint="eastAsia" w:asciiTheme="minorEastAsia" w:hAnsiTheme="minorEastAsia" w:eastAsiaTheme="minorEastAsia" w:cstheme="minorEastAsia"/>
                <w:color w:val="auto"/>
                <w:kern w:val="0"/>
                <w:sz w:val="24"/>
                <w:szCs w:val="24"/>
                <w:highlight w:val="none"/>
                <w:lang w:eastAsia="zh-CN"/>
              </w:rPr>
              <w:t>筛选平台</w:t>
            </w:r>
            <w:r>
              <w:rPr>
                <w:rFonts w:hint="eastAsia" w:asciiTheme="minorEastAsia" w:hAnsiTheme="minorEastAsia" w:eastAsiaTheme="minorEastAsia" w:cstheme="minorEastAsia"/>
                <w:color w:val="auto"/>
                <w:kern w:val="0"/>
                <w:sz w:val="24"/>
                <w:szCs w:val="24"/>
                <w:highlight w:val="none"/>
              </w:rPr>
              <w:t>机架1套；</w:t>
            </w:r>
          </w:p>
          <w:p w14:paraId="0AD41BE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15.2 六轴协作机械臂1套；</w:t>
            </w:r>
          </w:p>
          <w:p w14:paraId="6C46D35C">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15.3 针泵加液开关盖模块1套；</w:t>
            </w:r>
          </w:p>
          <w:p w14:paraId="21A99A2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15.4 自动开关盖模块1套；</w:t>
            </w:r>
          </w:p>
          <w:p w14:paraId="742A4695">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15.5 1 mL移液模块1套；</w:t>
            </w:r>
          </w:p>
          <w:p w14:paraId="410E2A3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15.6 5 mL移液模块1套；</w:t>
            </w:r>
          </w:p>
          <w:p w14:paraId="2F2FE54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15.7 风冷温控反应模块1套；</w:t>
            </w:r>
          </w:p>
          <w:p w14:paraId="7D977BBB">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15.8 水冷温控反应模块1套；</w:t>
            </w:r>
          </w:p>
          <w:p w14:paraId="4737EB36">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15.9 正压过滤模块1套；</w:t>
            </w:r>
          </w:p>
          <w:p w14:paraId="30E98F6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15.10 视觉检测模块1套；</w:t>
            </w:r>
          </w:p>
          <w:p w14:paraId="066D06DA">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15.11 通用电爪工具1套；</w:t>
            </w:r>
          </w:p>
          <w:p w14:paraId="6541BA68">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15.12 托盘夹爪工具1套；</w:t>
            </w:r>
          </w:p>
          <w:p w14:paraId="7FB1AC0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15.13 软件控制系统1套</w:t>
            </w:r>
            <w:r>
              <w:rPr>
                <w:rFonts w:hint="eastAsia" w:asciiTheme="minorEastAsia" w:hAnsiTheme="minorEastAsia" w:eastAsiaTheme="minorEastAsia" w:cstheme="minorEastAsia"/>
                <w:color w:val="auto"/>
                <w:kern w:val="0"/>
                <w:sz w:val="24"/>
                <w:szCs w:val="24"/>
                <w:highlight w:val="none"/>
                <w:lang w:eastAsia="zh-CN"/>
              </w:rPr>
              <w:t>；</w:t>
            </w:r>
          </w:p>
          <w:p w14:paraId="3EE19CB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15.14</w:t>
            </w:r>
            <w:r>
              <w:rPr>
                <w:rFonts w:hint="eastAsia" w:asciiTheme="minorEastAsia" w:hAnsiTheme="minorEastAsia" w:eastAsiaTheme="minorEastAsia" w:cstheme="minorEastAsia"/>
                <w:color w:val="auto"/>
                <w:kern w:val="0"/>
                <w:sz w:val="24"/>
                <w:szCs w:val="24"/>
                <w:highlight w:val="none"/>
              </w:rPr>
              <w:t>安全防护模块</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1套</w:t>
            </w:r>
            <w:r>
              <w:rPr>
                <w:rFonts w:hint="eastAsia" w:asciiTheme="minorEastAsia" w:hAnsiTheme="minorEastAsia" w:eastAsiaTheme="minorEastAsia" w:cstheme="minorEastAsia"/>
                <w:color w:val="auto"/>
                <w:kern w:val="0"/>
                <w:sz w:val="24"/>
                <w:szCs w:val="24"/>
                <w:highlight w:val="none"/>
                <w:lang w:eastAsia="zh-CN"/>
              </w:rPr>
              <w:t>；</w:t>
            </w:r>
          </w:p>
          <w:p w14:paraId="30A2A251">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left"/>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15.15 </w:t>
            </w:r>
            <w:r>
              <w:rPr>
                <w:rFonts w:hint="eastAsia" w:asciiTheme="minorEastAsia" w:hAnsiTheme="minorEastAsia" w:eastAsiaTheme="minorEastAsia" w:cstheme="minorEastAsia"/>
                <w:color w:val="auto"/>
                <w:sz w:val="24"/>
                <w:szCs w:val="24"/>
                <w:highlight w:val="none"/>
              </w:rPr>
              <w:t>结晶</w:t>
            </w:r>
            <w:r>
              <w:rPr>
                <w:rFonts w:hint="eastAsia" w:asciiTheme="minorEastAsia" w:hAnsiTheme="minorEastAsia" w:eastAsiaTheme="minorEastAsia" w:cstheme="minorEastAsia"/>
                <w:color w:val="auto"/>
                <w:sz w:val="24"/>
                <w:szCs w:val="24"/>
                <w:highlight w:val="none"/>
                <w:lang w:val="en-US" w:eastAsia="zh-CN"/>
              </w:rPr>
              <w:t>数据处理系统</w:t>
            </w:r>
            <w:r>
              <w:rPr>
                <w:rFonts w:hint="eastAsia" w:asciiTheme="minorEastAsia" w:hAnsiTheme="minorEastAsia" w:eastAsiaTheme="minorEastAsia" w:cstheme="minorEastAsia"/>
                <w:color w:val="auto"/>
                <w:kern w:val="0"/>
                <w:sz w:val="24"/>
                <w:szCs w:val="24"/>
                <w:highlight w:val="none"/>
              </w:rPr>
              <w:t>1套</w:t>
            </w:r>
            <w:r>
              <w:rPr>
                <w:rFonts w:hint="eastAsia" w:asciiTheme="minorEastAsia" w:hAnsiTheme="minorEastAsia" w:eastAsiaTheme="minorEastAsia" w:cstheme="minorEastAsia"/>
                <w:color w:val="auto"/>
                <w:kern w:val="0"/>
                <w:sz w:val="24"/>
                <w:szCs w:val="24"/>
                <w:highlight w:val="none"/>
                <w:lang w:eastAsia="zh-CN"/>
              </w:rPr>
              <w:t>。</w:t>
            </w:r>
          </w:p>
        </w:tc>
        <w:tc>
          <w:tcPr>
            <w:tcW w:w="780" w:type="dxa"/>
            <w:shd w:val="clear" w:color="auto" w:fill="auto"/>
            <w:vAlign w:val="center"/>
          </w:tcPr>
          <w:p w14:paraId="26315354">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rPr>
              <w:t>1套</w:t>
            </w:r>
          </w:p>
        </w:tc>
        <w:tc>
          <w:tcPr>
            <w:tcW w:w="795" w:type="dxa"/>
            <w:vAlign w:val="center"/>
          </w:tcPr>
          <w:p w14:paraId="267AAED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工业</w:t>
            </w:r>
          </w:p>
        </w:tc>
        <w:tc>
          <w:tcPr>
            <w:tcW w:w="897" w:type="dxa"/>
            <w:vAlign w:val="center"/>
          </w:tcPr>
          <w:p w14:paraId="033AB8F2">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w:t>
            </w:r>
          </w:p>
        </w:tc>
      </w:tr>
    </w:tbl>
    <w:p w14:paraId="1A9EF18F">
      <w:pPr>
        <w:pStyle w:val="7"/>
        <w:ind w:left="482" w:hanging="482"/>
        <w:rPr>
          <w:rFonts w:hint="eastAsia" w:ascii="宋体" w:hAnsi="宋体" w:cs="宋体"/>
          <w:b/>
          <w:bCs/>
          <w:color w:val="auto"/>
          <w:sz w:val="24"/>
          <w:highlight w:val="none"/>
        </w:rPr>
      </w:pPr>
    </w:p>
    <w:p w14:paraId="635A87EB">
      <w:pPr>
        <w:pStyle w:val="3"/>
        <w:wordWrap w:val="0"/>
        <w:ind w:firstLine="0" w:firstLineChars="0"/>
        <w:rPr>
          <w:rFonts w:hint="eastAsia" w:eastAsia="黑体" w:cs="Times New Roman"/>
          <w:color w:val="auto"/>
          <w:highlight w:val="none"/>
        </w:rPr>
      </w:pPr>
      <w:bookmarkStart w:id="17" w:name="_Toc4843"/>
      <w:bookmarkStart w:id="18" w:name="_Toc7421"/>
      <w:r>
        <w:rPr>
          <w:rFonts w:hint="eastAsia" w:eastAsia="黑体" w:cs="Times New Roman"/>
          <w:color w:val="auto"/>
          <w:highlight w:val="none"/>
        </w:rPr>
        <w:t>三、报价要求</w:t>
      </w:r>
      <w:bookmarkEnd w:id="17"/>
      <w:bookmarkEnd w:id="18"/>
    </w:p>
    <w:p w14:paraId="606F269E">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本项目报总价，投标报价包括本项目需求的全部货物及所需附件购置费、包装费、运输费、人工费、安装调试费、各种税费、资料费、售后服务费及完成项目应有的全部费用。</w:t>
      </w:r>
    </w:p>
    <w:p w14:paraId="3E7F4632">
      <w:pPr>
        <w:pStyle w:val="3"/>
        <w:wordWrap w:val="0"/>
        <w:ind w:firstLine="0" w:firstLineChars="0"/>
        <w:rPr>
          <w:rFonts w:hint="eastAsia" w:eastAsia="黑体" w:cs="Times New Roman"/>
          <w:color w:val="auto"/>
          <w:highlight w:val="none"/>
        </w:rPr>
      </w:pPr>
      <w:r>
        <w:rPr>
          <w:rFonts w:hint="eastAsia" w:eastAsia="黑体" w:cs="Times New Roman"/>
          <w:color w:val="auto"/>
          <w:highlight w:val="none"/>
        </w:rPr>
        <w:t>四、备品备件及专用工具</w:t>
      </w:r>
    </w:p>
    <w:p w14:paraId="73DB2F44">
      <w:pPr>
        <w:wordWrap w:val="0"/>
        <w:spacing w:line="360" w:lineRule="auto"/>
        <w:ind w:firstLine="480" w:firstLineChars="200"/>
        <w:rPr>
          <w:rFonts w:hint="eastAsia" w:ascii="宋体" w:hAnsi="宋体" w:eastAsia="宋体" w:cs="宋体"/>
          <w:color w:val="auto"/>
          <w:sz w:val="24"/>
          <w:highlight w:val="none"/>
        </w:rPr>
      </w:pPr>
      <w:bookmarkStart w:id="19" w:name="_Toc445554752"/>
      <w:bookmarkStart w:id="20" w:name="_Toc455587277"/>
      <w:bookmarkStart w:id="21" w:name="_Toc455587093"/>
      <w:r>
        <w:rPr>
          <w:rFonts w:hint="eastAsia" w:ascii="宋体" w:hAnsi="宋体" w:eastAsia="宋体" w:cs="宋体"/>
          <w:color w:val="auto"/>
          <w:sz w:val="24"/>
          <w:highlight w:val="none"/>
        </w:rPr>
        <w:t>1、备品备件：中标人提供能够满足质量保证期内的设备维修要求的备品备件，备品备件应是新品。</w:t>
      </w:r>
    </w:p>
    <w:p w14:paraId="7B8DC2B3">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2、专用工具：中标人提供设备安装、调试、维修、保养所必要的专用工具、仪器、仪表等工具。</w:t>
      </w:r>
    </w:p>
    <w:bookmarkEnd w:id="19"/>
    <w:bookmarkEnd w:id="20"/>
    <w:bookmarkEnd w:id="21"/>
    <w:p w14:paraId="1EAF2108">
      <w:pPr>
        <w:pStyle w:val="3"/>
        <w:wordWrap w:val="0"/>
        <w:ind w:firstLine="0" w:firstLineChars="0"/>
        <w:rPr>
          <w:rFonts w:hint="eastAsia" w:eastAsia="黑体" w:cs="Times New Roman"/>
          <w:color w:val="auto"/>
          <w:highlight w:val="none"/>
        </w:rPr>
      </w:pPr>
      <w:bookmarkStart w:id="22" w:name="_Toc532199625"/>
      <w:bookmarkStart w:id="23" w:name="_Toc455587094"/>
      <w:bookmarkStart w:id="24" w:name="_Toc445554753"/>
      <w:bookmarkStart w:id="25" w:name="_Toc455587278"/>
      <w:r>
        <w:rPr>
          <w:rFonts w:hint="eastAsia" w:eastAsia="黑体" w:cs="Times New Roman"/>
          <w:color w:val="auto"/>
          <w:highlight w:val="none"/>
          <w:lang w:eastAsia="zh-CN"/>
        </w:rPr>
        <w:t>五</w:t>
      </w:r>
      <w:r>
        <w:rPr>
          <w:rFonts w:hint="eastAsia" w:eastAsia="黑体" w:cs="Times New Roman"/>
          <w:color w:val="auto"/>
          <w:highlight w:val="none"/>
        </w:rPr>
        <w:t>、安装调试、验收试验及质量保证</w:t>
      </w:r>
      <w:bookmarkEnd w:id="22"/>
    </w:p>
    <w:p w14:paraId="4CB9434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1、中标人在设备安装地点负责安装、调试。</w:t>
      </w:r>
    </w:p>
    <w:p w14:paraId="1096928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2、具体设备验收标准和程序按采购人要求执行，下列验收程序可参照执行：</w:t>
      </w:r>
    </w:p>
    <w:p w14:paraId="6029DB32">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10B5D333">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43398B0">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中标人应根据采购人使用单位的技术要求提供相应的产品。由中标人所提供的设备部件间的连线和插接件均应视为设备内部器件，包含在相应的设备之中。</w:t>
      </w:r>
    </w:p>
    <w:p w14:paraId="38D887F0">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0B0C1649">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中标人应向采购人提供安装调试过程中的各种文档资料,以便采购人今后能掌握操作和维护方法。</w:t>
      </w:r>
    </w:p>
    <w:p w14:paraId="6D10304D">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3、如设备在验收时有一个或多个指标未能达到要求而属于中标人责任时，则中标人自费采取有效措施，在</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规定时间内使之达到保证指标。如在</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规定的时间内仍达不到合格标准时，则中标人应向采购人赔偿。</w:t>
      </w:r>
    </w:p>
    <w:p w14:paraId="4387F38F">
      <w:pPr>
        <w:pStyle w:val="3"/>
        <w:wordWrap w:val="0"/>
        <w:ind w:firstLine="0" w:firstLineChars="0"/>
        <w:rPr>
          <w:rFonts w:hint="eastAsia" w:eastAsia="黑体" w:cs="Times New Roman"/>
          <w:color w:val="auto"/>
          <w:highlight w:val="none"/>
        </w:rPr>
      </w:pPr>
      <w:bookmarkStart w:id="26" w:name="_Toc532199626"/>
      <w:r>
        <w:rPr>
          <w:rFonts w:hint="eastAsia" w:eastAsia="黑体" w:cs="Times New Roman"/>
          <w:color w:val="auto"/>
          <w:highlight w:val="none"/>
        </w:rPr>
        <w:t>六、包装运输</w:t>
      </w:r>
      <w:bookmarkEnd w:id="23"/>
      <w:bookmarkEnd w:id="24"/>
      <w:bookmarkEnd w:id="25"/>
      <w:bookmarkEnd w:id="26"/>
    </w:p>
    <w:p w14:paraId="256BBC41">
      <w:pPr>
        <w:wordWrap w:val="0"/>
        <w:spacing w:line="360" w:lineRule="auto"/>
        <w:ind w:firstLine="480" w:firstLineChars="200"/>
        <w:rPr>
          <w:rFonts w:hint="eastAsia" w:ascii="宋体" w:hAnsi="宋体" w:eastAsia="宋体" w:cs="宋体"/>
          <w:color w:val="auto"/>
          <w:sz w:val="24"/>
          <w:highlight w:val="none"/>
        </w:rPr>
      </w:pPr>
      <w:bookmarkStart w:id="27" w:name="_Toc455587279"/>
      <w:bookmarkStart w:id="28" w:name="_Toc455587095"/>
      <w:bookmarkStart w:id="29" w:name="_Toc445554754"/>
      <w:r>
        <w:rPr>
          <w:rFonts w:hint="eastAsia" w:ascii="宋体" w:hAnsi="宋体" w:eastAsia="宋体" w:cs="宋体"/>
          <w:color w:val="auto"/>
          <w:sz w:val="24"/>
          <w:highlight w:val="none"/>
        </w:rPr>
        <w:t>1、中标人负责设备包装、办理运输和保险，将设备安全运抵交货地点。</w:t>
      </w:r>
    </w:p>
    <w:p w14:paraId="03A2654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2、设备制造完成并通过试验后应及时包装，否则应得到切实的保护，确保其不受污损。</w:t>
      </w:r>
    </w:p>
    <w:p w14:paraId="012C46E2">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3、在包装箱外应标明采购人的订货号、发货号。</w:t>
      </w:r>
    </w:p>
    <w:p w14:paraId="77B14428">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4、各种包装应能确保各零部件在运输过程中不致遭到损坏、丢失、变形、受潮和腐蚀。</w:t>
      </w:r>
    </w:p>
    <w:p w14:paraId="39EF0C14">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5、包装箱上应有明显的包装储运图示标志。</w:t>
      </w:r>
    </w:p>
    <w:p w14:paraId="3F86FBCD">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6、整体产品或分别运输的部件都要适应运输和装载的要求。</w:t>
      </w:r>
    </w:p>
    <w:p w14:paraId="5E5197B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7、随产品提供的技术资料应完整无缺。</w:t>
      </w:r>
    </w:p>
    <w:p w14:paraId="13EEFF3D">
      <w:pPr>
        <w:pStyle w:val="3"/>
        <w:wordWrap w:val="0"/>
        <w:ind w:firstLine="0" w:firstLineChars="0"/>
        <w:rPr>
          <w:rFonts w:hint="eastAsia" w:eastAsia="黑体" w:cs="Times New Roman"/>
          <w:color w:val="auto"/>
          <w:highlight w:val="none"/>
        </w:rPr>
      </w:pPr>
      <w:bookmarkStart w:id="30" w:name="_Toc532199627"/>
      <w:r>
        <w:rPr>
          <w:rFonts w:hint="eastAsia" w:eastAsia="黑体" w:cs="Times New Roman"/>
          <w:color w:val="auto"/>
          <w:highlight w:val="none"/>
          <w:lang w:eastAsia="zh-CN"/>
        </w:rPr>
        <w:t>七</w:t>
      </w:r>
      <w:r>
        <w:rPr>
          <w:rFonts w:hint="eastAsia" w:eastAsia="黑体" w:cs="Times New Roman"/>
          <w:color w:val="auto"/>
          <w:highlight w:val="none"/>
        </w:rPr>
        <w:t>、技术培训</w:t>
      </w:r>
      <w:bookmarkEnd w:id="27"/>
      <w:bookmarkEnd w:id="28"/>
      <w:bookmarkEnd w:id="29"/>
      <w:bookmarkEnd w:id="30"/>
    </w:p>
    <w:p w14:paraId="2A274F78">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1、为使合同设备能正常安装和运行</w:t>
      </w:r>
      <w:bookmarkStart w:id="32" w:name="_GoBack"/>
      <w:bookmarkEnd w:id="32"/>
      <w:r>
        <w:rPr>
          <w:rFonts w:hint="eastAsia" w:ascii="宋体" w:hAnsi="宋体" w:eastAsia="宋体" w:cs="宋体"/>
          <w:color w:val="auto"/>
          <w:sz w:val="24"/>
          <w:highlight w:val="none"/>
        </w:rPr>
        <w:t>，由中标人提供相应的技术培训</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培训费用</w:t>
      </w:r>
      <w:r>
        <w:rPr>
          <w:rFonts w:hint="eastAsia" w:ascii="宋体" w:hAnsi="宋体" w:eastAsia="宋体" w:cs="宋体"/>
          <w:color w:val="auto"/>
          <w:sz w:val="24"/>
          <w:highlight w:val="none"/>
          <w:lang w:val="en-US" w:eastAsia="zh-CN"/>
        </w:rPr>
        <w:t>包含在投标报价内</w:t>
      </w:r>
      <w:r>
        <w:rPr>
          <w:rFonts w:hint="eastAsia" w:ascii="宋体" w:hAnsi="宋体" w:eastAsia="宋体" w:cs="宋体"/>
          <w:color w:val="auto"/>
          <w:sz w:val="24"/>
          <w:highlight w:val="none"/>
        </w:rPr>
        <w:t>。</w:t>
      </w:r>
    </w:p>
    <w:p w14:paraId="20489495">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2、培训的时间、人数、地点等具体内容由买卖双方商定，内容至少包括：设备原理、使用、维护、运行操作、常见故障处理等。</w:t>
      </w:r>
    </w:p>
    <w:p w14:paraId="58B3C6C5">
      <w:pPr>
        <w:pStyle w:val="3"/>
        <w:wordWrap w:val="0"/>
        <w:ind w:firstLine="0" w:firstLineChars="0"/>
        <w:rPr>
          <w:rFonts w:hint="eastAsia" w:eastAsia="黑体" w:cs="Times New Roman"/>
          <w:color w:val="auto"/>
          <w:highlight w:val="none"/>
        </w:rPr>
      </w:pPr>
      <w:bookmarkStart w:id="31" w:name="_Toc532199628"/>
      <w:r>
        <w:rPr>
          <w:rFonts w:hint="eastAsia" w:eastAsia="黑体" w:cs="Times New Roman"/>
          <w:color w:val="auto"/>
          <w:highlight w:val="none"/>
          <w:lang w:eastAsia="zh-CN"/>
        </w:rPr>
        <w:t>八</w:t>
      </w:r>
      <w:r>
        <w:rPr>
          <w:rFonts w:hint="eastAsia" w:eastAsia="黑体" w:cs="Times New Roman"/>
          <w:color w:val="auto"/>
          <w:highlight w:val="none"/>
        </w:rPr>
        <w:t>、质保及售后服务</w:t>
      </w:r>
    </w:p>
    <w:p w14:paraId="5130C4A7">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1、自双方签订《验收报告》起进入质保期。</w:t>
      </w:r>
    </w:p>
    <w:p w14:paraId="2F531EC7">
      <w:pPr>
        <w:wordWrap w:val="0"/>
        <w:spacing w:line="360" w:lineRule="auto"/>
        <w:ind w:firstLine="480" w:firstLineChars="200"/>
        <w:rPr>
          <w:rFonts w:hint="eastAsia" w:ascii="宋体" w:hAnsi="宋体" w:eastAsia="宋体"/>
          <w:b/>
          <w:color w:val="auto"/>
          <w:sz w:val="24"/>
          <w:szCs w:val="18"/>
          <w:highlight w:val="none"/>
        </w:rPr>
      </w:pPr>
      <w:r>
        <w:rPr>
          <w:rFonts w:hint="eastAsia" w:ascii="宋体" w:hAnsi="宋体" w:eastAsia="宋体" w:cs="宋体"/>
          <w:color w:val="auto"/>
          <w:sz w:val="24"/>
          <w:highlight w:val="none"/>
        </w:rPr>
        <w:t>2、在质保期间内，非采购人过失和故意并且在正常使用的情况下发现商品有缺陷，中标人</w:t>
      </w:r>
      <w:r>
        <w:rPr>
          <w:rFonts w:hint="eastAsia" w:ascii="宋体" w:hAnsi="宋体" w:eastAsia="宋体" w:cs="宋体"/>
          <w:color w:val="auto"/>
          <w:sz w:val="24"/>
          <w:highlight w:val="none"/>
          <w:lang w:val="en-US" w:eastAsia="zh-CN"/>
        </w:rPr>
        <w:t>应</w:t>
      </w:r>
      <w:r>
        <w:rPr>
          <w:rFonts w:hint="eastAsia" w:ascii="宋体" w:hAnsi="宋体" w:eastAsia="宋体" w:cs="宋体"/>
          <w:color w:val="auto"/>
          <w:sz w:val="24"/>
          <w:highlight w:val="none"/>
        </w:rPr>
        <w:t>修理或替换该设备；在质保期间内，非采购人过失和故意并且在正常使用的情况下设备发生故障，中标人应及时提供服务。</w:t>
      </w:r>
      <w:bookmarkEnd w:id="31"/>
    </w:p>
    <w:bookmarkEnd w:id="0"/>
    <w:p w14:paraId="71526E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1C1368"/>
    <w:multiLevelType w:val="multilevel"/>
    <w:tmpl w:val="181C1368"/>
    <w:lvl w:ilvl="0" w:tentative="0">
      <w:start w:val="9"/>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3D692B"/>
    <w:rsid w:val="70003C32"/>
    <w:rsid w:val="77F71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paragraph" w:customStyle="1" w:styleId="11">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 w:type="paragraph" w:styleId="13">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4559</Words>
  <Characters>5447</Characters>
  <Lines>0</Lines>
  <Paragraphs>0</Paragraphs>
  <TotalTime>0</TotalTime>
  <ScaleCrop>false</ScaleCrop>
  <LinksUpToDate>false</LinksUpToDate>
  <CharactersWithSpaces>5724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2026-07-30T10:18:00Z</dcterms:created>
  <dc:creator>Lenovo</dc:creator>
  <cp:lastModifiedBy>省招</cp:lastModifiedBy>
  <dcterms:modified xsi:type="dcterms:W3CDTF">2026-08-04T13:14:58Z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8A5C1CE21B134CA8A1619440F1671AD3_12</vt:lpwstr>
  </property>
</Properties>
</file>