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24366"/>
      <w:bookmarkStart w:id="1" w:name="_Toc466024555"/>
      <w:bookmarkStart w:id="2" w:name="_Toc445554746"/>
      <w:r>
        <w:rPr>
          <w:rFonts w:hint="eastAsia" w:ascii="宋体" w:hAnsi="宋体" w:eastAsia="仿宋"/>
          <w:color w:val="auto"/>
          <w:highlight w:val="none"/>
        </w:rPr>
        <w:t>采购需求</w:t>
      </w:r>
      <w:bookmarkEnd w:id="0"/>
      <w:bookmarkEnd w:id="1"/>
      <w:bookmarkEnd w:id="2"/>
      <w:bookmarkStart w:id="32" w:name="_GoBack"/>
      <w:bookmarkEnd w:id="32"/>
    </w:p>
    <w:p w14:paraId="63A1604C">
      <w:pPr>
        <w:pStyle w:val="3"/>
        <w:rPr>
          <w:rStyle w:val="7"/>
          <w:rFonts w:ascii="宋体" w:hAnsi="宋体" w:eastAsia="仿宋"/>
          <w:b/>
          <w:bCs/>
          <w:color w:val="auto"/>
          <w:sz w:val="24"/>
          <w:szCs w:val="24"/>
          <w:highlight w:val="none"/>
        </w:rPr>
      </w:pPr>
      <w:bookmarkStart w:id="3" w:name="_Toc455587273"/>
      <w:bookmarkStart w:id="4" w:name="_Toc466024556"/>
      <w:bookmarkStart w:id="5" w:name="_Toc455587089"/>
      <w:bookmarkStart w:id="6" w:name="_Toc445554747"/>
      <w:r>
        <w:rPr>
          <w:rStyle w:val="7"/>
          <w:rFonts w:hint="eastAsia" w:ascii="宋体" w:hAnsi="宋体" w:eastAsia="仿宋"/>
          <w:b/>
          <w:bCs/>
          <w:color w:val="auto"/>
          <w:sz w:val="24"/>
          <w:szCs w:val="24"/>
          <w:highlight w:val="none"/>
        </w:rPr>
        <w:t xml:space="preserve">1. </w:t>
      </w:r>
      <w:bookmarkEnd w:id="3"/>
      <w:bookmarkEnd w:id="4"/>
      <w:bookmarkEnd w:id="5"/>
      <w:r>
        <w:rPr>
          <w:rStyle w:val="7"/>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7"/>
          <w:rFonts w:hint="eastAsia" w:ascii="宋体" w:hAnsi="宋体" w:eastAsia="仿宋"/>
          <w:b/>
          <w:bCs/>
          <w:color w:val="auto"/>
          <w:sz w:val="24"/>
          <w:szCs w:val="24"/>
          <w:highlight w:val="none"/>
        </w:rPr>
      </w:pPr>
      <w:bookmarkStart w:id="7" w:name="_Toc455587090"/>
      <w:bookmarkStart w:id="8" w:name="_Toc455587274"/>
      <w:bookmarkStart w:id="9" w:name="_Toc466024557"/>
      <w:r>
        <w:rPr>
          <w:rStyle w:val="7"/>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862"/>
        <w:gridCol w:w="945"/>
        <w:gridCol w:w="1957"/>
        <w:gridCol w:w="1060"/>
        <w:gridCol w:w="1268"/>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品目1</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797C17CE">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笔记本式便携彩色多普勒超声系统</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8890C3C">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val="en-US" w:eastAsia="zh-CN"/>
              </w:rPr>
              <w:t>1套</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57DB629">
            <w:pPr>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95</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17D1280">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工业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AB5A5C0">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val="en-US" w:eastAsia="zh-CN"/>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医疗器械</w:t>
            </w:r>
          </w:p>
        </w:tc>
      </w:tr>
    </w:tbl>
    <w:p w14:paraId="00A2CA0A">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8"/>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8"/>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val="en-US" w:eastAsia="zh-CN"/>
              </w:rPr>
              <w:t>安徽医科大学第一附属医院</w:t>
            </w:r>
            <w:r>
              <w:rPr>
                <w:rFonts w:hint="eastAsia" w:ascii="宋体" w:hAnsi="宋体" w:eastAsia="仿宋"/>
                <w:color w:val="auto"/>
                <w:sz w:val="24"/>
                <w:highlight w:val="none"/>
                <w:lang w:eastAsia="zh-CN"/>
              </w:rPr>
              <w:t>，招标人指定地点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8"/>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762077DA">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52B768FE">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8"/>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7年</w:t>
            </w:r>
            <w:r>
              <w:rPr>
                <w:rFonts w:hint="eastAsia" w:ascii="宋体" w:hAnsi="宋体" w:eastAsia="仿宋" w:cs="Calibri"/>
                <w:color w:val="auto"/>
                <w:sz w:val="24"/>
                <w:highlight w:val="none"/>
                <w:lang w:val="en-US" w:eastAsia="zh-CN"/>
              </w:rPr>
              <w:t>整机原厂质保（含探头），</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8"/>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8"/>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45554749"/>
      <w:bookmarkStart w:id="11" w:name="_Toc455587091"/>
      <w:bookmarkStart w:id="12" w:name="_Toc455587275"/>
      <w:bookmarkStart w:id="13" w:name="_Toc466024558"/>
      <w:r>
        <w:rPr>
          <w:rStyle w:val="7"/>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5"/>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912"/>
        <w:gridCol w:w="5072"/>
      </w:tblGrid>
      <w:tr w14:paraId="1F5A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1C3BC37">
            <w:pPr>
              <w:spacing w:line="276"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912" w:type="dxa"/>
            <w:tcBorders>
              <w:top w:val="single" w:color="auto" w:sz="4" w:space="0"/>
              <w:left w:val="single" w:color="auto" w:sz="4" w:space="0"/>
              <w:bottom w:val="single" w:color="auto" w:sz="4" w:space="0"/>
              <w:right w:val="single" w:color="auto" w:sz="4" w:space="0"/>
            </w:tcBorders>
            <w:vAlign w:val="center"/>
          </w:tcPr>
          <w:p w14:paraId="2D1883F7">
            <w:pPr>
              <w:spacing w:line="276"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技术规格</w:t>
            </w:r>
          </w:p>
        </w:tc>
        <w:tc>
          <w:tcPr>
            <w:tcW w:w="5072" w:type="dxa"/>
            <w:tcBorders>
              <w:top w:val="single" w:color="auto" w:sz="4" w:space="0"/>
              <w:left w:val="single" w:color="auto" w:sz="4" w:space="0"/>
              <w:bottom w:val="single" w:color="auto" w:sz="4" w:space="0"/>
              <w:right w:val="single" w:color="auto" w:sz="4" w:space="0"/>
            </w:tcBorders>
            <w:vAlign w:val="center"/>
          </w:tcPr>
          <w:p w14:paraId="208B697B">
            <w:pPr>
              <w:spacing w:line="276"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技术要求</w:t>
            </w:r>
          </w:p>
        </w:tc>
      </w:tr>
      <w:tr w14:paraId="5A2F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6A9BA5B0">
            <w:pPr>
              <w:spacing w:line="276" w:lineRule="auto"/>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一</w:t>
            </w:r>
          </w:p>
        </w:tc>
        <w:tc>
          <w:tcPr>
            <w:tcW w:w="3912" w:type="dxa"/>
            <w:tcBorders>
              <w:left w:val="single" w:color="auto" w:sz="4" w:space="0"/>
              <w:right w:val="single" w:color="auto" w:sz="4" w:space="0"/>
            </w:tcBorders>
          </w:tcPr>
          <w:p w14:paraId="70303471">
            <w:pPr>
              <w:numPr>
                <w:ilvl w:val="0"/>
                <w:numId w:val="0"/>
              </w:numPr>
              <w:spacing w:line="276"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基本要求</w:t>
            </w:r>
          </w:p>
        </w:tc>
        <w:tc>
          <w:tcPr>
            <w:tcW w:w="5072" w:type="dxa"/>
          </w:tcPr>
          <w:p w14:paraId="0458B549">
            <w:pPr>
              <w:rPr>
                <w:rFonts w:hint="eastAsia" w:ascii="宋体" w:hAnsi="宋体" w:eastAsia="宋体" w:cs="宋体"/>
                <w:bCs/>
                <w:color w:val="auto"/>
                <w:sz w:val="24"/>
                <w:szCs w:val="24"/>
                <w:highlight w:val="none"/>
                <w:lang w:eastAsia="zh-CN"/>
              </w:rPr>
            </w:pPr>
          </w:p>
        </w:tc>
      </w:tr>
      <w:tr w14:paraId="1964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48E37EB7">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912" w:type="dxa"/>
            <w:tcBorders>
              <w:left w:val="single" w:color="auto" w:sz="4" w:space="0"/>
              <w:right w:val="single" w:color="auto" w:sz="4" w:space="0"/>
            </w:tcBorders>
          </w:tcPr>
          <w:p w14:paraId="5A811FA6">
            <w:pPr>
              <w:numPr>
                <w:ilvl w:val="0"/>
                <w:numId w:val="0"/>
              </w:numPr>
              <w:spacing w:line="276"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用途</w:t>
            </w:r>
          </w:p>
        </w:tc>
        <w:tc>
          <w:tcPr>
            <w:tcW w:w="5072" w:type="dxa"/>
          </w:tcPr>
          <w:p w14:paraId="26A81619">
            <w:pP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满足腹部、心脏、浅表、血管、神经肌骨、妇产等全身 应用需求，全面拓展麻醉、TEE、ICU/CCU、介入、术中、 急诊等新</w:t>
            </w:r>
            <w:r>
              <w:rPr>
                <w:rFonts w:hint="eastAsia" w:ascii="宋体" w:hAnsi="宋体" w:eastAsia="宋体" w:cs="宋体"/>
                <w:color w:val="auto"/>
                <w:sz w:val="24"/>
                <w:szCs w:val="24"/>
                <w:highlight w:val="none"/>
                <w:lang w:val="en-US" w:eastAsia="zh-CN"/>
              </w:rPr>
              <w:t>应用</w:t>
            </w:r>
          </w:p>
        </w:tc>
      </w:tr>
      <w:tr w14:paraId="720A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1370F3B3">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3912" w:type="dxa"/>
            <w:tcBorders>
              <w:left w:val="single" w:color="auto" w:sz="4" w:space="0"/>
              <w:right w:val="single" w:color="auto" w:sz="4" w:space="0"/>
            </w:tcBorders>
          </w:tcPr>
          <w:p w14:paraId="6F41D179">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w:t>
            </w:r>
            <w:r>
              <w:rPr>
                <w:rFonts w:hint="eastAsia" w:ascii="宋体" w:hAnsi="宋体" w:eastAsia="宋体" w:cs="宋体"/>
                <w:color w:val="auto"/>
                <w:sz w:val="24"/>
                <w:szCs w:val="24"/>
                <w:highlight w:val="none"/>
              </w:rPr>
              <w:t>现场升级能力</w:t>
            </w:r>
          </w:p>
        </w:tc>
        <w:tc>
          <w:tcPr>
            <w:tcW w:w="5072" w:type="dxa"/>
          </w:tcPr>
          <w:p w14:paraId="4B0DF8A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6EB7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vAlign w:val="top"/>
          </w:tcPr>
          <w:p w14:paraId="072581BE">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3912" w:type="dxa"/>
            <w:tcBorders>
              <w:left w:val="single" w:color="auto" w:sz="4" w:space="0"/>
              <w:right w:val="single" w:color="auto" w:sz="4" w:space="0"/>
            </w:tcBorders>
            <w:vAlign w:val="top"/>
          </w:tcPr>
          <w:p w14:paraId="44EEFC9D">
            <w:pPr>
              <w:numPr>
                <w:ilvl w:val="1"/>
                <w:numId w:val="0"/>
              </w:numPr>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显示器</w:t>
            </w:r>
          </w:p>
        </w:tc>
        <w:tc>
          <w:tcPr>
            <w:tcW w:w="5072" w:type="dxa"/>
            <w:vAlign w:val="top"/>
          </w:tcPr>
          <w:p w14:paraId="1F5DDB6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≥15 英寸</w:t>
            </w:r>
          </w:p>
        </w:tc>
      </w:tr>
      <w:tr w14:paraId="5C71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vAlign w:val="top"/>
          </w:tcPr>
          <w:p w14:paraId="0B7E883A">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3912" w:type="dxa"/>
            <w:tcBorders>
              <w:left w:val="single" w:color="auto" w:sz="4" w:space="0"/>
              <w:right w:val="single" w:color="auto" w:sz="4" w:space="0"/>
            </w:tcBorders>
            <w:vAlign w:val="top"/>
          </w:tcPr>
          <w:p w14:paraId="103CDCBC">
            <w:pPr>
              <w:numPr>
                <w:ilvl w:val="1"/>
                <w:numId w:val="0"/>
              </w:numPr>
              <w:spacing w:line="276"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整机重量≤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KG</w:t>
            </w:r>
          </w:p>
        </w:tc>
        <w:tc>
          <w:tcPr>
            <w:tcW w:w="5072" w:type="dxa"/>
            <w:vAlign w:val="top"/>
          </w:tcPr>
          <w:p w14:paraId="09ECCC9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KG</w:t>
            </w:r>
          </w:p>
        </w:tc>
      </w:tr>
      <w:tr w14:paraId="5632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vAlign w:val="top"/>
          </w:tcPr>
          <w:p w14:paraId="16F24623">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3912" w:type="dxa"/>
            <w:tcBorders>
              <w:left w:val="single" w:color="auto" w:sz="4" w:space="0"/>
              <w:right w:val="single" w:color="auto" w:sz="4" w:space="0"/>
            </w:tcBorders>
            <w:vAlign w:val="top"/>
          </w:tcPr>
          <w:p w14:paraId="677958B2">
            <w:pPr>
              <w:numPr>
                <w:ilvl w:val="0"/>
                <w:numId w:val="0"/>
              </w:numPr>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接口选择:≥1 个，可扩展到 3 个</w:t>
            </w:r>
          </w:p>
        </w:tc>
        <w:tc>
          <w:tcPr>
            <w:tcW w:w="5072" w:type="dxa"/>
            <w:vAlign w:val="top"/>
          </w:tcPr>
          <w:p w14:paraId="354C966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个，可扩展到 3 个</w:t>
            </w:r>
          </w:p>
        </w:tc>
      </w:tr>
      <w:tr w14:paraId="5632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vAlign w:val="top"/>
          </w:tcPr>
          <w:p w14:paraId="79461047">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3912" w:type="dxa"/>
            <w:tcBorders>
              <w:left w:val="single" w:color="auto" w:sz="4" w:space="0"/>
              <w:right w:val="single" w:color="auto" w:sz="4" w:space="0"/>
            </w:tcBorders>
            <w:vAlign w:val="top"/>
          </w:tcPr>
          <w:p w14:paraId="0FEB6CCE">
            <w:pPr>
              <w:numPr>
                <w:ilvl w:val="1"/>
                <w:numId w:val="0"/>
              </w:numPr>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键盘</w:t>
            </w:r>
          </w:p>
        </w:tc>
        <w:tc>
          <w:tcPr>
            <w:tcW w:w="5072" w:type="dxa"/>
            <w:vAlign w:val="top"/>
          </w:tcPr>
          <w:p w14:paraId="55B9DB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物理全键盘</w:t>
            </w:r>
          </w:p>
        </w:tc>
      </w:tr>
      <w:tr w14:paraId="2029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593B0E01">
            <w:pPr>
              <w:spacing w:line="276" w:lineRule="auto"/>
              <w:jc w:val="center"/>
              <w:rPr>
                <w:rFonts w:hint="eastAsia" w:ascii="宋体" w:hAnsi="宋体" w:eastAsia="宋体" w:cs="宋体"/>
                <w:bCs/>
                <w:color w:val="auto"/>
                <w:sz w:val="24"/>
                <w:szCs w:val="24"/>
                <w:highlight w:val="none"/>
                <w:lang w:val="en-US"/>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p>
        </w:tc>
        <w:tc>
          <w:tcPr>
            <w:tcW w:w="3912" w:type="dxa"/>
            <w:tcBorders>
              <w:left w:val="single" w:color="auto" w:sz="4" w:space="0"/>
              <w:right w:val="single" w:color="auto" w:sz="4" w:space="0"/>
            </w:tcBorders>
          </w:tcPr>
          <w:p w14:paraId="499527A9">
            <w:pPr>
              <w:numPr>
                <w:ilvl w:val="1"/>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轨迹球</w:t>
            </w:r>
          </w:p>
        </w:tc>
        <w:tc>
          <w:tcPr>
            <w:tcW w:w="5072" w:type="dxa"/>
          </w:tcPr>
          <w:p w14:paraId="7A1F5C6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物理轨迹球</w:t>
            </w:r>
          </w:p>
        </w:tc>
      </w:tr>
      <w:tr w14:paraId="02F1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7CC04A02">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p>
        </w:tc>
        <w:tc>
          <w:tcPr>
            <w:tcW w:w="3912" w:type="dxa"/>
            <w:tcBorders>
              <w:left w:val="single" w:color="auto" w:sz="4" w:space="0"/>
              <w:right w:val="single" w:color="auto" w:sz="4" w:space="0"/>
            </w:tcBorders>
          </w:tcPr>
          <w:p w14:paraId="77E41FDD">
            <w:pPr>
              <w:numPr>
                <w:ilvl w:val="1"/>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电池</w:t>
            </w:r>
          </w:p>
        </w:tc>
        <w:tc>
          <w:tcPr>
            <w:tcW w:w="5072" w:type="dxa"/>
          </w:tcPr>
          <w:p w14:paraId="05A76C4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主机及台车可配置内置电池</w:t>
            </w:r>
          </w:p>
        </w:tc>
      </w:tr>
      <w:tr w14:paraId="4877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0E1AD126">
            <w:pPr>
              <w:spacing w:line="276"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二</w:t>
            </w:r>
          </w:p>
        </w:tc>
        <w:tc>
          <w:tcPr>
            <w:tcW w:w="3912" w:type="dxa"/>
            <w:tcBorders>
              <w:left w:val="single" w:color="auto" w:sz="4" w:space="0"/>
              <w:right w:val="single" w:color="auto" w:sz="4" w:space="0"/>
            </w:tcBorders>
          </w:tcPr>
          <w:p w14:paraId="35D65222">
            <w:pPr>
              <w:numPr>
                <w:ilvl w:val="1"/>
                <w:numId w:val="0"/>
              </w:numPr>
              <w:spacing w:line="276"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系统成像技术</w:t>
            </w:r>
          </w:p>
        </w:tc>
        <w:tc>
          <w:tcPr>
            <w:tcW w:w="5072" w:type="dxa"/>
          </w:tcPr>
          <w:p w14:paraId="7A19BD16">
            <w:pPr>
              <w:rPr>
                <w:rFonts w:hint="eastAsia" w:ascii="宋体" w:hAnsi="宋体" w:eastAsia="宋体" w:cs="宋体"/>
                <w:color w:val="auto"/>
                <w:sz w:val="24"/>
                <w:szCs w:val="24"/>
                <w:highlight w:val="none"/>
                <w:lang w:val="en-US" w:eastAsia="zh-CN"/>
              </w:rPr>
            </w:pPr>
          </w:p>
        </w:tc>
      </w:tr>
      <w:tr w14:paraId="1314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3CD5732F">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w:t>
            </w:r>
          </w:p>
        </w:tc>
        <w:tc>
          <w:tcPr>
            <w:tcW w:w="3912" w:type="dxa"/>
            <w:tcBorders>
              <w:left w:val="single" w:color="auto" w:sz="4" w:space="0"/>
              <w:right w:val="single" w:color="auto" w:sz="4" w:space="0"/>
            </w:tcBorders>
          </w:tcPr>
          <w:p w14:paraId="63B0B2BB">
            <w:pPr>
              <w:numPr>
                <w:ilvl w:val="1"/>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基础成像模式</w:t>
            </w:r>
          </w:p>
        </w:tc>
        <w:tc>
          <w:tcPr>
            <w:tcW w:w="5072" w:type="dxa"/>
          </w:tcPr>
          <w:p w14:paraId="0CC595E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具备二维灰阶、M 型、彩色 M 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频谱多普勒、连续多普勒成像</w:t>
            </w:r>
            <w:r>
              <w:rPr>
                <w:rFonts w:hint="eastAsia" w:ascii="宋体" w:hAnsi="宋体" w:eastAsia="宋体" w:cs="宋体"/>
                <w:color w:val="auto"/>
                <w:sz w:val="24"/>
                <w:szCs w:val="24"/>
                <w:highlight w:val="none"/>
              </w:rPr>
              <w:t>模式</w:t>
            </w:r>
          </w:p>
        </w:tc>
      </w:tr>
      <w:tr w14:paraId="0C56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44D02210">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p>
        </w:tc>
        <w:tc>
          <w:tcPr>
            <w:tcW w:w="3912" w:type="dxa"/>
            <w:tcBorders>
              <w:left w:val="single" w:color="auto" w:sz="4" w:space="0"/>
              <w:right w:val="single" w:color="auto" w:sz="4" w:space="0"/>
            </w:tcBorders>
          </w:tcPr>
          <w:p w14:paraId="7FB78F62">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斑点噪声抑制成像：</w:t>
            </w:r>
          </w:p>
        </w:tc>
        <w:tc>
          <w:tcPr>
            <w:tcW w:w="5072" w:type="dxa"/>
          </w:tcPr>
          <w:p w14:paraId="40049F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支持二维、造影、实时四维模式等</w:t>
            </w:r>
          </w:p>
        </w:tc>
      </w:tr>
      <w:tr w14:paraId="2C88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270A808E">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w:t>
            </w:r>
          </w:p>
        </w:tc>
        <w:tc>
          <w:tcPr>
            <w:tcW w:w="3912" w:type="dxa"/>
            <w:tcBorders>
              <w:left w:val="single" w:color="auto" w:sz="4" w:space="0"/>
              <w:right w:val="single" w:color="auto" w:sz="4" w:space="0"/>
            </w:tcBorders>
          </w:tcPr>
          <w:p w14:paraId="58F27D62">
            <w:pPr>
              <w:numPr>
                <w:ilvl w:val="1"/>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高分辨率血流成像：</w:t>
            </w:r>
          </w:p>
        </w:tc>
        <w:tc>
          <w:tcPr>
            <w:tcW w:w="5072" w:type="dxa"/>
          </w:tcPr>
          <w:p w14:paraId="69C1027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将彩色方向信息叠加在灰阶状态的血流动力学信息上，提供更高分辨率和灵敏度的血流图像</w:t>
            </w:r>
          </w:p>
        </w:tc>
      </w:tr>
      <w:tr w14:paraId="2A7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6538B5B3">
            <w:pPr>
              <w:spacing w:line="276" w:lineRule="auto"/>
              <w:jc w:val="center"/>
              <w:rPr>
                <w:rFonts w:hint="eastAsia" w:ascii="宋体" w:hAnsi="宋体" w:eastAsia="宋体" w:cs="宋体"/>
                <w:bCs/>
                <w:color w:val="auto"/>
                <w:sz w:val="24"/>
                <w:szCs w:val="24"/>
                <w:highlight w:val="none"/>
                <w:lang w:val="en-US"/>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12</w:t>
            </w:r>
          </w:p>
        </w:tc>
        <w:tc>
          <w:tcPr>
            <w:tcW w:w="3912" w:type="dxa"/>
            <w:tcBorders>
              <w:left w:val="single" w:color="auto" w:sz="4" w:space="0"/>
              <w:right w:val="single" w:color="auto" w:sz="4" w:space="0"/>
            </w:tcBorders>
          </w:tcPr>
          <w:p w14:paraId="4B9F81F2">
            <w:pPr>
              <w:numPr>
                <w:ilvl w:val="1"/>
                <w:numId w:val="0"/>
              </w:numPr>
              <w:spacing w:line="276"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穿刺针增强技术</w:t>
            </w:r>
            <w:r>
              <w:rPr>
                <w:rFonts w:hint="eastAsia" w:ascii="宋体" w:hAnsi="宋体" w:eastAsia="宋体" w:cs="宋体"/>
                <w:color w:val="auto"/>
                <w:sz w:val="24"/>
                <w:szCs w:val="24"/>
                <w:highlight w:val="none"/>
                <w:lang w:val="en-US" w:eastAsia="zh-CN"/>
              </w:rPr>
              <w:t>或类似技术</w:t>
            </w:r>
          </w:p>
        </w:tc>
        <w:tc>
          <w:tcPr>
            <w:tcW w:w="5072" w:type="dxa"/>
          </w:tcPr>
          <w:p w14:paraId="41490CA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凸阵和线阵探头均可支持，具有双屏实时对比显示，增强前后效果，并支持校正角度</w:t>
            </w:r>
          </w:p>
        </w:tc>
      </w:tr>
      <w:tr w14:paraId="6DB8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47FDC747">
            <w:pPr>
              <w:spacing w:line="276" w:lineRule="auto"/>
              <w:jc w:val="center"/>
              <w:rPr>
                <w:rFonts w:hint="eastAsia" w:ascii="宋体" w:hAnsi="宋体" w:eastAsia="宋体" w:cs="宋体"/>
                <w:bCs/>
                <w:color w:val="auto"/>
                <w:sz w:val="24"/>
                <w:szCs w:val="24"/>
                <w:highlight w:val="none"/>
                <w:lang w:val="en-US"/>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p>
        </w:tc>
        <w:tc>
          <w:tcPr>
            <w:tcW w:w="3912" w:type="dxa"/>
            <w:tcBorders>
              <w:left w:val="single" w:color="auto" w:sz="4" w:space="0"/>
              <w:right w:val="single" w:color="auto" w:sz="4" w:space="0"/>
            </w:tcBorders>
          </w:tcPr>
          <w:p w14:paraId="6DD2C9D4">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宽景成像技术</w:t>
            </w:r>
          </w:p>
        </w:tc>
        <w:tc>
          <w:tcPr>
            <w:tcW w:w="5072" w:type="dxa"/>
          </w:tcPr>
          <w:p w14:paraId="4A95BE7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要求支持二维及彩色模式，具有不同颜色的彩色框和文字提示扫描速度快和慢提</w:t>
            </w:r>
            <w:r>
              <w:rPr>
                <w:rFonts w:hint="eastAsia" w:ascii="宋体" w:hAnsi="宋体" w:eastAsia="宋体" w:cs="宋体"/>
                <w:color w:val="auto"/>
                <w:sz w:val="24"/>
                <w:szCs w:val="24"/>
                <w:highlight w:val="none"/>
                <w:lang w:val="en-US" w:eastAsia="zh-CN"/>
              </w:rPr>
              <w:t>示</w:t>
            </w:r>
          </w:p>
        </w:tc>
      </w:tr>
      <w:tr w14:paraId="1216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738A556C">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w:t>
            </w:r>
          </w:p>
        </w:tc>
        <w:tc>
          <w:tcPr>
            <w:tcW w:w="3912" w:type="dxa"/>
            <w:tcBorders>
              <w:left w:val="single" w:color="auto" w:sz="4" w:space="0"/>
              <w:right w:val="single" w:color="auto" w:sz="4" w:space="0"/>
            </w:tcBorders>
          </w:tcPr>
          <w:p w14:paraId="1CFC01E7">
            <w:pPr>
              <w:numPr>
                <w:ilvl w:val="1"/>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一键自动优化</w:t>
            </w:r>
          </w:p>
        </w:tc>
        <w:tc>
          <w:tcPr>
            <w:tcW w:w="5072" w:type="dxa"/>
          </w:tcPr>
          <w:p w14:paraId="0AE1C38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要求一键快速优化造影图像、二维图像、彩色图像、彩色取样框位置、频谱图像、频谱取样门大小、取样门位置、偏转角度及造影图像</w:t>
            </w:r>
          </w:p>
        </w:tc>
      </w:tr>
      <w:tr w14:paraId="11AA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6BA370DD">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w:t>
            </w:r>
          </w:p>
        </w:tc>
        <w:tc>
          <w:tcPr>
            <w:tcW w:w="3912" w:type="dxa"/>
            <w:tcBorders>
              <w:left w:val="single" w:color="auto" w:sz="4" w:space="0"/>
              <w:right w:val="single" w:color="auto" w:sz="4" w:space="0"/>
            </w:tcBorders>
          </w:tcPr>
          <w:p w14:paraId="782DBF46">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智能血流跟踪技术</w:t>
            </w:r>
          </w:p>
        </w:tc>
        <w:tc>
          <w:tcPr>
            <w:tcW w:w="5072" w:type="dxa"/>
          </w:tcPr>
          <w:p w14:paraId="0E0FDD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可以实现ROI框位置和角度的自动优化，提供Color/Power模式下彩色血流/能量图像的实时动态优化，节省人工调节时间，提升扫查效率</w:t>
            </w:r>
          </w:p>
        </w:tc>
      </w:tr>
      <w:tr w14:paraId="702F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67EA32C0">
            <w:pPr>
              <w:spacing w:line="276"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三</w:t>
            </w:r>
          </w:p>
        </w:tc>
        <w:tc>
          <w:tcPr>
            <w:tcW w:w="3912" w:type="dxa"/>
            <w:tcBorders>
              <w:left w:val="single" w:color="auto" w:sz="4" w:space="0"/>
              <w:right w:val="single" w:color="auto" w:sz="4" w:space="0"/>
            </w:tcBorders>
          </w:tcPr>
          <w:p w14:paraId="1EA9CFBC">
            <w:pPr>
              <w:numPr>
                <w:ilvl w:val="0"/>
                <w:numId w:val="0"/>
              </w:numPr>
              <w:spacing w:line="276"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高级成像功能</w:t>
            </w:r>
          </w:p>
        </w:tc>
        <w:tc>
          <w:tcPr>
            <w:tcW w:w="5072" w:type="dxa"/>
          </w:tcPr>
          <w:p w14:paraId="73932CEB">
            <w:pPr>
              <w:rPr>
                <w:rFonts w:hint="eastAsia" w:ascii="宋体" w:hAnsi="宋体" w:eastAsia="宋体" w:cs="宋体"/>
                <w:color w:val="auto"/>
                <w:sz w:val="24"/>
                <w:szCs w:val="24"/>
                <w:highlight w:val="none"/>
                <w:lang w:val="en-US" w:eastAsia="zh-CN"/>
              </w:rPr>
            </w:pPr>
          </w:p>
        </w:tc>
      </w:tr>
      <w:tr w14:paraId="0BDD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5EE2D440">
            <w:pPr>
              <w:spacing w:line="276" w:lineRule="auto"/>
              <w:jc w:val="center"/>
              <w:rPr>
                <w:rFonts w:hint="eastAsia" w:ascii="宋体" w:hAnsi="宋体" w:eastAsia="宋体" w:cs="宋体"/>
                <w:bCs/>
                <w:color w:val="auto"/>
                <w:sz w:val="24"/>
                <w:szCs w:val="24"/>
                <w:highlight w:val="none"/>
                <w:lang w:val="en-US"/>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16</w:t>
            </w:r>
          </w:p>
        </w:tc>
        <w:tc>
          <w:tcPr>
            <w:tcW w:w="3912" w:type="dxa"/>
            <w:tcBorders>
              <w:left w:val="single" w:color="auto" w:sz="4" w:space="0"/>
              <w:right w:val="single" w:color="auto" w:sz="4" w:space="0"/>
            </w:tcBorders>
          </w:tcPr>
          <w:p w14:paraId="3EF5802E">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造影成像</w:t>
            </w:r>
          </w:p>
        </w:tc>
        <w:tc>
          <w:tcPr>
            <w:tcW w:w="5072" w:type="dxa"/>
          </w:tcPr>
          <w:p w14:paraId="6B4331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用于</w:t>
            </w:r>
            <w:r>
              <w:rPr>
                <w:rFonts w:hint="eastAsia" w:ascii="宋体" w:hAnsi="宋体" w:eastAsia="宋体" w:cs="宋体"/>
                <w:color w:val="auto"/>
                <w:sz w:val="24"/>
                <w:szCs w:val="24"/>
                <w:highlight w:val="none"/>
                <w:lang w:val="en-US" w:eastAsia="zh-CN"/>
              </w:rPr>
              <w:t>凸阵探头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线阵探头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相控阵探头，支持</w:t>
            </w:r>
            <w:r>
              <w:rPr>
                <w:rFonts w:hint="eastAsia" w:ascii="宋体" w:hAnsi="宋体" w:eastAsia="宋体" w:cs="宋体"/>
                <w:color w:val="auto"/>
                <w:sz w:val="24"/>
                <w:szCs w:val="24"/>
                <w:highlight w:val="none"/>
                <w:lang w:eastAsia="zh-CN"/>
              </w:rPr>
              <w:t>微血管造影、心肌及心腔造影，造影定量分析功能</w:t>
            </w:r>
          </w:p>
        </w:tc>
      </w:tr>
      <w:tr w14:paraId="152C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930" w:type="dxa"/>
            <w:tcBorders>
              <w:left w:val="single" w:color="auto" w:sz="4" w:space="0"/>
              <w:right w:val="single" w:color="auto" w:sz="4" w:space="0"/>
            </w:tcBorders>
          </w:tcPr>
          <w:p w14:paraId="5285DB22">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17</w:t>
            </w:r>
          </w:p>
        </w:tc>
        <w:tc>
          <w:tcPr>
            <w:tcW w:w="3912" w:type="dxa"/>
            <w:tcBorders>
              <w:left w:val="single" w:color="auto" w:sz="4" w:space="0"/>
              <w:right w:val="single" w:color="auto" w:sz="4" w:space="0"/>
            </w:tcBorders>
          </w:tcPr>
          <w:p w14:paraId="743489F4">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弹性成像</w:t>
            </w:r>
          </w:p>
        </w:tc>
        <w:tc>
          <w:tcPr>
            <w:tcW w:w="5072" w:type="dxa"/>
          </w:tcPr>
          <w:p w14:paraId="1E9D575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应变式弹性成像支持应变、应变率和应变直方图的测量，具有肿块周边组织与正常组织、肿块周边组织与肿块内组织弹性分析功能</w:t>
            </w:r>
          </w:p>
        </w:tc>
      </w:tr>
      <w:tr w14:paraId="1F7D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69689126">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18</w:t>
            </w:r>
          </w:p>
        </w:tc>
        <w:tc>
          <w:tcPr>
            <w:tcW w:w="3912" w:type="dxa"/>
            <w:tcBorders>
              <w:left w:val="single" w:color="auto" w:sz="4" w:space="0"/>
              <w:right w:val="single" w:color="auto" w:sz="4" w:space="0"/>
            </w:tcBorders>
          </w:tcPr>
          <w:p w14:paraId="6B9556C3">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心血管成像</w:t>
            </w:r>
          </w:p>
        </w:tc>
        <w:tc>
          <w:tcPr>
            <w:tcW w:w="5072" w:type="dxa"/>
          </w:tcPr>
          <w:p w14:paraId="5B2E6F9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1BBA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1E2D3056">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19</w:t>
            </w:r>
          </w:p>
        </w:tc>
        <w:tc>
          <w:tcPr>
            <w:tcW w:w="3912" w:type="dxa"/>
            <w:tcBorders>
              <w:left w:val="single" w:color="auto" w:sz="4" w:space="0"/>
              <w:right w:val="single" w:color="auto" w:sz="4" w:space="0"/>
            </w:tcBorders>
          </w:tcPr>
          <w:p w14:paraId="46A422BE">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支持组织多普勒速度成像，并且在组织多普勒的同时支持彩色解剖 M型和曲线解剖M型</w:t>
            </w:r>
          </w:p>
        </w:tc>
        <w:tc>
          <w:tcPr>
            <w:tcW w:w="5072" w:type="dxa"/>
          </w:tcPr>
          <w:p w14:paraId="193B3C71">
            <w:pPr>
              <w:bidi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w:t>
            </w:r>
          </w:p>
        </w:tc>
      </w:tr>
      <w:tr w14:paraId="4535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57C64907">
            <w:pPr>
              <w:spacing w:line="276" w:lineRule="auto"/>
              <w:jc w:val="center"/>
              <w:rPr>
                <w:rFonts w:hint="eastAsia" w:ascii="宋体" w:hAnsi="宋体" w:eastAsia="宋体" w:cs="宋体"/>
                <w:bCs/>
                <w:color w:val="auto"/>
                <w:sz w:val="24"/>
                <w:szCs w:val="24"/>
                <w:highlight w:val="none"/>
                <w:lang w:val="en-US"/>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p>
        </w:tc>
        <w:tc>
          <w:tcPr>
            <w:tcW w:w="3912" w:type="dxa"/>
            <w:tcBorders>
              <w:left w:val="single" w:color="auto" w:sz="4" w:space="0"/>
              <w:right w:val="single" w:color="auto" w:sz="4" w:space="0"/>
            </w:tcBorders>
          </w:tcPr>
          <w:p w14:paraId="6CEC76EB">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自动舒张功能评估：</w:t>
            </w:r>
          </w:p>
        </w:tc>
        <w:tc>
          <w:tcPr>
            <w:tcW w:w="5072" w:type="dxa"/>
          </w:tcPr>
          <w:p w14:paraId="469B0C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自动舒张功能评估, 自动检测左心多普勒和组织多普勒信号，以自动测量心脏舒张功能评估参数E, A, E/A, e', E/e'</w:t>
            </w:r>
          </w:p>
        </w:tc>
      </w:tr>
      <w:tr w14:paraId="528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30" w:type="dxa"/>
            <w:tcBorders>
              <w:left w:val="single" w:color="auto" w:sz="4" w:space="0"/>
              <w:right w:val="single" w:color="auto" w:sz="4" w:space="0"/>
            </w:tcBorders>
          </w:tcPr>
          <w:p w14:paraId="405E23BE">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21</w:t>
            </w:r>
          </w:p>
        </w:tc>
        <w:tc>
          <w:tcPr>
            <w:tcW w:w="3912" w:type="dxa"/>
            <w:tcBorders>
              <w:left w:val="single" w:color="auto" w:sz="4" w:space="0"/>
              <w:right w:val="single" w:color="auto" w:sz="4" w:space="0"/>
            </w:tcBorders>
          </w:tcPr>
          <w:p w14:paraId="768DF687">
            <w:pPr>
              <w:numPr>
                <w:ilvl w:val="0"/>
                <w:numId w:val="0"/>
              </w:num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lang w:eastAsia="zh-CN"/>
              </w:rPr>
              <w:t>自动射血分数测量：</w:t>
            </w:r>
          </w:p>
        </w:tc>
        <w:tc>
          <w:tcPr>
            <w:tcW w:w="5072" w:type="dxa"/>
          </w:tcPr>
          <w:p w14:paraId="3F37965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自动识别左室内膜并计算射血分数，提供心功能指数分析</w:t>
            </w:r>
          </w:p>
        </w:tc>
      </w:tr>
      <w:tr w14:paraId="24BA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1655E960">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w:t>
            </w:r>
          </w:p>
        </w:tc>
        <w:tc>
          <w:tcPr>
            <w:tcW w:w="3912" w:type="dxa"/>
            <w:tcBorders>
              <w:left w:val="single" w:color="auto" w:sz="4" w:space="0"/>
              <w:right w:val="single" w:color="auto" w:sz="4" w:space="0"/>
            </w:tcBorders>
          </w:tcPr>
          <w:p w14:paraId="78E6D892">
            <w:pPr>
              <w:numPr>
                <w:ilvl w:val="0"/>
                <w:numId w:val="0"/>
              </w:numPr>
              <w:spacing w:line="276"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心脏模式下，根据指南显示心脏正常参考值，并根据患者情况提示是否异常</w:t>
            </w:r>
          </w:p>
        </w:tc>
        <w:tc>
          <w:tcPr>
            <w:tcW w:w="5072" w:type="dxa"/>
          </w:tcPr>
          <w:p w14:paraId="4B0F4AE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4638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698FC1CC">
            <w:pPr>
              <w:spacing w:line="276"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w:t>
            </w:r>
          </w:p>
        </w:tc>
        <w:tc>
          <w:tcPr>
            <w:tcW w:w="3912" w:type="dxa"/>
            <w:tcBorders>
              <w:left w:val="single" w:color="auto" w:sz="4" w:space="0"/>
              <w:right w:val="single" w:color="auto" w:sz="4" w:space="0"/>
            </w:tcBorders>
          </w:tcPr>
          <w:p w14:paraId="4B0A9D2E">
            <w:pPr>
              <w:numPr>
                <w:ilvl w:val="1"/>
                <w:numId w:val="0"/>
              </w:numPr>
              <w:spacing w:line="276"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容量管理</w:t>
            </w:r>
          </w:p>
        </w:tc>
        <w:tc>
          <w:tcPr>
            <w:tcW w:w="5072" w:type="dxa"/>
          </w:tcPr>
          <w:p w14:paraId="713CD80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027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059653AE">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p>
        </w:tc>
        <w:tc>
          <w:tcPr>
            <w:tcW w:w="3912" w:type="dxa"/>
            <w:tcBorders>
              <w:left w:val="single" w:color="auto" w:sz="4" w:space="0"/>
              <w:right w:val="single" w:color="auto" w:sz="4" w:space="0"/>
            </w:tcBorders>
          </w:tcPr>
          <w:p w14:paraId="7314F5B4">
            <w:pPr>
              <w:numPr>
                <w:ilvl w:val="1"/>
                <w:numId w:val="0"/>
              </w:numPr>
              <w:spacing w:line="276"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自动速度时间积分测量</w:t>
            </w:r>
          </w:p>
        </w:tc>
        <w:tc>
          <w:tcPr>
            <w:tcW w:w="5072" w:type="dxa"/>
          </w:tcPr>
          <w:p w14:paraId="0622DCC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自动放置彩色取样框，PW取样线，取样门，自动跟踪并描记LVOT的PW频谱，并计算VTI、SV、CO、SVV，且可提供趋势图</w:t>
            </w:r>
          </w:p>
        </w:tc>
      </w:tr>
      <w:tr w14:paraId="2BCC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2E6582F5">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25</w:t>
            </w:r>
          </w:p>
        </w:tc>
        <w:tc>
          <w:tcPr>
            <w:tcW w:w="3912" w:type="dxa"/>
            <w:tcBorders>
              <w:left w:val="single" w:color="auto" w:sz="4" w:space="0"/>
              <w:right w:val="single" w:color="auto" w:sz="4" w:space="0"/>
            </w:tcBorders>
          </w:tcPr>
          <w:p w14:paraId="075DBAE3">
            <w:pPr>
              <w:numPr>
                <w:ilvl w:val="1"/>
                <w:numId w:val="0"/>
              </w:numPr>
              <w:spacing w:line="276" w:lineRule="auto"/>
              <w:ind w:left="0" w:leftChars="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自动下腔静脉定量分析</w:t>
            </w:r>
          </w:p>
        </w:tc>
        <w:tc>
          <w:tcPr>
            <w:tcW w:w="5072" w:type="dxa"/>
          </w:tcPr>
          <w:p w14:paraId="31D74DB0">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自动跟踪IVC的内径并在实时或者多帧电影状态下计算自主呼吸下的塌陷指数CI，机械通气下的扩张指数DI和IVCV，并支持快速容量状态标注，且可提供趋势图</w:t>
            </w:r>
          </w:p>
        </w:tc>
      </w:tr>
      <w:tr w14:paraId="7403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335275A2">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26</w:t>
            </w:r>
          </w:p>
        </w:tc>
        <w:tc>
          <w:tcPr>
            <w:tcW w:w="3912" w:type="dxa"/>
            <w:tcBorders>
              <w:left w:val="single" w:color="auto" w:sz="4" w:space="0"/>
              <w:right w:val="single" w:color="auto" w:sz="4" w:space="0"/>
            </w:tcBorders>
          </w:tcPr>
          <w:p w14:paraId="2C7E1829">
            <w:pPr>
              <w:numPr>
                <w:ilvl w:val="0"/>
                <w:numId w:val="0"/>
              </w:numPr>
              <w:spacing w:line="276" w:lineRule="auto"/>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自动B线检测</w:t>
            </w:r>
          </w:p>
        </w:tc>
        <w:tc>
          <w:tcPr>
            <w:tcW w:w="5072" w:type="dxa"/>
          </w:tcPr>
          <w:p w14:paraId="60FC0B13">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自动计算B线数量、获取B线面积比、B线间距, 指导液体复苏并防止出现肺水肿</w:t>
            </w:r>
          </w:p>
        </w:tc>
      </w:tr>
      <w:tr w14:paraId="1FC0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66DC98A7">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27</w:t>
            </w:r>
          </w:p>
        </w:tc>
        <w:tc>
          <w:tcPr>
            <w:tcW w:w="3912" w:type="dxa"/>
            <w:tcBorders>
              <w:left w:val="single" w:color="auto" w:sz="4" w:space="0"/>
              <w:right w:val="single" w:color="auto" w:sz="4" w:space="0"/>
            </w:tcBorders>
          </w:tcPr>
          <w:p w14:paraId="24EEEB74">
            <w:pPr>
              <w:numPr>
                <w:ilvl w:val="0"/>
                <w:numId w:val="0"/>
              </w:numPr>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测量分析和报告</w:t>
            </w:r>
          </w:p>
        </w:tc>
        <w:tc>
          <w:tcPr>
            <w:tcW w:w="5072" w:type="dxa"/>
          </w:tcPr>
          <w:p w14:paraId="3787F9BB">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测量分析和报告</w:t>
            </w:r>
          </w:p>
        </w:tc>
      </w:tr>
      <w:tr w14:paraId="5559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68EC49F8">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28</w:t>
            </w:r>
          </w:p>
        </w:tc>
        <w:tc>
          <w:tcPr>
            <w:tcW w:w="3912" w:type="dxa"/>
            <w:tcBorders>
              <w:left w:val="single" w:color="auto" w:sz="4" w:space="0"/>
              <w:right w:val="single" w:color="auto" w:sz="4" w:space="0"/>
            </w:tcBorders>
          </w:tcPr>
          <w:p w14:paraId="2F4DED7F">
            <w:pPr>
              <w:numPr>
                <w:ilvl w:val="0"/>
                <w:numId w:val="0"/>
              </w:numPr>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全科测量包，自动生成报告</w:t>
            </w:r>
          </w:p>
        </w:tc>
        <w:tc>
          <w:tcPr>
            <w:tcW w:w="5072" w:type="dxa"/>
          </w:tcPr>
          <w:p w14:paraId="4554DF50">
            <w:pPr>
              <w:rPr>
                <w:rFonts w:hint="eastAsia" w:ascii="宋体" w:hAnsi="宋体" w:eastAsia="宋体" w:cs="宋体"/>
                <w:bCs/>
                <w:color w:val="auto"/>
                <w:sz w:val="24"/>
                <w:szCs w:val="24"/>
                <w:highlight w:val="none"/>
                <w:lang w:val="en-US"/>
              </w:rPr>
            </w:pPr>
            <w:r>
              <w:rPr>
                <w:rFonts w:hint="eastAsia" w:ascii="宋体" w:hAnsi="宋体" w:eastAsia="宋体" w:cs="宋体"/>
                <w:color w:val="auto"/>
                <w:sz w:val="24"/>
                <w:szCs w:val="24"/>
                <w:highlight w:val="none"/>
                <w:lang w:eastAsia="zh-CN"/>
              </w:rPr>
              <w:t>腹部、妇科、产科、心脏、泌尿、小器官、儿科、血管、神经、急诊科、矫形外科</w:t>
            </w:r>
          </w:p>
        </w:tc>
      </w:tr>
      <w:tr w14:paraId="2963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3BCD5515">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29</w:t>
            </w:r>
          </w:p>
        </w:tc>
        <w:tc>
          <w:tcPr>
            <w:tcW w:w="3912" w:type="dxa"/>
            <w:tcBorders>
              <w:left w:val="single" w:color="auto" w:sz="4" w:space="0"/>
              <w:right w:val="single" w:color="auto" w:sz="4" w:space="0"/>
            </w:tcBorders>
          </w:tcPr>
          <w:p w14:paraId="52DC62F4">
            <w:pPr>
              <w:numPr>
                <w:ilvl w:val="0"/>
                <w:numId w:val="0"/>
              </w:numPr>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可支持</w:t>
            </w:r>
            <w:r>
              <w:rPr>
                <w:rFonts w:hint="eastAsia" w:ascii="宋体" w:hAnsi="宋体" w:eastAsia="宋体" w:cs="宋体"/>
                <w:color w:val="auto"/>
                <w:sz w:val="24"/>
                <w:szCs w:val="24"/>
                <w:highlight w:val="none"/>
                <w:lang w:eastAsia="zh-CN"/>
              </w:rPr>
              <w:t>血管内中膜自动测量技术</w:t>
            </w:r>
          </w:p>
        </w:tc>
        <w:tc>
          <w:tcPr>
            <w:tcW w:w="5072" w:type="dxa"/>
          </w:tcPr>
          <w:p w14:paraId="4FFB609E">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测量数据至少包括最大值、最小值、平均值、标准差、ROI长度、测量长度及质量指标，具有</w:t>
            </w:r>
            <w:r>
              <w:rPr>
                <w:rFonts w:hint="eastAsia" w:ascii="宋体" w:hAnsi="宋体" w:eastAsia="宋体" w:cs="宋体"/>
                <w:color w:val="auto"/>
                <w:sz w:val="24"/>
                <w:szCs w:val="24"/>
                <w:highlight w:val="none"/>
                <w:lang w:val="en-US" w:eastAsia="zh-CN"/>
              </w:rPr>
              <w:t>随时间变化</w:t>
            </w:r>
            <w:r>
              <w:rPr>
                <w:rFonts w:hint="eastAsia" w:ascii="宋体" w:hAnsi="宋体" w:eastAsia="宋体" w:cs="宋体"/>
                <w:color w:val="auto"/>
                <w:sz w:val="24"/>
                <w:szCs w:val="24"/>
                <w:highlight w:val="none"/>
                <w:lang w:eastAsia="zh-CN"/>
              </w:rPr>
              <w:t>IMT分析评估曲线</w:t>
            </w:r>
          </w:p>
        </w:tc>
      </w:tr>
      <w:tr w14:paraId="17DA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4766D2C8">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c>
          <w:tcPr>
            <w:tcW w:w="3912" w:type="dxa"/>
            <w:tcBorders>
              <w:left w:val="single" w:color="auto" w:sz="4" w:space="0"/>
              <w:right w:val="single" w:color="auto" w:sz="4" w:space="0"/>
            </w:tcBorders>
          </w:tcPr>
          <w:p w14:paraId="034DCB11">
            <w:pPr>
              <w:numPr>
                <w:ilvl w:val="0"/>
                <w:numId w:val="0"/>
              </w:numPr>
              <w:spacing w:line="276" w:lineRule="auto"/>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自动工作流协议（非预设条件）</w:t>
            </w:r>
          </w:p>
        </w:tc>
        <w:tc>
          <w:tcPr>
            <w:tcW w:w="5072" w:type="dxa"/>
          </w:tcPr>
          <w:p w14:paraId="52BD2AE8">
            <w:pPr>
              <w:rPr>
                <w:rFonts w:hint="eastAsia" w:ascii="宋体" w:hAnsi="宋体" w:eastAsia="宋体" w:cs="宋体"/>
                <w:bCs/>
                <w:color w:val="auto"/>
                <w:sz w:val="24"/>
                <w:szCs w:val="24"/>
                <w:highlight w:val="none"/>
                <w:lang w:val="en-US"/>
              </w:rPr>
            </w:pPr>
            <w:r>
              <w:rPr>
                <w:rFonts w:hint="eastAsia" w:ascii="宋体" w:hAnsi="宋体" w:eastAsia="宋体" w:cs="宋体"/>
                <w:color w:val="auto"/>
                <w:sz w:val="24"/>
                <w:szCs w:val="24"/>
                <w:highlight w:val="none"/>
                <w:lang w:eastAsia="zh-CN"/>
              </w:rPr>
              <w:t>自动标注体位图、注释及自动切换检查模式，显著减少操作时间</w:t>
            </w:r>
          </w:p>
        </w:tc>
      </w:tr>
      <w:tr w14:paraId="7D5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930" w:type="dxa"/>
            <w:tcBorders>
              <w:left w:val="single" w:color="auto" w:sz="4" w:space="0"/>
              <w:right w:val="single" w:color="auto" w:sz="4" w:space="0"/>
            </w:tcBorders>
          </w:tcPr>
          <w:p w14:paraId="3B3755DD">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31</w:t>
            </w:r>
          </w:p>
        </w:tc>
        <w:tc>
          <w:tcPr>
            <w:tcW w:w="3912" w:type="dxa"/>
            <w:tcBorders>
              <w:left w:val="single" w:color="auto" w:sz="4" w:space="0"/>
              <w:right w:val="single" w:color="auto" w:sz="4" w:space="0"/>
            </w:tcBorders>
          </w:tcPr>
          <w:p w14:paraId="0A7891F1">
            <w:pPr>
              <w:numPr>
                <w:ilvl w:val="0"/>
                <w:numId w:val="0"/>
              </w:numPr>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可支持</w:t>
            </w:r>
            <w:r>
              <w:rPr>
                <w:rFonts w:hint="eastAsia" w:ascii="宋体" w:hAnsi="宋体" w:eastAsia="宋体" w:cs="宋体"/>
                <w:color w:val="auto"/>
                <w:sz w:val="24"/>
                <w:szCs w:val="24"/>
                <w:highlight w:val="none"/>
                <w:lang w:eastAsia="zh-CN"/>
              </w:rPr>
              <w:t>自动胃窦测量</w:t>
            </w:r>
          </w:p>
        </w:tc>
        <w:tc>
          <w:tcPr>
            <w:tcW w:w="5072" w:type="dxa"/>
          </w:tcPr>
          <w:p w14:paraId="18823A18">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自动识别胃窦边缘，进行胃窦面积测量，降低病人术中反流误吸风险</w:t>
            </w:r>
          </w:p>
        </w:tc>
      </w:tr>
      <w:tr w14:paraId="0E4B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59BC47E1">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32</w:t>
            </w:r>
          </w:p>
        </w:tc>
        <w:tc>
          <w:tcPr>
            <w:tcW w:w="3912" w:type="dxa"/>
            <w:tcBorders>
              <w:left w:val="single" w:color="auto" w:sz="4" w:space="0"/>
              <w:right w:val="single" w:color="auto" w:sz="4" w:space="0"/>
            </w:tcBorders>
          </w:tcPr>
          <w:p w14:paraId="3D91D921">
            <w:pPr>
              <w:numPr>
                <w:ilvl w:val="0"/>
                <w:numId w:val="0"/>
              </w:numPr>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电影回放、原始数据处理和检查存储管理系统</w:t>
            </w:r>
          </w:p>
        </w:tc>
        <w:tc>
          <w:tcPr>
            <w:tcW w:w="5072" w:type="dxa"/>
          </w:tcPr>
          <w:p w14:paraId="55D5C581">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具备</w:t>
            </w:r>
          </w:p>
        </w:tc>
      </w:tr>
      <w:tr w14:paraId="438B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70C7F517">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33</w:t>
            </w:r>
          </w:p>
        </w:tc>
        <w:tc>
          <w:tcPr>
            <w:tcW w:w="3912" w:type="dxa"/>
            <w:tcBorders>
              <w:left w:val="single" w:color="auto" w:sz="4" w:space="0"/>
              <w:right w:val="single" w:color="auto" w:sz="4" w:space="0"/>
            </w:tcBorders>
          </w:tcPr>
          <w:p w14:paraId="15BEAF9F">
            <w:pPr>
              <w:numPr>
                <w:ilvl w:val="0"/>
                <w:numId w:val="0"/>
              </w:numPr>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电影回放所有模式下可用</w:t>
            </w:r>
          </w:p>
        </w:tc>
        <w:tc>
          <w:tcPr>
            <w:tcW w:w="5072" w:type="dxa"/>
          </w:tcPr>
          <w:p w14:paraId="4C54C464">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支持手动、自动回放，支持4D 电影回放</w:t>
            </w:r>
          </w:p>
        </w:tc>
      </w:tr>
      <w:tr w14:paraId="5D0B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0E92B1CF">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34</w:t>
            </w:r>
          </w:p>
        </w:tc>
        <w:tc>
          <w:tcPr>
            <w:tcW w:w="3912" w:type="dxa"/>
            <w:tcBorders>
              <w:left w:val="single" w:color="auto" w:sz="4" w:space="0"/>
              <w:right w:val="single" w:color="auto" w:sz="4" w:space="0"/>
            </w:tcBorders>
          </w:tcPr>
          <w:p w14:paraId="45BA644A">
            <w:pPr>
              <w:numPr>
                <w:ilvl w:val="0"/>
                <w:numId w:val="0"/>
              </w:numPr>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原始数据处理</w:t>
            </w:r>
          </w:p>
        </w:tc>
        <w:tc>
          <w:tcPr>
            <w:tcW w:w="5072" w:type="dxa"/>
          </w:tcPr>
          <w:p w14:paraId="0EDBAEF3">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可对回放图像进行≥34种参数调节</w:t>
            </w:r>
          </w:p>
        </w:tc>
      </w:tr>
      <w:tr w14:paraId="051F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0F700B62">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35</w:t>
            </w:r>
          </w:p>
        </w:tc>
        <w:tc>
          <w:tcPr>
            <w:tcW w:w="3912" w:type="dxa"/>
            <w:tcBorders>
              <w:left w:val="single" w:color="auto" w:sz="4" w:space="0"/>
              <w:right w:val="single" w:color="auto" w:sz="4" w:space="0"/>
            </w:tcBorders>
          </w:tcPr>
          <w:p w14:paraId="072C7517">
            <w:pPr>
              <w:numPr>
                <w:ilvl w:val="0"/>
                <w:numId w:val="0"/>
              </w:numPr>
              <w:spacing w:line="276" w:lineRule="auto"/>
              <w:ind w:left="0" w:leftChars="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固态硬盘</w:t>
            </w:r>
          </w:p>
        </w:tc>
        <w:tc>
          <w:tcPr>
            <w:tcW w:w="5072" w:type="dxa"/>
          </w:tcPr>
          <w:p w14:paraId="67E725B7">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≥240GB</w:t>
            </w:r>
          </w:p>
        </w:tc>
      </w:tr>
      <w:tr w14:paraId="3770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0A505B48">
            <w:pPr>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四</w:t>
            </w:r>
          </w:p>
        </w:tc>
        <w:tc>
          <w:tcPr>
            <w:tcW w:w="3912" w:type="dxa"/>
            <w:tcBorders>
              <w:left w:val="single" w:color="auto" w:sz="4" w:space="0"/>
              <w:right w:val="single" w:color="auto" w:sz="4" w:space="0"/>
            </w:tcBorders>
          </w:tcPr>
          <w:p w14:paraId="47AE0996">
            <w:pPr>
              <w:numPr>
                <w:ilvl w:val="0"/>
                <w:numId w:val="0"/>
              </w:numPr>
              <w:spacing w:line="276"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系统技术参数及要求</w:t>
            </w:r>
          </w:p>
        </w:tc>
        <w:tc>
          <w:tcPr>
            <w:tcW w:w="5072" w:type="dxa"/>
          </w:tcPr>
          <w:p w14:paraId="04D766C7">
            <w:pPr>
              <w:rPr>
                <w:rFonts w:hint="eastAsia" w:ascii="宋体" w:hAnsi="宋体" w:eastAsia="宋体" w:cs="宋体"/>
                <w:bCs/>
                <w:color w:val="auto"/>
                <w:sz w:val="24"/>
                <w:szCs w:val="24"/>
                <w:highlight w:val="none"/>
                <w:lang w:val="en-US" w:eastAsia="zh-CN"/>
              </w:rPr>
            </w:pPr>
          </w:p>
        </w:tc>
      </w:tr>
      <w:tr w14:paraId="6F0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30" w:type="dxa"/>
            <w:tcBorders>
              <w:left w:val="single" w:color="auto" w:sz="4" w:space="0"/>
              <w:right w:val="single" w:color="auto" w:sz="4" w:space="0"/>
            </w:tcBorders>
          </w:tcPr>
          <w:p w14:paraId="7A9FFFF6">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36</w:t>
            </w:r>
          </w:p>
        </w:tc>
        <w:tc>
          <w:tcPr>
            <w:tcW w:w="3912" w:type="dxa"/>
            <w:tcBorders>
              <w:left w:val="single" w:color="auto" w:sz="4" w:space="0"/>
              <w:right w:val="single" w:color="auto" w:sz="4" w:space="0"/>
            </w:tcBorders>
          </w:tcPr>
          <w:p w14:paraId="4D01CCEA">
            <w:pPr>
              <w:numPr>
                <w:ilvl w:val="0"/>
                <w:numId w:val="0"/>
              </w:numPr>
              <w:spacing w:line="276"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二维灰阶模式：</w:t>
            </w:r>
          </w:p>
        </w:tc>
        <w:tc>
          <w:tcPr>
            <w:tcW w:w="5072" w:type="dxa"/>
          </w:tcPr>
          <w:p w14:paraId="2B0A9E52">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具备</w:t>
            </w:r>
          </w:p>
        </w:tc>
      </w:tr>
      <w:tr w14:paraId="4322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42655C4A">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37</w:t>
            </w:r>
          </w:p>
        </w:tc>
        <w:tc>
          <w:tcPr>
            <w:tcW w:w="3912" w:type="dxa"/>
            <w:tcBorders>
              <w:left w:val="single" w:color="auto" w:sz="4" w:space="0"/>
              <w:right w:val="single" w:color="auto" w:sz="4" w:space="0"/>
            </w:tcBorders>
          </w:tcPr>
          <w:p w14:paraId="317442A2">
            <w:pPr>
              <w:numPr>
                <w:ilvl w:val="0"/>
                <w:numId w:val="0"/>
              </w:numPr>
              <w:spacing w:line="276" w:lineRule="auto"/>
              <w:ind w:left="425" w:leftChars="0" w:hanging="425" w:firstLineChars="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最大显示深度：</w:t>
            </w:r>
          </w:p>
        </w:tc>
        <w:tc>
          <w:tcPr>
            <w:tcW w:w="5072" w:type="dxa"/>
          </w:tcPr>
          <w:p w14:paraId="1D70C3C1">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cm</w:t>
            </w:r>
          </w:p>
        </w:tc>
      </w:tr>
      <w:tr w14:paraId="0421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0A282621">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38</w:t>
            </w:r>
          </w:p>
        </w:tc>
        <w:tc>
          <w:tcPr>
            <w:tcW w:w="3912" w:type="dxa"/>
            <w:tcBorders>
              <w:left w:val="single" w:color="auto" w:sz="4" w:space="0"/>
              <w:right w:val="single" w:color="auto" w:sz="4" w:space="0"/>
            </w:tcBorders>
          </w:tcPr>
          <w:p w14:paraId="28D96194">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物理滑动TGC</w:t>
            </w:r>
          </w:p>
        </w:tc>
        <w:tc>
          <w:tcPr>
            <w:tcW w:w="5072" w:type="dxa"/>
          </w:tcPr>
          <w:p w14:paraId="20B1DC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≥8段</w:t>
            </w:r>
          </w:p>
        </w:tc>
      </w:tr>
      <w:tr w14:paraId="1642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5239C9D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p>
        </w:tc>
        <w:tc>
          <w:tcPr>
            <w:tcW w:w="3912" w:type="dxa"/>
            <w:tcBorders>
              <w:left w:val="single" w:color="auto" w:sz="4" w:space="0"/>
              <w:right w:val="single" w:color="auto" w:sz="4" w:space="0"/>
            </w:tcBorders>
          </w:tcPr>
          <w:p w14:paraId="1B8B47B5">
            <w:pPr>
              <w:numPr>
                <w:ilvl w:val="0"/>
                <w:numId w:val="0"/>
              </w:numPr>
              <w:spacing w:line="276"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LGC</w:t>
            </w:r>
          </w:p>
        </w:tc>
        <w:tc>
          <w:tcPr>
            <w:tcW w:w="5072" w:type="dxa"/>
          </w:tcPr>
          <w:p w14:paraId="2468B57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≥4段</w:t>
            </w:r>
          </w:p>
        </w:tc>
      </w:tr>
      <w:tr w14:paraId="5C7E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43D3EE7F">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40</w:t>
            </w:r>
          </w:p>
        </w:tc>
        <w:tc>
          <w:tcPr>
            <w:tcW w:w="3912" w:type="dxa"/>
            <w:tcBorders>
              <w:left w:val="single" w:color="auto" w:sz="4" w:space="0"/>
              <w:right w:val="single" w:color="auto" w:sz="4" w:space="0"/>
            </w:tcBorders>
          </w:tcPr>
          <w:p w14:paraId="2856AD1C">
            <w:pPr>
              <w:numPr>
                <w:ilvl w:val="0"/>
                <w:numId w:val="0"/>
              </w:numPr>
              <w:spacing w:line="276" w:lineRule="auto"/>
              <w:ind w:left="425" w:leftChars="0" w:hanging="425"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动态范围：</w:t>
            </w:r>
          </w:p>
        </w:tc>
        <w:tc>
          <w:tcPr>
            <w:tcW w:w="5072" w:type="dxa"/>
          </w:tcPr>
          <w:p w14:paraId="6DAA2EB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≥200db</w:t>
            </w:r>
          </w:p>
        </w:tc>
      </w:tr>
      <w:tr w14:paraId="264B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22DF2F84">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41</w:t>
            </w:r>
          </w:p>
        </w:tc>
        <w:tc>
          <w:tcPr>
            <w:tcW w:w="3912" w:type="dxa"/>
            <w:tcBorders>
              <w:left w:val="single" w:color="auto" w:sz="4" w:space="0"/>
              <w:right w:val="single" w:color="auto" w:sz="4" w:space="0"/>
            </w:tcBorders>
          </w:tcPr>
          <w:p w14:paraId="5B8F685F">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彩色多普勒成像</w:t>
            </w:r>
          </w:p>
        </w:tc>
        <w:tc>
          <w:tcPr>
            <w:tcW w:w="5072" w:type="dxa"/>
          </w:tcPr>
          <w:p w14:paraId="0E15445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767E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69F9B940">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w:t>
            </w:r>
          </w:p>
        </w:tc>
        <w:tc>
          <w:tcPr>
            <w:tcW w:w="3912" w:type="dxa"/>
            <w:tcBorders>
              <w:left w:val="single" w:color="auto" w:sz="4" w:space="0"/>
              <w:right w:val="single" w:color="auto" w:sz="4" w:space="0"/>
            </w:tcBorders>
          </w:tcPr>
          <w:p w14:paraId="11FC50F0">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包括速度、速度方差、能量、方向能量显示等</w:t>
            </w:r>
          </w:p>
        </w:tc>
        <w:tc>
          <w:tcPr>
            <w:tcW w:w="5072" w:type="dxa"/>
          </w:tcPr>
          <w:p w14:paraId="1B5EE4D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42A9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6DE87E1F">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43</w:t>
            </w:r>
          </w:p>
        </w:tc>
        <w:tc>
          <w:tcPr>
            <w:tcW w:w="3912" w:type="dxa"/>
            <w:tcBorders>
              <w:left w:val="single" w:color="auto" w:sz="4" w:space="0"/>
              <w:right w:val="single" w:color="auto" w:sz="4" w:space="0"/>
            </w:tcBorders>
          </w:tcPr>
          <w:p w14:paraId="33C9E47E">
            <w:pPr>
              <w:numPr>
                <w:ilvl w:val="0"/>
                <w:numId w:val="0"/>
              </w:numPr>
              <w:spacing w:line="276" w:lineRule="auto"/>
              <w:ind w:left="425" w:leftChars="0" w:hanging="425"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取样框偏转</w:t>
            </w:r>
          </w:p>
        </w:tc>
        <w:tc>
          <w:tcPr>
            <w:tcW w:w="5072" w:type="dxa"/>
          </w:tcPr>
          <w:p w14:paraId="7D85E82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≥±30度(线阵探头)</w:t>
            </w:r>
          </w:p>
        </w:tc>
      </w:tr>
      <w:tr w14:paraId="4A5F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010251B6">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44</w:t>
            </w:r>
          </w:p>
        </w:tc>
        <w:tc>
          <w:tcPr>
            <w:tcW w:w="3912" w:type="dxa"/>
            <w:tcBorders>
              <w:left w:val="single" w:color="auto" w:sz="4" w:space="0"/>
              <w:right w:val="single" w:color="auto" w:sz="4" w:space="0"/>
            </w:tcBorders>
          </w:tcPr>
          <w:p w14:paraId="3A4DF58E">
            <w:pPr>
              <w:numPr>
                <w:ilvl w:val="0"/>
                <w:numId w:val="0"/>
              </w:numPr>
              <w:spacing w:line="276" w:lineRule="auto"/>
              <w:ind w:left="425" w:leftChars="0" w:hanging="425"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支持一键B/C 同宽</w:t>
            </w:r>
          </w:p>
        </w:tc>
        <w:tc>
          <w:tcPr>
            <w:tcW w:w="5072" w:type="dxa"/>
          </w:tcPr>
          <w:p w14:paraId="2640363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4D81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5FB29610">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w:t>
            </w:r>
          </w:p>
        </w:tc>
        <w:tc>
          <w:tcPr>
            <w:tcW w:w="3912" w:type="dxa"/>
            <w:tcBorders>
              <w:left w:val="single" w:color="auto" w:sz="4" w:space="0"/>
              <w:right w:val="single" w:color="auto" w:sz="4" w:space="0"/>
            </w:tcBorders>
          </w:tcPr>
          <w:p w14:paraId="3080E799">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频谱多普勒模式</w:t>
            </w:r>
          </w:p>
        </w:tc>
        <w:tc>
          <w:tcPr>
            <w:tcW w:w="5072" w:type="dxa"/>
          </w:tcPr>
          <w:p w14:paraId="1FB4302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1A62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0D2AECB1">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46</w:t>
            </w:r>
          </w:p>
        </w:tc>
        <w:tc>
          <w:tcPr>
            <w:tcW w:w="3912" w:type="dxa"/>
            <w:tcBorders>
              <w:left w:val="single" w:color="auto" w:sz="4" w:space="0"/>
              <w:right w:val="single" w:color="auto" w:sz="4" w:space="0"/>
            </w:tcBorders>
          </w:tcPr>
          <w:p w14:paraId="7BB0E189">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脉冲多普勒</w:t>
            </w:r>
          </w:p>
        </w:tc>
        <w:tc>
          <w:tcPr>
            <w:tcW w:w="5072" w:type="dxa"/>
          </w:tcPr>
          <w:p w14:paraId="7BA7637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最大速度: ≥8.60m/s（连续多普勒速度: ≥35m/s）</w:t>
            </w:r>
          </w:p>
        </w:tc>
      </w:tr>
      <w:tr w14:paraId="480E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4072DC39">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47</w:t>
            </w:r>
          </w:p>
        </w:tc>
        <w:tc>
          <w:tcPr>
            <w:tcW w:w="3912" w:type="dxa"/>
            <w:tcBorders>
              <w:left w:val="single" w:color="auto" w:sz="4" w:space="0"/>
              <w:right w:val="single" w:color="auto" w:sz="4" w:space="0"/>
            </w:tcBorders>
          </w:tcPr>
          <w:p w14:paraId="53E4B7A6">
            <w:pPr>
              <w:numPr>
                <w:ilvl w:val="0"/>
                <w:numId w:val="0"/>
              </w:numPr>
              <w:spacing w:line="276" w:lineRule="auto"/>
              <w:ind w:left="425" w:leftChars="0" w:hanging="425"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最小速度</w:t>
            </w:r>
          </w:p>
        </w:tc>
        <w:tc>
          <w:tcPr>
            <w:tcW w:w="5072" w:type="dxa"/>
          </w:tcPr>
          <w:p w14:paraId="7502EC8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 mm /s（非噪声信号）</w:t>
            </w:r>
          </w:p>
        </w:tc>
      </w:tr>
      <w:tr w14:paraId="4964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32526548">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48</w:t>
            </w:r>
          </w:p>
        </w:tc>
        <w:tc>
          <w:tcPr>
            <w:tcW w:w="3912" w:type="dxa"/>
            <w:tcBorders>
              <w:left w:val="single" w:color="auto" w:sz="4" w:space="0"/>
              <w:right w:val="single" w:color="auto" w:sz="4" w:space="0"/>
            </w:tcBorders>
          </w:tcPr>
          <w:p w14:paraId="17E6B671">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取样容积</w:t>
            </w:r>
          </w:p>
        </w:tc>
        <w:tc>
          <w:tcPr>
            <w:tcW w:w="5072" w:type="dxa"/>
          </w:tcPr>
          <w:p w14:paraId="6EA205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0.5-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0mm ,支持所有探头</w:t>
            </w:r>
          </w:p>
        </w:tc>
      </w:tr>
      <w:tr w14:paraId="6B67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3A247959">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49 </w:t>
            </w:r>
          </w:p>
        </w:tc>
        <w:tc>
          <w:tcPr>
            <w:tcW w:w="3912" w:type="dxa"/>
            <w:tcBorders>
              <w:left w:val="single" w:color="auto" w:sz="4" w:space="0"/>
              <w:right w:val="single" w:color="auto" w:sz="4" w:space="0"/>
            </w:tcBorders>
          </w:tcPr>
          <w:p w14:paraId="0FC04F1C">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偏转角度</w:t>
            </w:r>
          </w:p>
        </w:tc>
        <w:tc>
          <w:tcPr>
            <w:tcW w:w="5072" w:type="dxa"/>
          </w:tcPr>
          <w:p w14:paraId="2907EA8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≥±30度 (线阵探头)</w:t>
            </w:r>
          </w:p>
        </w:tc>
      </w:tr>
      <w:tr w14:paraId="6845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7418CE26">
            <w:pPr>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w:t>
            </w:r>
          </w:p>
        </w:tc>
        <w:tc>
          <w:tcPr>
            <w:tcW w:w="3912" w:type="dxa"/>
            <w:tcBorders>
              <w:left w:val="single" w:color="auto" w:sz="4" w:space="0"/>
              <w:right w:val="single" w:color="auto" w:sz="4" w:space="0"/>
            </w:tcBorders>
          </w:tcPr>
          <w:p w14:paraId="6866E23C">
            <w:pPr>
              <w:numPr>
                <w:ilvl w:val="0"/>
                <w:numId w:val="0"/>
              </w:numPr>
              <w:spacing w:line="276" w:lineRule="auto"/>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eastAsia="zh-CN"/>
              </w:rPr>
              <w:t>连通性要求</w:t>
            </w:r>
          </w:p>
        </w:tc>
        <w:tc>
          <w:tcPr>
            <w:tcW w:w="5072" w:type="dxa"/>
          </w:tcPr>
          <w:p w14:paraId="649382C3">
            <w:pPr>
              <w:rPr>
                <w:rFonts w:hint="eastAsia" w:ascii="宋体" w:hAnsi="宋体" w:eastAsia="宋体" w:cs="宋体"/>
                <w:color w:val="auto"/>
                <w:sz w:val="24"/>
                <w:szCs w:val="24"/>
                <w:highlight w:val="none"/>
                <w:lang w:val="en-US" w:eastAsia="zh-CN"/>
              </w:rPr>
            </w:pPr>
          </w:p>
        </w:tc>
      </w:tr>
      <w:tr w14:paraId="65F4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2D605039">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50</w:t>
            </w:r>
          </w:p>
        </w:tc>
        <w:tc>
          <w:tcPr>
            <w:tcW w:w="3912" w:type="dxa"/>
            <w:tcBorders>
              <w:left w:val="single" w:color="auto" w:sz="4" w:space="0"/>
              <w:right w:val="single" w:color="auto" w:sz="4" w:space="0"/>
            </w:tcBorders>
          </w:tcPr>
          <w:p w14:paraId="522C06AF">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支持网络连接</w:t>
            </w:r>
          </w:p>
        </w:tc>
        <w:tc>
          <w:tcPr>
            <w:tcW w:w="5072" w:type="dxa"/>
          </w:tcPr>
          <w:p w14:paraId="26D8BB2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t>
            </w:r>
          </w:p>
        </w:tc>
      </w:tr>
      <w:tr w14:paraId="0AC3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019EB17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w:t>
            </w:r>
          </w:p>
        </w:tc>
        <w:tc>
          <w:tcPr>
            <w:tcW w:w="3912" w:type="dxa"/>
            <w:tcBorders>
              <w:left w:val="single" w:color="auto" w:sz="4" w:space="0"/>
              <w:right w:val="single" w:color="auto" w:sz="4" w:space="0"/>
            </w:tcBorders>
          </w:tcPr>
          <w:p w14:paraId="4EDD7A2A">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无线传输</w:t>
            </w:r>
          </w:p>
        </w:tc>
        <w:tc>
          <w:tcPr>
            <w:tcW w:w="5072" w:type="dxa"/>
          </w:tcPr>
          <w:p w14:paraId="6E8E99C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支持图像无线传输到监护中央工作站</w:t>
            </w:r>
          </w:p>
        </w:tc>
      </w:tr>
      <w:tr w14:paraId="500D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1A37B67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p>
        </w:tc>
        <w:tc>
          <w:tcPr>
            <w:tcW w:w="3912" w:type="dxa"/>
            <w:tcBorders>
              <w:left w:val="single" w:color="auto" w:sz="4" w:space="0"/>
              <w:right w:val="single" w:color="auto" w:sz="4" w:space="0"/>
            </w:tcBorders>
            <w:shd w:val="solid" w:color="FFFFFF" w:fill="auto"/>
            <w:vAlign w:val="top"/>
          </w:tcPr>
          <w:p w14:paraId="07E5F419">
            <w:pPr>
              <w:numPr>
                <w:ilvl w:val="0"/>
                <w:numId w:val="0"/>
              </w:numPr>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机器类别</w:t>
            </w:r>
          </w:p>
        </w:tc>
        <w:tc>
          <w:tcPr>
            <w:tcW w:w="5072" w:type="dxa"/>
            <w:shd w:val="solid" w:color="FFFFFF" w:fill="auto"/>
            <w:vAlign w:val="top"/>
          </w:tcPr>
          <w:p w14:paraId="11878EC1">
            <w:pPr>
              <w:spacing w:beforeLines="0" w:afterLine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主机注册证管理类别为第三类注册，符合医疗器械分类目录的第三类要求</w:t>
            </w:r>
          </w:p>
        </w:tc>
      </w:tr>
      <w:tr w14:paraId="2BF2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75B0BD43">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p>
        </w:tc>
        <w:tc>
          <w:tcPr>
            <w:tcW w:w="3912" w:type="dxa"/>
            <w:tcBorders>
              <w:left w:val="single" w:color="auto" w:sz="4" w:space="0"/>
              <w:right w:val="single" w:color="auto" w:sz="4" w:space="0"/>
            </w:tcBorders>
          </w:tcPr>
          <w:p w14:paraId="735221CF">
            <w:pPr>
              <w:numPr>
                <w:ilvl w:val="0"/>
                <w:numId w:val="0"/>
              </w:numPr>
              <w:spacing w:line="276" w:lineRule="auto"/>
              <w:ind w:left="425" w:leftChars="0" w:hanging="425" w:firstLineChars="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配置</w:t>
            </w:r>
          </w:p>
        </w:tc>
        <w:tc>
          <w:tcPr>
            <w:tcW w:w="5072" w:type="dxa"/>
          </w:tcPr>
          <w:p w14:paraId="6995187F">
            <w:pPr>
              <w:rPr>
                <w:rFonts w:hint="eastAsia" w:ascii="宋体" w:hAnsi="宋体" w:eastAsia="宋体" w:cs="宋体"/>
                <w:color w:val="auto"/>
                <w:sz w:val="24"/>
                <w:szCs w:val="24"/>
                <w:highlight w:val="none"/>
                <w:lang w:val="en-US" w:eastAsia="zh-CN"/>
              </w:rPr>
            </w:pPr>
          </w:p>
        </w:tc>
      </w:tr>
      <w:tr w14:paraId="1FFF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930" w:type="dxa"/>
            <w:tcBorders>
              <w:left w:val="single" w:color="auto" w:sz="4" w:space="0"/>
              <w:right w:val="single" w:color="auto" w:sz="4" w:space="0"/>
            </w:tcBorders>
          </w:tcPr>
          <w:p w14:paraId="3A5B7FDF">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53</w:t>
            </w:r>
          </w:p>
        </w:tc>
        <w:tc>
          <w:tcPr>
            <w:tcW w:w="3912" w:type="dxa"/>
            <w:tcBorders>
              <w:left w:val="single" w:color="auto" w:sz="4" w:space="0"/>
              <w:right w:val="single" w:color="auto" w:sz="4" w:space="0"/>
            </w:tcBorders>
          </w:tcPr>
          <w:p w14:paraId="06848867">
            <w:pPr>
              <w:numPr>
                <w:ilvl w:val="0"/>
                <w:numId w:val="0"/>
              </w:num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探头配置（</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把）</w:t>
            </w:r>
          </w:p>
        </w:tc>
        <w:tc>
          <w:tcPr>
            <w:tcW w:w="5072" w:type="dxa"/>
          </w:tcPr>
          <w:p w14:paraId="0E5A41D4">
            <w:pP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单晶体凸阵探头（1.5-6.0MHz）、电子线阵探头（4.0-12.0MHz）、单晶体相控阵探头（1.5-4.5MHz）、电子经食道探头（3.0-7.0MHz）、同品牌无线探头（2.0-5.0MHz）</w:t>
            </w:r>
          </w:p>
        </w:tc>
      </w:tr>
    </w:tbl>
    <w:p w14:paraId="684DC8D2">
      <w:pPr>
        <w:rPr>
          <w:rFonts w:hint="eastAsia" w:ascii="宋体" w:hAnsi="宋体" w:eastAsia="宋体" w:cs="宋体"/>
          <w:color w:val="auto"/>
          <w:highlight w:val="none"/>
        </w:rPr>
      </w:pPr>
    </w:p>
    <w:p w14:paraId="52DF00D4">
      <w:pPr>
        <w:rPr>
          <w:rFonts w:hint="eastAsia" w:ascii="宋体" w:hAnsi="宋体" w:eastAsia="宋体" w:cs="宋体"/>
          <w:color w:val="auto"/>
          <w:highlight w:val="none"/>
        </w:rPr>
      </w:pPr>
    </w:p>
    <w:p w14:paraId="72540685">
      <w:pPr>
        <w:pStyle w:val="4"/>
        <w:widowControl/>
        <w:snapToGrid w:val="0"/>
        <w:spacing w:line="360" w:lineRule="auto"/>
        <w:outlineLvl w:val="1"/>
        <w:rPr>
          <w:rFonts w:hint="eastAsia" w:ascii="仿宋" w:hAnsi="仿宋" w:eastAsia="仿宋" w:cs="仿宋"/>
          <w:b/>
          <w:bCs/>
          <w:color w:val="auto"/>
          <w:sz w:val="24"/>
          <w:highlight w:val="none"/>
        </w:rPr>
      </w:pPr>
      <w:r>
        <w:rPr>
          <w:rStyle w:val="7"/>
          <w:rFonts w:hint="eastAsia" w:ascii="宋体" w:hAnsi="宋体" w:eastAsia="仿宋"/>
          <w:color w:val="auto"/>
          <w:sz w:val="24"/>
          <w:szCs w:val="24"/>
          <w:highlight w:val="none"/>
          <w:lang w:val="en-US" w:eastAsia="zh-CN"/>
        </w:rPr>
        <w:t>5、</w:t>
      </w:r>
      <w:r>
        <w:rPr>
          <w:rStyle w:val="7"/>
          <w:rFonts w:hint="eastAsia" w:ascii="宋体" w:hAnsi="宋体" w:eastAsia="仿宋"/>
          <w:color w:val="auto"/>
          <w:sz w:val="24"/>
          <w:szCs w:val="24"/>
          <w:highlight w:val="none"/>
        </w:rPr>
        <w:t>售后</w:t>
      </w:r>
      <w:r>
        <w:rPr>
          <w:rStyle w:val="7"/>
          <w:rFonts w:hint="eastAsia" w:ascii="宋体" w:hAnsi="宋体" w:eastAsia="仿宋"/>
          <w:color w:val="auto"/>
          <w:sz w:val="24"/>
          <w:szCs w:val="24"/>
          <w:highlight w:val="none"/>
          <w:lang w:val="en-US" w:eastAsia="zh-CN"/>
        </w:rPr>
        <w:t>要求</w:t>
      </w:r>
      <w:r>
        <w:rPr>
          <w:rStyle w:val="7"/>
          <w:rFonts w:hint="eastAsia" w:ascii="宋体" w:hAnsi="宋体" w:eastAsia="仿宋"/>
          <w:color w:val="auto"/>
          <w:sz w:val="24"/>
          <w:szCs w:val="24"/>
          <w:highlight w:val="none"/>
        </w:rPr>
        <w:t>：</w:t>
      </w:r>
    </w:p>
    <w:p w14:paraId="281DD33A">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5.1.</w:t>
      </w:r>
      <w:r>
        <w:rPr>
          <w:rFonts w:hint="eastAsia" w:ascii="仿宋" w:hAnsi="仿宋" w:eastAsia="仿宋" w:cs="仿宋"/>
          <w:bCs/>
          <w:color w:val="auto"/>
          <w:sz w:val="24"/>
          <w:highlight w:val="none"/>
        </w:rPr>
        <w:t>整机原厂质保≥</w:t>
      </w:r>
      <w:r>
        <w:rPr>
          <w:rFonts w:hint="eastAsia" w:ascii="仿宋" w:hAnsi="仿宋" w:eastAsia="仿宋" w:cs="仿宋"/>
          <w:bCs/>
          <w:color w:val="auto"/>
          <w:sz w:val="24"/>
          <w:highlight w:val="none"/>
          <w:lang w:val="en-US" w:eastAsia="zh-CN"/>
        </w:rPr>
        <w:t>7</w:t>
      </w:r>
      <w:r>
        <w:rPr>
          <w:rFonts w:hint="eastAsia" w:ascii="仿宋" w:hAnsi="仿宋" w:eastAsia="仿宋" w:cs="仿宋"/>
          <w:bCs/>
          <w:color w:val="auto"/>
          <w:sz w:val="24"/>
          <w:highlight w:val="none"/>
          <w:lang w:eastAsia="zh-CN"/>
        </w:rPr>
        <w:t>年（含探头）。</w:t>
      </w:r>
      <w:r>
        <w:rPr>
          <w:rFonts w:hint="eastAsia" w:ascii="仿宋" w:hAnsi="仿宋" w:eastAsia="仿宋" w:cs="仿宋"/>
          <w:bCs/>
          <w:color w:val="auto"/>
          <w:sz w:val="24"/>
          <w:highlight w:val="none"/>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color w:val="auto"/>
          <w:sz w:val="24"/>
          <w:szCs w:val="24"/>
          <w:highlight w:val="none"/>
        </w:rPr>
      </w:pPr>
      <w:bookmarkStart w:id="14" w:name="_Toc517011814"/>
      <w:bookmarkStart w:id="15" w:name="_Toc525819967"/>
      <w:bookmarkStart w:id="16" w:name="_Toc515539872"/>
      <w:bookmarkStart w:id="17" w:name="_Toc493432670"/>
      <w:bookmarkStart w:id="18" w:name="_Toc512611689"/>
      <w:bookmarkStart w:id="19" w:name="_Toc526265691"/>
      <w:bookmarkStart w:id="20" w:name="_Toc493440975"/>
      <w:bookmarkStart w:id="21" w:name="_Toc493440807"/>
      <w:bookmarkStart w:id="22" w:name="_Toc512544434"/>
      <w:r>
        <w:rPr>
          <w:rFonts w:hint="eastAsia" w:hAnsi="宋体" w:eastAsia="仿宋"/>
          <w:b/>
          <w:bCs/>
          <w:color w:val="auto"/>
          <w:sz w:val="24"/>
          <w:szCs w:val="24"/>
          <w:highlight w:val="none"/>
          <w:lang w:val="en-US" w:eastAsia="zh-CN"/>
        </w:rPr>
        <w:t>5.2.</w:t>
      </w:r>
      <w:r>
        <w:rPr>
          <w:rFonts w:hint="eastAsia" w:hAnsi="宋体" w:eastAsia="仿宋"/>
          <w:b/>
          <w:bCs/>
          <w:color w:val="auto"/>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color w:val="auto"/>
          <w:sz w:val="24"/>
          <w:szCs w:val="24"/>
          <w:highlight w:val="none"/>
        </w:rPr>
      </w:pPr>
      <w:bookmarkStart w:id="23" w:name="_Toc493432672"/>
      <w:bookmarkStart w:id="24" w:name="_Toc526265693"/>
      <w:bookmarkStart w:id="25" w:name="_Toc493440809"/>
      <w:bookmarkStart w:id="26" w:name="_Toc515539874"/>
      <w:bookmarkStart w:id="27" w:name="_Toc512611691"/>
      <w:bookmarkStart w:id="28" w:name="_Toc517011816"/>
      <w:bookmarkStart w:id="29" w:name="_Toc525819969"/>
      <w:bookmarkStart w:id="30" w:name="_Toc493440977"/>
      <w:bookmarkStart w:id="31" w:name="_Toc512544436"/>
      <w:r>
        <w:rPr>
          <w:rFonts w:hint="eastAsia" w:hAnsi="宋体" w:eastAsia="仿宋"/>
          <w:b/>
          <w:bCs/>
          <w:color w:val="auto"/>
          <w:sz w:val="24"/>
          <w:szCs w:val="24"/>
          <w:highlight w:val="none"/>
          <w:lang w:val="en-US" w:eastAsia="zh-CN"/>
        </w:rPr>
        <w:t>5.3.</w:t>
      </w:r>
      <w:r>
        <w:rPr>
          <w:rFonts w:hint="eastAsia" w:hAnsi="宋体" w:eastAsia="仿宋"/>
          <w:b/>
          <w:bCs/>
          <w:color w:val="auto"/>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color w:val="auto"/>
          <w:sz w:val="24"/>
          <w:highlight w:val="none"/>
          <w:lang w:val="en-US" w:eastAsia="zh-CN"/>
        </w:rPr>
      </w:pPr>
      <w:r>
        <w:rPr>
          <w:rFonts w:hint="eastAsia" w:eastAsia="仿宋"/>
          <w:color w:val="auto"/>
          <w:sz w:val="24"/>
          <w:highlight w:val="none"/>
        </w:rPr>
        <w:t>中标人</w:t>
      </w:r>
      <w:r>
        <w:rPr>
          <w:rFonts w:eastAsia="仿宋"/>
          <w:color w:val="auto"/>
          <w:sz w:val="24"/>
          <w:highlight w:val="none"/>
        </w:rPr>
        <w:t>提供的技术人员、工具、备件和联系方式，质量保证期服务响应、到达现场和解决问题的时限</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技术人员的交通、食宿费用承担主体，</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5.4.</w:t>
      </w:r>
      <w:r>
        <w:rPr>
          <w:rFonts w:hint="eastAsia" w:ascii="宋体" w:hAnsi="宋体" w:eastAsia="仿宋" w:cs="Times New Roman"/>
          <w:b/>
          <w:bCs/>
          <w:color w:val="auto"/>
          <w:sz w:val="24"/>
          <w:szCs w:val="24"/>
          <w:highlight w:val="none"/>
        </w:rPr>
        <w:t xml:space="preserve"> </w:t>
      </w:r>
      <w:r>
        <w:rPr>
          <w:rFonts w:hint="eastAsia" w:ascii="宋体" w:hAnsi="宋体" w:eastAsia="仿宋" w:cs="Times New Roman"/>
          <w:b/>
          <w:bCs/>
          <w:color w:val="auto"/>
          <w:sz w:val="24"/>
          <w:szCs w:val="24"/>
          <w:highlight w:val="none"/>
          <w:lang w:val="en-US" w:eastAsia="zh-CN"/>
        </w:rPr>
        <w:t>技术培训</w:t>
      </w:r>
      <w:r>
        <w:rPr>
          <w:rFonts w:hint="eastAsia" w:ascii="宋体" w:hAnsi="宋体" w:eastAsia="仿宋" w:cs="Times New Roman"/>
          <w:b/>
          <w:bCs/>
          <w:color w:val="auto"/>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7"/>
          <w:rFonts w:hint="eastAsia" w:ascii="宋体" w:hAnsi="宋体" w:eastAsia="仿宋"/>
          <w:color w:val="auto"/>
          <w:sz w:val="24"/>
          <w:szCs w:val="24"/>
          <w:highlight w:val="none"/>
          <w:lang w:val="en-US" w:eastAsia="zh-CN"/>
        </w:rPr>
      </w:pPr>
      <w:r>
        <w:rPr>
          <w:rStyle w:val="7"/>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6.1.</w:t>
      </w:r>
      <w:r>
        <w:rPr>
          <w:rFonts w:hint="eastAsia" w:eastAsia="仿宋"/>
          <w:color w:val="auto"/>
          <w:sz w:val="24"/>
          <w:highlight w:val="none"/>
        </w:rPr>
        <w:t xml:space="preserve"> 本项目如涉及与</w:t>
      </w:r>
      <w:r>
        <w:rPr>
          <w:rFonts w:hint="eastAsia" w:eastAsia="仿宋"/>
          <w:color w:val="auto"/>
          <w:sz w:val="24"/>
          <w:highlight w:val="none"/>
          <w:lang w:val="en-US" w:eastAsia="zh-CN"/>
        </w:rPr>
        <w:t>院方</w:t>
      </w:r>
      <w:r>
        <w:rPr>
          <w:rFonts w:hint="eastAsia" w:eastAsia="仿宋"/>
          <w:color w:val="auto"/>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color w:val="auto"/>
          <w:sz w:val="24"/>
          <w:highlight w:val="none"/>
          <w:lang w:val="en-US" w:eastAsia="zh-CN"/>
        </w:rPr>
        <w:t>院方</w:t>
      </w:r>
      <w:r>
        <w:rPr>
          <w:rFonts w:hint="eastAsia" w:eastAsia="仿宋"/>
          <w:color w:val="auto"/>
          <w:sz w:val="24"/>
          <w:highlight w:val="none"/>
        </w:rPr>
        <w:t>不再为此支付任何费用。</w:t>
      </w:r>
    </w:p>
    <w:p w14:paraId="3C3BB827">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 xml:space="preserve"> 履约验收方式</w:t>
      </w:r>
    </w:p>
    <w:p w14:paraId="4A71A863">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6.2.1</w:t>
      </w:r>
      <w:r>
        <w:rPr>
          <w:rFonts w:eastAsia="仿宋"/>
          <w:color w:val="auto"/>
          <w:sz w:val="24"/>
          <w:highlight w:val="none"/>
        </w:rPr>
        <w:t>履约验收主体：设备使用</w:t>
      </w:r>
      <w:r>
        <w:rPr>
          <w:rFonts w:hint="eastAsia" w:eastAsia="仿宋"/>
          <w:color w:val="auto"/>
          <w:sz w:val="24"/>
          <w:highlight w:val="none"/>
        </w:rPr>
        <w:t>单位</w:t>
      </w:r>
      <w:r>
        <w:rPr>
          <w:rFonts w:eastAsia="仿宋"/>
          <w:color w:val="auto"/>
          <w:sz w:val="24"/>
          <w:highlight w:val="none"/>
        </w:rPr>
        <w:t>、中标人。同时使用</w:t>
      </w:r>
      <w:r>
        <w:rPr>
          <w:rFonts w:hint="eastAsia" w:eastAsia="仿宋"/>
          <w:color w:val="auto"/>
          <w:sz w:val="24"/>
          <w:highlight w:val="none"/>
        </w:rPr>
        <w:t>单位</w:t>
      </w:r>
      <w:r>
        <w:rPr>
          <w:rFonts w:eastAsia="仿宋"/>
          <w:color w:val="auto"/>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.2</w:t>
      </w:r>
      <w:r>
        <w:rPr>
          <w:rFonts w:eastAsia="仿宋"/>
          <w:color w:val="auto"/>
          <w:sz w:val="24"/>
          <w:highlight w:val="none"/>
        </w:rPr>
        <w:t>履约验收时间及程序：</w:t>
      </w:r>
    </w:p>
    <w:p w14:paraId="307D7150">
      <w:pPr>
        <w:spacing w:line="360" w:lineRule="auto"/>
        <w:ind w:firstLine="480" w:firstLineChars="200"/>
        <w:jc w:val="left"/>
        <w:rPr>
          <w:rFonts w:eastAsia="仿宋"/>
          <w:color w:val="auto"/>
          <w:sz w:val="24"/>
          <w:highlight w:val="none"/>
        </w:rPr>
      </w:pPr>
      <w:r>
        <w:rPr>
          <w:rFonts w:eastAsia="仿宋"/>
          <w:color w:val="auto"/>
          <w:sz w:val="24"/>
          <w:highlight w:val="none"/>
        </w:rPr>
        <w:t>（1）到货检验：货物运抵使用</w:t>
      </w:r>
      <w:r>
        <w:rPr>
          <w:rFonts w:hint="eastAsia" w:eastAsia="仿宋"/>
          <w:color w:val="auto"/>
          <w:sz w:val="24"/>
          <w:highlight w:val="none"/>
        </w:rPr>
        <w:t>单位所在地点或使用单位指定地点</w:t>
      </w:r>
      <w:r>
        <w:rPr>
          <w:rFonts w:eastAsia="仿宋"/>
          <w:color w:val="auto"/>
          <w:sz w:val="24"/>
          <w:highlight w:val="none"/>
        </w:rPr>
        <w:t>后，由使用</w:t>
      </w:r>
      <w:r>
        <w:rPr>
          <w:rFonts w:hint="eastAsia" w:eastAsia="仿宋"/>
          <w:color w:val="auto"/>
          <w:sz w:val="24"/>
          <w:highlight w:val="none"/>
        </w:rPr>
        <w:t>单位</w:t>
      </w:r>
      <w:r>
        <w:rPr>
          <w:rFonts w:eastAsia="仿宋"/>
          <w:color w:val="auto"/>
          <w:sz w:val="24"/>
          <w:highlight w:val="none"/>
        </w:rPr>
        <w:t>及中标人共同开箱对照采购清单进行到货验收。</w:t>
      </w:r>
    </w:p>
    <w:p w14:paraId="6B76DCFD">
      <w:pPr>
        <w:spacing w:line="360" w:lineRule="auto"/>
        <w:ind w:firstLine="480" w:firstLineChars="200"/>
        <w:jc w:val="left"/>
        <w:rPr>
          <w:rFonts w:eastAsia="仿宋"/>
          <w:color w:val="auto"/>
          <w:sz w:val="24"/>
          <w:highlight w:val="none"/>
        </w:rPr>
      </w:pPr>
      <w:r>
        <w:rPr>
          <w:rFonts w:eastAsia="仿宋"/>
          <w:color w:val="auto"/>
          <w:sz w:val="24"/>
          <w:highlight w:val="none"/>
        </w:rPr>
        <w:t>（2）安装调试检验：中标人将设备安装、调试完成后，由使用</w:t>
      </w:r>
      <w:r>
        <w:rPr>
          <w:rFonts w:hint="eastAsia" w:eastAsia="仿宋"/>
          <w:color w:val="auto"/>
          <w:sz w:val="24"/>
          <w:highlight w:val="none"/>
        </w:rPr>
        <w:t>单位</w:t>
      </w:r>
      <w:r>
        <w:rPr>
          <w:rFonts w:eastAsia="仿宋"/>
          <w:color w:val="auto"/>
          <w:sz w:val="24"/>
          <w:highlight w:val="none"/>
        </w:rPr>
        <w:t>组织验收人员对安装调试情况进行验收。</w:t>
      </w:r>
    </w:p>
    <w:p w14:paraId="6DE51484">
      <w:pPr>
        <w:spacing w:line="360" w:lineRule="auto"/>
        <w:ind w:firstLine="480" w:firstLineChars="200"/>
        <w:jc w:val="left"/>
        <w:rPr>
          <w:rFonts w:eastAsia="仿宋"/>
          <w:color w:val="auto"/>
          <w:sz w:val="24"/>
          <w:highlight w:val="none"/>
        </w:rPr>
      </w:pPr>
      <w:r>
        <w:rPr>
          <w:rFonts w:eastAsia="仿宋"/>
          <w:color w:val="auto"/>
          <w:sz w:val="24"/>
          <w:highlight w:val="none"/>
        </w:rPr>
        <w:t>（3）最终验收：由使用</w:t>
      </w:r>
      <w:r>
        <w:rPr>
          <w:rFonts w:hint="eastAsia" w:eastAsia="仿宋"/>
          <w:color w:val="auto"/>
          <w:sz w:val="24"/>
          <w:highlight w:val="none"/>
        </w:rPr>
        <w:t>单位</w:t>
      </w:r>
      <w:r>
        <w:rPr>
          <w:rFonts w:eastAsia="仿宋"/>
          <w:color w:val="auto"/>
          <w:sz w:val="24"/>
          <w:highlight w:val="none"/>
        </w:rPr>
        <w:t>组织验收人员进行最终验收。</w:t>
      </w:r>
    </w:p>
    <w:p w14:paraId="541A0037">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.3</w:t>
      </w:r>
      <w:r>
        <w:rPr>
          <w:rFonts w:eastAsia="仿宋"/>
          <w:color w:val="auto"/>
          <w:sz w:val="24"/>
          <w:highlight w:val="none"/>
        </w:rPr>
        <w:t>履约验收内容</w:t>
      </w:r>
    </w:p>
    <w:p w14:paraId="61F40DC6">
      <w:pPr>
        <w:spacing w:line="360" w:lineRule="auto"/>
        <w:ind w:firstLine="480" w:firstLineChars="200"/>
        <w:jc w:val="left"/>
        <w:rPr>
          <w:rFonts w:eastAsia="仿宋"/>
          <w:color w:val="auto"/>
          <w:sz w:val="24"/>
          <w:highlight w:val="none"/>
        </w:rPr>
      </w:pPr>
      <w:r>
        <w:rPr>
          <w:rFonts w:eastAsia="仿宋"/>
          <w:color w:val="auto"/>
          <w:sz w:val="24"/>
          <w:highlight w:val="none"/>
        </w:rPr>
        <w:t>验收内容包括招标文件中的每一项技术和商务要求的履约情况。</w:t>
      </w:r>
    </w:p>
    <w:p w14:paraId="46B31F9F">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.4</w:t>
      </w:r>
      <w:r>
        <w:rPr>
          <w:rFonts w:eastAsia="仿宋"/>
          <w:color w:val="auto"/>
          <w:sz w:val="24"/>
          <w:highlight w:val="none"/>
        </w:rPr>
        <w:t>履约验收验收标准</w:t>
      </w:r>
    </w:p>
    <w:p w14:paraId="4D6FC694">
      <w:pPr>
        <w:spacing w:line="360" w:lineRule="auto"/>
        <w:ind w:firstLine="480" w:firstLineChars="200"/>
        <w:jc w:val="left"/>
        <w:rPr>
          <w:rFonts w:hint="eastAsia" w:eastAsia="仿宋"/>
          <w:color w:val="auto"/>
          <w:sz w:val="24"/>
          <w:highlight w:val="none"/>
        </w:rPr>
      </w:pPr>
      <w:r>
        <w:rPr>
          <w:rFonts w:eastAsia="仿宋"/>
          <w:color w:val="auto"/>
          <w:sz w:val="24"/>
          <w:highlight w:val="none"/>
        </w:rPr>
        <w:t>招标文件、中标人的投标文件、合同及国家有关的质量标准规定，均为验收标准及依据</w:t>
      </w:r>
      <w:r>
        <w:rPr>
          <w:rFonts w:hint="eastAsia" w:eastAsia="仿宋"/>
          <w:color w:val="auto"/>
          <w:sz w:val="24"/>
          <w:highlight w:val="none"/>
        </w:rPr>
        <w:t>。</w:t>
      </w:r>
    </w:p>
    <w:p w14:paraId="47E9196E">
      <w:pPr>
        <w:spacing w:line="360" w:lineRule="auto"/>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6.3</w:t>
      </w:r>
      <w:r>
        <w:rPr>
          <w:rFonts w:hint="eastAsia" w:eastAsia="仿宋"/>
          <w:color w:val="auto"/>
          <w:sz w:val="24"/>
          <w:highlight w:val="none"/>
          <w:lang w:eastAsia="zh-CN"/>
        </w:rPr>
        <w:t>.</w:t>
      </w:r>
      <w:r>
        <w:rPr>
          <w:rFonts w:hint="eastAsia" w:eastAsia="仿宋"/>
          <w:color w:val="auto"/>
          <w:sz w:val="24"/>
          <w:highlight w:val="none"/>
          <w:lang w:val="en-US" w:eastAsia="zh-CN"/>
        </w:rPr>
        <w:t>应急服务要求：中标人</w:t>
      </w:r>
      <w:r>
        <w:rPr>
          <w:rFonts w:hint="eastAsia" w:eastAsia="仿宋"/>
          <w:color w:val="auto"/>
          <w:sz w:val="24"/>
          <w:highlight w:val="none"/>
        </w:rPr>
        <w:t>应在中国境内方便的地点设置备件库，存入必须的备件，保证10年</w:t>
      </w:r>
      <w:r>
        <w:rPr>
          <w:rFonts w:hint="eastAsia" w:eastAsia="仿宋"/>
          <w:color w:val="auto"/>
          <w:sz w:val="24"/>
          <w:highlight w:val="none"/>
          <w:lang w:val="en-US" w:eastAsia="zh-CN"/>
        </w:rPr>
        <w:t>以上</w:t>
      </w:r>
      <w:r>
        <w:rPr>
          <w:rFonts w:hint="eastAsia" w:eastAsia="仿宋"/>
          <w:color w:val="auto"/>
          <w:sz w:val="24"/>
          <w:highlight w:val="none"/>
        </w:rPr>
        <w:t>零部件供应期</w:t>
      </w:r>
      <w:r>
        <w:rPr>
          <w:rFonts w:hint="eastAsia" w:eastAsia="仿宋"/>
          <w:color w:val="auto"/>
          <w:sz w:val="24"/>
          <w:highlight w:val="none"/>
          <w:lang w:eastAsia="zh-CN"/>
        </w:rPr>
        <w:t>，</w:t>
      </w:r>
      <w:r>
        <w:rPr>
          <w:rFonts w:hint="eastAsia" w:eastAsia="仿宋"/>
          <w:color w:val="auto"/>
          <w:sz w:val="24"/>
          <w:highlight w:val="none"/>
          <w:lang w:val="en-US" w:eastAsia="zh-CN"/>
        </w:rPr>
        <w:t>中标人应对设备故障等突发状况及时响应。</w:t>
      </w:r>
      <w:r>
        <w:rPr>
          <w:rFonts w:hint="eastAsia" w:ascii="Times New Roman" w:hAnsi="Times New Roman" w:eastAsia="仿宋" w:cs="Times New Roman"/>
          <w:color w:val="auto"/>
          <w:sz w:val="24"/>
          <w:highlight w:val="none"/>
        </w:rPr>
        <w:t>若24小时内未修复设备故障，提供备用设备</w:t>
      </w:r>
      <w:r>
        <w:rPr>
          <w:rFonts w:hint="eastAsia" w:ascii="Times New Roman" w:hAnsi="Times New Roman" w:eastAsia="仿宋" w:cs="Times New Roman"/>
          <w:color w:val="auto"/>
          <w:sz w:val="24"/>
          <w:highlight w:val="none"/>
          <w:lang w:val="en-US" w:eastAsia="zh-CN"/>
        </w:rPr>
        <w:t>供院方使用。</w:t>
      </w:r>
    </w:p>
    <w:p w14:paraId="6F5B6E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6.4 </w:t>
      </w:r>
      <w:r>
        <w:rPr>
          <w:rFonts w:hint="eastAsia" w:eastAsia="仿宋"/>
          <w:color w:val="auto"/>
          <w:sz w:val="24"/>
          <w:highlight w:val="none"/>
        </w:rPr>
        <w:t>安装调试、验收试验及质量保证</w:t>
      </w:r>
    </w:p>
    <w:p w14:paraId="661D6D1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6.4.1</w:t>
      </w:r>
      <w:r>
        <w:rPr>
          <w:rFonts w:hint="eastAsia" w:eastAsia="仿宋"/>
          <w:color w:val="auto"/>
          <w:sz w:val="24"/>
          <w:highlight w:val="none"/>
        </w:rPr>
        <w:t>中标人在设备安装地点负责安装、调试。</w:t>
      </w:r>
    </w:p>
    <w:p w14:paraId="0A8E27A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6.4.2</w:t>
      </w:r>
      <w:r>
        <w:rPr>
          <w:rFonts w:hint="eastAsia" w:eastAsia="仿宋"/>
          <w:color w:val="auto"/>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1）</w:t>
      </w:r>
      <w:r>
        <w:rPr>
          <w:rFonts w:hint="eastAsia" w:eastAsia="仿宋"/>
          <w:color w:val="auto"/>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2）</w:t>
      </w:r>
      <w:r>
        <w:rPr>
          <w:rFonts w:hint="eastAsia" w:eastAsia="仿宋"/>
          <w:color w:val="auto"/>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3）</w:t>
      </w:r>
      <w:r>
        <w:rPr>
          <w:rFonts w:hint="eastAsia" w:eastAsia="仿宋"/>
          <w:color w:val="auto"/>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4）</w:t>
      </w:r>
      <w:r>
        <w:rPr>
          <w:rFonts w:hint="eastAsia" w:eastAsia="仿宋"/>
          <w:color w:val="auto"/>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5）</w:t>
      </w:r>
      <w:r>
        <w:rPr>
          <w:rFonts w:hint="eastAsia" w:eastAsia="仿宋"/>
          <w:color w:val="auto"/>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6.4.3</w:t>
      </w:r>
      <w:r>
        <w:rPr>
          <w:rFonts w:hint="eastAsia" w:eastAsia="仿宋"/>
          <w:color w:val="auto"/>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6.5. </w:t>
      </w:r>
      <w:r>
        <w:rPr>
          <w:rFonts w:hint="eastAsia" w:eastAsia="仿宋"/>
          <w:color w:val="auto"/>
          <w:sz w:val="24"/>
          <w:highlight w:val="none"/>
        </w:rPr>
        <w:t>包装运输</w:t>
      </w:r>
    </w:p>
    <w:p w14:paraId="273164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6.5.1</w:t>
      </w:r>
      <w:r>
        <w:rPr>
          <w:rFonts w:hint="eastAsia" w:eastAsia="仿宋"/>
          <w:color w:val="auto"/>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6.5.2</w:t>
      </w:r>
      <w:r>
        <w:rPr>
          <w:rFonts w:hint="eastAsia" w:eastAsia="仿宋"/>
          <w:color w:val="auto"/>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6.5.3</w:t>
      </w:r>
      <w:r>
        <w:rPr>
          <w:rFonts w:hint="eastAsia" w:eastAsia="仿宋"/>
          <w:color w:val="auto"/>
          <w:sz w:val="24"/>
          <w:highlight w:val="none"/>
        </w:rPr>
        <w:t>在包装箱外应标明采购人的订货号、发货号。</w:t>
      </w:r>
    </w:p>
    <w:p w14:paraId="0BE10648">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6.5.4</w:t>
      </w:r>
      <w:r>
        <w:rPr>
          <w:rFonts w:hint="eastAsia" w:eastAsia="仿宋"/>
          <w:color w:val="auto"/>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6.5.5</w:t>
      </w:r>
      <w:r>
        <w:rPr>
          <w:rFonts w:hint="eastAsia" w:eastAsia="仿宋"/>
          <w:color w:val="auto"/>
          <w:sz w:val="24"/>
          <w:highlight w:val="none"/>
        </w:rPr>
        <w:t>包装箱上应有明显的包装储运图示标志。</w:t>
      </w:r>
    </w:p>
    <w:p w14:paraId="28B526F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6.5.6</w:t>
      </w:r>
      <w:r>
        <w:rPr>
          <w:rFonts w:hint="eastAsia" w:eastAsia="仿宋"/>
          <w:color w:val="auto"/>
          <w:sz w:val="24"/>
          <w:highlight w:val="none"/>
        </w:rPr>
        <w:t>整体产品或分别运输的部件都要适应运输和装载的要求。</w:t>
      </w:r>
    </w:p>
    <w:p w14:paraId="0D0F356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6.5.7</w:t>
      </w:r>
      <w:r>
        <w:rPr>
          <w:rFonts w:hint="eastAsia" w:eastAsia="仿宋"/>
          <w:color w:val="auto"/>
          <w:sz w:val="24"/>
          <w:highlight w:val="none"/>
        </w:rPr>
        <w:t>随产品提供的技术资料应完整无缺。</w:t>
      </w:r>
    </w:p>
    <w:p w14:paraId="7AA39B5B">
      <w:pPr>
        <w:spacing w:line="360" w:lineRule="auto"/>
        <w:ind w:firstLine="480" w:firstLineChars="200"/>
        <w:jc w:val="left"/>
        <w:rPr>
          <w:rFonts w:hint="eastAsia" w:eastAsia="仿宋"/>
          <w:color w:val="auto"/>
          <w:sz w:val="24"/>
          <w:highlight w:val="none"/>
          <w:lang w:val="en-US" w:eastAsia="zh-CN"/>
        </w:rPr>
      </w:pPr>
      <w:r>
        <w:rPr>
          <w:rFonts w:hint="eastAsia" w:eastAsia="仿宋"/>
          <w:color w:val="auto"/>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28194542">
      <w:r>
        <w:rPr>
          <w:rFonts w:hint="eastAsia" w:ascii="宋体" w:hAnsi="宋体" w:eastAsia="仿宋"/>
          <w:color w:val="auto"/>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31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2025-11-03T10:25:44Z</dcterms:created>
  <dc:creator>Lenovo</dc:creator>
  <cp:lastModifiedBy>Mouns-J</cp:lastModifiedBy>
  <dcterms:modified xsi:type="dcterms:W3CDTF">2025-11-03T10:26:17Z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4F47BE34AA97427B8BA3163F285E94EC_12</vt:lpwstr>
  </property>
</Properties>
</file>