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8DF492C">
      <w:pPr>
        <w:spacing w:line="360" w:lineRule="auto"/>
        <w:jc w:val="center"/>
        <w:outlineLvl w:val="0"/>
        <w:rPr>
          <w:rFonts w:asciiTheme="minorEastAsia" w:hAnsiTheme="minorEastAsia" w:eastAsiaTheme="minorEastAsia"/>
          <w:b/>
          <w:sz w:val="28"/>
        </w:rPr>
      </w:pPr>
      <w:bookmarkStart w:id="0" w:name="_Toc13066"/>
      <w:r>
        <w:rPr>
          <w:rFonts w:hint="eastAsia" w:asciiTheme="minorEastAsia" w:hAnsiTheme="minorEastAsia" w:eastAsiaTheme="minorEastAsia"/>
          <w:b/>
          <w:sz w:val="28"/>
        </w:rPr>
        <w:t>第三章  采购需求</w:t>
      </w:r>
      <w:bookmarkEnd w:id="0"/>
    </w:p>
    <w:tbl>
      <w:tblPr>
        <w:tblStyle w:val="7"/>
        <w:tblW w:w="852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58"/>
        <w:gridCol w:w="1277"/>
        <w:gridCol w:w="6287"/>
      </w:tblGrid>
      <w:tr w14:paraId="25CA9D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58" w:type="dxa"/>
            <w:vAlign w:val="center"/>
          </w:tcPr>
          <w:p w14:paraId="7D41BF17">
            <w:pPr>
              <w:spacing w:line="360" w:lineRule="auto"/>
              <w:jc w:val="center"/>
              <w:rPr>
                <w:rFonts w:hint="eastAsia" w:asciiTheme="minorEastAsia" w:hAnsiTheme="minorEastAsia" w:eastAsiaTheme="minorEastAsia" w:cstheme="minorEastAsia"/>
                <w:b/>
                <w:kern w:val="2"/>
                <w:sz w:val="24"/>
                <w:szCs w:val="22"/>
              </w:rPr>
            </w:pPr>
            <w:r>
              <w:rPr>
                <w:rFonts w:hint="eastAsia" w:asciiTheme="minorEastAsia" w:hAnsiTheme="minorEastAsia" w:eastAsiaTheme="minorEastAsia" w:cstheme="minorEastAsia"/>
                <w:b/>
                <w:kern w:val="2"/>
                <w:sz w:val="24"/>
                <w:szCs w:val="22"/>
              </w:rPr>
              <w:t>序号</w:t>
            </w:r>
          </w:p>
        </w:tc>
        <w:tc>
          <w:tcPr>
            <w:tcW w:w="1277" w:type="dxa"/>
            <w:vAlign w:val="center"/>
          </w:tcPr>
          <w:p w14:paraId="17FB7018">
            <w:pPr>
              <w:spacing w:line="360" w:lineRule="auto"/>
              <w:ind w:firstLine="435"/>
              <w:jc w:val="center"/>
              <w:rPr>
                <w:rFonts w:hint="eastAsia" w:asciiTheme="minorEastAsia" w:hAnsiTheme="minorEastAsia" w:eastAsiaTheme="minorEastAsia" w:cstheme="minorEastAsia"/>
                <w:b/>
                <w:kern w:val="2"/>
                <w:sz w:val="24"/>
                <w:szCs w:val="22"/>
              </w:rPr>
            </w:pPr>
            <w:r>
              <w:rPr>
                <w:rFonts w:hint="eastAsia" w:asciiTheme="minorEastAsia" w:hAnsiTheme="minorEastAsia" w:eastAsiaTheme="minorEastAsia" w:cstheme="minorEastAsia"/>
                <w:b/>
                <w:kern w:val="2"/>
                <w:sz w:val="24"/>
                <w:szCs w:val="22"/>
              </w:rPr>
              <w:t>内容</w:t>
            </w:r>
          </w:p>
        </w:tc>
        <w:tc>
          <w:tcPr>
            <w:tcW w:w="6287" w:type="dxa"/>
            <w:vAlign w:val="center"/>
          </w:tcPr>
          <w:p w14:paraId="4C9F51AE">
            <w:pPr>
              <w:spacing w:line="360" w:lineRule="auto"/>
              <w:ind w:firstLine="435"/>
              <w:jc w:val="center"/>
              <w:rPr>
                <w:rFonts w:hint="eastAsia" w:asciiTheme="minorEastAsia" w:hAnsiTheme="minorEastAsia" w:eastAsiaTheme="minorEastAsia" w:cstheme="minorEastAsia"/>
                <w:b/>
                <w:kern w:val="2"/>
                <w:sz w:val="24"/>
                <w:szCs w:val="22"/>
              </w:rPr>
            </w:pPr>
            <w:r>
              <w:rPr>
                <w:rFonts w:hint="eastAsia" w:asciiTheme="minorEastAsia" w:hAnsiTheme="minorEastAsia" w:eastAsiaTheme="minorEastAsia" w:cstheme="minorEastAsia"/>
                <w:b/>
                <w:kern w:val="2"/>
                <w:sz w:val="24"/>
                <w:szCs w:val="22"/>
              </w:rPr>
              <w:t>说明和要求</w:t>
            </w:r>
          </w:p>
        </w:tc>
      </w:tr>
      <w:tr w14:paraId="76EC0E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58" w:type="dxa"/>
            <w:vAlign w:val="center"/>
          </w:tcPr>
          <w:p w14:paraId="213A3D8E">
            <w:pPr>
              <w:spacing w:line="360" w:lineRule="auto"/>
              <w:jc w:val="center"/>
              <w:rPr>
                <w:rFonts w:hint="eastAsia" w:asciiTheme="minorEastAsia" w:hAnsiTheme="minorEastAsia" w:eastAsiaTheme="minorEastAsia" w:cstheme="minorEastAsia"/>
                <w:kern w:val="2"/>
                <w:sz w:val="24"/>
                <w:szCs w:val="22"/>
              </w:rPr>
            </w:pPr>
            <w:r>
              <w:rPr>
                <w:rFonts w:hint="eastAsia" w:asciiTheme="minorEastAsia" w:hAnsiTheme="minorEastAsia" w:eastAsiaTheme="minorEastAsia" w:cstheme="minorEastAsia"/>
                <w:kern w:val="2"/>
                <w:sz w:val="24"/>
                <w:szCs w:val="22"/>
              </w:rPr>
              <w:t>1</w:t>
            </w:r>
          </w:p>
        </w:tc>
        <w:tc>
          <w:tcPr>
            <w:tcW w:w="1277" w:type="dxa"/>
            <w:vAlign w:val="center"/>
          </w:tcPr>
          <w:p w14:paraId="00718A48">
            <w:pPr>
              <w:spacing w:line="360" w:lineRule="auto"/>
              <w:rPr>
                <w:rFonts w:hint="eastAsia" w:asciiTheme="minorEastAsia" w:hAnsiTheme="minorEastAsia" w:eastAsiaTheme="minorEastAsia" w:cstheme="minorEastAsia"/>
                <w:kern w:val="2"/>
                <w:sz w:val="24"/>
                <w:szCs w:val="22"/>
              </w:rPr>
            </w:pPr>
            <w:r>
              <w:rPr>
                <w:rFonts w:hint="eastAsia" w:asciiTheme="minorEastAsia" w:hAnsiTheme="minorEastAsia" w:eastAsiaTheme="minorEastAsia" w:cstheme="minorEastAsia"/>
                <w:kern w:val="2"/>
                <w:sz w:val="24"/>
                <w:szCs w:val="22"/>
              </w:rPr>
              <w:t>人员到岗及履约要求</w:t>
            </w:r>
          </w:p>
        </w:tc>
        <w:tc>
          <w:tcPr>
            <w:tcW w:w="6287" w:type="dxa"/>
            <w:vAlign w:val="center"/>
          </w:tcPr>
          <w:p w14:paraId="2E9B6E8D">
            <w:pPr>
              <w:spacing w:line="360" w:lineRule="auto"/>
              <w:rPr>
                <w:rFonts w:hint="eastAsia" w:asciiTheme="minorEastAsia" w:hAnsiTheme="minorEastAsia" w:eastAsiaTheme="minorEastAsia" w:cstheme="minorEastAsia"/>
                <w:kern w:val="2"/>
                <w:sz w:val="24"/>
                <w:szCs w:val="22"/>
              </w:rPr>
            </w:pPr>
            <w:r>
              <w:rPr>
                <w:rFonts w:hint="eastAsia" w:asciiTheme="minorEastAsia" w:hAnsiTheme="minorEastAsia" w:eastAsiaTheme="minorEastAsia" w:cstheme="minorEastAsia"/>
                <w:kern w:val="2"/>
                <w:sz w:val="24"/>
                <w:szCs w:val="22"/>
              </w:rPr>
              <w:t>（1）供应商一旦成交，磋商时所报的本项目的项目经理、施工现场技术负责人、各专业负责工程师及施工机械等在整个项目施工期内必须在位，否则采购人有权解除合同。由此造成的损失，成交供应商自行承担并赔偿可能给采购人造成的损失。</w:t>
            </w:r>
          </w:p>
          <w:p w14:paraId="630CFA7F">
            <w:pPr>
              <w:spacing w:line="360" w:lineRule="auto"/>
              <w:rPr>
                <w:rFonts w:hint="eastAsia" w:asciiTheme="minorEastAsia" w:hAnsiTheme="minorEastAsia" w:eastAsiaTheme="minorEastAsia" w:cstheme="minorEastAsia"/>
                <w:kern w:val="2"/>
                <w:sz w:val="24"/>
                <w:szCs w:val="22"/>
              </w:rPr>
            </w:pPr>
            <w:r>
              <w:rPr>
                <w:rFonts w:hint="eastAsia" w:asciiTheme="minorEastAsia" w:hAnsiTheme="minorEastAsia" w:eastAsiaTheme="minorEastAsia" w:cstheme="minorEastAsia"/>
                <w:kern w:val="2"/>
                <w:sz w:val="24"/>
                <w:szCs w:val="22"/>
              </w:rPr>
              <w:t>（2）成交供应商不得擅自更换磋商时所报项目经理及项目部主要管理人员。确需更换时，须报采购人同意，更换后人员不得低于成交供应商磋商时所报人员资质和技术水平。采购人如认为有必要，可要求对上述人员中的部分人员作出更好的调整。</w:t>
            </w:r>
          </w:p>
          <w:p w14:paraId="7261F5F2">
            <w:pPr>
              <w:spacing w:line="360" w:lineRule="auto"/>
              <w:rPr>
                <w:rFonts w:hint="eastAsia" w:asciiTheme="minorEastAsia" w:hAnsiTheme="minorEastAsia" w:eastAsiaTheme="minorEastAsia" w:cstheme="minorEastAsia"/>
                <w:kern w:val="2"/>
                <w:sz w:val="24"/>
                <w:szCs w:val="22"/>
              </w:rPr>
            </w:pPr>
            <w:r>
              <w:rPr>
                <w:rFonts w:hint="eastAsia" w:asciiTheme="minorEastAsia" w:hAnsiTheme="minorEastAsia" w:eastAsiaTheme="minorEastAsia" w:cstheme="minorEastAsia"/>
                <w:kern w:val="2"/>
                <w:sz w:val="24"/>
                <w:szCs w:val="22"/>
              </w:rPr>
              <w:t>（3）成交供应商未能按照承诺到岗尽职的，采购人将视情况严重程度对其作出相应处理，并发出整改通知。如仍未及时整改，采购人有权责令其停工整改、直至解除合同，引进新的承包人。采购人还将停止支付工程款项，扣留任何未付的工程进度款项补偿建设单位的有关损失或工期延误的损失，并就此向承包人索赔。</w:t>
            </w:r>
          </w:p>
        </w:tc>
      </w:tr>
      <w:tr w14:paraId="3DB66A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58" w:type="dxa"/>
            <w:vAlign w:val="center"/>
          </w:tcPr>
          <w:p w14:paraId="21188CC3">
            <w:pPr>
              <w:spacing w:line="360" w:lineRule="auto"/>
              <w:jc w:val="center"/>
              <w:rPr>
                <w:rFonts w:hint="eastAsia" w:asciiTheme="minorEastAsia" w:hAnsiTheme="minorEastAsia" w:eastAsiaTheme="minorEastAsia" w:cstheme="minorEastAsia"/>
                <w:kern w:val="2"/>
                <w:sz w:val="24"/>
                <w:szCs w:val="22"/>
              </w:rPr>
            </w:pPr>
            <w:r>
              <w:rPr>
                <w:rFonts w:hint="eastAsia" w:asciiTheme="minorEastAsia" w:hAnsiTheme="minorEastAsia" w:eastAsiaTheme="minorEastAsia" w:cstheme="minorEastAsia"/>
                <w:kern w:val="2"/>
                <w:sz w:val="24"/>
                <w:szCs w:val="22"/>
              </w:rPr>
              <w:t>2</w:t>
            </w:r>
          </w:p>
        </w:tc>
        <w:tc>
          <w:tcPr>
            <w:tcW w:w="1277" w:type="dxa"/>
            <w:vAlign w:val="center"/>
          </w:tcPr>
          <w:p w14:paraId="6C3EE526">
            <w:pPr>
              <w:spacing w:line="360" w:lineRule="auto"/>
              <w:rPr>
                <w:rFonts w:hint="eastAsia" w:asciiTheme="minorEastAsia" w:hAnsiTheme="minorEastAsia" w:eastAsiaTheme="minorEastAsia" w:cstheme="minorEastAsia"/>
                <w:kern w:val="2"/>
                <w:sz w:val="24"/>
                <w:szCs w:val="22"/>
              </w:rPr>
            </w:pPr>
            <w:r>
              <w:rPr>
                <w:rFonts w:hint="eastAsia" w:asciiTheme="minorEastAsia" w:hAnsiTheme="minorEastAsia" w:eastAsiaTheme="minorEastAsia" w:cstheme="minorEastAsia"/>
                <w:kern w:val="2"/>
                <w:sz w:val="24"/>
                <w:szCs w:val="22"/>
              </w:rPr>
              <w:t>材料要求</w:t>
            </w:r>
          </w:p>
        </w:tc>
        <w:tc>
          <w:tcPr>
            <w:tcW w:w="6287" w:type="dxa"/>
            <w:vAlign w:val="center"/>
          </w:tcPr>
          <w:p w14:paraId="4501D1AC">
            <w:pPr>
              <w:spacing w:line="360" w:lineRule="auto"/>
              <w:rPr>
                <w:rFonts w:hint="eastAsia" w:asciiTheme="minorEastAsia" w:hAnsiTheme="minorEastAsia" w:eastAsiaTheme="minorEastAsia" w:cstheme="minorEastAsia"/>
                <w:kern w:val="2"/>
                <w:sz w:val="24"/>
                <w:szCs w:val="22"/>
              </w:rPr>
            </w:pPr>
            <w:r>
              <w:rPr>
                <w:rFonts w:hint="eastAsia" w:asciiTheme="minorEastAsia" w:hAnsiTheme="minorEastAsia" w:eastAsiaTheme="minorEastAsia" w:cstheme="minorEastAsia"/>
                <w:kern w:val="2"/>
                <w:sz w:val="24"/>
                <w:szCs w:val="22"/>
              </w:rPr>
              <w:t>成交供应商自行采购的材料应满足设计和规范要求的质量等级，并须按有关技术规范要求对材料质量进行检验。成交供应商选定的材料供应厂家和价格须经采购人和监理单位认可。如采购人和监理单位对某种或某些材料的质量有异议，有权提出停止使用的要求，成交供应商必须服从该要求。若该材料经权威检验部门鉴定确有质量问题，由此而发生的一切费用由成交供应商自负。因成交供应商自行采购的材料质量引起的工程质量问题由成交供应商承担所造成的一切损失。</w:t>
            </w:r>
          </w:p>
        </w:tc>
      </w:tr>
      <w:tr w14:paraId="17EB13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58" w:type="dxa"/>
            <w:vAlign w:val="center"/>
          </w:tcPr>
          <w:p w14:paraId="3936CE23">
            <w:pPr>
              <w:spacing w:line="360" w:lineRule="auto"/>
              <w:jc w:val="center"/>
              <w:rPr>
                <w:rFonts w:hint="eastAsia" w:asciiTheme="minorEastAsia" w:hAnsiTheme="minorEastAsia" w:eastAsiaTheme="minorEastAsia" w:cstheme="minorEastAsia"/>
                <w:kern w:val="2"/>
                <w:sz w:val="24"/>
                <w:szCs w:val="22"/>
              </w:rPr>
            </w:pPr>
            <w:r>
              <w:rPr>
                <w:rFonts w:hint="eastAsia" w:asciiTheme="minorEastAsia" w:hAnsiTheme="minorEastAsia" w:eastAsiaTheme="minorEastAsia" w:cstheme="minorEastAsia"/>
                <w:kern w:val="2"/>
                <w:sz w:val="24"/>
                <w:szCs w:val="22"/>
              </w:rPr>
              <w:t>3</w:t>
            </w:r>
          </w:p>
        </w:tc>
        <w:tc>
          <w:tcPr>
            <w:tcW w:w="1277" w:type="dxa"/>
            <w:vAlign w:val="center"/>
          </w:tcPr>
          <w:p w14:paraId="16A6ACE9">
            <w:pPr>
              <w:spacing w:line="360" w:lineRule="auto"/>
              <w:rPr>
                <w:rFonts w:hint="eastAsia" w:asciiTheme="minorEastAsia" w:hAnsiTheme="minorEastAsia" w:eastAsiaTheme="minorEastAsia" w:cstheme="minorEastAsia"/>
                <w:color w:val="auto"/>
                <w:kern w:val="2"/>
                <w:sz w:val="24"/>
                <w:szCs w:val="22"/>
              </w:rPr>
            </w:pPr>
            <w:r>
              <w:rPr>
                <w:rFonts w:hint="eastAsia" w:asciiTheme="minorEastAsia" w:hAnsiTheme="minorEastAsia" w:eastAsiaTheme="minorEastAsia" w:cstheme="minorEastAsia"/>
                <w:color w:val="auto"/>
                <w:kern w:val="2"/>
                <w:sz w:val="24"/>
                <w:szCs w:val="22"/>
              </w:rPr>
              <w:t>工程施工重点难点</w:t>
            </w:r>
          </w:p>
        </w:tc>
        <w:tc>
          <w:tcPr>
            <w:tcW w:w="6287" w:type="dxa"/>
            <w:vAlign w:val="center"/>
          </w:tcPr>
          <w:p w14:paraId="5C8853D5">
            <w:pPr>
              <w:spacing w:line="360" w:lineRule="auto"/>
              <w:rPr>
                <w:rFonts w:hint="eastAsia" w:asciiTheme="minorEastAsia" w:hAnsiTheme="minorEastAsia" w:eastAsiaTheme="minorEastAsia" w:cstheme="minorEastAsia"/>
                <w:color w:val="auto"/>
                <w:kern w:val="2"/>
                <w:sz w:val="24"/>
                <w:szCs w:val="22"/>
                <w:lang w:eastAsia="zh-CN"/>
              </w:rPr>
            </w:pPr>
            <w:r>
              <w:rPr>
                <w:rFonts w:hint="eastAsia" w:asciiTheme="minorEastAsia" w:hAnsiTheme="minorEastAsia" w:eastAsiaTheme="minorEastAsia" w:cstheme="minorEastAsia"/>
                <w:color w:val="auto"/>
                <w:kern w:val="2"/>
                <w:sz w:val="24"/>
                <w:szCs w:val="22"/>
                <w:lang w:val="en-US" w:eastAsia="zh-CN"/>
              </w:rPr>
              <w:t>/</w:t>
            </w:r>
          </w:p>
        </w:tc>
      </w:tr>
      <w:tr w14:paraId="0B9636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58" w:type="dxa"/>
            <w:vAlign w:val="center"/>
          </w:tcPr>
          <w:p w14:paraId="21FDEC7B">
            <w:pPr>
              <w:spacing w:line="360" w:lineRule="auto"/>
              <w:jc w:val="center"/>
              <w:rPr>
                <w:rFonts w:hint="eastAsia" w:asciiTheme="minorEastAsia" w:hAnsiTheme="minorEastAsia" w:eastAsiaTheme="minorEastAsia" w:cstheme="minorEastAsia"/>
                <w:kern w:val="2"/>
                <w:sz w:val="24"/>
                <w:szCs w:val="22"/>
              </w:rPr>
            </w:pPr>
            <w:r>
              <w:rPr>
                <w:rFonts w:hint="eastAsia" w:asciiTheme="minorEastAsia" w:hAnsiTheme="minorEastAsia" w:eastAsiaTheme="minorEastAsia" w:cstheme="minorEastAsia"/>
                <w:kern w:val="2"/>
                <w:sz w:val="24"/>
                <w:szCs w:val="22"/>
              </w:rPr>
              <w:t>4</w:t>
            </w:r>
          </w:p>
        </w:tc>
        <w:tc>
          <w:tcPr>
            <w:tcW w:w="1277" w:type="dxa"/>
            <w:vAlign w:val="center"/>
          </w:tcPr>
          <w:p w14:paraId="70165F53">
            <w:pPr>
              <w:spacing w:line="360" w:lineRule="auto"/>
              <w:rPr>
                <w:rFonts w:hint="eastAsia" w:asciiTheme="minorEastAsia" w:hAnsiTheme="minorEastAsia" w:eastAsiaTheme="minorEastAsia" w:cstheme="minorEastAsia"/>
                <w:kern w:val="2"/>
                <w:sz w:val="24"/>
                <w:szCs w:val="22"/>
              </w:rPr>
            </w:pPr>
            <w:r>
              <w:rPr>
                <w:rFonts w:hint="eastAsia" w:asciiTheme="minorEastAsia" w:hAnsiTheme="minorEastAsia" w:eastAsiaTheme="minorEastAsia" w:cstheme="minorEastAsia"/>
                <w:kern w:val="2"/>
                <w:sz w:val="24"/>
                <w:szCs w:val="22"/>
              </w:rPr>
              <w:t>报价须知</w:t>
            </w:r>
          </w:p>
        </w:tc>
        <w:tc>
          <w:tcPr>
            <w:tcW w:w="6287" w:type="dxa"/>
            <w:vAlign w:val="center"/>
          </w:tcPr>
          <w:p w14:paraId="52439273">
            <w:pPr>
              <w:spacing w:line="360" w:lineRule="auto"/>
              <w:rPr>
                <w:rFonts w:hint="eastAsia" w:asciiTheme="minorEastAsia" w:hAnsiTheme="minorEastAsia" w:eastAsiaTheme="minorEastAsia" w:cstheme="minorEastAsia"/>
                <w:kern w:val="2"/>
                <w:sz w:val="21"/>
                <w:szCs w:val="22"/>
              </w:rPr>
            </w:pPr>
            <w:r>
              <w:rPr>
                <w:rFonts w:hint="eastAsia" w:asciiTheme="minorEastAsia" w:hAnsiTheme="minorEastAsia" w:eastAsiaTheme="minorEastAsia" w:cstheme="minorEastAsia"/>
                <w:kern w:val="2"/>
                <w:sz w:val="24"/>
                <w:szCs w:val="22"/>
              </w:rPr>
              <w:t>供应商最后报价均不得高于磋商文件（公告）列明的项目预算、最高限价，否则其响应文件将被认定为响应无效。</w:t>
            </w:r>
          </w:p>
        </w:tc>
      </w:tr>
      <w:tr w14:paraId="46AED2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58" w:type="dxa"/>
            <w:vAlign w:val="center"/>
          </w:tcPr>
          <w:p w14:paraId="46C81160">
            <w:pPr>
              <w:spacing w:line="360" w:lineRule="auto"/>
              <w:jc w:val="center"/>
              <w:rPr>
                <w:rFonts w:hint="eastAsia" w:asciiTheme="minorEastAsia" w:hAnsiTheme="minorEastAsia" w:eastAsiaTheme="minorEastAsia" w:cstheme="minorEastAsia"/>
                <w:kern w:val="2"/>
                <w:sz w:val="24"/>
                <w:szCs w:val="22"/>
              </w:rPr>
            </w:pPr>
            <w:r>
              <w:rPr>
                <w:rFonts w:hint="eastAsia" w:asciiTheme="minorEastAsia" w:hAnsiTheme="minorEastAsia" w:eastAsiaTheme="minorEastAsia" w:cstheme="minorEastAsia"/>
                <w:kern w:val="2"/>
                <w:sz w:val="24"/>
                <w:szCs w:val="22"/>
              </w:rPr>
              <w:t>5</w:t>
            </w:r>
          </w:p>
        </w:tc>
        <w:tc>
          <w:tcPr>
            <w:tcW w:w="1277" w:type="dxa"/>
            <w:vAlign w:val="center"/>
          </w:tcPr>
          <w:p w14:paraId="155D1098">
            <w:pPr>
              <w:spacing w:line="360" w:lineRule="auto"/>
              <w:rPr>
                <w:rFonts w:hint="eastAsia" w:asciiTheme="minorEastAsia" w:hAnsiTheme="minorEastAsia" w:eastAsiaTheme="minorEastAsia" w:cstheme="minorEastAsia"/>
                <w:kern w:val="2"/>
                <w:sz w:val="24"/>
                <w:szCs w:val="22"/>
              </w:rPr>
            </w:pPr>
            <w:r>
              <w:rPr>
                <w:rFonts w:hint="eastAsia" w:asciiTheme="minorEastAsia" w:hAnsiTheme="minorEastAsia" w:eastAsiaTheme="minorEastAsia" w:cstheme="minorEastAsia"/>
                <w:kern w:val="2"/>
                <w:sz w:val="24"/>
                <w:szCs w:val="22"/>
              </w:rPr>
              <w:t>重要说明</w:t>
            </w:r>
          </w:p>
        </w:tc>
        <w:tc>
          <w:tcPr>
            <w:tcW w:w="6287" w:type="dxa"/>
            <w:vAlign w:val="center"/>
          </w:tcPr>
          <w:p w14:paraId="44491244">
            <w:pPr>
              <w:spacing w:line="360" w:lineRule="auto"/>
              <w:rPr>
                <w:rFonts w:hint="eastAsia" w:asciiTheme="minorEastAsia" w:hAnsiTheme="minorEastAsia" w:eastAsiaTheme="minorEastAsia" w:cstheme="minorEastAsia"/>
                <w:kern w:val="2"/>
                <w:sz w:val="24"/>
                <w:szCs w:val="18"/>
              </w:rPr>
            </w:pPr>
            <w:bookmarkStart w:id="1" w:name="OLE_LINK3"/>
            <w:r>
              <w:rPr>
                <w:rFonts w:hint="eastAsia" w:asciiTheme="minorEastAsia" w:hAnsiTheme="minorEastAsia" w:eastAsiaTheme="minorEastAsia" w:cstheme="minorEastAsia"/>
                <w:kern w:val="2"/>
                <w:sz w:val="24"/>
                <w:szCs w:val="24"/>
              </w:rPr>
              <w:t>政府采购政策（包括但不限于下列具体政策要求）</w:t>
            </w:r>
            <w:r>
              <w:rPr>
                <w:rFonts w:hint="eastAsia" w:asciiTheme="minorEastAsia" w:hAnsiTheme="minorEastAsia" w:eastAsiaTheme="minorEastAsia" w:cstheme="minorEastAsia"/>
                <w:kern w:val="2"/>
                <w:sz w:val="24"/>
                <w:szCs w:val="18"/>
              </w:rPr>
              <w:t>：</w:t>
            </w:r>
          </w:p>
          <w:p w14:paraId="28D66C4B">
            <w:pPr>
              <w:spacing w:line="360" w:lineRule="auto"/>
              <w:rPr>
                <w:rFonts w:hint="eastAsia" w:asciiTheme="minorEastAsia" w:hAnsiTheme="minorEastAsia" w:eastAsiaTheme="minorEastAsia" w:cstheme="minorEastAsia"/>
                <w:kern w:val="2"/>
                <w:sz w:val="24"/>
                <w:szCs w:val="24"/>
              </w:rPr>
            </w:pPr>
            <w:r>
              <w:rPr>
                <w:rFonts w:hint="eastAsia" w:asciiTheme="minorEastAsia" w:hAnsiTheme="minorEastAsia" w:eastAsiaTheme="minorEastAsia" w:cstheme="minorEastAsia"/>
                <w:kern w:val="2"/>
                <w:sz w:val="24"/>
                <w:szCs w:val="24"/>
              </w:rPr>
              <w:t>（1）如属于《节能产品政府采购品目清单》中政府强制采购的节能产品，则供应商所投产品须具有市场监管总局公布的《参与实施政府采购节能产品认证机构目录》中的认证机构出具的、处于有效期内的节能产品认证证书。</w:t>
            </w:r>
          </w:p>
          <w:p w14:paraId="35FDAB2F">
            <w:pPr>
              <w:spacing w:line="360" w:lineRule="auto"/>
              <w:rPr>
                <w:rFonts w:hint="eastAsia" w:asciiTheme="minorEastAsia" w:hAnsiTheme="minorEastAsia" w:eastAsiaTheme="minorEastAsia" w:cstheme="minorEastAsia"/>
                <w:kern w:val="2"/>
                <w:sz w:val="24"/>
                <w:szCs w:val="24"/>
              </w:rPr>
            </w:pPr>
            <w:r>
              <w:rPr>
                <w:rFonts w:hint="eastAsia" w:asciiTheme="minorEastAsia" w:hAnsiTheme="minorEastAsia" w:eastAsiaTheme="minorEastAsia" w:cstheme="minorEastAsia"/>
                <w:kern w:val="2"/>
                <w:sz w:val="24"/>
                <w:szCs w:val="24"/>
              </w:rPr>
              <w:t>（2）如涉及商品包装和快递包装，供应商应当执行《关于印发〈商品包装政府采购需求标准（试行）〉、〈快递包装政府采购需求标准（试行）〉的通知》（财办库〔2020〕123号）、《安徽省财政厅关于贯彻落实政府绿色采购有关政策的通知》（皖财购〔2023〕853号）的要求，提供符合需求标准的绿色包装、绿色运输，同时，采购人将对包装材料和运输环节作为履约验收条款进行验收。</w:t>
            </w:r>
          </w:p>
          <w:p w14:paraId="1434F064">
            <w:pPr>
              <w:spacing w:line="360" w:lineRule="auto"/>
              <w:rPr>
                <w:rFonts w:hint="eastAsia" w:asciiTheme="minorEastAsia" w:hAnsiTheme="minorEastAsia" w:eastAsiaTheme="minorEastAsia" w:cstheme="minorEastAsia"/>
                <w:kern w:val="2"/>
                <w:sz w:val="24"/>
                <w:szCs w:val="22"/>
                <w:lang w:val="en-US" w:eastAsia="zh-CN"/>
              </w:rPr>
            </w:pPr>
            <w:bookmarkStart w:id="2" w:name="OLE_LINK5"/>
            <w:r>
              <w:rPr>
                <w:rFonts w:hint="eastAsia" w:asciiTheme="minorEastAsia" w:hAnsiTheme="minorEastAsia" w:eastAsiaTheme="minorEastAsia" w:cstheme="minorEastAsia"/>
                <w:kern w:val="2"/>
                <w:sz w:val="24"/>
                <w:szCs w:val="24"/>
                <w:lang w:eastAsia="zh-CN"/>
              </w:rPr>
              <w:t>（</w:t>
            </w:r>
            <w:r>
              <w:rPr>
                <w:rFonts w:hint="eastAsia" w:asciiTheme="minorEastAsia" w:hAnsiTheme="minorEastAsia" w:eastAsiaTheme="minorEastAsia" w:cstheme="minorEastAsia"/>
                <w:kern w:val="2"/>
                <w:sz w:val="24"/>
                <w:szCs w:val="24"/>
                <w:lang w:val="en-US" w:eastAsia="zh-CN"/>
              </w:rPr>
              <w:t>3</w:t>
            </w:r>
            <w:r>
              <w:rPr>
                <w:rFonts w:hint="eastAsia" w:asciiTheme="minorEastAsia" w:hAnsiTheme="minorEastAsia" w:eastAsiaTheme="minorEastAsia" w:cstheme="minorEastAsia"/>
                <w:kern w:val="2"/>
                <w:sz w:val="24"/>
                <w:szCs w:val="24"/>
                <w:lang w:eastAsia="zh-CN"/>
              </w:rPr>
              <w:t>）</w:t>
            </w:r>
            <w:r>
              <w:rPr>
                <w:rFonts w:hint="eastAsia" w:asciiTheme="minorEastAsia" w:hAnsiTheme="minorEastAsia" w:eastAsiaTheme="minorEastAsia" w:cstheme="minorEastAsia"/>
                <w:kern w:val="2"/>
                <w:sz w:val="24"/>
                <w:szCs w:val="22"/>
                <w:lang w:val="en-US"/>
              </w:rPr>
              <w:t>属于实施范围内的政府采购工程项目，</w:t>
            </w:r>
            <w:r>
              <w:rPr>
                <w:rFonts w:hint="eastAsia" w:asciiTheme="minorEastAsia" w:hAnsiTheme="minorEastAsia" w:eastAsiaTheme="minorEastAsia" w:cstheme="minorEastAsia"/>
                <w:kern w:val="2"/>
                <w:sz w:val="24"/>
                <w:szCs w:val="22"/>
              </w:rPr>
              <w:t>应</w:t>
            </w:r>
            <w:r>
              <w:rPr>
                <w:rFonts w:hint="eastAsia" w:asciiTheme="minorEastAsia" w:hAnsiTheme="minorEastAsia" w:eastAsiaTheme="minorEastAsia" w:cstheme="minorEastAsia"/>
                <w:kern w:val="2"/>
                <w:sz w:val="24"/>
                <w:szCs w:val="22"/>
                <w:lang w:val="en-US"/>
              </w:rPr>
              <w:t>按照</w:t>
            </w:r>
            <w:r>
              <w:rPr>
                <w:rFonts w:hint="eastAsia" w:asciiTheme="minorEastAsia" w:hAnsiTheme="minorEastAsia" w:eastAsiaTheme="minorEastAsia" w:cstheme="minorEastAsia"/>
                <w:kern w:val="2"/>
                <w:sz w:val="24"/>
                <w:szCs w:val="22"/>
              </w:rPr>
              <w:t>财政部、住建部、工信部联合印发的《绿色建筑和绿色建材政府采购需求标准》</w:t>
            </w:r>
            <w:r>
              <w:rPr>
                <w:rFonts w:hint="eastAsia" w:asciiTheme="minorEastAsia" w:hAnsiTheme="minorEastAsia" w:eastAsiaTheme="minorEastAsia" w:cstheme="minorEastAsia"/>
                <w:kern w:val="2"/>
                <w:sz w:val="24"/>
                <w:szCs w:val="22"/>
                <w:lang w:val="en-US"/>
              </w:rPr>
              <w:t>和</w:t>
            </w:r>
            <w:r>
              <w:rPr>
                <w:rFonts w:hint="eastAsia" w:asciiTheme="minorEastAsia" w:hAnsiTheme="minorEastAsia" w:eastAsiaTheme="minorEastAsia" w:cstheme="minorEastAsia"/>
                <w:kern w:val="2"/>
                <w:sz w:val="24"/>
                <w:szCs w:val="22"/>
              </w:rPr>
              <w:t>《政府采购支持绿色建材促进建筑品质提升政策项目实施指南》</w:t>
            </w:r>
            <w:r>
              <w:rPr>
                <w:rFonts w:hint="eastAsia" w:asciiTheme="minorEastAsia" w:hAnsiTheme="minorEastAsia" w:eastAsiaTheme="minorEastAsia" w:cstheme="minorEastAsia"/>
                <w:kern w:val="2"/>
                <w:sz w:val="24"/>
                <w:szCs w:val="22"/>
                <w:lang w:val="en-US"/>
              </w:rPr>
              <w:t>应</w:t>
            </w:r>
            <w:r>
              <w:rPr>
                <w:rFonts w:hint="eastAsia" w:asciiTheme="minorEastAsia" w:hAnsiTheme="minorEastAsia" w:eastAsiaTheme="minorEastAsia" w:cstheme="minorEastAsia"/>
                <w:kern w:val="2"/>
                <w:sz w:val="24"/>
                <w:szCs w:val="22"/>
              </w:rPr>
              <w:t>用绿色建筑和绿色建材</w:t>
            </w:r>
            <w:r>
              <w:rPr>
                <w:rFonts w:hint="eastAsia" w:asciiTheme="minorEastAsia" w:hAnsiTheme="minorEastAsia" w:eastAsiaTheme="minorEastAsia" w:cstheme="minorEastAsia"/>
                <w:kern w:val="2"/>
                <w:sz w:val="24"/>
                <w:szCs w:val="24"/>
                <w:lang w:val="en-US" w:eastAsia="zh-CN"/>
              </w:rPr>
              <w:t>。</w:t>
            </w:r>
            <w:bookmarkEnd w:id="1"/>
            <w:bookmarkEnd w:id="2"/>
          </w:p>
        </w:tc>
      </w:tr>
      <w:tr w14:paraId="38F24E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58" w:type="dxa"/>
            <w:vAlign w:val="center"/>
          </w:tcPr>
          <w:p w14:paraId="05D3E10F">
            <w:pPr>
              <w:spacing w:line="360" w:lineRule="auto"/>
              <w:jc w:val="center"/>
              <w:rPr>
                <w:rFonts w:hint="eastAsia" w:asciiTheme="minorEastAsia" w:hAnsiTheme="minorEastAsia" w:eastAsiaTheme="minorEastAsia" w:cstheme="minorEastAsia"/>
                <w:kern w:val="2"/>
                <w:sz w:val="24"/>
                <w:szCs w:val="22"/>
              </w:rPr>
            </w:pPr>
            <w:r>
              <w:rPr>
                <w:rFonts w:hint="eastAsia" w:asciiTheme="minorEastAsia" w:hAnsiTheme="minorEastAsia" w:eastAsiaTheme="minorEastAsia" w:cstheme="minorEastAsia"/>
                <w:kern w:val="2"/>
                <w:sz w:val="24"/>
                <w:szCs w:val="22"/>
              </w:rPr>
              <w:t>6</w:t>
            </w:r>
          </w:p>
        </w:tc>
        <w:tc>
          <w:tcPr>
            <w:tcW w:w="1277" w:type="dxa"/>
            <w:vAlign w:val="center"/>
          </w:tcPr>
          <w:p w14:paraId="38EC72AC">
            <w:pPr>
              <w:spacing w:line="360" w:lineRule="auto"/>
              <w:rPr>
                <w:rFonts w:hint="eastAsia" w:asciiTheme="minorEastAsia" w:hAnsiTheme="minorEastAsia" w:eastAsiaTheme="minorEastAsia" w:cstheme="minorEastAsia"/>
                <w:kern w:val="2"/>
                <w:sz w:val="24"/>
                <w:szCs w:val="22"/>
              </w:rPr>
            </w:pPr>
            <w:r>
              <w:rPr>
                <w:rFonts w:hint="eastAsia" w:asciiTheme="minorEastAsia" w:hAnsiTheme="minorEastAsia" w:eastAsiaTheme="minorEastAsia" w:cstheme="minorEastAsia"/>
                <w:kern w:val="2"/>
                <w:sz w:val="24"/>
                <w:szCs w:val="22"/>
              </w:rPr>
              <w:t>项目经理</w:t>
            </w:r>
          </w:p>
        </w:tc>
        <w:tc>
          <w:tcPr>
            <w:tcW w:w="6287" w:type="dxa"/>
            <w:vAlign w:val="center"/>
          </w:tcPr>
          <w:p w14:paraId="43479811">
            <w:pPr>
              <w:spacing w:line="360" w:lineRule="auto"/>
              <w:rPr>
                <w:rFonts w:hint="eastAsia" w:asciiTheme="minorEastAsia" w:hAnsiTheme="minorEastAsia" w:eastAsiaTheme="minorEastAsia" w:cstheme="minorEastAsia"/>
                <w:kern w:val="2"/>
                <w:sz w:val="24"/>
                <w:szCs w:val="22"/>
              </w:rPr>
            </w:pPr>
            <w:r>
              <w:rPr>
                <w:rFonts w:hint="eastAsia" w:asciiTheme="minorEastAsia" w:hAnsiTheme="minorEastAsia" w:eastAsiaTheme="minorEastAsia" w:cstheme="minorEastAsia"/>
                <w:kern w:val="2"/>
                <w:sz w:val="24"/>
                <w:szCs w:val="22"/>
                <w:lang w:eastAsia="zh-CN"/>
              </w:rPr>
              <w:t>（</w:t>
            </w:r>
            <w:r>
              <w:rPr>
                <w:rFonts w:hint="eastAsia" w:asciiTheme="minorEastAsia" w:hAnsiTheme="minorEastAsia" w:eastAsiaTheme="minorEastAsia" w:cstheme="minorEastAsia"/>
                <w:kern w:val="2"/>
                <w:sz w:val="24"/>
                <w:szCs w:val="22"/>
                <w:lang w:val="en-US" w:eastAsia="zh-CN"/>
              </w:rPr>
              <w:t>1</w:t>
            </w:r>
            <w:r>
              <w:rPr>
                <w:rFonts w:hint="eastAsia" w:asciiTheme="minorEastAsia" w:hAnsiTheme="minorEastAsia" w:eastAsiaTheme="minorEastAsia" w:cstheme="minorEastAsia"/>
                <w:kern w:val="2"/>
                <w:sz w:val="24"/>
                <w:szCs w:val="22"/>
                <w:lang w:eastAsia="zh-CN"/>
              </w:rPr>
              <w:t>）</w:t>
            </w:r>
            <w:r>
              <w:rPr>
                <w:rFonts w:hint="eastAsia" w:asciiTheme="minorEastAsia" w:hAnsiTheme="minorEastAsia" w:eastAsiaTheme="minorEastAsia" w:cstheme="minorEastAsia"/>
                <w:kern w:val="2"/>
                <w:sz w:val="24"/>
                <w:szCs w:val="22"/>
              </w:rPr>
              <w:t>符合竞争性磋商公告中“项目经理资格要求”</w:t>
            </w:r>
            <w:r>
              <w:rPr>
                <w:rFonts w:hint="eastAsia" w:asciiTheme="minorEastAsia" w:hAnsiTheme="minorEastAsia" w:eastAsiaTheme="minorEastAsia" w:cstheme="minorEastAsia"/>
                <w:kern w:val="2"/>
                <w:sz w:val="24"/>
                <w:szCs w:val="22"/>
                <w:lang w:eastAsia="zh-CN"/>
              </w:rPr>
              <w:t>，</w:t>
            </w:r>
            <w:r>
              <w:rPr>
                <w:rFonts w:hint="eastAsia" w:ascii="Times New Roman" w:hAnsi="Times New Roman" w:cs="楷体"/>
                <w:bCs/>
                <w:snapToGrid w:val="0"/>
                <w:color w:val="000000"/>
                <w:kern w:val="0"/>
                <w:sz w:val="24"/>
                <w:szCs w:val="24"/>
              </w:rPr>
              <w:t>且必须是本单位人员（</w:t>
            </w:r>
            <w:r>
              <w:rPr>
                <w:rFonts w:hint="eastAsia" w:asciiTheme="minorEastAsia" w:hAnsiTheme="minorEastAsia" w:eastAsiaTheme="minorEastAsia" w:cstheme="minorEastAsia"/>
                <w:kern w:val="2"/>
                <w:sz w:val="24"/>
                <w:szCs w:val="22"/>
              </w:rPr>
              <w:t>竞争性磋商公告</w:t>
            </w:r>
            <w:r>
              <w:rPr>
                <w:rFonts w:hint="eastAsia" w:ascii="Times New Roman" w:hAnsi="Times New Roman" w:cs="楷体"/>
                <w:bCs/>
                <w:snapToGrid w:val="0"/>
                <w:color w:val="000000"/>
                <w:kern w:val="0"/>
                <w:sz w:val="24"/>
                <w:szCs w:val="24"/>
              </w:rPr>
              <w:t>中要求的注册证书注册单位应当与</w:t>
            </w:r>
            <w:r>
              <w:rPr>
                <w:rFonts w:hint="eastAsia" w:ascii="Times New Roman" w:hAnsi="Times New Roman" w:cs="楷体"/>
                <w:bCs/>
                <w:snapToGrid w:val="0"/>
                <w:color w:val="000000"/>
                <w:kern w:val="0"/>
                <w:sz w:val="24"/>
                <w:szCs w:val="24"/>
                <w:lang w:val="en-US" w:eastAsia="zh-CN"/>
              </w:rPr>
              <w:t>供应商</w:t>
            </w:r>
            <w:r>
              <w:rPr>
                <w:rFonts w:hint="eastAsia" w:ascii="Times New Roman" w:hAnsi="Times New Roman" w:cs="楷体"/>
                <w:bCs/>
                <w:snapToGrid w:val="0"/>
                <w:color w:val="000000"/>
                <w:kern w:val="0"/>
                <w:sz w:val="24"/>
                <w:szCs w:val="24"/>
              </w:rPr>
              <w:t>名称一致）</w:t>
            </w:r>
            <w:r>
              <w:rPr>
                <w:rFonts w:hint="eastAsia" w:asciiTheme="minorEastAsia" w:hAnsiTheme="minorEastAsia" w:eastAsiaTheme="minorEastAsia" w:cstheme="minorEastAsia"/>
                <w:kern w:val="2"/>
                <w:sz w:val="24"/>
                <w:szCs w:val="22"/>
              </w:rPr>
              <w:t>。</w:t>
            </w:r>
          </w:p>
          <w:p w14:paraId="597D1D5C">
            <w:pPr>
              <w:spacing w:line="360" w:lineRule="auto"/>
              <w:rPr>
                <w:rFonts w:hint="eastAsia" w:asciiTheme="minorEastAsia" w:hAnsiTheme="minorEastAsia" w:eastAsiaTheme="minorEastAsia" w:cstheme="minorEastAsia"/>
                <w:kern w:val="2"/>
                <w:sz w:val="24"/>
                <w:szCs w:val="22"/>
              </w:rPr>
            </w:pPr>
            <w:bookmarkStart w:id="3" w:name="OLE_LINK9"/>
            <w:bookmarkStart w:id="4" w:name="OLE_LINK10"/>
            <w:r>
              <w:rPr>
                <w:rFonts w:hint="eastAsia" w:asciiTheme="minorEastAsia" w:hAnsiTheme="minorEastAsia" w:eastAsiaTheme="minorEastAsia" w:cstheme="minorEastAsia"/>
                <w:kern w:val="2"/>
                <w:sz w:val="24"/>
                <w:szCs w:val="22"/>
                <w:lang w:eastAsia="zh-CN"/>
              </w:rPr>
              <w:t>（</w:t>
            </w:r>
            <w:r>
              <w:rPr>
                <w:rFonts w:hint="eastAsia" w:asciiTheme="minorEastAsia" w:hAnsiTheme="minorEastAsia" w:eastAsiaTheme="minorEastAsia" w:cstheme="minorEastAsia"/>
                <w:kern w:val="2"/>
                <w:sz w:val="24"/>
                <w:szCs w:val="22"/>
                <w:lang w:val="en-US" w:eastAsia="zh-CN"/>
              </w:rPr>
              <w:t>2</w:t>
            </w:r>
            <w:r>
              <w:rPr>
                <w:rFonts w:hint="eastAsia" w:asciiTheme="minorEastAsia" w:hAnsiTheme="minorEastAsia" w:eastAsiaTheme="minorEastAsia" w:cstheme="minorEastAsia"/>
                <w:kern w:val="2"/>
                <w:sz w:val="24"/>
                <w:szCs w:val="22"/>
                <w:lang w:eastAsia="zh-CN"/>
              </w:rPr>
              <w:t>）</w:t>
            </w:r>
            <w:r>
              <w:rPr>
                <w:rFonts w:hint="eastAsia" w:asciiTheme="minorEastAsia" w:hAnsiTheme="minorEastAsia" w:eastAsiaTheme="minorEastAsia" w:cstheme="minorEastAsia"/>
                <w:kern w:val="2"/>
                <w:sz w:val="24"/>
                <w:szCs w:val="22"/>
              </w:rPr>
              <w:t>项目经理不得同时担任两个及以上建设工程施工项目经理，以下情形除外：</w:t>
            </w:r>
          </w:p>
          <w:p w14:paraId="58971EF2">
            <w:pPr>
              <w:spacing w:line="360" w:lineRule="auto"/>
              <w:rPr>
                <w:rFonts w:hint="eastAsia" w:asciiTheme="minorEastAsia" w:hAnsiTheme="minorEastAsia" w:eastAsiaTheme="minorEastAsia" w:cstheme="minorEastAsia"/>
                <w:kern w:val="2"/>
                <w:sz w:val="24"/>
                <w:szCs w:val="22"/>
              </w:rPr>
            </w:pPr>
            <w:r>
              <w:rPr>
                <w:rFonts w:hint="eastAsia" w:asciiTheme="minorEastAsia" w:hAnsiTheme="minorEastAsia" w:eastAsiaTheme="minorEastAsia" w:cstheme="minorEastAsia"/>
                <w:kern w:val="2"/>
                <w:sz w:val="24"/>
                <w:szCs w:val="22"/>
              </w:rPr>
              <w:fldChar w:fldCharType="begin"/>
            </w:r>
            <w:r>
              <w:rPr>
                <w:rFonts w:hint="eastAsia" w:asciiTheme="minorEastAsia" w:hAnsiTheme="minorEastAsia" w:eastAsiaTheme="minorEastAsia" w:cstheme="minorEastAsia"/>
                <w:kern w:val="2"/>
                <w:sz w:val="24"/>
                <w:szCs w:val="22"/>
              </w:rPr>
              <w:instrText xml:space="preserve"> = 1 \* GB3 \* MERGEFORMAT </w:instrText>
            </w:r>
            <w:r>
              <w:rPr>
                <w:rFonts w:hint="eastAsia" w:asciiTheme="minorEastAsia" w:hAnsiTheme="minorEastAsia" w:eastAsiaTheme="minorEastAsia" w:cstheme="minorEastAsia"/>
                <w:kern w:val="2"/>
                <w:sz w:val="24"/>
                <w:szCs w:val="22"/>
              </w:rPr>
              <w:fldChar w:fldCharType="separate"/>
            </w:r>
            <w:r>
              <w:rPr>
                <w:rFonts w:hint="eastAsia" w:asciiTheme="minorEastAsia" w:hAnsiTheme="minorEastAsia" w:eastAsiaTheme="minorEastAsia" w:cstheme="minorEastAsia"/>
                <w:kern w:val="2"/>
                <w:sz w:val="24"/>
                <w:szCs w:val="22"/>
              </w:rPr>
              <w:t>①</w:t>
            </w:r>
            <w:r>
              <w:rPr>
                <w:rFonts w:hint="eastAsia" w:asciiTheme="minorEastAsia" w:hAnsiTheme="minorEastAsia" w:eastAsiaTheme="minorEastAsia" w:cstheme="minorEastAsia"/>
                <w:kern w:val="2"/>
                <w:sz w:val="24"/>
                <w:szCs w:val="22"/>
              </w:rPr>
              <w:fldChar w:fldCharType="end"/>
            </w:r>
            <w:r>
              <w:rPr>
                <w:rFonts w:hint="eastAsia" w:asciiTheme="minorEastAsia" w:hAnsiTheme="minorEastAsia" w:eastAsiaTheme="minorEastAsia" w:cstheme="minorEastAsia"/>
                <w:kern w:val="2"/>
                <w:sz w:val="24"/>
                <w:szCs w:val="22"/>
              </w:rPr>
              <w:t>法定情形；</w:t>
            </w:r>
          </w:p>
          <w:p w14:paraId="1C9FFECE">
            <w:pPr>
              <w:spacing w:line="360" w:lineRule="auto"/>
              <w:rPr>
                <w:rFonts w:hint="eastAsia" w:asciiTheme="minorEastAsia" w:hAnsiTheme="minorEastAsia" w:eastAsiaTheme="minorEastAsia" w:cstheme="minorEastAsia"/>
                <w:kern w:val="2"/>
                <w:sz w:val="24"/>
                <w:szCs w:val="22"/>
              </w:rPr>
            </w:pPr>
            <w:r>
              <w:rPr>
                <w:rFonts w:hint="eastAsia" w:asciiTheme="minorEastAsia" w:hAnsiTheme="minorEastAsia" w:eastAsiaTheme="minorEastAsia" w:cstheme="minorEastAsia"/>
                <w:kern w:val="2"/>
                <w:sz w:val="24"/>
                <w:szCs w:val="22"/>
              </w:rPr>
              <w:fldChar w:fldCharType="begin"/>
            </w:r>
            <w:r>
              <w:rPr>
                <w:rFonts w:hint="eastAsia" w:asciiTheme="minorEastAsia" w:hAnsiTheme="minorEastAsia" w:eastAsiaTheme="minorEastAsia" w:cstheme="minorEastAsia"/>
                <w:kern w:val="2"/>
                <w:sz w:val="24"/>
                <w:szCs w:val="22"/>
              </w:rPr>
              <w:instrText xml:space="preserve"> = 2 \* GB3 \* MERGEFORMAT </w:instrText>
            </w:r>
            <w:r>
              <w:rPr>
                <w:rFonts w:hint="eastAsia" w:asciiTheme="minorEastAsia" w:hAnsiTheme="minorEastAsia" w:eastAsiaTheme="minorEastAsia" w:cstheme="minorEastAsia"/>
                <w:kern w:val="2"/>
                <w:sz w:val="24"/>
                <w:szCs w:val="22"/>
              </w:rPr>
              <w:fldChar w:fldCharType="separate"/>
            </w:r>
            <w:r>
              <w:rPr>
                <w:rFonts w:hint="eastAsia" w:asciiTheme="minorEastAsia" w:hAnsiTheme="minorEastAsia" w:eastAsiaTheme="minorEastAsia" w:cstheme="minorEastAsia"/>
                <w:kern w:val="2"/>
                <w:sz w:val="24"/>
                <w:szCs w:val="22"/>
              </w:rPr>
              <w:t>②</w:t>
            </w:r>
            <w:r>
              <w:rPr>
                <w:rFonts w:hint="eastAsia" w:asciiTheme="minorEastAsia" w:hAnsiTheme="minorEastAsia" w:eastAsiaTheme="minorEastAsia" w:cstheme="minorEastAsia"/>
                <w:kern w:val="2"/>
                <w:sz w:val="24"/>
                <w:szCs w:val="22"/>
              </w:rPr>
              <w:fldChar w:fldCharType="end"/>
            </w:r>
            <w:r>
              <w:rPr>
                <w:rFonts w:hint="eastAsia" w:asciiTheme="minorEastAsia" w:hAnsiTheme="minorEastAsia" w:eastAsiaTheme="minorEastAsia" w:cstheme="minorEastAsia"/>
                <w:kern w:val="2"/>
                <w:sz w:val="24"/>
                <w:szCs w:val="22"/>
              </w:rPr>
              <w:t>虽在其他项目上担任项目经理岗位，但承诺在本项目成交后合同签订前能够从其他项目变更至本项目并全面履约。</w:t>
            </w:r>
            <w:bookmarkEnd w:id="3"/>
            <w:bookmarkEnd w:id="4"/>
          </w:p>
        </w:tc>
      </w:tr>
      <w:tr w14:paraId="5B522D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58" w:type="dxa"/>
            <w:vAlign w:val="center"/>
          </w:tcPr>
          <w:p w14:paraId="3867CE70">
            <w:pPr>
              <w:spacing w:line="360" w:lineRule="auto"/>
              <w:jc w:val="center"/>
              <w:rPr>
                <w:rFonts w:hint="eastAsia" w:asciiTheme="minorEastAsia" w:hAnsiTheme="minorEastAsia" w:eastAsiaTheme="minorEastAsia" w:cstheme="minorEastAsia"/>
                <w:kern w:val="2"/>
                <w:sz w:val="24"/>
                <w:szCs w:val="22"/>
              </w:rPr>
            </w:pPr>
            <w:r>
              <w:rPr>
                <w:rFonts w:hint="eastAsia" w:asciiTheme="minorEastAsia" w:hAnsiTheme="minorEastAsia" w:eastAsiaTheme="minorEastAsia" w:cstheme="minorEastAsia"/>
                <w:kern w:val="2"/>
                <w:sz w:val="24"/>
                <w:szCs w:val="22"/>
              </w:rPr>
              <w:t>7</w:t>
            </w:r>
          </w:p>
        </w:tc>
        <w:tc>
          <w:tcPr>
            <w:tcW w:w="1277" w:type="dxa"/>
            <w:vAlign w:val="center"/>
          </w:tcPr>
          <w:p w14:paraId="4441D825">
            <w:pPr>
              <w:pStyle w:val="8"/>
              <w:widowControl w:val="0"/>
              <w:spacing w:before="0" w:beforeAutospacing="0" w:after="0" w:afterAutospacing="0" w:line="360" w:lineRule="auto"/>
              <w:rPr>
                <w:rFonts w:hint="eastAsia" w:asciiTheme="minorEastAsia" w:hAnsiTheme="minorEastAsia" w:eastAsiaTheme="minorEastAsia" w:cstheme="minorEastAsia"/>
                <w:kern w:val="2"/>
                <w:sz w:val="24"/>
              </w:rPr>
            </w:pPr>
            <w:r>
              <w:rPr>
                <w:rFonts w:hint="eastAsia" w:asciiTheme="minorEastAsia" w:hAnsiTheme="minorEastAsia" w:eastAsiaTheme="minorEastAsia" w:cstheme="minorEastAsia"/>
                <w:b w:val="0"/>
                <w:kern w:val="2"/>
                <w:sz w:val="24"/>
              </w:rPr>
              <w:t>本项目采购标的名称及所属行业</w:t>
            </w:r>
          </w:p>
        </w:tc>
        <w:tc>
          <w:tcPr>
            <w:tcW w:w="6287" w:type="dxa"/>
            <w:vAlign w:val="center"/>
          </w:tcPr>
          <w:p w14:paraId="1B7345E6">
            <w:pPr>
              <w:spacing w:line="360" w:lineRule="auto"/>
              <w:jc w:val="left"/>
              <w:rPr>
                <w:rFonts w:hint="eastAsia" w:asciiTheme="minorEastAsia" w:hAnsiTheme="minorEastAsia" w:eastAsiaTheme="minorEastAsia" w:cstheme="minorEastAsia"/>
                <w:kern w:val="2"/>
                <w:sz w:val="24"/>
                <w:szCs w:val="22"/>
                <w:lang w:eastAsia="zh-CN"/>
              </w:rPr>
            </w:pPr>
            <w:r>
              <w:rPr>
                <w:rFonts w:hint="eastAsia" w:asciiTheme="minorEastAsia" w:hAnsiTheme="minorEastAsia" w:eastAsiaTheme="minorEastAsia" w:cstheme="minorEastAsia"/>
                <w:kern w:val="2"/>
                <w:sz w:val="24"/>
                <w:szCs w:val="22"/>
              </w:rPr>
              <w:t>标的名称：</w:t>
            </w:r>
            <w:r>
              <w:rPr>
                <w:rFonts w:hint="eastAsia" w:asciiTheme="minorEastAsia" w:hAnsiTheme="minorEastAsia" w:eastAsiaTheme="minorEastAsia" w:cstheme="minorEastAsia"/>
                <w:kern w:val="2"/>
                <w:sz w:val="24"/>
                <w:szCs w:val="18"/>
                <w:lang w:eastAsia="zh-CN"/>
              </w:rPr>
              <w:t>安徽省农业科学院皖南研究院试验示范基地基础设施与环境提升项目（包2：中药材果树茶树资源圃土建与环境提升）</w:t>
            </w:r>
          </w:p>
          <w:p w14:paraId="2073F4EA">
            <w:pPr>
              <w:rPr>
                <w:rFonts w:hint="eastAsia" w:asciiTheme="minorEastAsia" w:hAnsiTheme="minorEastAsia" w:eastAsiaTheme="minorEastAsia" w:cstheme="minorEastAsia"/>
                <w:kern w:val="2"/>
                <w:sz w:val="24"/>
                <w:szCs w:val="22"/>
              </w:rPr>
            </w:pPr>
            <w:r>
              <w:rPr>
                <w:rFonts w:hint="eastAsia" w:asciiTheme="minorEastAsia" w:hAnsiTheme="minorEastAsia" w:eastAsiaTheme="minorEastAsia" w:cstheme="minorEastAsia"/>
                <w:kern w:val="2"/>
                <w:sz w:val="24"/>
                <w:szCs w:val="22"/>
              </w:rPr>
              <w:t>所属行业：建筑业</w:t>
            </w:r>
          </w:p>
        </w:tc>
      </w:tr>
    </w:tbl>
    <w:p w14:paraId="231E4B53">
      <w:pPr>
        <w:pStyle w:val="3"/>
        <w:spacing w:before="0" w:after="0" w:line="360" w:lineRule="auto"/>
        <w:rPr>
          <w:rFonts w:asciiTheme="minorEastAsia" w:hAnsiTheme="minorEastAsia" w:eastAsiaTheme="minorEastAsia" w:cstheme="minorEastAsia"/>
          <w:sz w:val="24"/>
          <w:szCs w:val="24"/>
        </w:rPr>
      </w:pPr>
      <w:bookmarkStart w:id="5" w:name="_Toc23730"/>
      <w:bookmarkStart w:id="6" w:name="_Toc15645"/>
      <w:r>
        <w:rPr>
          <w:rFonts w:hint="eastAsia" w:asciiTheme="minorEastAsia" w:hAnsiTheme="minorEastAsia" w:eastAsiaTheme="minorEastAsia" w:cstheme="minorEastAsia"/>
          <w:sz w:val="24"/>
          <w:szCs w:val="24"/>
          <w:lang w:val="en-US"/>
        </w:rPr>
        <w:t>一、</w:t>
      </w:r>
      <w:r>
        <w:rPr>
          <w:rFonts w:hint="eastAsia" w:asciiTheme="minorEastAsia" w:hAnsiTheme="minorEastAsia" w:eastAsiaTheme="minorEastAsia" w:cstheme="minorEastAsia"/>
          <w:sz w:val="24"/>
          <w:szCs w:val="24"/>
        </w:rPr>
        <w:t>项目概况及总体要求</w:t>
      </w:r>
      <w:bookmarkEnd w:id="5"/>
      <w:bookmarkEnd w:id="6"/>
    </w:p>
    <w:p w14:paraId="26BD4A07">
      <w:pPr>
        <w:spacing w:line="360" w:lineRule="auto"/>
        <w:ind w:firstLine="480" w:firstLineChars="200"/>
        <w:textAlignment w:val="baseline"/>
        <w:rPr>
          <w:rFonts w:asciiTheme="minorEastAsia" w:hAnsiTheme="minorEastAsia" w:eastAsiaTheme="minorEastAsia" w:cstheme="minorEastAsia"/>
          <w:b/>
          <w:bCs/>
          <w:color w:val="auto"/>
          <w:sz w:val="24"/>
          <w:szCs w:val="24"/>
        </w:rPr>
      </w:pPr>
      <w:r>
        <w:rPr>
          <w:rFonts w:hint="eastAsia" w:asciiTheme="minorEastAsia" w:hAnsiTheme="minorEastAsia" w:eastAsiaTheme="minorEastAsia" w:cstheme="minorEastAsia"/>
          <w:b w:val="0"/>
          <w:bCs w:val="0"/>
          <w:color w:val="auto"/>
          <w:sz w:val="24"/>
          <w:szCs w:val="24"/>
          <w:lang w:eastAsia="zh-CN"/>
        </w:rPr>
        <w:t>安徽省农业科学院皖南研究院试验示范基地基础设施与环境提升项目（包2：中药材果树茶树资源圃土建与环境提升）</w:t>
      </w:r>
      <w:r>
        <w:rPr>
          <w:rFonts w:hint="eastAsia" w:asciiTheme="minorEastAsia" w:hAnsiTheme="minorEastAsia" w:eastAsiaTheme="minorEastAsia" w:cstheme="minorEastAsia"/>
          <w:b w:val="0"/>
          <w:bCs w:val="0"/>
          <w:color w:val="auto"/>
          <w:sz w:val="24"/>
          <w:szCs w:val="24"/>
        </w:rPr>
        <w:t>，具体内容详见图纸及清单。</w:t>
      </w:r>
    </w:p>
    <w:p w14:paraId="12ABF7B9">
      <w:pPr>
        <w:pStyle w:val="4"/>
        <w:widowControl/>
        <w:spacing w:line="360" w:lineRule="auto"/>
        <w:outlineLvl w:val="1"/>
        <w:rPr>
          <w:rStyle w:val="9"/>
          <w:rFonts w:asciiTheme="minorEastAsia" w:hAnsiTheme="minorEastAsia" w:eastAsiaTheme="minorEastAsia" w:cstheme="minorEastAsia"/>
          <w:sz w:val="24"/>
          <w:szCs w:val="24"/>
        </w:rPr>
      </w:pPr>
      <w:bookmarkStart w:id="7" w:name="_Toc455587091"/>
      <w:bookmarkStart w:id="8" w:name="_Toc12271"/>
      <w:bookmarkStart w:id="9" w:name="_Toc18199"/>
      <w:bookmarkStart w:id="10" w:name="_Toc445554749"/>
      <w:bookmarkStart w:id="11" w:name="_Toc455587275"/>
      <w:bookmarkStart w:id="12" w:name="_Toc466024558"/>
      <w:r>
        <w:rPr>
          <w:rStyle w:val="9"/>
          <w:rFonts w:hint="eastAsia" w:asciiTheme="minorEastAsia" w:hAnsiTheme="minorEastAsia" w:cstheme="minorEastAsia"/>
          <w:sz w:val="24"/>
          <w:szCs w:val="24"/>
        </w:rPr>
        <w:t>二、</w:t>
      </w:r>
      <w:r>
        <w:rPr>
          <w:rStyle w:val="9"/>
          <w:rFonts w:hint="eastAsia" w:asciiTheme="minorEastAsia" w:hAnsiTheme="minorEastAsia" w:eastAsiaTheme="minorEastAsia" w:cstheme="minorEastAsia"/>
          <w:sz w:val="24"/>
          <w:szCs w:val="24"/>
        </w:rPr>
        <w:t>技术要求</w:t>
      </w:r>
      <w:bookmarkEnd w:id="7"/>
      <w:bookmarkEnd w:id="8"/>
      <w:bookmarkEnd w:id="9"/>
      <w:bookmarkEnd w:id="10"/>
      <w:bookmarkEnd w:id="11"/>
      <w:bookmarkEnd w:id="12"/>
    </w:p>
    <w:p w14:paraId="6AD74C2B">
      <w:pPr>
        <w:pStyle w:val="4"/>
        <w:widowControl/>
        <w:spacing w:line="360" w:lineRule="auto"/>
        <w:ind w:firstLine="480" w:firstLineChars="200"/>
        <w:rPr>
          <w:rFonts w:asciiTheme="minorEastAsia" w:hAnsiTheme="minorEastAsia" w:cstheme="minorEastAsia"/>
          <w:sz w:val="24"/>
          <w:szCs w:val="24"/>
        </w:rPr>
      </w:pPr>
      <w:r>
        <w:rPr>
          <w:rFonts w:hint="eastAsia" w:asciiTheme="minorEastAsia" w:hAnsiTheme="minorEastAsia" w:cstheme="minorEastAsia"/>
          <w:sz w:val="24"/>
          <w:szCs w:val="24"/>
        </w:rPr>
        <w:t>按照图纸、工程量清单要求及最新国家相关标准、规范要求执行。</w:t>
      </w:r>
    </w:p>
    <w:p w14:paraId="0A8A2496">
      <w:pPr>
        <w:pStyle w:val="3"/>
        <w:spacing w:before="0" w:after="0" w:line="360" w:lineRule="auto"/>
        <w:rPr>
          <w:rFonts w:asciiTheme="minorEastAsia" w:hAnsiTheme="minorEastAsia" w:eastAsiaTheme="minorEastAsia" w:cstheme="minorEastAsia"/>
          <w:sz w:val="24"/>
          <w:szCs w:val="24"/>
        </w:rPr>
      </w:pPr>
      <w:bookmarkStart w:id="13" w:name="_Toc8900"/>
      <w:bookmarkStart w:id="14" w:name="_Toc29071"/>
      <w:bookmarkStart w:id="15" w:name="OLE_LINK7"/>
      <w:r>
        <w:rPr>
          <w:rFonts w:hint="eastAsia" w:asciiTheme="minorEastAsia" w:hAnsiTheme="minorEastAsia" w:eastAsiaTheme="minorEastAsia" w:cstheme="minorEastAsia"/>
          <w:sz w:val="24"/>
          <w:szCs w:val="24"/>
          <w:lang w:val="en-US"/>
        </w:rPr>
        <w:t>三、</w:t>
      </w:r>
      <w:r>
        <w:rPr>
          <w:rFonts w:hint="eastAsia" w:asciiTheme="minorEastAsia" w:hAnsiTheme="minorEastAsia" w:eastAsiaTheme="minorEastAsia" w:cstheme="minorEastAsia"/>
          <w:sz w:val="24"/>
          <w:szCs w:val="24"/>
        </w:rPr>
        <w:t>报价要求</w:t>
      </w:r>
      <w:bookmarkEnd w:id="13"/>
      <w:bookmarkEnd w:id="14"/>
    </w:p>
    <w:p w14:paraId="68C4413F">
      <w:pPr>
        <w:keepNext/>
        <w:keepLines/>
        <w:spacing w:line="360" w:lineRule="auto"/>
        <w:outlineLvl w:val="9"/>
        <w:rPr>
          <w:rFonts w:asciiTheme="minorEastAsia" w:hAnsiTheme="minorEastAsia" w:eastAsiaTheme="minorEastAsia" w:cstheme="minorEastAsia"/>
          <w:b/>
          <w:bCs/>
          <w:color w:val="000000"/>
          <w:sz w:val="24"/>
          <w:szCs w:val="24"/>
        </w:rPr>
      </w:pPr>
      <w:bookmarkStart w:id="16" w:name="_Toc22767"/>
      <w:bookmarkStart w:id="17" w:name="_Toc11545"/>
      <w:bookmarkStart w:id="18" w:name="_Toc28825"/>
      <w:r>
        <w:rPr>
          <w:rFonts w:hint="eastAsia" w:asciiTheme="minorEastAsia" w:hAnsiTheme="minorEastAsia" w:eastAsiaTheme="minorEastAsia" w:cstheme="minorEastAsia"/>
          <w:b/>
          <w:bCs/>
          <w:color w:val="000000"/>
          <w:sz w:val="24"/>
          <w:szCs w:val="24"/>
        </w:rPr>
        <w:t>3.1计价依据</w:t>
      </w:r>
      <w:bookmarkEnd w:id="16"/>
      <w:bookmarkEnd w:id="17"/>
      <w:bookmarkEnd w:id="18"/>
    </w:p>
    <w:p w14:paraId="08878E95">
      <w:pPr>
        <w:spacing w:line="360" w:lineRule="auto"/>
        <w:ind w:firstLine="480" w:firstLineChars="200"/>
        <w:outlineLvl w:val="9"/>
        <w:rPr>
          <w:rFonts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000000"/>
          <w:sz w:val="24"/>
          <w:szCs w:val="24"/>
        </w:rPr>
        <w:t>3.1.1 计价依据的确定符合国家法律法规、现行有关标准与规范，工程所在地</w:t>
      </w:r>
      <w:r>
        <w:rPr>
          <w:rFonts w:hint="eastAsia" w:asciiTheme="minorEastAsia" w:hAnsiTheme="minorEastAsia" w:eastAsiaTheme="minorEastAsia" w:cstheme="minorEastAsia"/>
          <w:color w:val="auto"/>
          <w:sz w:val="24"/>
          <w:szCs w:val="24"/>
        </w:rPr>
        <w:t>的省、市工程定额和工程造价的规定以及工程造价信息要求。</w:t>
      </w:r>
    </w:p>
    <w:p w14:paraId="45668A99">
      <w:pPr>
        <w:spacing w:line="360" w:lineRule="auto"/>
        <w:ind w:firstLine="480" w:firstLineChars="200"/>
        <w:outlineLvl w:val="9"/>
        <w:rPr>
          <w:rFonts w:hint="eastAsia" w:asciiTheme="minorEastAsia" w:hAnsiTheme="minorEastAsia" w:eastAsiaTheme="minorEastAsia" w:cstheme="minorEastAsia"/>
          <w:color w:val="auto"/>
          <w:sz w:val="24"/>
          <w:szCs w:val="24"/>
          <w:lang w:val="en-US" w:eastAsia="zh-CN"/>
        </w:rPr>
      </w:pPr>
      <w:r>
        <w:rPr>
          <w:rFonts w:hint="eastAsia" w:asciiTheme="minorEastAsia" w:hAnsiTheme="minorEastAsia" w:eastAsiaTheme="minorEastAsia" w:cstheme="minorEastAsia"/>
          <w:color w:val="auto"/>
          <w:sz w:val="24"/>
          <w:szCs w:val="24"/>
        </w:rPr>
        <w:t xml:space="preserve">3.1.2 </w:t>
      </w:r>
      <w:bookmarkStart w:id="19" w:name="OLE_LINK6"/>
      <w:r>
        <w:rPr>
          <w:rFonts w:hint="eastAsia" w:asciiTheme="minorEastAsia" w:hAnsiTheme="minorEastAsia" w:eastAsiaTheme="minorEastAsia" w:cstheme="minorEastAsia"/>
          <w:color w:val="auto"/>
          <w:sz w:val="24"/>
          <w:szCs w:val="24"/>
        </w:rPr>
        <w:t>安全文明施工费</w:t>
      </w:r>
      <w:bookmarkEnd w:id="19"/>
      <w:r>
        <w:rPr>
          <w:rFonts w:hint="eastAsia" w:asciiTheme="minorEastAsia" w:hAnsiTheme="minorEastAsia" w:eastAsiaTheme="minorEastAsia" w:cstheme="minorEastAsia"/>
          <w:color w:val="auto"/>
          <w:sz w:val="24"/>
          <w:szCs w:val="24"/>
          <w:lang w:val="en-US" w:eastAsia="zh-CN"/>
        </w:rPr>
        <w:t>费率</w:t>
      </w:r>
      <w:r>
        <w:rPr>
          <w:rFonts w:hint="eastAsia" w:asciiTheme="minorEastAsia" w:hAnsiTheme="minorEastAsia" w:eastAsiaTheme="minorEastAsia" w:cstheme="minorEastAsia"/>
          <w:color w:val="auto"/>
          <w:sz w:val="24"/>
          <w:szCs w:val="24"/>
        </w:rPr>
        <w:t>：</w:t>
      </w:r>
      <w:r>
        <w:rPr>
          <w:rFonts w:hint="eastAsia" w:asciiTheme="minorEastAsia" w:hAnsiTheme="minorEastAsia" w:eastAsiaTheme="minorEastAsia" w:cstheme="minorEastAsia"/>
          <w:color w:val="auto"/>
          <w:sz w:val="24"/>
          <w:szCs w:val="24"/>
          <w:lang w:val="en-US" w:eastAsia="zh-CN"/>
        </w:rPr>
        <w:t>详见最高限价中</w:t>
      </w:r>
      <w:r>
        <w:rPr>
          <w:rFonts w:hint="eastAsia" w:asciiTheme="minorEastAsia" w:hAnsiTheme="minorEastAsia" w:eastAsiaTheme="minorEastAsia" w:cstheme="minorEastAsia"/>
          <w:color w:val="auto"/>
          <w:sz w:val="24"/>
          <w:szCs w:val="24"/>
        </w:rPr>
        <w:t>安全文明施工费</w:t>
      </w:r>
      <w:r>
        <w:rPr>
          <w:rFonts w:hint="eastAsia" w:asciiTheme="minorEastAsia" w:hAnsiTheme="minorEastAsia" w:eastAsiaTheme="minorEastAsia" w:cstheme="minorEastAsia"/>
          <w:color w:val="auto"/>
          <w:sz w:val="24"/>
          <w:szCs w:val="24"/>
          <w:lang w:val="en-US" w:eastAsia="zh-CN"/>
        </w:rPr>
        <w:t>费率。</w:t>
      </w:r>
    </w:p>
    <w:p w14:paraId="42B0CC52">
      <w:pPr>
        <w:spacing w:line="360" w:lineRule="auto"/>
        <w:ind w:firstLine="480" w:firstLineChars="200"/>
        <w:outlineLvl w:val="9"/>
        <w:rPr>
          <w:rFonts w:hint="eastAsia" w:asciiTheme="minorEastAsia" w:hAnsiTheme="minorEastAsia" w:eastAsiaTheme="minorEastAsia" w:cstheme="minorEastAsia"/>
          <w:color w:val="auto"/>
          <w:sz w:val="24"/>
          <w:szCs w:val="24"/>
          <w:lang w:val="en-US" w:eastAsia="zh-CN"/>
        </w:rPr>
      </w:pPr>
      <w:r>
        <w:rPr>
          <w:rFonts w:hint="eastAsia" w:asciiTheme="minorEastAsia" w:hAnsiTheme="minorEastAsia" w:eastAsiaTheme="minorEastAsia" w:cstheme="minorEastAsia"/>
          <w:color w:val="auto"/>
          <w:sz w:val="24"/>
          <w:szCs w:val="24"/>
        </w:rPr>
        <w:t>3.1.</w:t>
      </w:r>
      <w:r>
        <w:rPr>
          <w:rFonts w:hint="eastAsia" w:asciiTheme="minorEastAsia" w:hAnsiTheme="minorEastAsia" w:eastAsiaTheme="minorEastAsia" w:cstheme="minorEastAsia"/>
          <w:color w:val="auto"/>
          <w:sz w:val="24"/>
          <w:szCs w:val="24"/>
          <w:lang w:val="en-US" w:eastAsia="zh-CN"/>
        </w:rPr>
        <w:t>3</w:t>
      </w:r>
      <w:r>
        <w:rPr>
          <w:rFonts w:hint="eastAsia" w:asciiTheme="minorEastAsia" w:hAnsiTheme="minorEastAsia" w:eastAsiaTheme="minorEastAsia" w:cstheme="minorEastAsia"/>
          <w:color w:val="auto"/>
          <w:sz w:val="24"/>
          <w:szCs w:val="24"/>
        </w:rPr>
        <w:t xml:space="preserve"> </w:t>
      </w:r>
      <w:r>
        <w:rPr>
          <w:rFonts w:hint="eastAsia" w:asciiTheme="minorEastAsia" w:hAnsiTheme="minorEastAsia" w:eastAsiaTheme="minorEastAsia" w:cstheme="minorEastAsia"/>
          <w:color w:val="auto"/>
          <w:sz w:val="24"/>
          <w:szCs w:val="24"/>
          <w:lang w:eastAsia="zh-CN"/>
        </w:rPr>
        <w:t>安全生产责任保险费</w:t>
      </w:r>
      <w:r>
        <w:rPr>
          <w:rFonts w:hint="eastAsia" w:asciiTheme="minorEastAsia" w:hAnsiTheme="minorEastAsia" w:eastAsiaTheme="minorEastAsia" w:cstheme="minorEastAsia"/>
          <w:color w:val="auto"/>
          <w:sz w:val="24"/>
          <w:szCs w:val="24"/>
          <w:lang w:val="en-US" w:eastAsia="zh-CN"/>
        </w:rPr>
        <w:t>费率</w:t>
      </w:r>
      <w:r>
        <w:rPr>
          <w:rFonts w:hint="eastAsia" w:asciiTheme="minorEastAsia" w:hAnsiTheme="minorEastAsia" w:eastAsiaTheme="minorEastAsia" w:cstheme="minorEastAsia"/>
          <w:color w:val="auto"/>
          <w:sz w:val="24"/>
          <w:szCs w:val="24"/>
        </w:rPr>
        <w:t>：</w:t>
      </w:r>
      <w:r>
        <w:rPr>
          <w:rFonts w:hint="eastAsia" w:asciiTheme="minorEastAsia" w:hAnsiTheme="minorEastAsia" w:eastAsiaTheme="minorEastAsia" w:cstheme="minorEastAsia"/>
          <w:color w:val="auto"/>
          <w:sz w:val="24"/>
          <w:szCs w:val="24"/>
          <w:lang w:val="en-US" w:eastAsia="zh-CN"/>
        </w:rPr>
        <w:t>详见最高限价中</w:t>
      </w:r>
      <w:r>
        <w:rPr>
          <w:rFonts w:hint="eastAsia" w:asciiTheme="minorEastAsia" w:hAnsiTheme="minorEastAsia" w:eastAsiaTheme="minorEastAsia" w:cstheme="minorEastAsia"/>
          <w:color w:val="auto"/>
          <w:sz w:val="24"/>
          <w:szCs w:val="24"/>
          <w:lang w:eastAsia="zh-CN"/>
        </w:rPr>
        <w:t>安全生产责任保险费</w:t>
      </w:r>
      <w:r>
        <w:rPr>
          <w:rFonts w:hint="eastAsia" w:asciiTheme="minorEastAsia" w:hAnsiTheme="minorEastAsia" w:eastAsiaTheme="minorEastAsia" w:cstheme="minorEastAsia"/>
          <w:color w:val="auto"/>
          <w:sz w:val="24"/>
          <w:szCs w:val="24"/>
          <w:lang w:val="en-US" w:eastAsia="zh-CN"/>
        </w:rPr>
        <w:t>费率。</w:t>
      </w:r>
    </w:p>
    <w:p w14:paraId="3433FA3D">
      <w:pPr>
        <w:keepNext/>
        <w:keepLines/>
        <w:spacing w:line="360" w:lineRule="auto"/>
        <w:outlineLvl w:val="9"/>
        <w:rPr>
          <w:rFonts w:asciiTheme="minorEastAsia" w:hAnsiTheme="minorEastAsia" w:eastAsiaTheme="minorEastAsia" w:cstheme="minorEastAsia"/>
          <w:b/>
          <w:bCs/>
          <w:color w:val="auto"/>
          <w:sz w:val="24"/>
          <w:szCs w:val="24"/>
        </w:rPr>
      </w:pPr>
      <w:bookmarkStart w:id="20" w:name="_Toc4564"/>
      <w:bookmarkStart w:id="21" w:name="_Toc22414"/>
      <w:bookmarkStart w:id="22" w:name="_Toc22790"/>
      <w:r>
        <w:rPr>
          <w:rFonts w:hint="eastAsia" w:asciiTheme="minorEastAsia" w:hAnsiTheme="minorEastAsia" w:eastAsiaTheme="minorEastAsia" w:cstheme="minorEastAsia"/>
          <w:b/>
          <w:bCs/>
          <w:color w:val="auto"/>
          <w:sz w:val="24"/>
          <w:szCs w:val="24"/>
        </w:rPr>
        <w:t>3.2响应报价参考编制要求</w:t>
      </w:r>
      <w:bookmarkEnd w:id="20"/>
      <w:bookmarkEnd w:id="21"/>
      <w:bookmarkEnd w:id="22"/>
    </w:p>
    <w:p w14:paraId="5BE69F62">
      <w:pPr>
        <w:spacing w:line="360" w:lineRule="auto"/>
        <w:ind w:firstLine="480" w:firstLineChars="200"/>
        <w:rPr>
          <w:rFonts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auto"/>
          <w:sz w:val="24"/>
          <w:szCs w:val="24"/>
        </w:rPr>
        <w:t>3.2.1 响应报价编制参考依</w:t>
      </w:r>
      <w:r>
        <w:rPr>
          <w:rFonts w:hint="eastAsia" w:asciiTheme="minorEastAsia" w:hAnsiTheme="minorEastAsia" w:eastAsiaTheme="minorEastAsia" w:cstheme="minorEastAsia"/>
          <w:sz w:val="24"/>
          <w:szCs w:val="24"/>
        </w:rPr>
        <w:t>据：</w:t>
      </w:r>
      <w:r>
        <w:rPr>
          <w:rFonts w:hint="eastAsia" w:asciiTheme="minorEastAsia" w:hAnsiTheme="minorEastAsia" w:eastAsiaTheme="minorEastAsia" w:cstheme="minorEastAsia"/>
          <w:color w:val="000000"/>
          <w:sz w:val="24"/>
          <w:szCs w:val="24"/>
          <w:lang w:val="en-US" w:eastAsia="zh-CN"/>
        </w:rPr>
        <w:t>详见清单编制说明（如有）。</w:t>
      </w:r>
    </w:p>
    <w:p w14:paraId="43B7E92A">
      <w:pPr>
        <w:spacing w:line="360" w:lineRule="auto"/>
        <w:ind w:firstLine="480" w:firstLineChars="200"/>
        <w:rPr>
          <w:rFonts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3.2.2供应商应仔细阅读采购文件，了解全部工程内容。供应商的响应报价应是采购文件所确定的采购范围内全部工程内容的价格体现，但其响应报价不得低于供应商个别成本价。</w:t>
      </w:r>
    </w:p>
    <w:p w14:paraId="1C9AEE60">
      <w:pPr>
        <w:spacing w:line="360" w:lineRule="auto"/>
        <w:ind w:firstLine="480" w:firstLineChars="200"/>
        <w:rPr>
          <w:rFonts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3.2.3供应商应按采购人提供的工程量清单填报综合单价和合价，未填报的综合单价和合价，视为此项费用已合在工程量清单的其他综合单价和合价中。</w:t>
      </w:r>
    </w:p>
    <w:p w14:paraId="2BCFD187">
      <w:pPr>
        <w:spacing w:line="360" w:lineRule="auto"/>
        <w:ind w:firstLine="480" w:firstLineChars="200"/>
        <w:rPr>
          <w:rFonts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3.2.4分部分项工程费根据采购文件中的工程量清单项目及项目特征描述等确定综合单价。其中综合单价是指完成一个规定清单项目所需的人工费、材料和工程设备费、施工机具使用费和综合费（企业管理费和利润）以及一定范围内供应商承担的风险费用。</w:t>
      </w:r>
    </w:p>
    <w:p w14:paraId="4AE4797F">
      <w:pPr>
        <w:spacing w:line="360" w:lineRule="auto"/>
        <w:ind w:firstLine="480" w:firstLineChars="200"/>
        <w:rPr>
          <w:rFonts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3.2.5措施项目费依据第3.2.1项编制依据确定。</w:t>
      </w:r>
    </w:p>
    <w:p w14:paraId="53151FFF">
      <w:pPr>
        <w:spacing w:line="360" w:lineRule="auto"/>
        <w:ind w:firstLine="480" w:firstLineChars="200"/>
        <w:rPr>
          <w:rFonts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000000"/>
          <w:sz w:val="24"/>
          <w:szCs w:val="24"/>
        </w:rPr>
        <w:t>3.2.6不可竞争费（含安全</w:t>
      </w:r>
      <w:r>
        <w:rPr>
          <w:rFonts w:hint="eastAsia" w:asciiTheme="minorEastAsia" w:hAnsiTheme="minorEastAsia" w:eastAsiaTheme="minorEastAsia" w:cstheme="minorEastAsia"/>
          <w:color w:val="auto"/>
          <w:sz w:val="24"/>
          <w:szCs w:val="24"/>
        </w:rPr>
        <w:t>文明施工费、环境保护税</w:t>
      </w:r>
      <w:r>
        <w:rPr>
          <w:rFonts w:hint="eastAsia" w:asciiTheme="minorEastAsia" w:hAnsiTheme="minorEastAsia" w:eastAsiaTheme="minorEastAsia" w:cstheme="minorEastAsia"/>
          <w:color w:val="auto"/>
          <w:sz w:val="24"/>
          <w:szCs w:val="24"/>
          <w:lang w:eastAsia="zh-CN"/>
        </w:rPr>
        <w:t>、安全生产责任保险费</w:t>
      </w:r>
      <w:r>
        <w:rPr>
          <w:rFonts w:hint="eastAsia" w:asciiTheme="minorEastAsia" w:hAnsiTheme="minorEastAsia" w:eastAsiaTheme="minorEastAsia" w:cstheme="minorEastAsia"/>
          <w:color w:val="auto"/>
          <w:sz w:val="24"/>
          <w:szCs w:val="24"/>
          <w:lang w:val="en-US" w:eastAsia="zh-CN"/>
        </w:rPr>
        <w:t>等</w:t>
      </w:r>
      <w:r>
        <w:rPr>
          <w:rFonts w:hint="eastAsia" w:asciiTheme="minorEastAsia" w:hAnsiTheme="minorEastAsia" w:eastAsiaTheme="minorEastAsia" w:cstheme="minorEastAsia"/>
          <w:color w:val="auto"/>
          <w:sz w:val="24"/>
          <w:szCs w:val="24"/>
        </w:rPr>
        <w:t>）根据工程量清单不可竞争项目，结合第3.2.1项编制依据确定，安全文明施工费费率</w:t>
      </w:r>
      <w:r>
        <w:rPr>
          <w:rFonts w:hint="eastAsia" w:asciiTheme="minorEastAsia" w:hAnsiTheme="minorEastAsia" w:eastAsiaTheme="minorEastAsia" w:cstheme="minorEastAsia"/>
          <w:color w:val="auto"/>
          <w:sz w:val="24"/>
          <w:szCs w:val="24"/>
          <w:lang w:val="en-US" w:eastAsia="zh-CN"/>
        </w:rPr>
        <w:t>和</w:t>
      </w:r>
      <w:r>
        <w:rPr>
          <w:rFonts w:hint="eastAsia" w:asciiTheme="minorEastAsia" w:hAnsiTheme="minorEastAsia" w:eastAsiaTheme="minorEastAsia" w:cstheme="minorEastAsia"/>
          <w:color w:val="auto"/>
          <w:sz w:val="24"/>
          <w:szCs w:val="24"/>
          <w:lang w:eastAsia="zh-CN"/>
        </w:rPr>
        <w:t>安全生产责任保险费</w:t>
      </w:r>
      <w:r>
        <w:rPr>
          <w:rFonts w:hint="eastAsia" w:asciiTheme="minorEastAsia" w:hAnsiTheme="minorEastAsia" w:eastAsiaTheme="minorEastAsia" w:cstheme="minorEastAsia"/>
          <w:color w:val="auto"/>
          <w:sz w:val="24"/>
          <w:szCs w:val="24"/>
          <w:lang w:val="en-US" w:eastAsia="zh-CN"/>
        </w:rPr>
        <w:t>费率</w:t>
      </w:r>
      <w:r>
        <w:rPr>
          <w:rFonts w:hint="eastAsia" w:asciiTheme="minorEastAsia" w:hAnsiTheme="minorEastAsia" w:eastAsiaTheme="minorEastAsia" w:cstheme="minorEastAsia"/>
          <w:color w:val="auto"/>
          <w:sz w:val="24"/>
          <w:szCs w:val="24"/>
        </w:rPr>
        <w:t>不得调整。</w:t>
      </w:r>
    </w:p>
    <w:p w14:paraId="688FC3C4">
      <w:pPr>
        <w:spacing w:line="360" w:lineRule="auto"/>
        <w:ind w:firstLine="480" w:firstLineChars="200"/>
        <w:rPr>
          <w:rFonts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3.2.7其他项目费用应按照下列规定计价：</w:t>
      </w:r>
    </w:p>
    <w:p w14:paraId="6FCDE2D3">
      <w:pPr>
        <w:spacing w:line="360" w:lineRule="auto"/>
        <w:ind w:firstLine="480" w:firstLineChars="200"/>
        <w:rPr>
          <w:rFonts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（1）暂列金额按工程量清单中列出的金额填写，不得更改；</w:t>
      </w:r>
    </w:p>
    <w:p w14:paraId="321F8060">
      <w:pPr>
        <w:spacing w:line="360" w:lineRule="auto"/>
        <w:ind w:firstLine="480" w:firstLineChars="200"/>
        <w:rPr>
          <w:rFonts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（2）专业工程暂估价按工程量清单中列出的金额填写，不得更改；</w:t>
      </w:r>
    </w:p>
    <w:p w14:paraId="7E38EE4D">
      <w:pPr>
        <w:spacing w:line="360" w:lineRule="auto"/>
        <w:ind w:firstLine="480" w:firstLineChars="200"/>
        <w:rPr>
          <w:rFonts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 xml:space="preserve">（3）计日工按采购人列出项目和数量，结合第3.2.1项编制依据的要求确定综合单价并计算费用； </w:t>
      </w:r>
    </w:p>
    <w:p w14:paraId="64A87568">
      <w:pPr>
        <w:spacing w:line="360" w:lineRule="auto"/>
        <w:ind w:firstLine="480" w:firstLineChars="200"/>
        <w:rPr>
          <w:rFonts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（4）总承包服务费根据采购文件列出的内容和要求计算。</w:t>
      </w:r>
    </w:p>
    <w:p w14:paraId="3C1A6390">
      <w:pPr>
        <w:spacing w:line="360" w:lineRule="auto"/>
        <w:ind w:firstLine="480" w:firstLineChars="200"/>
        <w:rPr>
          <w:rFonts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3.2.8税金（增值税）按税金项目清单，结合第3.2.1项编制依据的要求编制，不得调整。</w:t>
      </w:r>
    </w:p>
    <w:p w14:paraId="23629966">
      <w:pPr>
        <w:spacing w:line="360" w:lineRule="auto"/>
        <w:ind w:firstLine="480" w:firstLineChars="200"/>
        <w:rPr>
          <w:rFonts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3.2.9 响应报价编制注意事项</w:t>
      </w:r>
    </w:p>
    <w:p w14:paraId="750592B5">
      <w:pPr>
        <w:spacing w:line="360" w:lineRule="auto"/>
        <w:ind w:firstLine="480" w:firstLineChars="200"/>
        <w:rPr>
          <w:rFonts w:asciiTheme="minorEastAsia" w:hAnsiTheme="minorEastAsia" w:eastAsiaTheme="minorEastAsia" w:cstheme="minorEastAsia"/>
          <w:sz w:val="24"/>
          <w:szCs w:val="24"/>
        </w:rPr>
      </w:pPr>
      <w:r>
        <w:rPr>
          <w:rFonts w:hint="eastAsia" w:asciiTheme="minorEastAsia" w:hAnsiTheme="minorEastAsia" w:eastAsiaTheme="minorEastAsia" w:cstheme="minorEastAsia"/>
          <w:color w:val="000000"/>
          <w:sz w:val="24"/>
          <w:szCs w:val="24"/>
        </w:rPr>
        <w:t>对于受施工现场场地限制，如需要另外寻找场地解决临时住宿、材料及设备堆放，由此所产生的费用应包含在响应报价范围内，采购人不再承担该费用</w:t>
      </w:r>
      <w:r>
        <w:rPr>
          <w:rFonts w:hint="eastAsia" w:asciiTheme="minorEastAsia" w:hAnsiTheme="minorEastAsia" w:eastAsiaTheme="minorEastAsia" w:cstheme="minorEastAsia"/>
          <w:bCs/>
          <w:sz w:val="24"/>
          <w:szCs w:val="24"/>
        </w:rPr>
        <w:t>。</w:t>
      </w:r>
    </w:p>
    <w:bookmarkEnd w:id="15"/>
    <w:p w14:paraId="7B3042D1">
      <w:pPr>
        <w:pStyle w:val="3"/>
        <w:pageBreakBefore w:val="0"/>
        <w:widowControl w:val="0"/>
        <w:kinsoku/>
        <w:wordWrap/>
        <w:overflowPunct/>
        <w:topLinePunct w:val="0"/>
        <w:autoSpaceDE/>
        <w:autoSpaceDN/>
        <w:bidi w:val="0"/>
        <w:adjustRightInd/>
        <w:snapToGrid/>
        <w:spacing w:before="0" w:after="0" w:line="360" w:lineRule="auto"/>
        <w:rPr>
          <w:rFonts w:asciiTheme="minorEastAsia" w:hAnsiTheme="minorEastAsia" w:eastAsiaTheme="minorEastAsia" w:cstheme="minorEastAsia"/>
          <w:sz w:val="24"/>
          <w:szCs w:val="24"/>
        </w:rPr>
      </w:pPr>
      <w:bookmarkStart w:id="23" w:name="_Toc26113"/>
      <w:bookmarkStart w:id="24" w:name="_Toc25124"/>
      <w:bookmarkStart w:id="25" w:name="_Toc527541657"/>
      <w:r>
        <w:rPr>
          <w:rFonts w:hint="eastAsia" w:asciiTheme="minorEastAsia" w:hAnsiTheme="minorEastAsia" w:eastAsiaTheme="minorEastAsia" w:cstheme="minorEastAsia"/>
          <w:sz w:val="24"/>
          <w:szCs w:val="24"/>
          <w:lang w:val="en-US"/>
        </w:rPr>
        <w:t>四、</w:t>
      </w:r>
      <w:r>
        <w:rPr>
          <w:rFonts w:hint="eastAsia" w:asciiTheme="minorEastAsia" w:hAnsiTheme="minorEastAsia" w:eastAsiaTheme="minorEastAsia" w:cstheme="minorEastAsia"/>
          <w:sz w:val="24"/>
          <w:szCs w:val="24"/>
        </w:rPr>
        <w:t>工程量清单</w:t>
      </w:r>
      <w:bookmarkEnd w:id="23"/>
      <w:bookmarkEnd w:id="24"/>
    </w:p>
    <w:bookmarkEnd w:id="25"/>
    <w:p w14:paraId="4D560A71">
      <w:pPr>
        <w:pStyle w:val="10"/>
        <w:pageBreakBefore w:val="0"/>
        <w:widowControl w:val="0"/>
        <w:kinsoku/>
        <w:wordWrap/>
        <w:overflowPunct/>
        <w:topLinePunct w:val="0"/>
        <w:autoSpaceDE/>
        <w:autoSpaceDN/>
        <w:bidi w:val="0"/>
        <w:adjustRightInd/>
        <w:snapToGrid/>
        <w:ind w:firstLine="482"/>
        <w:rPr>
          <w:rFonts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另行发放。如工程量清单中涉及证明材料，供应商无须提供。如工程量清单中出现特定性、唯一性品牌的表述，该品牌仅作为参考，施工过程中不具有限定性。</w:t>
      </w:r>
    </w:p>
    <w:p w14:paraId="70813A42">
      <w:pPr>
        <w:pStyle w:val="3"/>
        <w:pageBreakBefore w:val="0"/>
        <w:widowControl w:val="0"/>
        <w:kinsoku/>
        <w:wordWrap/>
        <w:overflowPunct/>
        <w:topLinePunct w:val="0"/>
        <w:autoSpaceDE/>
        <w:autoSpaceDN/>
        <w:bidi w:val="0"/>
        <w:adjustRightInd/>
        <w:snapToGrid/>
        <w:spacing w:before="0" w:after="0" w:line="360" w:lineRule="auto"/>
        <w:rPr>
          <w:rFonts w:asciiTheme="minorEastAsia" w:hAnsiTheme="minorEastAsia" w:eastAsiaTheme="minorEastAsia" w:cstheme="minorEastAsia"/>
          <w:sz w:val="24"/>
          <w:szCs w:val="24"/>
        </w:rPr>
      </w:pPr>
      <w:bookmarkStart w:id="26" w:name="_Toc527541659"/>
      <w:bookmarkStart w:id="27" w:name="_Hlk165186373"/>
      <w:bookmarkStart w:id="28" w:name="_Toc31135"/>
      <w:bookmarkStart w:id="29" w:name="_Toc4770"/>
      <w:r>
        <w:rPr>
          <w:rFonts w:hint="eastAsia" w:asciiTheme="minorEastAsia" w:hAnsiTheme="minorEastAsia" w:eastAsiaTheme="minorEastAsia" w:cstheme="minorEastAsia"/>
          <w:sz w:val="24"/>
          <w:szCs w:val="24"/>
          <w:lang w:val="en-US"/>
        </w:rPr>
        <w:t>五、</w:t>
      </w:r>
      <w:r>
        <w:rPr>
          <w:rFonts w:hint="eastAsia" w:asciiTheme="minorEastAsia" w:hAnsiTheme="minorEastAsia" w:eastAsiaTheme="minorEastAsia" w:cstheme="minorEastAsia"/>
          <w:sz w:val="24"/>
          <w:szCs w:val="24"/>
        </w:rPr>
        <w:t>图纸</w:t>
      </w:r>
      <w:bookmarkEnd w:id="26"/>
      <w:bookmarkEnd w:id="27"/>
      <w:r>
        <w:rPr>
          <w:rFonts w:hint="eastAsia" w:asciiTheme="minorEastAsia" w:hAnsiTheme="minorEastAsia" w:eastAsiaTheme="minorEastAsia" w:cstheme="minorEastAsia"/>
          <w:sz w:val="24"/>
          <w:szCs w:val="24"/>
        </w:rPr>
        <w:t>（如有）</w:t>
      </w:r>
      <w:bookmarkEnd w:id="28"/>
      <w:bookmarkEnd w:id="29"/>
    </w:p>
    <w:p w14:paraId="3DD5A9CC">
      <w:r>
        <w:rPr>
          <w:rFonts w:hint="eastAsia" w:asciiTheme="minorEastAsia" w:hAnsiTheme="minorEastAsia" w:eastAsiaTheme="minorEastAsia" w:cstheme="minorEastAsia"/>
          <w:b/>
          <w:bCs/>
          <w:sz w:val="24"/>
          <w:szCs w:val="24"/>
        </w:rPr>
        <w:t>另行发放。如图纸中涉及证明材料，供应商无须提供。如图纸中出现特定性、唯一性品牌的表述，该品牌仅作为参考，施工过程中不具有限定性。</w:t>
      </w:r>
      <w:bookmarkStart w:id="30" w:name="_GoBack"/>
      <w:bookmarkEnd w:id="30"/>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81"/>
    <w:family w:val="roman"/>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Cambria">
    <w:panose1 w:val="02040503050406030204"/>
    <w:charset w:val="00"/>
    <w:family w:val="roman"/>
    <w:pitch w:val="default"/>
    <w:sig w:usb0="E00006FF" w:usb1="420024FF" w:usb2="02000000" w:usb3="00000000" w:csb0="2000019F" w:csb1="00000000"/>
  </w:font>
  <w:font w:name="楷体">
    <w:panose1 w:val="02010609060101010101"/>
    <w:charset w:val="86"/>
    <w:family w:val="modern"/>
    <w:pitch w:val="default"/>
    <w:sig w:usb0="800002BF" w:usb1="38CF7CFA" w:usb2="00000016"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294623A4"/>
    <w:rsid w:val="294623A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宋体" w:hAnsi="宋体" w:eastAsia="宋体" w:cstheme="minorBidi"/>
      <w:lang w:val="en-US" w:eastAsia="zh-CN" w:bidi="ar-SA"/>
    </w:rPr>
  </w:style>
  <w:style w:type="paragraph" w:styleId="3">
    <w:name w:val="heading 2"/>
    <w:basedOn w:val="1"/>
    <w:next w:val="1"/>
    <w:unhideWhenUsed/>
    <w:qFormat/>
    <w:uiPriority w:val="0"/>
    <w:pPr>
      <w:keepNext/>
      <w:keepLines/>
      <w:spacing w:before="260" w:after="260" w:line="416" w:lineRule="auto"/>
      <w:outlineLvl w:val="1"/>
    </w:pPr>
    <w:rPr>
      <w:rFonts w:ascii="Cambria" w:hAnsi="Cambria" w:cs="Times New Roman"/>
      <w:b/>
      <w:bCs/>
      <w:kern w:val="2"/>
      <w:sz w:val="32"/>
      <w:szCs w:val="32"/>
      <w:lang w:val="zh-CN"/>
    </w:rPr>
  </w:style>
  <w:style w:type="paragraph" w:styleId="2">
    <w:name w:val="heading 3"/>
    <w:basedOn w:val="1"/>
    <w:next w:val="1"/>
    <w:unhideWhenUsed/>
    <w:qFormat/>
    <w:uiPriority w:val="0"/>
    <w:pPr>
      <w:keepNext/>
      <w:keepLines/>
      <w:spacing w:before="260" w:after="260" w:line="416" w:lineRule="auto"/>
      <w:outlineLvl w:val="2"/>
    </w:pPr>
    <w:rPr>
      <w:b/>
      <w:bCs/>
      <w:sz w:val="32"/>
      <w:szCs w:val="32"/>
    </w:rPr>
  </w:style>
  <w:style w:type="character" w:default="1" w:styleId="6">
    <w:name w:val="Default Paragraph Font"/>
    <w:semiHidden/>
    <w:uiPriority w:val="0"/>
  </w:style>
  <w:style w:type="table" w:default="1" w:styleId="5">
    <w:name w:val="Normal Table"/>
    <w:semiHidden/>
    <w:uiPriority w:val="0"/>
    <w:tblPr>
      <w:tblCellMar>
        <w:top w:w="0" w:type="dxa"/>
        <w:left w:w="108" w:type="dxa"/>
        <w:bottom w:w="0" w:type="dxa"/>
        <w:right w:w="108" w:type="dxa"/>
      </w:tblCellMar>
    </w:tblPr>
  </w:style>
  <w:style w:type="paragraph" w:styleId="4">
    <w:name w:val="Plain Text"/>
    <w:basedOn w:val="1"/>
    <w:qFormat/>
    <w:uiPriority w:val="0"/>
    <w:rPr>
      <w:rFonts w:hAnsi="Courier New" w:eastAsiaTheme="minorEastAsia"/>
      <w:szCs w:val="22"/>
    </w:rPr>
  </w:style>
  <w:style w:type="table" w:customStyle="1" w:styleId="7">
    <w:name w:val="网格型2"/>
    <w:basedOn w:val="5"/>
    <w:unhideWhenUsed/>
    <w:qFormat/>
    <w:uiPriority w:val="59"/>
    <w:rPr>
      <w:rFonts w:asciiTheme="minorHAnsi" w:hAnsiTheme="minorHAnsi" w:eastAsiaTheme="minorEastAsia"/>
      <w:kern w:val="2"/>
      <w:sz w:val="21"/>
      <w:szCs w:val="22"/>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customStyle="1" w:styleId="8">
    <w:name w:val="xl31"/>
    <w:basedOn w:val="1"/>
    <w:qFormat/>
    <w:uiPriority w:val="0"/>
    <w:pPr>
      <w:widowControl/>
      <w:spacing w:before="100" w:beforeAutospacing="1" w:after="100" w:afterAutospacing="1"/>
      <w:jc w:val="center"/>
    </w:pPr>
    <w:rPr>
      <w:b/>
      <w:bCs/>
      <w:sz w:val="28"/>
      <w:szCs w:val="28"/>
    </w:rPr>
  </w:style>
  <w:style w:type="character" w:customStyle="1" w:styleId="9">
    <w:name w:val="标题 2 Char Char"/>
    <w:qFormat/>
    <w:uiPriority w:val="0"/>
    <w:rPr>
      <w:rFonts w:ascii="Arial" w:hAnsi="Arial" w:eastAsia="黑体" w:cs="Times New Roman"/>
      <w:b/>
      <w:bCs/>
      <w:kern w:val="2"/>
      <w:sz w:val="32"/>
      <w:szCs w:val="32"/>
      <w:lang w:val="en-US" w:eastAsia="zh-CN" w:bidi="ar-SA"/>
    </w:rPr>
  </w:style>
  <w:style w:type="paragraph" w:customStyle="1" w:styleId="10">
    <w:name w:val="正文2"/>
    <w:qFormat/>
    <w:uiPriority w:val="0"/>
    <w:pPr>
      <w:widowControl w:val="0"/>
      <w:adjustRightInd w:val="0"/>
      <w:snapToGrid w:val="0"/>
      <w:spacing w:line="360" w:lineRule="auto"/>
      <w:ind w:firstLine="200" w:firstLineChars="200"/>
      <w:jc w:val="both"/>
      <w:textAlignment w:val="baseline"/>
    </w:pPr>
    <w:rPr>
      <w:rFonts w:ascii="楷体" w:hAnsi="宋体" w:eastAsia="楷体" w:cstheme="minorBidi"/>
      <w:b/>
      <w:color w:val="0000FF"/>
      <w:lang w:val="en-US" w:eastAsia="zh-CN" w:bidi="ar-SA"/>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4</Pages>
  <Words>0</Words>
  <Characters>0</Characters>
  <Lines>0</Lines>
  <Paragraphs>0</Paragraphs>
  <TotalTime>0</TotalTime>
  <ScaleCrop>false</ScaleCrop>
  <LinksUpToDate>false</LinksUpToDate>
  <CharactersWithSpaces>0</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2026-08-14T08:02:00Z</dcterms:created>
  <dc:creator>初审-省招</dc:creator>
  <cp:lastModifiedBy>初审-省招</cp:lastModifiedBy>
  <dcterms:modified xsi:type="dcterms:W3CDTF">2026-08-14T08:02:10Z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751CF6027F074A0C9E1CF67409BD4C4B_11</vt:lpwstr>
  </property>
  <property fmtid="{D5CDD505-2E9C-101B-9397-08002B2CF9AE}" pid="4" name="KSOTemplateDocerSaveRecord">
    <vt:lpwstr>eyJoZGlkIjoiOTI1OTI4OGI4OWZlMDYwMmVlMWY3YWRlZDgyOTRhNzEiLCJ1c2VySWQiOiIxMTQ5MDI5NDA1In0=</vt:lpwstr>
  </property>
</Properties>
</file>