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lang w:val="en-US" w:eastAsia="zh-CN"/>
        </w:rPr>
      </w:pPr>
      <w:bookmarkStart w:id="0" w:name="_Toc24366"/>
      <w:bookmarkStart w:id="1" w:name="_Toc445554746"/>
      <w:bookmarkStart w:id="2" w:name="_Toc466024555"/>
      <w:r>
        <w:rPr>
          <w:rFonts w:hint="eastAsia" w:ascii="宋体" w:hAnsi="宋体" w:eastAsia="仿宋"/>
          <w:color w:val="auto"/>
          <w:highlight w:val="none"/>
        </w:rPr>
        <w:t xml:space="preserve"> 采购需求</w:t>
      </w:r>
      <w:bookmarkEnd w:id="0"/>
      <w:bookmarkEnd w:id="1"/>
      <w:bookmarkEnd w:id="2"/>
      <w:r>
        <w:rPr>
          <w:rFonts w:hint="eastAsia" w:ascii="宋体" w:hAnsi="宋体" w:eastAsia="仿宋"/>
          <w:color w:val="auto"/>
          <w:highlight w:val="none"/>
          <w:lang w:val="en-US" w:eastAsia="zh-CN"/>
        </w:rPr>
        <w:t xml:space="preserve"> </w:t>
      </w:r>
      <w:bookmarkStart w:id="32" w:name="_GoBack"/>
      <w:bookmarkEnd w:id="32"/>
    </w:p>
    <w:p w14:paraId="63A1604C">
      <w:pPr>
        <w:pStyle w:val="3"/>
        <w:rPr>
          <w:rStyle w:val="7"/>
          <w:rFonts w:ascii="宋体" w:hAnsi="宋体" w:eastAsia="仿宋"/>
          <w:b/>
          <w:bCs/>
          <w:color w:val="auto"/>
          <w:sz w:val="24"/>
          <w:szCs w:val="24"/>
          <w:highlight w:val="none"/>
        </w:rPr>
      </w:pPr>
      <w:bookmarkStart w:id="3" w:name="_Toc455587273"/>
      <w:bookmarkStart w:id="4" w:name="_Toc455587089"/>
      <w:bookmarkStart w:id="5" w:name="_Toc466024556"/>
      <w:bookmarkStart w:id="6" w:name="_Toc445554747"/>
      <w:r>
        <w:rPr>
          <w:rStyle w:val="7"/>
          <w:rFonts w:hint="eastAsia" w:ascii="宋体" w:hAnsi="宋体" w:eastAsia="仿宋"/>
          <w:b/>
          <w:bCs/>
          <w:color w:val="auto"/>
          <w:sz w:val="24"/>
          <w:szCs w:val="24"/>
          <w:highlight w:val="none"/>
        </w:rPr>
        <w:t xml:space="preserve">1. </w:t>
      </w:r>
      <w:bookmarkEnd w:id="3"/>
      <w:bookmarkEnd w:id="4"/>
      <w:bookmarkEnd w:id="5"/>
      <w:r>
        <w:rPr>
          <w:rStyle w:val="7"/>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7"/>
          <w:rFonts w:hint="eastAsia" w:ascii="宋体" w:hAnsi="宋体" w:eastAsia="仿宋"/>
          <w:b/>
          <w:bCs/>
          <w:color w:val="auto"/>
          <w:sz w:val="24"/>
          <w:szCs w:val="24"/>
          <w:highlight w:val="none"/>
        </w:rPr>
      </w:pPr>
      <w:bookmarkStart w:id="7" w:name="_Toc455587274"/>
      <w:bookmarkStart w:id="8" w:name="_Toc455587090"/>
      <w:bookmarkStart w:id="9" w:name="_Toc466024557"/>
      <w:r>
        <w:rPr>
          <w:rStyle w:val="7"/>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97C17CE">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高端全身超声一体机</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90C3C">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1台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57DB629">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170</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17D1280">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5A5C0">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FE0A5EF">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49FBEA69">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41A90F9B">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r>
        <w:rPr>
          <w:rFonts w:hint="eastAsia" w:ascii="宋体" w:hAnsi="宋体" w:eastAsia="仿宋"/>
          <w:b/>
          <w:color w:val="auto"/>
          <w:sz w:val="24"/>
          <w:highlight w:val="none"/>
          <w:lang w:val="en-US" w:eastAsia="zh-CN"/>
        </w:rPr>
        <w:t>2.2 用途说明</w:t>
      </w:r>
    </w:p>
    <w:p w14:paraId="57D043E2">
      <w:pPr>
        <w:widowControl/>
        <w:tabs>
          <w:tab w:val="left" w:pos="1406"/>
        </w:tabs>
        <w:snapToGrid w:val="0"/>
        <w:spacing w:line="360" w:lineRule="auto"/>
        <w:ind w:firstLine="410" w:firstLineChars="171"/>
        <w:rPr>
          <w:rFonts w:hint="default" w:ascii="宋体" w:hAnsi="宋体" w:eastAsia="仿宋" w:cs="Times New Roman"/>
          <w:color w:val="auto"/>
          <w:kern w:val="2"/>
          <w:sz w:val="24"/>
          <w:szCs w:val="24"/>
          <w:highlight w:val="none"/>
          <w:lang w:val="en-US" w:eastAsia="zh-CN" w:bidi="ar-SA"/>
        </w:rPr>
      </w:pPr>
      <w:r>
        <w:rPr>
          <w:rFonts w:hint="eastAsia" w:ascii="宋体" w:hAnsi="宋体" w:eastAsia="仿宋" w:cs="Times New Roman"/>
          <w:color w:val="auto"/>
          <w:kern w:val="2"/>
          <w:sz w:val="24"/>
          <w:szCs w:val="24"/>
          <w:highlight w:val="none"/>
          <w:lang w:val="en-US" w:eastAsia="zh-CN" w:bidi="ar-SA"/>
        </w:rPr>
        <w:t>主要用于腹部、心脏、妇产、经食道心脏、泌尿、新生儿、小儿、血管（外周、颅脑、腹部）、小器官、骨骼肌肉、神经、术中、造影、介入等方面的临床诊断和科研教学工作，具备AI或辅助自动测量功能，能满足开展新的临床应用需求。</w:t>
      </w:r>
    </w:p>
    <w:p w14:paraId="1478D246">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3</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8"/>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8"/>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安徽医科大学第一附属医院，招标人指定地点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8"/>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50A864B9">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（1）所投产品制造商为中小企业的，合同生效后，预付合同款的 40%(中标人向采购人提交等额的预付款保函或其他担保措施后，见索即付，担保期限不少于合同履约期限）。本项目全部货到安装验收合格，中标人开具金额为合同总金额的增值税专用发票后支付剩余合同款。</w:t>
            </w:r>
          </w:p>
          <w:p w14:paraId="017768D4">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（2）如不符合上述（1）的要求，本项目全部货到安装验收合格，中标人开具金额为合同总金额的增值税专用发票后按照合同价款一次性付清。</w:t>
            </w:r>
          </w:p>
          <w:p w14:paraId="762077DA">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8"/>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2年整机原厂质保</w:t>
            </w:r>
            <w:r>
              <w:rPr>
                <w:rFonts w:hint="eastAsia" w:ascii="宋体" w:hAnsi="宋体" w:eastAsia="仿宋" w:cs="Calibri"/>
                <w:color w:val="auto"/>
                <w:sz w:val="24"/>
                <w:highlight w:val="none"/>
                <w:lang w:val="en-US" w:eastAsia="zh-CN"/>
              </w:rPr>
              <w:t>（含探头）</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8"/>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8"/>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45554749"/>
      <w:bookmarkStart w:id="11" w:name="_Toc466024558"/>
      <w:bookmarkStart w:id="12" w:name="_Toc455587275"/>
      <w:bookmarkStart w:id="13" w:name="_Toc455587091"/>
      <w:r>
        <w:rPr>
          <w:rStyle w:val="7"/>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（2）须按照第六章投标文件格式十，提供技术要求偏离表和技术响应资料，如不提供视为投标无效。</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4E6E35B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高端全身超声一体机</w:t>
      </w:r>
    </w:p>
    <w:p w14:paraId="4855007B">
      <w:pPr>
        <w:pStyle w:val="4"/>
        <w:widowControl/>
        <w:snapToGrid w:val="0"/>
        <w:spacing w:line="360" w:lineRule="auto"/>
        <w:ind w:firstLine="482" w:firstLineChars="200"/>
        <w:outlineLvl w:val="9"/>
        <w:rPr>
          <w:rFonts w:hint="eastAsia" w:hAnsi="宋体" w:eastAsia="仿宋"/>
          <w:b/>
          <w:bCs/>
          <w:color w:val="auto"/>
          <w:sz w:val="24"/>
          <w:szCs w:val="24"/>
          <w:highlight w:val="none"/>
        </w:rPr>
      </w:pPr>
    </w:p>
    <w:p w14:paraId="07946FA3">
      <w:pPr>
        <w:keepNext w:val="0"/>
        <w:keepLines w:val="0"/>
        <w:pageBreakBefore w:val="0"/>
        <w:widowControl/>
        <w:kinsoku/>
        <w:wordWrap/>
        <w:topLinePunct w:val="0"/>
        <w:bidi w:val="0"/>
        <w:snapToGrid/>
        <w:spacing w:line="360" w:lineRule="auto"/>
        <w:ind w:left="0" w:right="0" w:firstLine="482" w:firstLineChars="200"/>
        <w:jc w:val="left"/>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一</w:t>
      </w:r>
      <w:r>
        <w:rPr>
          <w:rFonts w:hint="eastAsia" w:ascii="仿宋" w:hAnsi="仿宋" w:eastAsia="仿宋" w:cs="仿宋"/>
          <w:b/>
          <w:bCs/>
          <w:color w:val="000000" w:themeColor="text1"/>
          <w:kern w:val="0"/>
          <w:sz w:val="24"/>
          <w:highlight w:val="none"/>
          <w14:textFill>
            <w14:solidFill>
              <w14:schemeClr w14:val="tx1"/>
            </w14:solidFill>
          </w14:textFill>
        </w:rPr>
        <w:t>、投标要求</w:t>
      </w:r>
    </w:p>
    <w:p w14:paraId="28224916">
      <w:pPr>
        <w:keepNext w:val="0"/>
        <w:keepLines w:val="0"/>
        <w:pageBreakBefore w:val="0"/>
        <w:widowControl/>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投标机型要求：</w:t>
      </w:r>
      <w:r>
        <w:rPr>
          <w:rFonts w:hint="eastAsia" w:ascii="仿宋" w:hAnsi="仿宋" w:eastAsia="仿宋" w:cs="仿宋"/>
          <w:color w:val="0D0D0D" w:themeColor="text1" w:themeTint="F2"/>
          <w:sz w:val="24"/>
          <w:highlight w:val="none"/>
          <w14:textFill>
            <w14:solidFill>
              <w14:schemeClr w14:val="tx1">
                <w14:lumMod w14:val="95000"/>
                <w14:lumOff w14:val="5000"/>
              </w14:schemeClr>
            </w14:solidFill>
          </w14:textFill>
        </w:rPr>
        <w:t>要求所投机型不得低于</w:t>
      </w:r>
      <w:r>
        <w:rPr>
          <w:rFonts w:hint="eastAsia" w:ascii="仿宋" w:hAnsi="仿宋" w:eastAsia="仿宋" w:cs="仿宋"/>
          <w:color w:val="000000"/>
          <w:kern w:val="0"/>
          <w:sz w:val="24"/>
          <w:highlight w:val="none"/>
        </w:rPr>
        <w:t>LOGIQ</w:t>
      </w:r>
      <w:r>
        <w:rPr>
          <w:rFonts w:hint="eastAsia" w:ascii="仿宋" w:hAnsi="仿宋" w:eastAsia="仿宋" w:cs="仿宋"/>
          <w:color w:val="0D0D0D" w:themeColor="text1" w:themeTint="F2"/>
          <w:sz w:val="24"/>
          <w:highlight w:val="none"/>
          <w14:textFill>
            <w14:solidFill>
              <w14:schemeClr w14:val="tx1">
                <w14:lumMod w14:val="95000"/>
                <w14:lumOff w14:val="5000"/>
              </w14:schemeClr>
            </w14:solidFill>
          </w14:textFill>
        </w:rPr>
        <w:t xml:space="preserve"> E20, </w:t>
      </w:r>
      <w:r>
        <w:rPr>
          <w:rFonts w:hint="eastAsia" w:ascii="仿宋" w:hAnsi="仿宋" w:eastAsia="仿宋" w:cs="仿宋"/>
          <w:color w:val="000000"/>
          <w:kern w:val="0"/>
          <w:sz w:val="24"/>
          <w:highlight w:val="none"/>
        </w:rPr>
        <w:t>EPIQ Elite, Aplio i900   Tus-Ai900, ACUSON  Sequoia SiLver M 等,其它品牌性能不低于以上机型</w:t>
      </w:r>
    </w:p>
    <w:p w14:paraId="6C14285C">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 物理规格：</w:t>
      </w:r>
    </w:p>
    <w:p w14:paraId="4E0D8820">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1.1超声主机具备:全聚焦相干成像技术或软件波束成像技术或Elevate技术或无极声学智慧技术</w:t>
      </w:r>
    </w:p>
    <w:p w14:paraId="19C13C21">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█1.2显示器要求：≥23英寸OLED/HDU/HD Max显示器，分辨率1920×1080 </w:t>
      </w:r>
    </w:p>
    <w:p w14:paraId="2E56A168">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1.3液晶触摸屏≥12英寸，分辨率1920×1080   </w:t>
      </w:r>
    </w:p>
    <w:p w14:paraId="59E1F052">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1.4操作面板（键盘）可电动上下升降、左右旋转和前后调节。</w:t>
      </w:r>
    </w:p>
    <w:p w14:paraId="61E79A1C">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1.5成像探头接口数量≥4个,激活并相互通用  </w:t>
      </w:r>
    </w:p>
    <w:p w14:paraId="3830ACBD">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2.系统成像</w:t>
      </w:r>
    </w:p>
    <w:p w14:paraId="179E7048">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2.1具备二维灰阶成像、M型模式、彩色多普勒成像、频谱多普勒成像，连续多普勒成像、能量多普勒成像、方向性能量多普勒成像、谐波成像。</w:t>
      </w:r>
    </w:p>
    <w:p w14:paraId="0CAF9BD4">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 宽频可变频成像技术：灰阶、谐波、彩色、频谱支持独立变频，中心频率可视可调并显示具体数值。</w:t>
      </w:r>
    </w:p>
    <w:p w14:paraId="22696A9D">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 xml:space="preserve"> 系统动态范围≥380dB  </w:t>
      </w:r>
    </w:p>
    <w:p w14:paraId="66C48A5E">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 xml:space="preserve"> 脉冲优化处理技术或智能像素优化技术。</w:t>
      </w:r>
    </w:p>
    <w:p w14:paraId="3706573A">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 智能图像优化技术或连续组织优化技术。</w:t>
      </w:r>
    </w:p>
    <w:p w14:paraId="5A4D784C">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 xml:space="preserve"> 空间复合成像技术，支持所有凸阵、线阵及容积探头。</w:t>
      </w:r>
    </w:p>
    <w:p w14:paraId="690320BB">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 xml:space="preserve"> 自适应核磁像素优化技术或类似技术，支持所有成像探头。</w:t>
      </w:r>
    </w:p>
    <w:p w14:paraId="42774730">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 xml:space="preserve"> 宽景成像或全景成像，支持所有二维成像探头。</w:t>
      </w:r>
    </w:p>
    <w:p w14:paraId="0B9A65FD">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 xml:space="preserve"> 具备超声声速自动校正技术或者类似技术，可显示具体数值。</w:t>
      </w:r>
    </w:p>
    <w:p w14:paraId="3A15E349">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 xml:space="preserve"> 相干成像或类似技术，仪器无任何实体和触摸按键可调节焦点位置和数目，图像区域无聚焦点或聚焦带 </w:t>
      </w:r>
    </w:p>
    <w:p w14:paraId="4787CB72">
      <w:pPr>
        <w:keepNext w:val="0"/>
        <w:keepLines w:val="0"/>
        <w:pageBreakBefore w:val="0"/>
        <w:kinsoku/>
        <w:wordWrap/>
        <w:overflowPunct w:val="0"/>
        <w:topLinePunct w:val="0"/>
        <w:autoSpaceDE w:val="0"/>
        <w:autoSpaceDN w:val="0"/>
        <w:bidi w:val="0"/>
        <w:adjustRightInd w:val="0"/>
        <w:snapToGrid/>
        <w:spacing w:line="360" w:lineRule="auto"/>
        <w:ind w:left="0" w:right="0" w:firstLine="480" w:firstLineChars="200"/>
        <w:jc w:val="left"/>
        <w:textAlignment w:val="baseline"/>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 xml:space="preserve"> 高清放大功能，可对局部图像进行高清放大。</w:t>
      </w:r>
    </w:p>
    <w:p w14:paraId="01846EA9">
      <w:pPr>
        <w:keepNext w:val="0"/>
        <w:keepLines w:val="0"/>
        <w:pageBreakBefore w:val="0"/>
        <w:kinsoku/>
        <w:wordWrap/>
        <w:overflowPunct w:val="0"/>
        <w:topLinePunct w:val="0"/>
        <w:autoSpaceDE w:val="0"/>
        <w:autoSpaceDN w:val="0"/>
        <w:bidi w:val="0"/>
        <w:adjustRightInd w:val="0"/>
        <w:snapToGrid/>
        <w:spacing w:line="360" w:lineRule="auto"/>
        <w:ind w:left="0" w:right="0" w:firstLine="480" w:firstLineChars="200"/>
        <w:jc w:val="left"/>
        <w:textAlignment w:val="baseline"/>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 xml:space="preserve"> 自适应预设，系统自动识别当前扫查器官，并自动切换当前扫描脏器的成像预设，减少多个按键调节，快速获得优质图像。</w:t>
      </w:r>
    </w:p>
    <w:p w14:paraId="2B8A91D3">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 xml:space="preserve"> 多影像实时对比联合诊断技术或多模态对比技术。 </w:t>
      </w:r>
    </w:p>
    <w:p w14:paraId="2DA966C1">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 xml:space="preserve"> 具备数据防御系统，可对不同人群设置数据开放度及访问权限。</w:t>
      </w:r>
    </w:p>
    <w:p w14:paraId="38706CB0">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 主机具备内置耦合剂加热装置，加热温度分级可控。</w:t>
      </w:r>
    </w:p>
    <w:p w14:paraId="1A2F70F3">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 xml:space="preserve"> 扫描助手，系统可依据操作者自定义工作流程自动完成每一步操作，减少按键操作及检查时间。</w:t>
      </w:r>
    </w:p>
    <w:p w14:paraId="6CB18968">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 心脏成像或功能</w:t>
      </w:r>
    </w:p>
    <w:p w14:paraId="7A16274C">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 具备单晶体矩阵心脏容积探头</w:t>
      </w:r>
    </w:p>
    <w:p w14:paraId="290A4361">
      <w:pPr>
        <w:keepNext w:val="0"/>
        <w:keepLines w:val="0"/>
        <w:pageBreakBefore w:val="0"/>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 相控阵探头最大显示扫描角度≥120°或扇扩</w:t>
      </w:r>
    </w:p>
    <w:p w14:paraId="68E34583">
      <w:pPr>
        <w:keepNext w:val="0"/>
        <w:keepLines w:val="0"/>
        <w:pageBreakBefore w:val="0"/>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 具备心肌定量分析心肌组织多普勒定量分析，支持多节段分析</w:t>
      </w:r>
    </w:p>
    <w:p w14:paraId="5CCE93CE">
      <w:pPr>
        <w:keepNext w:val="0"/>
        <w:keepLines w:val="0"/>
        <w:pageBreakBefore w:val="0"/>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3.4 智能像素优化技术或心肌纹理成像或类似成像，支持心脏二维成像，分级可调，增强组织显示 </w:t>
      </w:r>
    </w:p>
    <w:p w14:paraId="04C53E88">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 支持心肌组织多普勒速度成像，同时支持解剖 M 型和曲线解剖 M 型</w:t>
      </w:r>
    </w:p>
    <w:p w14:paraId="70391EF5">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3.6 心肌二维斑点追踪技术，心肌应变和应变率分析，自动评估多节段心肌功能，以牛眼图形式直观显示  </w:t>
      </w:r>
    </w:p>
    <w:p w14:paraId="52754F9D">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3.7 心功能自动计算功能，自动得到 EF、CO、SV 等心功能数据。</w:t>
      </w:r>
    </w:p>
    <w:p w14:paraId="2ED2D62E">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3.8 具备负荷超声</w:t>
      </w:r>
    </w:p>
    <w:p w14:paraId="41A7FCEA">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3.9 具备心腔及心肌造影</w:t>
      </w:r>
    </w:p>
    <w:p w14:paraId="43F1987B">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3.10 相控阵探头最大显示扫描深度≥35cm(技术白皮书证明）</w:t>
      </w:r>
    </w:p>
    <w:p w14:paraId="4D5B22BB">
      <w:pPr>
        <w:keepNext w:val="0"/>
        <w:keepLines w:val="0"/>
        <w:pageBreakBefore w:val="0"/>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3.11 内置ECG 心电安装组件。</w:t>
      </w:r>
    </w:p>
    <w:p w14:paraId="350A4DC9">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4.血流血管成像</w:t>
      </w:r>
    </w:p>
    <w:p w14:paraId="4459098A">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 具备血管增强技术或类似技术，有效增强深部血管和微小血管管壁、管腔、血管内膜等结构的显示能力。</w:t>
      </w:r>
    </w:p>
    <w:p w14:paraId="06653C71">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 具有微细血流成像，可捕捉超微细血流及超低速血流信号，可进行血流速度测量，支持立体显示模式和造影模式。(技术白皮书证明）</w:t>
      </w:r>
    </w:p>
    <w:p w14:paraId="07E5224D">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4.3 立体血流成像，二维血流显示达到三维显示效果，立体程度可调节，支持测速（技术白皮书证明）</w:t>
      </w:r>
    </w:p>
    <w:p w14:paraId="5D7540BD">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4.4 多普勒血流定量或类似技术，通过对组织感兴趣区的多普勒血流信号计算分析，获得定量数据，可以数据活曲线显示</w:t>
      </w:r>
    </w:p>
    <w:p w14:paraId="3C105DE9">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4.5 自适应血流优化或类似技术，系统自动识别当前扫描血管的</w:t>
      </w:r>
      <w:r>
        <w:rPr>
          <w:rFonts w:hint="eastAsia" w:ascii="仿宋" w:hAnsi="仿宋" w:eastAsia="仿宋" w:cs="仿宋"/>
          <w:color w:val="000000" w:themeColor="text1"/>
          <w:kern w:val="0"/>
          <w:sz w:val="24"/>
          <w:highlight w:val="none"/>
          <w14:textFill>
            <w14:solidFill>
              <w14:schemeClr w14:val="tx1"/>
            </w14:solidFill>
          </w14:textFill>
        </w:rPr>
        <w:t>特征，自动调节血流成像参数，以获得最佳血流图像，减少操作，提高工作效率。</w:t>
      </w:r>
    </w:p>
    <w:p w14:paraId="490A11F0">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4.6 智能多普勒血管检查技术，</w:t>
      </w:r>
      <w:r>
        <w:rPr>
          <w:rFonts w:hint="eastAsia" w:ascii="仿宋" w:hAnsi="仿宋" w:eastAsia="仿宋" w:cs="仿宋"/>
          <w:color w:val="000000" w:themeColor="text1"/>
          <w:sz w:val="24"/>
          <w:highlight w:val="none"/>
          <w14:textFill>
            <w14:solidFill>
              <w14:schemeClr w14:val="tx1"/>
            </w14:solidFill>
          </w14:textFill>
        </w:rPr>
        <w:t>一键完成整个血管检查，包含自动实时识别血管位置、自动调整彩色取样框位置、角度，自动启动频谱多普勒、调整频谱取样容积及角度、自动优化频谱并自动测</w:t>
      </w:r>
      <w:r>
        <w:rPr>
          <w:rFonts w:hint="eastAsia" w:ascii="仿宋" w:hAnsi="仿宋" w:eastAsia="仿宋" w:cs="仿宋"/>
          <w:color w:val="000000" w:themeColor="text1"/>
          <w:kern w:val="0"/>
          <w:sz w:val="24"/>
          <w:highlight w:val="none"/>
          <w14:textFill>
            <w14:solidFill>
              <w14:schemeClr w14:val="tx1"/>
            </w14:solidFill>
          </w14:textFill>
        </w:rPr>
        <w:t>量。(提供技术白皮书证明）</w:t>
      </w:r>
    </w:p>
    <w:p w14:paraId="073FBD9D">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4.7 血管内中膜厚度自动测量</w:t>
      </w:r>
      <w:r>
        <w:rPr>
          <w:rFonts w:hint="eastAsia" w:ascii="仿宋" w:hAnsi="仿宋" w:eastAsia="仿宋" w:cs="仿宋"/>
          <w:color w:val="000000" w:themeColor="text1"/>
          <w:kern w:val="0"/>
          <w:sz w:val="24"/>
          <w:highlight w:val="none"/>
          <w:lang w:val="it-IT"/>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可在同一切面内同时测量前壁和后壁血管内中膜厚度，自动得出多组参数。</w:t>
      </w:r>
    </w:p>
    <w:p w14:paraId="29345DBE">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5. 先进成像及功能</w:t>
      </w:r>
    </w:p>
    <w:p w14:paraId="202C9A35">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 造影成像，支持凸阵、线阵、相控阵、微凸阵、腔内、术中、凸阵容积和腔内容积探头等，具备在机及离机造影时间强度曲线定量分析，高帧率造影（凸阵10cm，45°，帧率≥40帧/秒；线阵4cm，帧率FR≥90帧/秒）(提供技术白皮书证明 )。</w:t>
      </w:r>
    </w:p>
    <w:p w14:paraId="12C6890F">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 具备造影到达时间成像或造影时序分析功能或参量成像功能，使用不同颜色标记造影剂到达时间，方便观察并比较病灶及组织的造影剂灌注特点。</w:t>
      </w:r>
    </w:p>
    <w:p w14:paraId="0EDCC94E">
      <w:pPr>
        <w:keepNext w:val="0"/>
        <w:keepLines w:val="0"/>
        <w:pageBreakBefore w:val="0"/>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 应变弹性成像，支持凸阵、线阵、腔内、术中等多种探头，具备弹性量化分析</w:t>
      </w:r>
    </w:p>
    <w:p w14:paraId="580911A4">
      <w:pPr>
        <w:keepNext w:val="0"/>
        <w:keepLines w:val="0"/>
        <w:pageBreakBefore w:val="0"/>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 剪切波弹性成像，支持凸阵、线阵、腔内、术中等多种探头，具备弹性量化分析</w:t>
      </w:r>
    </w:p>
    <w:p w14:paraId="730D1FFF">
      <w:pPr>
        <w:keepNext w:val="0"/>
        <w:keepLines w:val="0"/>
        <w:pageBreakBefore w:val="0"/>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 剪切波频散成像或粘弹性成像  （提供证明）</w:t>
      </w:r>
    </w:p>
    <w:p w14:paraId="4EEFCEBA">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5.6</w:t>
      </w:r>
      <w:r>
        <w:rPr>
          <w:rFonts w:hint="eastAsia" w:ascii="仿宋" w:hAnsi="仿宋" w:eastAsia="仿宋" w:cs="仿宋"/>
          <w:color w:val="000000" w:themeColor="text1"/>
          <w:kern w:val="0"/>
          <w:sz w:val="24"/>
          <w:highlight w:val="none"/>
          <w14:textFill>
            <w14:solidFill>
              <w14:schemeClr w14:val="tx1"/>
            </w14:solidFill>
          </w14:textFill>
        </w:rPr>
        <w:t>肝脏脂肪定量或肝脏衍生脂肪分数测量或衰减成像，用于代谢相关性脂肪性肝病的早期发现、定量、分级及检测</w:t>
      </w:r>
      <w:r>
        <w:rPr>
          <w:rFonts w:hint="eastAsia" w:ascii="仿宋" w:hAnsi="仿宋" w:eastAsia="仿宋" w:cs="仿宋"/>
          <w:color w:val="000000" w:themeColor="text1"/>
          <w:sz w:val="24"/>
          <w:highlight w:val="none"/>
          <w14:textFill>
            <w14:solidFill>
              <w14:schemeClr w14:val="tx1"/>
            </w14:solidFill>
          </w14:textFill>
        </w:rPr>
        <w:t>。</w:t>
      </w:r>
    </w:p>
    <w:p w14:paraId="5CE56C61">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5.7多参数成像或类似技术，整合衰减成像与剪切波弹性成像等，在同一切面及位置同时获取组织衰减系数及弹性系数，提高定量的准确性。</w:t>
      </w:r>
    </w:p>
    <w:p w14:paraId="62D0672B">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5.8 内置乳腺AI或乳腺自动测量功能，根据回声信号自动识别病灶、自动包络病灶边界，并进行自动测量，自动获取病灶长、宽、高、周长、面积等数值。 (技术白皮书证明)</w:t>
      </w:r>
    </w:p>
    <w:p w14:paraId="79218EA8">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5.9 内置乳腺甲状腺AI或甲状腺自动测量功能，根据回声信号自动识别病灶、自动包络病灶边界，并进行自动测量，自动获取病灶长、宽、高、周长、面积等数值。(技术白皮书证明)</w:t>
      </w:r>
    </w:p>
    <w:p w14:paraId="25CD1029">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5.10 穿刺针增强显示功能：可独立调节穿刺针增益、具体穿刺针增益数值可显示或具备穿刺针增强技术，支持增强前后双幅对比或支持中央开槽凸阵介入探头。</w:t>
      </w:r>
    </w:p>
    <w:p w14:paraId="46B7CCAF">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5.11 </w:t>
      </w:r>
      <w:r>
        <w:rPr>
          <w:rFonts w:hint="eastAsia" w:ascii="仿宋" w:hAnsi="仿宋" w:eastAsia="仿宋" w:cs="仿宋"/>
          <w:color w:val="000000" w:themeColor="text1"/>
          <w:kern w:val="0"/>
          <w:sz w:val="24"/>
          <w:highlight w:val="none"/>
          <w14:textFill>
            <w14:solidFill>
              <w14:schemeClr w14:val="tx1"/>
            </w14:solidFill>
          </w14:textFill>
        </w:rPr>
        <w:t>智能结构甄别技术或类似技术，</w:t>
      </w:r>
      <w:r>
        <w:rPr>
          <w:rFonts w:hint="eastAsia" w:ascii="仿宋" w:hAnsi="仿宋" w:eastAsia="仿宋" w:cs="仿宋"/>
          <w:color w:val="000000" w:themeColor="text1"/>
          <w:sz w:val="24"/>
          <w:highlight w:val="none"/>
          <w14:textFill>
            <w14:solidFill>
              <w14:schemeClr w14:val="tx1"/>
            </w14:solidFill>
          </w14:textFill>
        </w:rPr>
        <w:t>组织边界识别肝脏等组织，在用户标定ROI区域自动识别病灶、自动包络病灶边界，对追踪边界进行细微调整校对</w:t>
      </w:r>
      <w:r>
        <w:rPr>
          <w:rFonts w:hint="eastAsia" w:ascii="仿宋" w:hAnsi="仿宋" w:eastAsia="仿宋" w:cs="仿宋"/>
          <w:color w:val="000000" w:themeColor="text1"/>
          <w:kern w:val="0"/>
          <w:sz w:val="24"/>
          <w:highlight w:val="none"/>
          <w14:textFill>
            <w14:solidFill>
              <w14:schemeClr w14:val="tx1"/>
            </w14:solidFill>
          </w14:textFill>
        </w:rPr>
        <w:t>。</w:t>
      </w:r>
    </w:p>
    <w:p w14:paraId="51F86441">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6.测量分析和报告</w:t>
      </w:r>
    </w:p>
    <w:p w14:paraId="32EEBE2B">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6.1具备全科测量软件包（包括腹部，浅表，心脏，妇儿等全套软件）。</w:t>
      </w:r>
    </w:p>
    <w:p w14:paraId="71BE9B67">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 血管内中膜自动测量。</w:t>
      </w:r>
    </w:p>
    <w:p w14:paraId="06FC055E">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6.3 小儿髋关节测量功能</w:t>
      </w:r>
    </w:p>
    <w:p w14:paraId="364CD71D">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6.4 </w:t>
      </w:r>
      <w:r>
        <w:rPr>
          <w:rFonts w:hint="eastAsia" w:ascii="仿宋" w:hAnsi="仿宋" w:eastAsia="仿宋" w:cs="仿宋"/>
          <w:color w:val="000000" w:themeColor="text1"/>
          <w:kern w:val="0"/>
          <w:sz w:val="24"/>
          <w:highlight w:val="none"/>
          <w14:textFill>
            <w14:solidFill>
              <w14:schemeClr w14:val="tx1"/>
            </w14:solidFill>
          </w14:textFill>
        </w:rPr>
        <w:t>多普勒频谱自动包络、测量与计算，参数由客户自由选择。</w:t>
      </w:r>
    </w:p>
    <w:p w14:paraId="1C13BAEE">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6.5 具备肾脏自动测量技术，系统自动测量肾脏长径、前后径、短径  </w:t>
      </w:r>
    </w:p>
    <w:p w14:paraId="4E7DDD5E">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7.电影回放、原始数据处理和检查存储管理系统:</w:t>
      </w:r>
    </w:p>
    <w:p w14:paraId="490B4542">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7.1 原始数据处理，支持存储图像多参数调节，最大可调节参数≥30项。</w:t>
      </w:r>
    </w:p>
    <w:p w14:paraId="4A7EA7C5">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7.2主机内置固态硬盘容量≥1TB </w:t>
      </w:r>
    </w:p>
    <w:p w14:paraId="20577F2F">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7.3 USB 3.0接口≥4个，用于图像传输</w:t>
      </w:r>
    </w:p>
    <w:p w14:paraId="0EB5217E">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7.4 在屏剪帖板和多画面同屏回放功能，不同检查日期所存的图像可以回放至同一屏幕比较分析。</w:t>
      </w:r>
    </w:p>
    <w:p w14:paraId="62795E19">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8.连通性</w:t>
      </w:r>
    </w:p>
    <w:p w14:paraId="6AD56333">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8.1 输入/输出信号：HDMI、USB等</w:t>
      </w:r>
    </w:p>
    <w:p w14:paraId="684CAD55">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8.2 影像互联功能：由移动端（手机或平板电脑）所拍摄的图片可瞬时上传至超声设备，单幅显示或与超声、超声动态图像同屏对照显示。</w:t>
      </w:r>
      <w:r>
        <w:rPr>
          <w:rFonts w:hint="eastAsia" w:ascii="仿宋" w:hAnsi="仿宋" w:eastAsia="仿宋" w:cs="仿宋"/>
          <w:color w:val="000000" w:themeColor="text1"/>
          <w:kern w:val="0"/>
          <w:sz w:val="24"/>
          <w:highlight w:val="none"/>
          <w14:textFill>
            <w14:solidFill>
              <w14:schemeClr w14:val="tx1"/>
            </w14:solidFill>
          </w14:textFill>
        </w:rPr>
        <w:t>适用于介入穿刺、手术、MDT、多人带教等临床场景</w:t>
      </w:r>
    </w:p>
    <w:p w14:paraId="56F1CC5A">
      <w:pPr>
        <w:pStyle w:val="9"/>
        <w:keepNext w:val="0"/>
        <w:keepLines w:val="0"/>
        <w:pageBreakBefore w:val="0"/>
        <w:tabs>
          <w:tab w:val="left" w:pos="426"/>
        </w:tabs>
        <w:kinsoku/>
        <w:wordWrap/>
        <w:topLinePunct w:val="0"/>
        <w:bidi w:val="0"/>
        <w:snapToGrid/>
        <w:spacing w:line="360" w:lineRule="auto"/>
        <w:ind w:left="0" w:right="0"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9.系统技术参数及要求</w:t>
      </w:r>
    </w:p>
    <w:p w14:paraId="27803D76">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w:t>
      </w:r>
      <w:r>
        <w:rPr>
          <w:rFonts w:hint="eastAsia" w:ascii="仿宋" w:hAnsi="仿宋" w:eastAsia="仿宋" w:cs="仿宋"/>
          <w:color w:val="000000" w:themeColor="text1"/>
          <w:kern w:val="0"/>
          <w:sz w:val="24"/>
          <w:highlight w:val="none"/>
          <w14:textFill>
            <w14:solidFill>
              <w14:schemeClr w14:val="tx1"/>
            </w14:solidFill>
          </w14:textFill>
        </w:rPr>
        <w:t>频率：无针触点式宽频变频探头，所有探头及所有检查模式要有明确的中心频率显示，实现二维、谐波、彩色、多普勒频率独立可调并显示具体数值。有针</w:t>
      </w:r>
    </w:p>
    <w:p w14:paraId="7A10CF4E">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█9.2探头最大物理阵元数≥1000(技术白皮书证明)</w:t>
      </w:r>
    </w:p>
    <w:p w14:paraId="4084A541">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9.3探头频率:  线阵探头最高支持频率 ≥23MHz</w:t>
      </w:r>
    </w:p>
    <w:p w14:paraId="026EBF52">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snapToGrid w:val="0"/>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9.4</w:t>
      </w:r>
      <w:r>
        <w:rPr>
          <w:rFonts w:hint="eastAsia" w:ascii="仿宋" w:hAnsi="仿宋" w:eastAsia="仿宋" w:cs="仿宋"/>
          <w:bCs/>
          <w:snapToGrid w:val="0"/>
          <w:color w:val="000000" w:themeColor="text1"/>
          <w:kern w:val="0"/>
          <w:sz w:val="24"/>
          <w:highlight w:val="none"/>
          <w14:textFill>
            <w14:solidFill>
              <w14:schemeClr w14:val="tx1"/>
            </w14:solidFill>
          </w14:textFill>
        </w:rPr>
        <w:t xml:space="preserve">标配凸阵探头最大有效探测深度≥45cm(技术白皮书证明) </w:t>
      </w:r>
    </w:p>
    <w:p w14:paraId="204E56E9">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9.5标配</w:t>
      </w:r>
      <w:r>
        <w:rPr>
          <w:rFonts w:hint="eastAsia" w:ascii="仿宋" w:hAnsi="仿宋" w:eastAsia="仿宋" w:cs="仿宋"/>
          <w:color w:val="000000" w:themeColor="text1"/>
          <w:sz w:val="24"/>
          <w:highlight w:val="none"/>
          <w14:textFill>
            <w14:solidFill>
              <w14:schemeClr w14:val="tx1"/>
            </w14:solidFill>
          </w14:textFill>
        </w:rPr>
        <w:t>单晶体</w:t>
      </w:r>
      <w:r>
        <w:rPr>
          <w:rFonts w:hint="eastAsia" w:ascii="仿宋" w:hAnsi="仿宋" w:eastAsia="仿宋" w:cs="仿宋"/>
          <w:color w:val="000000" w:themeColor="text1"/>
          <w:kern w:val="0"/>
          <w:sz w:val="24"/>
          <w:highlight w:val="none"/>
          <w14:textFill>
            <w14:solidFill>
              <w14:schemeClr w14:val="tx1"/>
            </w14:solidFill>
          </w14:textFill>
        </w:rPr>
        <w:t>凸阵探头，1把：支持应变弹性成像、剪切波弹性成像、衰减成像和造影成像 不支持应变</w:t>
      </w:r>
    </w:p>
    <w:p w14:paraId="3FD646CB">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9.6标配腔内探头，1把：</w:t>
      </w:r>
      <w:r>
        <w:rPr>
          <w:rFonts w:hint="eastAsia" w:ascii="仿宋" w:hAnsi="仿宋" w:eastAsia="仿宋" w:cs="仿宋"/>
          <w:color w:val="000000" w:themeColor="text1"/>
          <w:sz w:val="24"/>
          <w:highlight w:val="none"/>
          <w14:textFill>
            <w14:solidFill>
              <w14:schemeClr w14:val="tx1"/>
            </w14:solidFill>
          </w14:textFill>
        </w:rPr>
        <w:t>成像角度≥180°，</w:t>
      </w:r>
      <w:r>
        <w:rPr>
          <w:rFonts w:hint="eastAsia" w:ascii="仿宋" w:hAnsi="仿宋" w:eastAsia="仿宋" w:cs="仿宋"/>
          <w:color w:val="000000" w:themeColor="text1"/>
          <w:kern w:val="0"/>
          <w:sz w:val="24"/>
          <w:highlight w:val="none"/>
          <w14:textFill>
            <w14:solidFill>
              <w14:schemeClr w14:val="tx1"/>
            </w14:solidFill>
          </w14:textFill>
        </w:rPr>
        <w:t>支持应变弹性成像、剪切波弹性成像和造影成像</w:t>
      </w:r>
    </w:p>
    <w:p w14:paraId="4269D9B5">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snapToGrid w:val="0"/>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9.7标配线阵探头，1把：支持应变弹性成像、剪切波弹性成像和造影成像</w:t>
      </w:r>
    </w:p>
    <w:p w14:paraId="76E610EB">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9.8标配单晶体超高频线阵探头，1把：支持应变弹性成像、剪切波弹性成像和造影成像</w:t>
      </w:r>
    </w:p>
    <w:p w14:paraId="5F84A39D">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9.9标配单晶体相控阵探头，1把：支持造影成像</w:t>
      </w:r>
    </w:p>
    <w:p w14:paraId="0BD8746A">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9.10</w:t>
      </w:r>
      <w:r>
        <w:rPr>
          <w:rFonts w:hint="eastAsia" w:ascii="仿宋" w:hAnsi="仿宋" w:eastAsia="仿宋" w:cs="仿宋"/>
          <w:color w:val="000000" w:themeColor="text1"/>
          <w:sz w:val="24"/>
          <w:highlight w:val="none"/>
          <w14:textFill>
            <w14:solidFill>
              <w14:schemeClr w14:val="tx1"/>
            </w14:solidFill>
          </w14:textFill>
        </w:rPr>
        <w:t>二维灰阶成像≥256 灰阶</w:t>
      </w:r>
    </w:p>
    <w:p w14:paraId="28F2D9C3">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9.11</w:t>
      </w:r>
      <w:r>
        <w:rPr>
          <w:rFonts w:hint="eastAsia" w:ascii="仿宋" w:hAnsi="仿宋" w:eastAsia="仿宋" w:cs="仿宋"/>
          <w:color w:val="000000" w:themeColor="text1"/>
          <w:sz w:val="24"/>
          <w:highlight w:val="none"/>
          <w14:textFill>
            <w14:solidFill>
              <w14:schemeClr w14:val="tx1"/>
            </w14:solidFill>
          </w14:textFill>
        </w:rPr>
        <w:t>增益调节：TGC增益补偿≥8 段，B/M 可独立调节</w:t>
      </w:r>
    </w:p>
    <w:p w14:paraId="0B62FED9">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9.12</w:t>
      </w:r>
      <w:r>
        <w:rPr>
          <w:rFonts w:hint="eastAsia" w:ascii="仿宋" w:hAnsi="仿宋" w:eastAsia="仿宋" w:cs="仿宋"/>
          <w:color w:val="000000" w:themeColor="text1"/>
          <w:sz w:val="24"/>
          <w:highlight w:val="none"/>
          <w14:textFill>
            <w14:solidFill>
              <w14:schemeClr w14:val="tx1"/>
            </w14:solidFill>
          </w14:textFill>
        </w:rPr>
        <w:t>显示模式：脉冲多普勒、高脉冲重复频率、连续波多普勒</w:t>
      </w:r>
    </w:p>
    <w:p w14:paraId="18B373A1">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9.13</w:t>
      </w:r>
      <w:r>
        <w:rPr>
          <w:rFonts w:hint="eastAsia" w:ascii="仿宋" w:hAnsi="仿宋" w:eastAsia="仿宋" w:cs="仿宋"/>
          <w:color w:val="000000" w:themeColor="text1"/>
          <w:sz w:val="24"/>
          <w:highlight w:val="none"/>
          <w14:textFill>
            <w14:solidFill>
              <w14:schemeClr w14:val="tx1"/>
            </w14:solidFill>
          </w14:textFill>
        </w:rPr>
        <w:t>显示方式：速度图 、能量图、方向性能量图</w:t>
      </w:r>
    </w:p>
    <w:p w14:paraId="213B24B2">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9.14</w:t>
      </w:r>
      <w:r>
        <w:rPr>
          <w:rFonts w:hint="eastAsia" w:ascii="仿宋" w:hAnsi="仿宋" w:eastAsia="仿宋" w:cs="仿宋"/>
          <w:color w:val="000000" w:themeColor="text1"/>
          <w:sz w:val="24"/>
          <w:highlight w:val="none"/>
          <w14:textFill>
            <w14:solidFill>
              <w14:schemeClr w14:val="tx1"/>
            </w14:solidFill>
          </w14:textFill>
        </w:rPr>
        <w:t>最大测量速度：</w:t>
      </w:r>
      <w:r>
        <w:rPr>
          <w:rFonts w:hint="eastAsia" w:ascii="仿宋" w:hAnsi="仿宋" w:eastAsia="仿宋" w:cs="仿宋"/>
          <w:color w:val="000000" w:themeColor="text1"/>
          <w:kern w:val="0"/>
          <w:sz w:val="24"/>
          <w:highlight w:val="none"/>
          <w14:textFill>
            <w14:solidFill>
              <w14:schemeClr w14:val="tx1"/>
            </w14:solidFill>
          </w14:textFill>
        </w:rPr>
        <w:t>PWD血流速度≥10m/s；CWD血流速度≥20m/s。PWD≥16m/s CWD血流速度≥21m/s</w:t>
      </w:r>
    </w:p>
    <w:p w14:paraId="29D09B9F">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9.15</w:t>
      </w:r>
      <w:r>
        <w:rPr>
          <w:rFonts w:hint="eastAsia" w:ascii="仿宋" w:hAnsi="仿宋" w:eastAsia="仿宋" w:cs="仿宋"/>
          <w:color w:val="000000" w:themeColor="text1"/>
          <w:sz w:val="24"/>
          <w:highlight w:val="none"/>
          <w14:textFill>
            <w14:solidFill>
              <w14:schemeClr w14:val="tx1"/>
            </w14:solidFill>
          </w14:textFill>
        </w:rPr>
        <w:t>最低测量速度：≤0.3mm/s (非噪音信号)</w:t>
      </w:r>
    </w:p>
    <w:p w14:paraId="3ABEB05A">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9.16</w:t>
      </w:r>
      <w:r>
        <w:rPr>
          <w:rFonts w:hint="eastAsia" w:ascii="仿宋" w:hAnsi="仿宋" w:eastAsia="仿宋" w:cs="仿宋"/>
          <w:color w:val="000000" w:themeColor="text1"/>
          <w:sz w:val="24"/>
          <w:highlight w:val="none"/>
          <w14:textFill>
            <w14:solidFill>
              <w14:schemeClr w14:val="tx1"/>
            </w14:solidFill>
          </w14:textFill>
        </w:rPr>
        <w:t>取样宽度及位置范围：宽度 0.5mm至20mm多级可调</w:t>
      </w:r>
    </w:p>
    <w:p w14:paraId="52DFA826">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i/>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9.17</w:t>
      </w:r>
      <w:r>
        <w:rPr>
          <w:rFonts w:hint="eastAsia" w:ascii="仿宋" w:hAnsi="仿宋" w:eastAsia="仿宋" w:cs="仿宋"/>
          <w:color w:val="000000" w:themeColor="text1"/>
          <w:sz w:val="24"/>
          <w:highlight w:val="none"/>
          <w14:textFill>
            <w14:solidFill>
              <w14:schemeClr w14:val="tx1"/>
            </w14:solidFill>
          </w14:textFill>
        </w:rPr>
        <w:t>频谱基线零位移动：</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10级</w:t>
      </w:r>
    </w:p>
    <w:p w14:paraId="59794571">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9.18具有双同步/三同步显示。</w:t>
      </w:r>
    </w:p>
    <w:p w14:paraId="44B0BA0C">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9.19二维成像速度：凸阵探头, 80°角,18CM深度时,帧速度≥50帧/秒；相控阵探头，18cm 深度，扫描角度90°，最高线密度下，二维帧频≥50帧/秒</w:t>
      </w:r>
    </w:p>
    <w:p w14:paraId="469C443E">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9.20彩色多普勒扫描速率：凸阵探头，80°角，18cm深时，彩色显示帧频≥11帧/s；相控阵探头，90°角，18cm深时，彩色显示帧频≥11 帧/s</w:t>
      </w:r>
    </w:p>
    <w:p w14:paraId="59F054E8">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9.21显示位置调整：线阵扫描感兴趣的图像范围：-20°～ +20°</w:t>
      </w:r>
    </w:p>
    <w:p w14:paraId="6458039F">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9.22超声功率输出调节：B/M、PWD、Color Doppler输出功率可调</w:t>
      </w:r>
    </w:p>
    <w:p w14:paraId="1D24F028">
      <w:pPr>
        <w:pStyle w:val="9"/>
        <w:keepNext w:val="0"/>
        <w:keepLines w:val="0"/>
        <w:pageBreakBefore w:val="0"/>
        <w:numPr>
          <w:ilvl w:val="0"/>
          <w:numId w:val="0"/>
        </w:numPr>
        <w:tabs>
          <w:tab w:val="left" w:pos="426"/>
        </w:tabs>
        <w:kinsoku/>
        <w:wordWrap/>
        <w:topLinePunct w:val="0"/>
        <w:bidi w:val="0"/>
        <w:snapToGrid/>
        <w:spacing w:line="360" w:lineRule="auto"/>
        <w:ind w:left="0" w:leftChars="0" w:right="0" w:rightChars="0" w:firstLine="482" w:firstLineChars="200"/>
        <w:jc w:val="left"/>
        <w:rPr>
          <w:rFonts w:hint="eastAsia" w:ascii="仿宋" w:hAnsi="仿宋" w:eastAsia="仿宋" w:cs="仿宋"/>
          <w:bCs/>
          <w:color w:val="auto"/>
          <w:sz w:val="24"/>
          <w:highlight w:val="none"/>
        </w:rPr>
      </w:pPr>
      <w:r>
        <w:rPr>
          <w:rFonts w:hint="eastAsia" w:ascii="仿宋" w:hAnsi="仿宋" w:eastAsia="仿宋" w:cs="仿宋"/>
          <w:b/>
          <w:bCs w:val="0"/>
          <w:color w:val="auto"/>
          <w:kern w:val="2"/>
          <w:sz w:val="24"/>
          <w:szCs w:val="24"/>
          <w:highlight w:val="none"/>
          <w:lang w:val="en-US" w:eastAsia="zh-CN" w:bidi="ar-SA"/>
        </w:rPr>
        <w:t>10.</w:t>
      </w:r>
      <w:r>
        <w:rPr>
          <w:rFonts w:hint="eastAsia" w:ascii="仿宋" w:hAnsi="仿宋" w:eastAsia="仿宋" w:cs="仿宋"/>
          <w:b/>
          <w:bCs w:val="0"/>
          <w:color w:val="auto"/>
          <w:sz w:val="24"/>
          <w:highlight w:val="none"/>
        </w:rPr>
        <w:t>提供医生座椅 2套</w:t>
      </w:r>
    </w:p>
    <w:p w14:paraId="6D339061">
      <w:pPr>
        <w:pStyle w:val="9"/>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662E0A1B">
      <w:pPr>
        <w:pStyle w:val="9"/>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4"/>
        <w:widowControl/>
        <w:snapToGrid w:val="0"/>
        <w:spacing w:line="360" w:lineRule="auto"/>
        <w:outlineLvl w:val="1"/>
        <w:rPr>
          <w:rFonts w:hint="eastAsia" w:ascii="仿宋" w:hAnsi="仿宋" w:eastAsia="仿宋" w:cs="仿宋"/>
          <w:b/>
          <w:bCs/>
          <w:color w:val="000000" w:themeColor="text1"/>
          <w:sz w:val="24"/>
          <w:highlight w:val="none"/>
          <w14:textFill>
            <w14:solidFill>
              <w14:schemeClr w14:val="tx1"/>
            </w14:solidFill>
          </w14:textFill>
        </w:rPr>
      </w:pPr>
      <w:r>
        <w:rPr>
          <w:rStyle w:val="7"/>
          <w:rFonts w:hint="eastAsia" w:ascii="宋体" w:hAnsi="宋体" w:eastAsia="仿宋"/>
          <w:color w:val="auto"/>
          <w:sz w:val="24"/>
          <w:szCs w:val="24"/>
          <w:highlight w:val="none"/>
          <w:lang w:val="en-US" w:eastAsia="zh-CN"/>
        </w:rPr>
        <w:t>5、</w:t>
      </w:r>
      <w:r>
        <w:rPr>
          <w:rStyle w:val="7"/>
          <w:rFonts w:hint="eastAsia" w:ascii="宋体" w:hAnsi="宋体" w:eastAsia="仿宋"/>
          <w:color w:val="auto"/>
          <w:sz w:val="24"/>
          <w:szCs w:val="24"/>
          <w:highlight w:val="none"/>
        </w:rPr>
        <w:t>售后</w:t>
      </w:r>
      <w:r>
        <w:rPr>
          <w:rStyle w:val="7"/>
          <w:rFonts w:hint="eastAsia" w:ascii="宋体" w:hAnsi="宋体" w:eastAsia="仿宋"/>
          <w:color w:val="auto"/>
          <w:sz w:val="24"/>
          <w:szCs w:val="24"/>
          <w:highlight w:val="none"/>
          <w:lang w:val="en-US" w:eastAsia="zh-CN"/>
        </w:rPr>
        <w:t>要求</w:t>
      </w:r>
      <w:r>
        <w:rPr>
          <w:rStyle w:val="7"/>
          <w:rFonts w:hint="eastAsia" w:ascii="宋体" w:hAnsi="宋体" w:eastAsia="仿宋"/>
          <w:color w:val="auto"/>
          <w:sz w:val="24"/>
          <w:szCs w:val="24"/>
          <w:highlight w:val="none"/>
        </w:rPr>
        <w:t>：</w:t>
      </w:r>
    </w:p>
    <w:p w14:paraId="281DD33A">
      <w:pPr>
        <w:pStyle w:val="9"/>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5.1.</w:t>
      </w:r>
      <w:r>
        <w:rPr>
          <w:rFonts w:hint="eastAsia" w:ascii="仿宋" w:hAnsi="仿宋" w:eastAsia="仿宋" w:cs="仿宋"/>
          <w:bCs/>
          <w:color w:val="000000" w:themeColor="text1"/>
          <w:sz w:val="24"/>
          <w:highlight w:val="none"/>
          <w14:textFill>
            <w14:solidFill>
              <w14:schemeClr w14:val="tx1"/>
            </w14:solidFill>
          </w14:textFill>
        </w:rPr>
        <w:t>整机及探头原厂质保≥2年，所配探头分项报价</w:t>
      </w:r>
      <w:r>
        <w:rPr>
          <w:rFonts w:hint="eastAsia" w:ascii="仿宋" w:hAnsi="仿宋" w:eastAsia="仿宋" w:cs="仿宋"/>
          <w:bCs/>
          <w:color w:val="000000" w:themeColor="text1"/>
          <w:sz w:val="24"/>
          <w:highlight w:val="none"/>
          <w:lang w:eastAsia="zh-CN"/>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sz w:val="24"/>
          <w:szCs w:val="24"/>
          <w:highlight w:val="none"/>
        </w:rPr>
      </w:pPr>
      <w:bookmarkStart w:id="14" w:name="_Toc525819967"/>
      <w:bookmarkStart w:id="15" w:name="_Toc493440975"/>
      <w:bookmarkStart w:id="16" w:name="_Toc512611689"/>
      <w:bookmarkStart w:id="17" w:name="_Toc493440807"/>
      <w:bookmarkStart w:id="18" w:name="_Toc526265691"/>
      <w:bookmarkStart w:id="19" w:name="_Toc517011814"/>
      <w:bookmarkStart w:id="20" w:name="_Toc493432670"/>
      <w:bookmarkStart w:id="21" w:name="_Toc512544434"/>
      <w:bookmarkStart w:id="22" w:name="_Toc515539872"/>
      <w:r>
        <w:rPr>
          <w:rFonts w:hint="eastAsia" w:hAnsi="宋体" w:eastAsia="仿宋"/>
          <w:b/>
          <w:bCs/>
          <w:sz w:val="24"/>
          <w:szCs w:val="24"/>
          <w:highlight w:val="none"/>
          <w:lang w:val="en-US" w:eastAsia="zh-CN"/>
        </w:rPr>
        <w:t>5.2.</w:t>
      </w:r>
      <w:r>
        <w:rPr>
          <w:rFonts w:hint="eastAsia" w:hAnsi="宋体" w:eastAsia="仿宋"/>
          <w:b/>
          <w:bCs/>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sz w:val="24"/>
          <w:szCs w:val="24"/>
          <w:highlight w:val="none"/>
        </w:rPr>
      </w:pPr>
      <w:bookmarkStart w:id="23" w:name="_Toc493432672"/>
      <w:bookmarkStart w:id="24" w:name="_Toc493440809"/>
      <w:bookmarkStart w:id="25" w:name="_Toc515539874"/>
      <w:bookmarkStart w:id="26" w:name="_Toc493440977"/>
      <w:bookmarkStart w:id="27" w:name="_Toc526265693"/>
      <w:bookmarkStart w:id="28" w:name="_Toc512611691"/>
      <w:bookmarkStart w:id="29" w:name="_Toc517011816"/>
      <w:bookmarkStart w:id="30" w:name="_Toc512544436"/>
      <w:bookmarkStart w:id="31" w:name="_Toc525819969"/>
      <w:r>
        <w:rPr>
          <w:rFonts w:hint="eastAsia" w:hAnsi="宋体" w:eastAsia="仿宋"/>
          <w:b/>
          <w:bCs/>
          <w:sz w:val="24"/>
          <w:szCs w:val="24"/>
          <w:highlight w:val="none"/>
          <w:lang w:val="en-US" w:eastAsia="zh-CN"/>
        </w:rPr>
        <w:t>5.3.</w:t>
      </w:r>
      <w:r>
        <w:rPr>
          <w:rFonts w:hint="eastAsia" w:hAnsi="宋体" w:eastAsia="仿宋"/>
          <w:b/>
          <w:bCs/>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sz w:val="24"/>
          <w:szCs w:val="24"/>
          <w:highlight w:val="none"/>
          <w:lang w:val="en-US" w:eastAsia="zh-CN"/>
        </w:rPr>
      </w:pPr>
      <w:r>
        <w:rPr>
          <w:rFonts w:hint="eastAsia" w:ascii="宋体" w:hAnsi="宋体" w:eastAsia="仿宋" w:cs="Times New Roman"/>
          <w:b/>
          <w:bCs/>
          <w:sz w:val="24"/>
          <w:szCs w:val="24"/>
          <w:highlight w:val="none"/>
          <w:lang w:val="en-US" w:eastAsia="zh-CN"/>
        </w:rPr>
        <w:t>5.4.</w:t>
      </w:r>
      <w:r>
        <w:rPr>
          <w:rFonts w:hint="eastAsia" w:ascii="宋体" w:hAnsi="宋体" w:eastAsia="仿宋" w:cs="Times New Roman"/>
          <w:b/>
          <w:bCs/>
          <w:sz w:val="24"/>
          <w:szCs w:val="24"/>
          <w:highlight w:val="none"/>
        </w:rPr>
        <w:t xml:space="preserve"> </w:t>
      </w:r>
      <w:r>
        <w:rPr>
          <w:rFonts w:hint="eastAsia" w:ascii="宋体" w:hAnsi="宋体" w:eastAsia="仿宋" w:cs="Times New Roman"/>
          <w:b/>
          <w:bCs/>
          <w:sz w:val="24"/>
          <w:szCs w:val="24"/>
          <w:highlight w:val="none"/>
          <w:lang w:val="en-US" w:eastAsia="zh-CN"/>
        </w:rPr>
        <w:t>技术培训</w:t>
      </w:r>
      <w:r>
        <w:rPr>
          <w:rFonts w:hint="eastAsia" w:ascii="宋体" w:hAnsi="宋体" w:eastAsia="仿宋" w:cs="Times New Roman"/>
          <w:b/>
          <w:bCs/>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7"/>
          <w:rFonts w:hint="eastAsia" w:ascii="宋体" w:hAnsi="宋体" w:eastAsia="仿宋"/>
          <w:color w:val="auto"/>
          <w:sz w:val="24"/>
          <w:szCs w:val="24"/>
          <w:highlight w:val="none"/>
          <w:lang w:val="en-US" w:eastAsia="zh-CN"/>
        </w:rPr>
      </w:pPr>
      <w:r>
        <w:rPr>
          <w:rStyle w:val="7"/>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sz w:val="24"/>
          <w:highlight w:val="none"/>
        </w:rPr>
      </w:pPr>
      <w:r>
        <w:rPr>
          <w:rFonts w:hint="eastAsia" w:eastAsia="仿宋"/>
          <w:sz w:val="24"/>
          <w:highlight w:val="none"/>
          <w:lang w:val="en-US" w:eastAsia="zh-CN"/>
        </w:rPr>
        <w:t>6.1.</w:t>
      </w:r>
      <w:r>
        <w:rPr>
          <w:rFonts w:hint="eastAsia" w:eastAsia="仿宋"/>
          <w:sz w:val="24"/>
          <w:highlight w:val="none"/>
        </w:rPr>
        <w:t xml:space="preserve"> 本项目如涉及与</w:t>
      </w:r>
      <w:r>
        <w:rPr>
          <w:rFonts w:hint="eastAsia" w:eastAsia="仿宋"/>
          <w:sz w:val="24"/>
          <w:highlight w:val="none"/>
          <w:lang w:val="en-US" w:eastAsia="zh-CN"/>
        </w:rPr>
        <w:t>院方</w:t>
      </w:r>
      <w:r>
        <w:rPr>
          <w:rFonts w:hint="eastAsia" w:eastAsia="仿宋"/>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sz w:val="24"/>
          <w:highlight w:val="none"/>
          <w:lang w:val="en-US" w:eastAsia="zh-CN"/>
        </w:rPr>
        <w:t>院方</w:t>
      </w:r>
      <w:r>
        <w:rPr>
          <w:rFonts w:hint="eastAsia" w:eastAsia="仿宋"/>
          <w:sz w:val="24"/>
          <w:highlight w:val="none"/>
        </w:rPr>
        <w:t>不再为此支付任何费用。</w:t>
      </w:r>
    </w:p>
    <w:p w14:paraId="3C3BB827">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6.2.</w:t>
      </w:r>
      <w:r>
        <w:rPr>
          <w:rFonts w:hint="eastAsia" w:eastAsia="仿宋"/>
          <w:sz w:val="24"/>
          <w:highlight w:val="none"/>
        </w:rPr>
        <w:t xml:space="preserve"> 履约验收方式</w:t>
      </w:r>
    </w:p>
    <w:p w14:paraId="4A71A863">
      <w:pPr>
        <w:spacing w:line="360" w:lineRule="auto"/>
        <w:ind w:firstLine="480" w:firstLineChars="200"/>
        <w:jc w:val="left"/>
        <w:rPr>
          <w:rFonts w:eastAsia="仿宋"/>
          <w:sz w:val="24"/>
          <w:highlight w:val="none"/>
        </w:rPr>
      </w:pPr>
      <w:r>
        <w:rPr>
          <w:rFonts w:hint="eastAsia" w:eastAsia="仿宋"/>
          <w:sz w:val="24"/>
          <w:highlight w:val="none"/>
          <w:lang w:val="en-US" w:eastAsia="zh-CN"/>
        </w:rPr>
        <w:t>6.2.1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.2</w:t>
      </w:r>
      <w:r>
        <w:rPr>
          <w:rFonts w:eastAsia="仿宋"/>
          <w:sz w:val="24"/>
          <w:highlight w:val="none"/>
        </w:rPr>
        <w:t>履约验收时间及程序：</w:t>
      </w:r>
    </w:p>
    <w:p w14:paraId="307D715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6B76DCFD">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6DE51484">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541A0037">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.3</w:t>
      </w:r>
      <w:r>
        <w:rPr>
          <w:rFonts w:eastAsia="仿宋"/>
          <w:sz w:val="24"/>
          <w:highlight w:val="none"/>
        </w:rPr>
        <w:t>履约验收内容</w:t>
      </w:r>
    </w:p>
    <w:p w14:paraId="61F40DC6">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46B31F9F">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.4</w:t>
      </w:r>
      <w:r>
        <w:rPr>
          <w:rFonts w:eastAsia="仿宋"/>
          <w:sz w:val="24"/>
          <w:highlight w:val="none"/>
        </w:rPr>
        <w:t>履约验收验收标准</w:t>
      </w:r>
    </w:p>
    <w:p w14:paraId="4D6FC694">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47E9196E">
      <w:pPr>
        <w:spacing w:line="360" w:lineRule="auto"/>
        <w:ind w:firstLine="480" w:firstLineChars="200"/>
        <w:jc w:val="left"/>
        <w:rPr>
          <w:rFonts w:hint="default" w:eastAsia="仿宋"/>
          <w:sz w:val="24"/>
          <w:highlight w:val="none"/>
          <w:lang w:val="en-US" w:eastAsia="zh-CN"/>
        </w:rPr>
      </w:pPr>
      <w:r>
        <w:rPr>
          <w:rFonts w:hint="eastAsia" w:eastAsia="仿宋"/>
          <w:sz w:val="24"/>
          <w:highlight w:val="none"/>
          <w:lang w:val="en-US" w:eastAsia="zh-CN"/>
        </w:rPr>
        <w:t>6.3</w:t>
      </w:r>
      <w:r>
        <w:rPr>
          <w:rFonts w:hint="eastAsia" w:eastAsia="仿宋"/>
          <w:sz w:val="24"/>
          <w:highlight w:val="none"/>
          <w:lang w:eastAsia="zh-CN"/>
        </w:rPr>
        <w:t>.</w:t>
      </w:r>
      <w:r>
        <w:rPr>
          <w:rFonts w:hint="eastAsia" w:eastAsia="仿宋"/>
          <w:sz w:val="24"/>
          <w:highlight w:val="none"/>
          <w:lang w:val="en-US" w:eastAsia="zh-CN"/>
        </w:rPr>
        <w:t>应急服务要求：中标人</w:t>
      </w:r>
      <w:r>
        <w:rPr>
          <w:rFonts w:hint="eastAsia" w:eastAsia="仿宋"/>
          <w:sz w:val="24"/>
          <w:highlight w:val="none"/>
        </w:rPr>
        <w:t>应在中国境内方便的地点设置备件库，存入必须的备件，保证10年</w:t>
      </w:r>
      <w:r>
        <w:rPr>
          <w:rFonts w:hint="eastAsia" w:eastAsia="仿宋"/>
          <w:sz w:val="24"/>
          <w:highlight w:val="none"/>
          <w:lang w:val="en-US" w:eastAsia="zh-CN"/>
        </w:rPr>
        <w:t>以上</w:t>
      </w:r>
      <w:r>
        <w:rPr>
          <w:rFonts w:hint="eastAsia" w:eastAsia="仿宋"/>
          <w:sz w:val="24"/>
          <w:highlight w:val="none"/>
        </w:rPr>
        <w:t>零部件供应期</w:t>
      </w:r>
      <w:r>
        <w:rPr>
          <w:rFonts w:hint="eastAsia" w:eastAsia="仿宋"/>
          <w:sz w:val="24"/>
          <w:highlight w:val="none"/>
          <w:lang w:eastAsia="zh-CN"/>
        </w:rPr>
        <w:t>，</w:t>
      </w:r>
      <w:r>
        <w:rPr>
          <w:rFonts w:hint="eastAsia" w:eastAsia="仿宋"/>
          <w:sz w:val="24"/>
          <w:highlight w:val="none"/>
          <w:lang w:val="en-US" w:eastAsia="zh-CN"/>
        </w:rPr>
        <w:t>中标人应对设备故障等突发状况及时响应。</w:t>
      </w:r>
      <w:r>
        <w:rPr>
          <w:rFonts w:hint="eastAsia" w:ascii="Times New Roman" w:hAnsi="Times New Roman" w:eastAsia="仿宋" w:cs="Times New Roman"/>
          <w:sz w:val="24"/>
          <w:highlight w:val="none"/>
        </w:rPr>
        <w:t>若24小时内未修复设备故障，提供备用设备</w:t>
      </w:r>
      <w:r>
        <w:rPr>
          <w:rFonts w:hint="eastAsia" w:ascii="Times New Roman" w:hAnsi="Times New Roman" w:eastAsia="仿宋" w:cs="Times New Roman"/>
          <w:sz w:val="24"/>
          <w:highlight w:val="none"/>
          <w:lang w:val="en-US" w:eastAsia="zh-CN"/>
        </w:rPr>
        <w:t>供院方使用。</w:t>
      </w:r>
    </w:p>
    <w:p w14:paraId="6F5B6E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6.4 </w:t>
      </w:r>
      <w:r>
        <w:rPr>
          <w:rFonts w:hint="eastAsia" w:eastAsia="仿宋"/>
          <w:sz w:val="24"/>
          <w:highlight w:val="none"/>
        </w:rPr>
        <w:t>安装调试、验收试验及质量保证</w:t>
      </w:r>
    </w:p>
    <w:p w14:paraId="661D6D14">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6.4.1</w:t>
      </w:r>
      <w:r>
        <w:rPr>
          <w:rFonts w:hint="eastAsia" w:eastAsia="仿宋"/>
          <w:sz w:val="24"/>
          <w:highlight w:val="none"/>
        </w:rPr>
        <w:t>中标人在设备安装地点负责安装、调试。</w:t>
      </w:r>
    </w:p>
    <w:p w14:paraId="0A8E27A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6.4.2</w:t>
      </w:r>
      <w:r>
        <w:rPr>
          <w:rFonts w:hint="eastAsia" w:eastAsia="仿宋"/>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1）</w:t>
      </w:r>
      <w:r>
        <w:rPr>
          <w:rFonts w:hint="eastAsia" w:eastAsia="仿宋"/>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2）</w:t>
      </w:r>
      <w:r>
        <w:rPr>
          <w:rFonts w:hint="eastAsia" w:eastAsia="仿宋"/>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3）</w:t>
      </w:r>
      <w:r>
        <w:rPr>
          <w:rFonts w:hint="eastAsia" w:eastAsia="仿宋"/>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4）</w:t>
      </w:r>
      <w:r>
        <w:rPr>
          <w:rFonts w:hint="eastAsia" w:eastAsia="仿宋"/>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5）</w:t>
      </w:r>
      <w:r>
        <w:rPr>
          <w:rFonts w:hint="eastAsia" w:eastAsia="仿宋"/>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6.4.3</w:t>
      </w:r>
      <w:r>
        <w:rPr>
          <w:rFonts w:hint="eastAsia" w:eastAsia="仿宋"/>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6.5. </w:t>
      </w:r>
      <w:r>
        <w:rPr>
          <w:rFonts w:hint="eastAsia" w:eastAsia="仿宋"/>
          <w:sz w:val="24"/>
          <w:highlight w:val="none"/>
        </w:rPr>
        <w:t>包装运输</w:t>
      </w:r>
    </w:p>
    <w:p w14:paraId="273164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6.5.1</w:t>
      </w:r>
      <w:r>
        <w:rPr>
          <w:rFonts w:hint="eastAsia" w:eastAsia="仿宋"/>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6.5.2</w:t>
      </w:r>
      <w:r>
        <w:rPr>
          <w:rFonts w:hint="eastAsia" w:eastAsia="仿宋"/>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6.5.3</w:t>
      </w:r>
      <w:r>
        <w:rPr>
          <w:rFonts w:hint="eastAsia" w:eastAsia="仿宋"/>
          <w:sz w:val="24"/>
          <w:highlight w:val="none"/>
        </w:rPr>
        <w:t>在包装箱外应标明采购人的订货号、发货号。</w:t>
      </w:r>
    </w:p>
    <w:p w14:paraId="0BE10648">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6.5.4</w:t>
      </w:r>
      <w:r>
        <w:rPr>
          <w:rFonts w:hint="eastAsia" w:eastAsia="仿宋"/>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6.5.5</w:t>
      </w:r>
      <w:r>
        <w:rPr>
          <w:rFonts w:hint="eastAsia" w:eastAsia="仿宋"/>
          <w:sz w:val="24"/>
          <w:highlight w:val="none"/>
        </w:rPr>
        <w:t>包装箱上应有明显的包装储运图示标志。</w:t>
      </w:r>
    </w:p>
    <w:p w14:paraId="28B526F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6.5.6</w:t>
      </w:r>
      <w:r>
        <w:rPr>
          <w:rFonts w:hint="eastAsia" w:eastAsia="仿宋"/>
          <w:sz w:val="24"/>
          <w:highlight w:val="none"/>
        </w:rPr>
        <w:t>整体产品或分别运输的部件都要适应运输和装载的要求。</w:t>
      </w:r>
    </w:p>
    <w:p w14:paraId="0D0F3561">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6.5.7</w:t>
      </w:r>
      <w:r>
        <w:rPr>
          <w:rFonts w:hint="eastAsia" w:eastAsia="仿宋"/>
          <w:sz w:val="24"/>
          <w:highlight w:val="none"/>
        </w:rPr>
        <w:t>随产品提供的技术资料应完整无缺。</w:t>
      </w:r>
    </w:p>
    <w:p w14:paraId="7AA39B5B">
      <w:pPr>
        <w:spacing w:line="360" w:lineRule="auto"/>
        <w:ind w:firstLine="480" w:firstLineChars="200"/>
        <w:jc w:val="left"/>
        <w:rPr>
          <w:rFonts w:hint="eastAsia" w:eastAsia="仿宋"/>
          <w:sz w:val="24"/>
          <w:highlight w:val="none"/>
          <w:lang w:val="en-US" w:eastAsia="zh-CN"/>
        </w:rPr>
      </w:pPr>
      <w:r>
        <w:rPr>
          <w:rFonts w:hint="eastAsia" w:eastAsia="仿宋"/>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0B5189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E4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2025-10-13T03:40:07Z</dcterms:created>
  <dc:creator>Lenovo</dc:creator>
  <cp:lastModifiedBy>Mouns-J</cp:lastModifiedBy>
  <dcterms:modified xsi:type="dcterms:W3CDTF">2025-10-13T03:40:44Z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04F95392C3B84F07B5855220815CCE70_12</vt:lpwstr>
  </property>
</Properties>
</file>