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FFEA1">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5F366F6F">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47B8C9A9">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0D5A33EF">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E05ED76">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FD9C734">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2F6B2052">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4.下列采购需求中：标注▲的产品为核心产品（主要中标标的）。</w:t>
      </w:r>
    </w:p>
    <w:p w14:paraId="3BAAA586">
      <w:pPr>
        <w:widowControl/>
        <w:wordWrap/>
        <w:ind w:firstLine="482" w:firstLineChars="200"/>
        <w:jc w:val="center"/>
        <w:outlineLvl w:val="2"/>
        <w:rPr>
          <w:rFonts w:hint="eastAsia" w:ascii="宋体" w:hAnsi="宋体" w:eastAsia="宋体" w:cs="宋体"/>
          <w:b/>
          <w:bCs/>
          <w:color w:val="auto"/>
          <w:sz w:val="24"/>
          <w:szCs w:val="24"/>
          <w:highlight w:val="yellow"/>
          <w:lang w:val="en-US" w:eastAsia="zh-CN"/>
        </w:rPr>
      </w:pPr>
      <w:bookmarkStart w:id="0" w:name="_Toc2554"/>
      <w:bookmarkStart w:id="1" w:name="_Toc32151"/>
    </w:p>
    <w:p w14:paraId="2CB8D89B">
      <w:pPr>
        <w:widowControl/>
        <w:wordWrap/>
        <w:ind w:firstLine="482" w:firstLineChars="200"/>
        <w:jc w:val="center"/>
        <w:outlineLvl w:val="2"/>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第1包采购需求</w:t>
      </w:r>
    </w:p>
    <w:p w14:paraId="61EA68CA">
      <w:pPr>
        <w:spacing w:line="360" w:lineRule="auto"/>
        <w:ind w:firstLine="437"/>
        <w:outlineLvl w:val="1"/>
        <w:rPr>
          <w:rFonts w:ascii="宋体" w:hAnsi="宋体" w:eastAsia="宋体"/>
          <w:b/>
          <w:color w:val="auto"/>
          <w:sz w:val="24"/>
          <w:szCs w:val="18"/>
          <w:highlight w:val="none"/>
        </w:rPr>
      </w:pPr>
      <w:bookmarkStart w:id="2" w:name="_Toc15371"/>
      <w:r>
        <w:rPr>
          <w:rFonts w:hint="eastAsia" w:ascii="宋体" w:hAnsi="宋体" w:eastAsia="宋体"/>
          <w:b/>
          <w:color w:val="auto"/>
          <w:sz w:val="24"/>
          <w:szCs w:val="18"/>
          <w:highlight w:val="none"/>
        </w:rPr>
        <w:t>一、采购需求前附表</w:t>
      </w:r>
      <w:bookmarkEnd w:id="0"/>
      <w:bookmarkEnd w:id="1"/>
      <w:bookmarkEnd w:id="2"/>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232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F692706">
            <w:pPr>
              <w:pStyle w:val="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0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6D74270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auto"/>
              <w:textAlignment w:val="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21E7975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auto"/>
              <w:textAlignment w:val="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37C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F78E449">
            <w:pPr>
              <w:pStyle w:val="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0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0791CD3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auto"/>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shd w:val="clear" w:color="auto" w:fill="auto"/>
            <w:vAlign w:val="center"/>
          </w:tcPr>
          <w:p w14:paraId="4B0ACE9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auto"/>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合同生效后，采购人付至合同价的</w:t>
            </w:r>
            <w:r>
              <w:rPr>
                <w:rFonts w:hint="eastAsia" w:ascii="宋体" w:hAnsi="宋体" w:eastAsia="宋体"/>
                <w:b w:val="0"/>
                <w:color w:val="auto"/>
                <w:sz w:val="24"/>
                <w:highlight w:val="none"/>
                <w:lang w:val="en-US" w:eastAsia="zh-CN"/>
              </w:rPr>
              <w:t>70</w:t>
            </w:r>
            <w:r>
              <w:rPr>
                <w:rFonts w:hint="eastAsia" w:ascii="宋体" w:hAnsi="宋体" w:eastAsia="宋体"/>
                <w:b w:val="0"/>
                <w:color w:val="auto"/>
                <w:sz w:val="24"/>
                <w:highlight w:val="none"/>
              </w:rPr>
              <w:t>%（中标人须提供等额预付款担保），项目经验收合格且相关资料齐备己移交后，一次性付清合同价款。</w:t>
            </w:r>
          </w:p>
          <w:p w14:paraId="0FD14B5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auto"/>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注：</w:t>
            </w:r>
          </w:p>
          <w:p w14:paraId="46F66D2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auto"/>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（1）中标人未按规定提供预付款担保的，视为放弃预付款；</w:t>
            </w:r>
          </w:p>
          <w:p w14:paraId="501F441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auto"/>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（2）预付款担保要求：如采用银行保函、担保机构出具的保函（担保机构担保）均须满足无条件见索即付条件。</w:t>
            </w:r>
          </w:p>
        </w:tc>
      </w:tr>
      <w:tr w14:paraId="0045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90" w:type="pct"/>
            <w:vAlign w:val="center"/>
          </w:tcPr>
          <w:p w14:paraId="254DFE53">
            <w:pPr>
              <w:pStyle w:val="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0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3227CC9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auto"/>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5D6CAB9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auto"/>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安徽省农业科学院水产研究所</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具体按采购人指定地点。</w:t>
            </w:r>
            <w:r>
              <w:rPr>
                <w:rFonts w:hint="eastAsia" w:ascii="宋体" w:hAnsi="宋体" w:eastAsia="宋体"/>
                <w:b w:val="0"/>
                <w:color w:val="auto"/>
                <w:sz w:val="24"/>
                <w:highlight w:val="none"/>
              </w:rPr>
              <w:t xml:space="preserve">        </w:t>
            </w:r>
          </w:p>
        </w:tc>
      </w:tr>
      <w:tr w14:paraId="663D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0" w:type="pct"/>
            <w:vAlign w:val="center"/>
          </w:tcPr>
          <w:p w14:paraId="6866D266">
            <w:pPr>
              <w:pStyle w:val="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0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42F846B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auto"/>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786B8C9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auto"/>
              <w:jc w:val="both"/>
              <w:textAlignment w:val="auto"/>
              <w:rPr>
                <w:rFonts w:ascii="宋体" w:hAnsi="宋体" w:eastAsia="宋体"/>
                <w:b w:val="0"/>
                <w:color w:val="auto"/>
                <w:sz w:val="24"/>
                <w:highlight w:val="none"/>
                <w:u w:val="none"/>
              </w:rPr>
            </w:pPr>
            <w:r>
              <w:rPr>
                <w:rFonts w:hint="eastAsia" w:ascii="宋体" w:hAnsi="宋体" w:eastAsia="宋体"/>
                <w:b w:val="0"/>
                <w:color w:val="auto"/>
                <w:sz w:val="24"/>
                <w:highlight w:val="none"/>
                <w:u w:val="none"/>
                <w:lang w:val="en-US" w:eastAsia="zh-CN"/>
              </w:rPr>
              <w:t>合同生效之日起，105个日历日内完成供货、安装、调试、培训等所有工作内容。</w:t>
            </w:r>
          </w:p>
        </w:tc>
      </w:tr>
      <w:tr w14:paraId="1EB1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4BF2D96">
            <w:pPr>
              <w:pStyle w:val="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0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417CCEF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auto"/>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1339944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auto"/>
              <w:jc w:val="both"/>
              <w:textAlignment w:val="auto"/>
              <w:rPr>
                <w:rFonts w:ascii="宋体" w:hAnsi="宋体" w:eastAsia="宋体"/>
                <w:b w:val="0"/>
                <w:color w:val="auto"/>
                <w:sz w:val="24"/>
                <w:highlight w:val="none"/>
                <w:u w:val="none"/>
              </w:rPr>
            </w:pPr>
            <w:r>
              <w:rPr>
                <w:rFonts w:hint="eastAsia" w:ascii="宋体" w:hAnsi="宋体" w:eastAsia="宋体"/>
                <w:b w:val="0"/>
                <w:color w:val="auto"/>
                <w:sz w:val="24"/>
                <w:highlight w:val="none"/>
                <w:u w:val="none"/>
                <w:lang w:val="en-US" w:eastAsia="zh-CN"/>
              </w:rPr>
              <w:t>自验收合格之日起，1年。</w:t>
            </w:r>
          </w:p>
        </w:tc>
      </w:tr>
    </w:tbl>
    <w:p w14:paraId="52F5AEB1">
      <w:pPr>
        <w:spacing w:line="360" w:lineRule="auto"/>
        <w:ind w:firstLine="437"/>
        <w:outlineLvl w:val="1"/>
        <w:rPr>
          <w:rFonts w:hint="eastAsia" w:ascii="宋体" w:hAnsi="宋体" w:eastAsia="宋体"/>
          <w:b/>
          <w:bCs/>
          <w:color w:val="auto"/>
          <w:sz w:val="24"/>
          <w:szCs w:val="18"/>
          <w:highlight w:val="none"/>
        </w:rPr>
      </w:pPr>
      <w:bookmarkStart w:id="3" w:name="_Toc7671"/>
      <w:bookmarkStart w:id="4" w:name="_Toc5944"/>
    </w:p>
    <w:p w14:paraId="53F474FD">
      <w:pPr>
        <w:spacing w:line="360" w:lineRule="auto"/>
        <w:ind w:firstLine="437"/>
        <w:outlineLvl w:val="1"/>
        <w:rPr>
          <w:rFonts w:hint="eastAsia" w:ascii="宋体" w:hAnsi="宋体" w:eastAsia="宋体"/>
          <w:b/>
          <w:bCs/>
          <w:color w:val="auto"/>
          <w:sz w:val="24"/>
          <w:szCs w:val="18"/>
          <w:highlight w:val="none"/>
        </w:rPr>
      </w:pPr>
      <w:bookmarkStart w:id="5" w:name="_Toc27074"/>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
      <w:bookmarkEnd w:id="4"/>
      <w:bookmarkEnd w:id="5"/>
    </w:p>
    <w:p w14:paraId="23E19168">
      <w:pPr>
        <w:widowControl/>
        <w:wordWrap/>
        <w:ind w:firstLine="482" w:firstLineChars="200"/>
        <w:outlineLvl w:val="2"/>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sz w:val="24"/>
          <w:szCs w:val="24"/>
          <w:highlight w:val="none"/>
        </w:rPr>
        <w:t>标识符号</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3BB2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4F038B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标识类型</w:t>
            </w:r>
          </w:p>
        </w:tc>
        <w:tc>
          <w:tcPr>
            <w:tcW w:w="1365" w:type="dxa"/>
            <w:noWrap w:val="0"/>
            <w:vAlign w:val="center"/>
          </w:tcPr>
          <w:p w14:paraId="46F827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标识符号</w:t>
            </w:r>
          </w:p>
        </w:tc>
        <w:tc>
          <w:tcPr>
            <w:tcW w:w="5363" w:type="dxa"/>
            <w:noWrap w:val="0"/>
            <w:vAlign w:val="center"/>
          </w:tcPr>
          <w:p w14:paraId="04E71C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标识符号含义</w:t>
            </w:r>
          </w:p>
        </w:tc>
      </w:tr>
      <w:tr w14:paraId="5947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shd w:val="clear" w:color="auto" w:fill="auto"/>
            <w:noWrap w:val="0"/>
            <w:vAlign w:val="center"/>
          </w:tcPr>
          <w:p w14:paraId="32E0D2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重要指标项</w:t>
            </w:r>
          </w:p>
        </w:tc>
        <w:tc>
          <w:tcPr>
            <w:tcW w:w="1365" w:type="dxa"/>
            <w:shd w:val="clear" w:color="auto" w:fill="auto"/>
            <w:noWrap w:val="0"/>
            <w:vAlign w:val="center"/>
          </w:tcPr>
          <w:p w14:paraId="60923B9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color w:val="000000"/>
                <w:sz w:val="24"/>
                <w:szCs w:val="24"/>
                <w:highlight w:val="none"/>
              </w:rPr>
              <w:t>★</w:t>
            </w:r>
          </w:p>
        </w:tc>
        <w:tc>
          <w:tcPr>
            <w:tcW w:w="5363" w:type="dxa"/>
            <w:shd w:val="clear" w:color="auto" w:fill="auto"/>
            <w:noWrap w:val="0"/>
            <w:vAlign w:val="center"/>
          </w:tcPr>
          <w:p w14:paraId="50184585">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sz w:val="24"/>
                <w:szCs w:val="24"/>
                <w:highlight w:val="none"/>
              </w:rPr>
              <w:t>评分项，</w:t>
            </w:r>
            <w:r>
              <w:rPr>
                <w:rFonts w:hint="eastAsia" w:ascii="宋体" w:hAnsi="宋体" w:eastAsia="宋体" w:cs="宋体"/>
                <w:color w:val="000000"/>
                <w:kern w:val="2"/>
                <w:sz w:val="24"/>
                <w:szCs w:val="24"/>
                <w:highlight w:val="none"/>
                <w:lang w:val="en-US" w:eastAsia="zh-CN" w:bidi="ar"/>
              </w:rPr>
              <w:t>详见评标办法和标准。</w:t>
            </w:r>
          </w:p>
        </w:tc>
      </w:tr>
      <w:tr w14:paraId="3A89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shd w:val="clear" w:color="auto" w:fill="auto"/>
            <w:noWrap w:val="0"/>
            <w:vAlign w:val="center"/>
          </w:tcPr>
          <w:p w14:paraId="106665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核心指标项</w:t>
            </w:r>
          </w:p>
        </w:tc>
        <w:tc>
          <w:tcPr>
            <w:tcW w:w="1365" w:type="dxa"/>
            <w:shd w:val="clear" w:color="auto" w:fill="auto"/>
            <w:noWrap w:val="0"/>
            <w:vAlign w:val="center"/>
          </w:tcPr>
          <w:p w14:paraId="45E6649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t>■</w:t>
            </w:r>
          </w:p>
        </w:tc>
        <w:tc>
          <w:tcPr>
            <w:tcW w:w="5363" w:type="dxa"/>
            <w:shd w:val="clear" w:color="auto" w:fill="auto"/>
            <w:noWrap w:val="0"/>
            <w:vAlign w:val="center"/>
          </w:tcPr>
          <w:p w14:paraId="2C4FC00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符合性审查项，负偏离或未响应的，</w:t>
            </w:r>
            <w:r>
              <w:rPr>
                <w:rFonts w:hint="eastAsia" w:ascii="宋体" w:hAnsi="宋体" w:eastAsia="宋体" w:cs="宋体"/>
                <w:b/>
                <w:bCs w:val="0"/>
                <w:color w:val="000000"/>
                <w:kern w:val="2"/>
                <w:sz w:val="24"/>
                <w:szCs w:val="24"/>
                <w:highlight w:val="none"/>
                <w:lang w:val="en-US" w:eastAsia="zh-CN" w:bidi="ar-SA"/>
              </w:rPr>
              <w:t>投标无效</w:t>
            </w:r>
            <w:r>
              <w:rPr>
                <w:rFonts w:hint="eastAsia" w:ascii="宋体" w:hAnsi="宋体" w:eastAsia="宋体" w:cs="宋体"/>
                <w:bCs/>
                <w:color w:val="000000"/>
                <w:kern w:val="2"/>
                <w:sz w:val="24"/>
                <w:szCs w:val="24"/>
                <w:highlight w:val="none"/>
                <w:lang w:val="en-US" w:eastAsia="zh-CN" w:bidi="ar-SA"/>
              </w:rPr>
              <w:t>。</w:t>
            </w:r>
          </w:p>
        </w:tc>
      </w:tr>
      <w:tr w14:paraId="2EC2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5DF44B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无标识项</w:t>
            </w:r>
          </w:p>
        </w:tc>
        <w:tc>
          <w:tcPr>
            <w:tcW w:w="1365" w:type="dxa"/>
            <w:noWrap w:val="0"/>
            <w:vAlign w:val="center"/>
          </w:tcPr>
          <w:p w14:paraId="64CE8E5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000000"/>
                <w:sz w:val="24"/>
                <w:szCs w:val="24"/>
                <w:highlight w:val="none"/>
              </w:rPr>
            </w:pPr>
          </w:p>
        </w:tc>
        <w:tc>
          <w:tcPr>
            <w:tcW w:w="5363" w:type="dxa"/>
            <w:noWrap w:val="0"/>
            <w:vAlign w:val="center"/>
          </w:tcPr>
          <w:p w14:paraId="057365BA">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符合性审查项，该指标项最大允许负偏离</w:t>
            </w:r>
            <w:r>
              <w:rPr>
                <w:rFonts w:hint="eastAsia" w:ascii="宋体" w:hAnsi="宋体" w:eastAsia="宋体" w:cs="宋体"/>
                <w:bCs/>
                <w:color w:val="000000"/>
                <w:kern w:val="2"/>
                <w:sz w:val="24"/>
                <w:szCs w:val="24"/>
                <w:highlight w:val="none"/>
                <w:u w:val="single"/>
                <w:lang w:val="en-US" w:eastAsia="zh-CN" w:bidi="ar-SA"/>
              </w:rPr>
              <w:t>3</w:t>
            </w:r>
            <w:r>
              <w:rPr>
                <w:rFonts w:hint="eastAsia" w:ascii="宋体" w:hAnsi="宋体" w:eastAsia="宋体" w:cs="宋体"/>
                <w:bCs/>
                <w:color w:val="000000"/>
                <w:kern w:val="2"/>
                <w:sz w:val="24"/>
                <w:szCs w:val="24"/>
                <w:highlight w:val="none"/>
                <w:lang w:val="en-US" w:eastAsia="zh-CN" w:bidi="ar-SA"/>
              </w:rPr>
              <w:t>项，超过最大允许负偏离项数的，</w:t>
            </w:r>
            <w:r>
              <w:rPr>
                <w:rFonts w:hint="eastAsia" w:ascii="宋体" w:hAnsi="宋体" w:eastAsia="宋体" w:cs="宋体"/>
                <w:b/>
                <w:bCs w:val="0"/>
                <w:color w:val="000000"/>
                <w:kern w:val="2"/>
                <w:sz w:val="24"/>
                <w:szCs w:val="24"/>
                <w:highlight w:val="none"/>
                <w:lang w:val="en-US" w:eastAsia="zh-CN" w:bidi="ar-SA"/>
              </w:rPr>
              <w:t>投标无效</w:t>
            </w:r>
            <w:r>
              <w:rPr>
                <w:rFonts w:hint="eastAsia" w:ascii="宋体" w:hAnsi="宋体" w:eastAsia="宋体" w:cs="宋体"/>
                <w:bCs/>
                <w:color w:val="000000"/>
                <w:kern w:val="2"/>
                <w:sz w:val="24"/>
                <w:szCs w:val="24"/>
                <w:highlight w:val="none"/>
                <w:lang w:val="en-US" w:eastAsia="zh-CN" w:bidi="ar-SA"/>
              </w:rPr>
              <w:t>。</w:t>
            </w:r>
          </w:p>
        </w:tc>
      </w:tr>
      <w:tr w14:paraId="31C7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190DBDBF">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w:t>
            </w:r>
          </w:p>
          <w:p w14:paraId="02F5E783">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（1）</w:t>
            </w:r>
            <w:r>
              <w:rPr>
                <w:rFonts w:hint="eastAsia" w:ascii="宋体" w:hAnsi="宋体" w:eastAsia="宋体" w:cs="宋体"/>
                <w:color w:val="000000"/>
                <w:sz w:val="24"/>
                <w:szCs w:val="24"/>
                <w:highlight w:val="none"/>
              </w:rPr>
              <w:t>标识条款中如包含多条子项技术参数或要求，则需满足或优于该标识条款内所有子项技术参数或要求方</w:t>
            </w:r>
            <w:r>
              <w:rPr>
                <w:rFonts w:hint="eastAsia" w:ascii="宋体" w:hAnsi="宋体" w:eastAsia="宋体" w:cs="宋体"/>
                <w:color w:val="000000"/>
                <w:sz w:val="24"/>
                <w:szCs w:val="24"/>
                <w:highlight w:val="none"/>
                <w:lang w:val="en-US" w:eastAsia="zh-CN"/>
              </w:rPr>
              <w:t>予以认可</w:t>
            </w:r>
            <w:bookmarkStart w:id="10" w:name="_GoBack"/>
            <w:bookmarkEnd w:id="10"/>
            <w:r>
              <w:rPr>
                <w:rFonts w:hint="eastAsia" w:ascii="宋体" w:hAnsi="宋体" w:eastAsia="宋体" w:cs="宋体"/>
                <w:color w:val="000000"/>
                <w:sz w:val="24"/>
                <w:szCs w:val="24"/>
                <w:highlight w:val="none"/>
              </w:rPr>
              <w:t>。</w:t>
            </w:r>
          </w:p>
          <w:p w14:paraId="51EC7F8B">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kern w:val="0"/>
                <w:sz w:val="24"/>
                <w:szCs w:val="24"/>
                <w:highlight w:val="none"/>
              </w:rPr>
              <w:t>下述技术参数所涉及的具体物理尺寸</w:t>
            </w:r>
            <w:r>
              <w:rPr>
                <w:rFonts w:hint="eastAsia" w:ascii="宋体" w:hAnsi="宋体" w:eastAsia="宋体" w:cs="宋体"/>
                <w:kern w:val="0"/>
                <w:sz w:val="24"/>
                <w:szCs w:val="24"/>
                <w:highlight w:val="none"/>
                <w:lang w:eastAsia="zh-CN"/>
              </w:rPr>
              <w:t>：货物需求清单</w:t>
            </w:r>
            <w:r>
              <w:rPr>
                <w:rFonts w:hint="eastAsia" w:ascii="宋体" w:hAnsi="宋体" w:eastAsia="宋体" w:cs="宋体"/>
                <w:kern w:val="0"/>
                <w:sz w:val="24"/>
                <w:szCs w:val="24"/>
                <w:highlight w:val="none"/>
                <w:lang w:val="en-US" w:eastAsia="zh-CN"/>
              </w:rPr>
              <w:t>中明确允许偏离范围的，按货物需求清单</w:t>
            </w:r>
            <w:r>
              <w:rPr>
                <w:rFonts w:hint="eastAsia" w:ascii="宋体" w:hAnsi="宋体" w:eastAsia="宋体" w:cs="宋体"/>
                <w:sz w:val="24"/>
                <w:szCs w:val="24"/>
                <w:highlight w:val="none"/>
                <w:lang w:val="en-US" w:eastAsia="zh-CN"/>
              </w:rPr>
              <w:t>要求</w:t>
            </w:r>
            <w:r>
              <w:rPr>
                <w:rFonts w:hint="eastAsia" w:ascii="宋体" w:hAnsi="宋体" w:eastAsia="宋体" w:cs="宋体"/>
                <w:kern w:val="0"/>
                <w:sz w:val="24"/>
                <w:szCs w:val="24"/>
                <w:highlight w:val="none"/>
                <w:lang w:val="en-US" w:eastAsia="zh-CN"/>
              </w:rPr>
              <w:t>执行；货物需求清单中未明确允许偏离范围的，</w:t>
            </w:r>
            <w:r>
              <w:rPr>
                <w:rFonts w:hint="eastAsia" w:ascii="宋体" w:hAnsi="宋体" w:eastAsia="宋体" w:cs="宋体"/>
                <w:kern w:val="0"/>
                <w:sz w:val="24"/>
                <w:szCs w:val="24"/>
                <w:highlight w:val="none"/>
              </w:rPr>
              <w:t>允许±5%偏离</w:t>
            </w:r>
            <w:r>
              <w:rPr>
                <w:rFonts w:hint="eastAsia" w:ascii="宋体" w:hAnsi="宋体" w:eastAsia="宋体" w:cs="宋体"/>
                <w:sz w:val="24"/>
                <w:szCs w:val="24"/>
                <w:highlight w:val="none"/>
              </w:rPr>
              <w:t>。</w:t>
            </w:r>
          </w:p>
        </w:tc>
      </w:tr>
    </w:tbl>
    <w:p w14:paraId="7AA414BA">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sz w:val="24"/>
          <w:szCs w:val="24"/>
          <w:highlight w:val="none"/>
        </w:rPr>
      </w:pPr>
    </w:p>
    <w:p w14:paraId="64EA83CE">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b/>
          <w:bCs/>
          <w:color w:val="auto"/>
          <w:sz w:val="24"/>
          <w:szCs w:val="18"/>
          <w:highlight w:val="none"/>
        </w:rPr>
      </w:pPr>
      <w:r>
        <w:rPr>
          <w:rFonts w:hint="eastAsia" w:ascii="宋体" w:hAnsi="宋体" w:eastAsia="宋体" w:cs="宋体"/>
          <w:b/>
          <w:bCs/>
          <w:sz w:val="24"/>
          <w:szCs w:val="24"/>
          <w:highlight w:val="none"/>
          <w:lang w:eastAsia="zh-CN"/>
        </w:rPr>
        <w:t>（二）</w:t>
      </w:r>
      <w:r>
        <w:rPr>
          <w:rFonts w:hint="eastAsia" w:ascii="宋体" w:hAnsi="宋体" w:eastAsia="宋体" w:cs="宋体"/>
          <w:b/>
          <w:bCs/>
          <w:sz w:val="24"/>
          <w:szCs w:val="24"/>
          <w:highlight w:val="none"/>
          <w:lang w:val="en-US" w:eastAsia="zh-CN"/>
        </w:rPr>
        <w:t>货物需求</w:t>
      </w:r>
      <w:r>
        <w:rPr>
          <w:rFonts w:hint="eastAsia" w:ascii="宋体" w:hAnsi="宋体" w:eastAsia="宋体" w:cs="宋体"/>
          <w:b/>
          <w:bCs/>
          <w:sz w:val="24"/>
          <w:szCs w:val="24"/>
          <w:highlight w:val="none"/>
        </w:rPr>
        <w:t>清单</w:t>
      </w:r>
    </w:p>
    <w:tbl>
      <w:tblPr>
        <w:tblStyle w:val="4"/>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251"/>
        <w:gridCol w:w="4633"/>
        <w:gridCol w:w="1083"/>
        <w:gridCol w:w="814"/>
      </w:tblGrid>
      <w:tr w14:paraId="2B27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14:paraId="10B854F8">
            <w:pPr>
              <w:pageBreakBefore w:val="0"/>
              <w:kinsoku/>
              <w:wordWrap/>
              <w:overflowPunct/>
              <w:topLinePunct w:val="0"/>
              <w:autoSpaceDE/>
              <w:autoSpaceDN/>
              <w:bidi w:val="0"/>
              <w:adjustRightInd/>
              <w:spacing w:line="300" w:lineRule="auto"/>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731" w:type="pct"/>
            <w:vAlign w:val="center"/>
          </w:tcPr>
          <w:p w14:paraId="5ACC597F">
            <w:pPr>
              <w:pageBreakBefore w:val="0"/>
              <w:kinsoku/>
              <w:wordWrap/>
              <w:overflowPunct/>
              <w:topLinePunct w:val="0"/>
              <w:autoSpaceDE/>
              <w:autoSpaceDN/>
              <w:bidi w:val="0"/>
              <w:adjustRightInd/>
              <w:spacing w:line="300" w:lineRule="auto"/>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2707" w:type="pct"/>
            <w:vAlign w:val="center"/>
          </w:tcPr>
          <w:p w14:paraId="4E918137">
            <w:pPr>
              <w:pageBreakBefore w:val="0"/>
              <w:kinsoku/>
              <w:wordWrap/>
              <w:overflowPunct/>
              <w:topLinePunct w:val="0"/>
              <w:autoSpaceDE/>
              <w:autoSpaceDN/>
              <w:bidi w:val="0"/>
              <w:adjustRightInd/>
              <w:spacing w:line="300" w:lineRule="auto"/>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633" w:type="pct"/>
            <w:vAlign w:val="center"/>
          </w:tcPr>
          <w:p w14:paraId="71539471">
            <w:pPr>
              <w:pageBreakBefore w:val="0"/>
              <w:kinsoku/>
              <w:wordWrap/>
              <w:overflowPunct/>
              <w:topLinePunct w:val="0"/>
              <w:autoSpaceDE/>
              <w:autoSpaceDN/>
              <w:bidi w:val="0"/>
              <w:adjustRightInd/>
              <w:spacing w:line="300" w:lineRule="auto"/>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p w14:paraId="32497CE8">
            <w:pPr>
              <w:pageBreakBefore w:val="0"/>
              <w:kinsoku/>
              <w:wordWrap/>
              <w:overflowPunct/>
              <w:topLinePunct w:val="0"/>
              <w:autoSpaceDE/>
              <w:autoSpaceDN/>
              <w:bidi w:val="0"/>
              <w:adjustRightInd/>
              <w:spacing w:line="300" w:lineRule="auto"/>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（单位）</w:t>
            </w:r>
          </w:p>
        </w:tc>
        <w:tc>
          <w:tcPr>
            <w:tcW w:w="475" w:type="pct"/>
            <w:vAlign w:val="center"/>
          </w:tcPr>
          <w:p w14:paraId="7518F3C8">
            <w:pPr>
              <w:pageBreakBefore w:val="0"/>
              <w:kinsoku/>
              <w:wordWrap/>
              <w:overflowPunct/>
              <w:topLinePunct w:val="0"/>
              <w:autoSpaceDE/>
              <w:autoSpaceDN/>
              <w:bidi w:val="0"/>
              <w:adjustRightInd/>
              <w:spacing w:line="300" w:lineRule="auto"/>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所属</w:t>
            </w:r>
          </w:p>
          <w:p w14:paraId="73376728">
            <w:pPr>
              <w:pageBreakBefore w:val="0"/>
              <w:kinsoku/>
              <w:wordWrap/>
              <w:overflowPunct/>
              <w:topLinePunct w:val="0"/>
              <w:autoSpaceDE/>
              <w:autoSpaceDN/>
              <w:bidi w:val="0"/>
              <w:adjustRightInd/>
              <w:spacing w:line="300" w:lineRule="auto"/>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行业</w:t>
            </w:r>
          </w:p>
        </w:tc>
      </w:tr>
      <w:tr w14:paraId="1CEC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51" w:type="pct"/>
            <w:vAlign w:val="center"/>
          </w:tcPr>
          <w:p w14:paraId="31B5AC27">
            <w:pPr>
              <w:pageBreakBefore w:val="0"/>
              <w:kinsoku/>
              <w:wordWrap/>
              <w:overflowPunct/>
              <w:topLinePunct w:val="0"/>
              <w:autoSpaceDE/>
              <w:autoSpaceDN/>
              <w:bidi w:val="0"/>
              <w:adjustRightInd/>
              <w:spacing w:line="300" w:lineRule="auto"/>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1</w:t>
            </w:r>
          </w:p>
        </w:tc>
        <w:tc>
          <w:tcPr>
            <w:tcW w:w="1251" w:type="dxa"/>
            <w:vAlign w:val="center"/>
          </w:tcPr>
          <w:p w14:paraId="5A971D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ascii="宋体" w:hAnsi="宋体" w:eastAsia="宋体"/>
                <w:bCs/>
                <w:color w:val="0D0D0D" w:themeColor="text1" w:themeTint="F2"/>
                <w:sz w:val="24"/>
                <w:szCs w:val="18"/>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w:t>
            </w:r>
            <w:r>
              <w:rPr>
                <w:rFonts w:hint="eastAsia" w:ascii="宋体" w:hAnsi="宋体" w:eastAsia="宋体" w:cs="宋体"/>
                <w:color w:val="0D0D0D" w:themeColor="text1" w:themeTint="F2"/>
                <w:kern w:val="0"/>
                <w:sz w:val="21"/>
                <w:szCs w:val="21"/>
                <w:highlight w:val="none"/>
                <w:lang w:val="en-US" w:eastAsia="zh-CN" w:bidi="ar"/>
                <w14:textFill>
                  <w14:solidFill>
                    <w14:schemeClr w14:val="tx1">
                      <w14:lumMod w14:val="95000"/>
                      <w14:lumOff w14:val="5000"/>
                    </w14:schemeClr>
                  </w14:solidFill>
                </w14:textFill>
              </w:rPr>
              <w:t>监测船</w:t>
            </w:r>
          </w:p>
        </w:tc>
        <w:tc>
          <w:tcPr>
            <w:tcW w:w="4632" w:type="dxa"/>
            <w:vAlign w:val="center"/>
          </w:tcPr>
          <w:p w14:paraId="71817D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color w:val="0D0D0D" w:themeColor="text1" w:themeTint="F2"/>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lang w:eastAsia="zh-CN"/>
                <w14:textFill>
                  <w14:solidFill>
                    <w14:schemeClr w14:val="tx1">
                      <w14:lumMod w14:val="95000"/>
                      <w14:lumOff w14:val="5000"/>
                    </w14:schemeClr>
                  </w14:solidFill>
                </w14:textFill>
              </w:rPr>
              <w:t>（</w:t>
            </w:r>
            <w:r>
              <w:rPr>
                <w:rFonts w:hint="eastAsia" w:ascii="宋体" w:hAnsi="宋体" w:eastAsia="宋体" w:cs="宋体"/>
                <w:color w:val="0D0D0D" w:themeColor="text1" w:themeTint="F2"/>
                <w:lang w:val="en-US" w:eastAsia="zh-CN"/>
                <w14:textFill>
                  <w14:solidFill>
                    <w14:schemeClr w14:val="tx1">
                      <w14:lumMod w14:val="95000"/>
                      <w14:lumOff w14:val="5000"/>
                    </w14:schemeClr>
                  </w14:solidFill>
                </w14:textFill>
              </w:rPr>
              <w:t>一</w:t>
            </w:r>
            <w:r>
              <w:rPr>
                <w:rFonts w:hint="eastAsia" w:ascii="宋体" w:hAnsi="宋体" w:eastAsia="宋体" w:cs="宋体"/>
                <w:color w:val="0D0D0D" w:themeColor="text1" w:themeTint="F2"/>
                <w:lang w:eastAsia="zh-CN"/>
                <w14:textFill>
                  <w14:solidFill>
                    <w14:schemeClr w14:val="tx1">
                      <w14:lumMod w14:val="95000"/>
                      <w14:lumOff w14:val="5000"/>
                    </w14:schemeClr>
                  </w14:solidFill>
                </w14:textFill>
              </w:rPr>
              <w:t>）</w:t>
            </w:r>
            <w:r>
              <w:rPr>
                <w:rFonts w:hint="eastAsia" w:ascii="宋体" w:hAnsi="宋体" w:eastAsia="宋体" w:cs="宋体"/>
                <w:color w:val="0D0D0D" w:themeColor="text1" w:themeTint="F2"/>
                <w:lang w:val="en-US" w:eastAsia="zh-CN"/>
                <w14:textFill>
                  <w14:solidFill>
                    <w14:schemeClr w14:val="tx1">
                      <w14:lumMod w14:val="95000"/>
                      <w14:lumOff w14:val="5000"/>
                    </w14:schemeClr>
                  </w14:solidFill>
                </w14:textFill>
              </w:rPr>
              <w:t>基本参数：</w:t>
            </w:r>
          </w:p>
          <w:p w14:paraId="54451181">
            <w:pPr>
              <w:pageBreakBefore w:val="0"/>
              <w:widowControl/>
              <w:kinsoku/>
              <w:wordWrap/>
              <w:overflowPunct/>
              <w:topLinePunct w:val="0"/>
              <w:autoSpaceDE/>
              <w:autoSpaceDN/>
              <w:bidi w:val="0"/>
              <w:adjustRightInd/>
              <w:snapToGrid w:val="0"/>
              <w:spacing w:line="300" w:lineRule="auto"/>
              <w:textAlignment w:val="auto"/>
              <w:rPr>
                <w:rFonts w:hint="eastAsia" w:ascii="宋体" w:hAnsi="宋体" w:eastAsia="宋体" w:cs="宋体"/>
                <w:b w:val="0"/>
                <w:bCs w:val="0"/>
                <w:color w:val="0D0D0D" w:themeColor="text1" w:themeTint="F2"/>
                <w:sz w:val="21"/>
                <w:szCs w:val="20"/>
                <w:highlight w:val="none"/>
                <w:lang w:val="en-US" w:eastAsia="zh-CN"/>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b w:val="0"/>
                <w:bCs w:val="0"/>
                <w:color w:val="0D0D0D" w:themeColor="text1" w:themeTint="F2"/>
                <w:kern w:val="2"/>
                <w:sz w:val="21"/>
                <w:szCs w:val="20"/>
                <w:highlight w:val="none"/>
                <w:lang w:val="en-US" w:eastAsia="zh-CN" w:bidi="ar"/>
                <w14:textFill>
                  <w14:solidFill>
                    <w14:schemeClr w14:val="tx1">
                      <w14:lumMod w14:val="95000"/>
                      <w14:lumOff w14:val="5000"/>
                    </w14:schemeClr>
                  </w14:solidFill>
                </w14:textFill>
              </w:rPr>
              <w:t>1.</w:t>
            </w:r>
            <w:r>
              <w:rPr>
                <w:rFonts w:hint="eastAsia" w:ascii="宋体" w:hAnsi="宋体" w:eastAsia="宋体" w:cs="宋体"/>
                <w:b w:val="0"/>
                <w:bCs w:val="0"/>
                <w:color w:val="0D0D0D" w:themeColor="text1" w:themeTint="F2"/>
                <w:sz w:val="21"/>
                <w:szCs w:val="20"/>
                <w:highlight w:val="none"/>
                <w:lang w:val="en-US" w:eastAsia="zh-CN"/>
                <w14:textFill>
                  <w14:solidFill>
                    <w14:schemeClr w14:val="tx1">
                      <w14:lumMod w14:val="95000"/>
                      <w14:lumOff w14:val="5000"/>
                    </w14:schemeClr>
                  </w14:solidFill>
                </w14:textFill>
              </w:rPr>
              <w:t>总长（Loa）：≥14.5m；</w:t>
            </w:r>
          </w:p>
          <w:p w14:paraId="48737A35">
            <w:pPr>
              <w:keepNext w:val="0"/>
              <w:keepLines w:val="0"/>
              <w:pageBreakBefore w:val="0"/>
              <w:widowControl/>
              <w:kinsoku/>
              <w:wordWrap/>
              <w:overflowPunct/>
              <w:topLinePunct w:val="0"/>
              <w:autoSpaceDE/>
              <w:autoSpaceDN/>
              <w:bidi w:val="0"/>
              <w:adjustRightInd/>
              <w:snapToGrid w:val="0"/>
              <w:spacing w:before="0" w:after="0" w:line="300" w:lineRule="auto"/>
              <w:textAlignment w:val="auto"/>
              <w:rPr>
                <w:rFonts w:hint="eastAsia" w:ascii="宋体" w:hAnsi="宋体" w:eastAsia="宋体" w:cs="宋体"/>
                <w:b w:val="0"/>
                <w:bCs w:val="0"/>
                <w:color w:val="0D0D0D" w:themeColor="text1" w:themeTint="F2"/>
                <w:sz w:val="21"/>
                <w:szCs w:val="20"/>
                <w:highlight w:val="none"/>
                <w:lang w:val="en-US" w:eastAsia="zh-CN"/>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0"/>
                <w:highlight w:val="none"/>
                <w:lang w:val="en-US" w:eastAsia="zh-CN"/>
                <w14:textFill>
                  <w14:solidFill>
                    <w14:schemeClr w14:val="tx1">
                      <w14:lumMod w14:val="95000"/>
                      <w14:lumOff w14:val="5000"/>
                    </w14:schemeClr>
                  </w14:solidFill>
                </w14:textFill>
              </w:rPr>
              <w:t>2.设计水线长（Ls）：≥11.5m；</w:t>
            </w:r>
          </w:p>
          <w:p w14:paraId="63B08A5D">
            <w:pPr>
              <w:pageBreakBefore w:val="0"/>
              <w:widowControl/>
              <w:kinsoku/>
              <w:wordWrap/>
              <w:overflowPunct/>
              <w:topLinePunct w:val="0"/>
              <w:autoSpaceDE/>
              <w:autoSpaceDN/>
              <w:bidi w:val="0"/>
              <w:adjustRightInd/>
              <w:snapToGrid w:val="0"/>
              <w:spacing w:line="300" w:lineRule="auto"/>
              <w:textAlignment w:val="auto"/>
              <w:rPr>
                <w:rFonts w:hint="eastAsia" w:ascii="宋体" w:hAnsi="宋体" w:eastAsia="宋体" w:cs="宋体"/>
                <w:b w:val="0"/>
                <w:bCs w:val="0"/>
                <w:color w:val="0D0D0D" w:themeColor="text1" w:themeTint="F2"/>
                <w:sz w:val="21"/>
                <w:szCs w:val="21"/>
                <w:highlight w:val="none"/>
                <w:lang w:val="en-US" w:eastAsia="zh-CN"/>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0"/>
                <w:highlight w:val="none"/>
                <w:lang w:val="en-US" w:eastAsia="zh-CN"/>
                <w14:textFill>
                  <w14:solidFill>
                    <w14:schemeClr w14:val="tx1">
                      <w14:lumMod w14:val="95000"/>
                      <w14:lumOff w14:val="5000"/>
                    </w14:schemeClr>
                  </w14:solidFill>
                </w14:textFill>
              </w:rPr>
              <w:t>3.</w:t>
            </w:r>
            <w:r>
              <w:rPr>
                <w:rFonts w:hint="eastAsia" w:ascii="宋体" w:hAnsi="宋体" w:eastAsia="宋体" w:cs="宋体"/>
                <w:b w:val="0"/>
                <w:bCs w:val="0"/>
                <w:color w:val="0D0D0D" w:themeColor="text1" w:themeTint="F2"/>
                <w:sz w:val="21"/>
                <w:szCs w:val="21"/>
                <w:highlight w:val="none"/>
                <w:lang w:val="en-US" w:eastAsia="zh-CN"/>
                <w14:textFill>
                  <w14:solidFill>
                    <w14:schemeClr w14:val="tx1">
                      <w14:lumMod w14:val="95000"/>
                      <w14:lumOff w14:val="5000"/>
                    </w14:schemeClr>
                  </w14:solidFill>
                </w14:textFill>
              </w:rPr>
              <w:t>吨量甲板长（LPP）：≥12.5m；</w:t>
            </w:r>
          </w:p>
          <w:p w14:paraId="3A1324D1">
            <w:pPr>
              <w:pageBreakBefore w:val="0"/>
              <w:widowControl/>
              <w:kinsoku/>
              <w:wordWrap/>
              <w:overflowPunct/>
              <w:topLinePunct w:val="0"/>
              <w:autoSpaceDE/>
              <w:autoSpaceDN/>
              <w:bidi w:val="0"/>
              <w:adjustRightInd/>
              <w:snapToGrid w:val="0"/>
              <w:spacing w:line="300" w:lineRule="auto"/>
              <w:textAlignment w:val="auto"/>
              <w:rPr>
                <w:rFonts w:hint="eastAsia" w:ascii="宋体" w:hAnsi="宋体" w:eastAsia="宋体" w:cs="宋体"/>
                <w:b w:val="0"/>
                <w:bCs w:val="0"/>
                <w:color w:val="0D0D0D" w:themeColor="text1" w:themeTint="F2"/>
                <w:sz w:val="21"/>
                <w:szCs w:val="20"/>
                <w:lang w:val="en-US" w:eastAsia="zh-CN"/>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b w:val="0"/>
                <w:bCs w:val="0"/>
                <w:color w:val="0D0D0D" w:themeColor="text1" w:themeTint="F2"/>
                <w:sz w:val="21"/>
                <w:szCs w:val="20"/>
                <w:lang w:val="en-US" w:eastAsia="zh-CN"/>
                <w14:textFill>
                  <w14:solidFill>
                    <w14:schemeClr w14:val="tx1">
                      <w14:lumMod w14:val="95000"/>
                      <w14:lumOff w14:val="5000"/>
                    </w14:schemeClr>
                  </w14:solidFill>
                </w14:textFill>
              </w:rPr>
              <w:t>4.型宽（B）：≥2.6m；</w:t>
            </w:r>
          </w:p>
          <w:p w14:paraId="3509FC23">
            <w:pPr>
              <w:pageBreakBefore w:val="0"/>
              <w:widowControl/>
              <w:kinsoku/>
              <w:wordWrap/>
              <w:overflowPunct/>
              <w:topLinePunct w:val="0"/>
              <w:autoSpaceDE/>
              <w:autoSpaceDN/>
              <w:bidi w:val="0"/>
              <w:adjustRightInd/>
              <w:snapToGrid w:val="0"/>
              <w:spacing w:line="300" w:lineRule="auto"/>
              <w:textAlignment w:val="auto"/>
              <w:rPr>
                <w:rFonts w:hint="eastAsia" w:ascii="宋体" w:hAnsi="宋体" w:eastAsia="宋体" w:cs="宋体"/>
                <w:b w:val="0"/>
                <w:bCs w:val="0"/>
                <w:color w:val="0D0D0D" w:themeColor="text1" w:themeTint="F2"/>
                <w:sz w:val="21"/>
                <w:szCs w:val="20"/>
                <w:lang w:val="en-US" w:eastAsia="zh-CN"/>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0"/>
                <w:lang w:val="en-US" w:eastAsia="zh-CN"/>
                <w14:textFill>
                  <w14:solidFill>
                    <w14:schemeClr w14:val="tx1">
                      <w14:lumMod w14:val="95000"/>
                      <w14:lumOff w14:val="5000"/>
                    </w14:schemeClr>
                  </w14:solidFill>
                </w14:textFill>
              </w:rPr>
              <w:t>5.型深（D）：≥0.95m；</w:t>
            </w:r>
          </w:p>
          <w:p w14:paraId="3DBDD041">
            <w:pPr>
              <w:pageBreakBefore w:val="0"/>
              <w:widowControl/>
              <w:kinsoku/>
              <w:wordWrap/>
              <w:overflowPunct/>
              <w:topLinePunct w:val="0"/>
              <w:autoSpaceDE/>
              <w:autoSpaceDN/>
              <w:bidi w:val="0"/>
              <w:adjustRightInd/>
              <w:snapToGrid w:val="0"/>
              <w:spacing w:line="300" w:lineRule="auto"/>
              <w:textAlignment w:val="auto"/>
              <w:rPr>
                <w:rFonts w:hint="eastAsia" w:ascii="宋体" w:hAnsi="宋体" w:eastAsia="宋体" w:cs="宋体"/>
                <w:b w:val="0"/>
                <w:bCs w:val="0"/>
                <w:color w:val="0D0D0D" w:themeColor="text1" w:themeTint="F2"/>
                <w:sz w:val="21"/>
                <w:szCs w:val="20"/>
                <w:lang w:val="en-US" w:eastAsia="zh-CN"/>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b w:val="0"/>
                <w:bCs w:val="0"/>
                <w:color w:val="0D0D0D" w:themeColor="text1" w:themeTint="F2"/>
                <w:sz w:val="21"/>
                <w:szCs w:val="20"/>
                <w:lang w:val="en-US" w:eastAsia="zh-CN"/>
                <w14:textFill>
                  <w14:solidFill>
                    <w14:schemeClr w14:val="tx1">
                      <w14:lumMod w14:val="95000"/>
                      <w14:lumOff w14:val="5000"/>
                    </w14:schemeClr>
                  </w14:solidFill>
                </w14:textFill>
              </w:rPr>
              <w:t>6.吃水（d）：≤0.65m；</w:t>
            </w:r>
          </w:p>
          <w:p w14:paraId="620CA172">
            <w:pPr>
              <w:pageBreakBefore w:val="0"/>
              <w:widowControl/>
              <w:kinsoku/>
              <w:wordWrap/>
              <w:overflowPunct/>
              <w:topLinePunct w:val="0"/>
              <w:autoSpaceDE/>
              <w:autoSpaceDN/>
              <w:bidi w:val="0"/>
              <w:adjustRightInd/>
              <w:snapToGrid w:val="0"/>
              <w:spacing w:line="300" w:lineRule="auto"/>
              <w:textAlignment w:val="auto"/>
              <w:rPr>
                <w:rFonts w:hint="eastAsia" w:ascii="宋体" w:hAnsi="宋体" w:eastAsia="宋体" w:cs="宋体"/>
                <w:b w:val="0"/>
                <w:bCs w:val="0"/>
                <w:color w:val="0D0D0D" w:themeColor="text1" w:themeTint="F2"/>
                <w:sz w:val="21"/>
                <w:szCs w:val="20"/>
                <w:lang w:val="en-US" w:eastAsia="zh-CN"/>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0"/>
                <w:lang w:val="en-US" w:eastAsia="zh-CN"/>
                <w14:textFill>
                  <w14:solidFill>
                    <w14:schemeClr w14:val="tx1">
                      <w14:lumMod w14:val="95000"/>
                      <w14:lumOff w14:val="5000"/>
                    </w14:schemeClr>
                  </w14:solidFill>
                </w14:textFill>
              </w:rPr>
              <w:t>7.梁拱（f）：≥0.06m；</w:t>
            </w:r>
          </w:p>
          <w:p w14:paraId="0908C3B5">
            <w:pPr>
              <w:pageBreakBefore w:val="0"/>
              <w:widowControl/>
              <w:kinsoku/>
              <w:wordWrap/>
              <w:overflowPunct/>
              <w:topLinePunct w:val="0"/>
              <w:autoSpaceDE/>
              <w:autoSpaceDN/>
              <w:bidi w:val="0"/>
              <w:adjustRightInd/>
              <w:snapToGrid w:val="0"/>
              <w:spacing w:line="300" w:lineRule="auto"/>
              <w:textAlignment w:val="auto"/>
              <w:rPr>
                <w:rFonts w:hint="eastAsia" w:ascii="宋体" w:hAnsi="宋体" w:eastAsia="宋体" w:cs="宋体"/>
                <w:b w:val="0"/>
                <w:bCs w:val="0"/>
                <w:color w:val="0D0D0D" w:themeColor="text1" w:themeTint="F2"/>
                <w:sz w:val="21"/>
                <w:szCs w:val="20"/>
                <w:lang w:val="en-US" w:eastAsia="zh-CN"/>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0"/>
                <w:lang w:val="en-US" w:eastAsia="zh-CN"/>
                <w14:textFill>
                  <w14:solidFill>
                    <w14:schemeClr w14:val="tx1">
                      <w14:lumMod w14:val="95000"/>
                      <w14:lumOff w14:val="5000"/>
                    </w14:schemeClr>
                  </w14:solidFill>
                </w14:textFill>
              </w:rPr>
              <w:t>8.定员：≥2 人；</w:t>
            </w:r>
          </w:p>
          <w:p w14:paraId="171072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color w:val="0D0D0D" w:themeColor="text1" w:themeTint="F2"/>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lang w:val="en-US" w:eastAsia="zh-CN"/>
                <w14:textFill>
                  <w14:solidFill>
                    <w14:schemeClr w14:val="tx1">
                      <w14:lumMod w14:val="95000"/>
                      <w14:lumOff w14:val="5000"/>
                    </w14:schemeClr>
                  </w14:solidFill>
                </w14:textFill>
              </w:rPr>
              <w:t>（二）技术参数</w:t>
            </w:r>
          </w:p>
          <w:p w14:paraId="2778FF99">
            <w:pPr>
              <w:pageBreakBefore w:val="0"/>
              <w:widowControl/>
              <w:kinsoku/>
              <w:wordWrap/>
              <w:overflowPunct/>
              <w:topLinePunct w:val="0"/>
              <w:autoSpaceDE/>
              <w:autoSpaceDN/>
              <w:bidi w:val="0"/>
              <w:adjustRightInd/>
              <w:snapToGrid w:val="0"/>
              <w:spacing w:line="300" w:lineRule="auto"/>
              <w:textAlignment w:val="auto"/>
              <w:rPr>
                <w:rFonts w:hint="eastAsia" w:ascii="宋体" w:hAnsi="宋体" w:eastAsia="宋体" w:cs="宋体"/>
                <w:b/>
                <w:bCs/>
                <w:color w:val="0D0D0D" w:themeColor="text1" w:themeTint="F2"/>
                <w:szCs w:val="21"/>
                <w:lang w:val="en-US" w:eastAsia="zh-CN"/>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t>1.船体要求：</w:t>
            </w:r>
          </w:p>
          <w:p w14:paraId="796F2BF9">
            <w:pPr>
              <w:pageBreakBefore w:val="0"/>
              <w:widowControl/>
              <w:kinsoku/>
              <w:wordWrap/>
              <w:overflowPunct/>
              <w:topLinePunct w:val="0"/>
              <w:autoSpaceDE/>
              <w:autoSpaceDN/>
              <w:bidi w:val="0"/>
              <w:adjustRightInd/>
              <w:snapToGrid w:val="0"/>
              <w:spacing w:line="300" w:lineRule="auto"/>
              <w:textAlignment w:val="auto"/>
              <w:rPr>
                <w:rFonts w:hint="eastAsia" w:ascii="宋体" w:hAnsi="宋体" w:eastAsia="宋体" w:cs="宋体"/>
                <w:b w:val="0"/>
                <w:bCs w:val="0"/>
                <w:color w:val="0D0D0D" w:themeColor="text1" w:themeTint="F2"/>
                <w:szCs w:val="21"/>
                <w:lang w:val="en-US" w:eastAsia="zh-CN"/>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Cs w:val="21"/>
                <w:lang w:val="en-US" w:eastAsia="zh-CN"/>
                <w14:textFill>
                  <w14:solidFill>
                    <w14:schemeClr w14:val="tx1">
                      <w14:lumMod w14:val="95000"/>
                      <w14:lumOff w14:val="5000"/>
                    </w14:schemeClr>
                  </w14:solidFill>
                </w14:textFill>
              </w:rPr>
              <w:t>★1.1船体钢料：不低于GB/T 712 B级或 CCSB 级）或同等级（或以上等级）船用钢材</w:t>
            </w:r>
            <w:r>
              <w:rPr>
                <w:rFonts w:hint="eastAsia" w:ascii="宋体" w:hAnsi="宋体" w:eastAsia="宋体" w:cs="宋体"/>
                <w:b/>
                <w:bCs/>
                <w:color w:val="0D0D0D" w:themeColor="text1" w:themeTint="F2"/>
                <w:sz w:val="21"/>
                <w:szCs w:val="21"/>
                <w:lang w:eastAsia="zh-CN"/>
                <w14:textFill>
                  <w14:solidFill>
                    <w14:schemeClr w14:val="tx1">
                      <w14:lumMod w14:val="95000"/>
                      <w14:lumOff w14:val="5000"/>
                    </w14:schemeClr>
                  </w14:solidFill>
                </w14:textFill>
              </w:rPr>
              <w:t>（</w:t>
            </w:r>
            <w:r>
              <w:rPr>
                <w:rFonts w:hint="eastAsia" w:ascii="宋体" w:hAnsi="宋体" w:eastAsia="宋体" w:cs="宋体"/>
                <w:b/>
                <w:bCs/>
                <w:color w:val="0D0D0D" w:themeColor="text1" w:themeTint="F2"/>
                <w:sz w:val="21"/>
                <w:szCs w:val="21"/>
                <w:lang w:val="en-US" w:eastAsia="zh-CN"/>
                <w14:textFill>
                  <w14:solidFill>
                    <w14:schemeClr w14:val="tx1">
                      <w14:lumMod w14:val="95000"/>
                      <w14:lumOff w14:val="5000"/>
                    </w14:schemeClr>
                  </w14:solidFill>
                </w14:textFill>
              </w:rPr>
              <w:t>投标文件中</w:t>
            </w:r>
            <w:r>
              <w:rPr>
                <w:rFonts w:hint="eastAsia" w:ascii="宋体" w:hAnsi="宋体" w:eastAsia="宋体" w:cs="宋体"/>
                <w:b/>
                <w:bCs/>
                <w:color w:val="0D0D0D" w:themeColor="text1" w:themeTint="F2"/>
                <w:kern w:val="0"/>
                <w:sz w:val="21"/>
                <w:szCs w:val="21"/>
                <w:lang w:val="en-US" w:eastAsia="zh-CN" w:bidi="ar"/>
                <w14:textFill>
                  <w14:solidFill>
                    <w14:schemeClr w14:val="tx1">
                      <w14:lumMod w14:val="95000"/>
                      <w14:lumOff w14:val="5000"/>
                    </w14:schemeClr>
                  </w14:solidFill>
                </w14:textFill>
              </w:rPr>
              <w:t>提供第三方机构出具的质量证明书</w:t>
            </w:r>
            <w:r>
              <w:rPr>
                <w:rFonts w:hint="eastAsia" w:ascii="宋体" w:hAnsi="宋体" w:eastAsia="宋体" w:cs="宋体"/>
                <w:b/>
                <w:bCs/>
                <w:color w:val="0D0D0D" w:themeColor="text1" w:themeTint="F2"/>
                <w:sz w:val="21"/>
                <w:szCs w:val="21"/>
                <w:lang w:eastAsia="zh-CN"/>
                <w14:textFill>
                  <w14:solidFill>
                    <w14:schemeClr w14:val="tx1">
                      <w14:lumMod w14:val="95000"/>
                      <w14:lumOff w14:val="5000"/>
                    </w14:schemeClr>
                  </w14:solidFill>
                </w14:textFill>
              </w:rPr>
              <w:t>）</w:t>
            </w:r>
            <w:r>
              <w:rPr>
                <w:rFonts w:hint="eastAsia" w:ascii="宋体" w:hAnsi="宋体" w:eastAsia="宋体" w:cs="宋体"/>
                <w:b w:val="0"/>
                <w:bCs w:val="0"/>
                <w:color w:val="0D0D0D" w:themeColor="text1" w:themeTint="F2"/>
                <w:szCs w:val="21"/>
                <w:lang w:eastAsia="zh-CN"/>
                <w14:textFill>
                  <w14:solidFill>
                    <w14:schemeClr w14:val="tx1">
                      <w14:lumMod w14:val="95000"/>
                      <w14:lumOff w14:val="5000"/>
                    </w14:schemeClr>
                  </w14:solidFill>
                </w14:textFill>
              </w:rPr>
              <w:t>。</w:t>
            </w:r>
          </w:p>
          <w:p w14:paraId="2706057B">
            <w:pPr>
              <w:pStyle w:val="2"/>
              <w:keepNext w:val="0"/>
              <w:keepLines w:val="0"/>
              <w:pageBreakBefore w:val="0"/>
              <w:widowControl w:val="0"/>
              <w:kinsoku/>
              <w:wordWrap/>
              <w:overflowPunct/>
              <w:topLinePunct w:val="0"/>
              <w:autoSpaceDE/>
              <w:autoSpaceDN/>
              <w:bidi w:val="0"/>
              <w:adjustRightInd/>
              <w:snapToGrid/>
              <w:spacing w:before="0" w:after="0" w:line="300" w:lineRule="auto"/>
              <w:textAlignment w:val="auto"/>
              <w:rPr>
                <w:rFonts w:hint="eastAsia" w:ascii="宋体" w:hAnsi="宋体" w:eastAsia="@微软简标宋"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t>★1.2上棚材料：配备</w:t>
            </w:r>
            <w:r>
              <w:rPr>
                <w:rFonts w:hint="eastAsia" w:ascii="宋体" w:hAnsi="宋体" w:eastAsia="宋体" w:cs="宋体"/>
                <w:color w:val="0D0D0D" w:themeColor="text1" w:themeTint="F2"/>
                <w:kern w:val="0"/>
                <w:sz w:val="21"/>
                <w:szCs w:val="21"/>
                <w:lang w:val="en-US" w:eastAsia="zh-CN" w:bidi="ar"/>
                <w14:textFill>
                  <w14:solidFill>
                    <w14:schemeClr w14:val="tx1">
                      <w14:lumMod w14:val="95000"/>
                      <w14:lumOff w14:val="5000"/>
                    </w14:schemeClr>
                  </w14:solidFill>
                </w14:textFill>
              </w:rPr>
              <w:t>遮阳棚及棚架、挡雨帘各 1 套。</w:t>
            </w:r>
            <w:r>
              <w:rPr>
                <w:rFonts w:ascii="宋体" w:hAnsi="宋体" w:eastAsia="宋体" w:cs="宋体"/>
                <w:b w:val="0"/>
                <w:bCs w:val="0"/>
                <w:color w:val="0D0D0D" w:themeColor="text1" w:themeTint="F2"/>
                <w:sz w:val="21"/>
                <w:szCs w:val="21"/>
                <w14:textFill>
                  <w14:solidFill>
                    <w14:schemeClr w14:val="tx1">
                      <w14:lumMod w14:val="95000"/>
                      <w14:lumOff w14:val="5000"/>
                    </w14:schemeClr>
                  </w14:solidFill>
                </w14:textFill>
              </w:rPr>
              <w:t>采用船用纤维增强塑料（FRP）制作，原材料为合格船用树脂及增强材料</w:t>
            </w:r>
            <w:r>
              <w:rPr>
                <w:rFonts w:hint="eastAsia" w:ascii="宋体" w:hAnsi="宋体" w:eastAsia="宋体" w:cs="宋体"/>
                <w:b/>
                <w:bCs/>
                <w:color w:val="0D0D0D" w:themeColor="text1" w:themeTint="F2"/>
                <w:sz w:val="21"/>
                <w:szCs w:val="21"/>
                <w:lang w:eastAsia="zh-CN"/>
                <w14:textFill>
                  <w14:solidFill>
                    <w14:schemeClr w14:val="tx1">
                      <w14:lumMod w14:val="95000"/>
                      <w14:lumOff w14:val="5000"/>
                    </w14:schemeClr>
                  </w14:solidFill>
                </w14:textFill>
              </w:rPr>
              <w:t>（</w:t>
            </w:r>
            <w:r>
              <w:rPr>
                <w:rFonts w:hint="eastAsia" w:ascii="宋体" w:hAnsi="宋体" w:eastAsia="宋体" w:cs="宋体"/>
                <w:b/>
                <w:bCs/>
                <w:color w:val="0D0D0D" w:themeColor="text1" w:themeTint="F2"/>
                <w:sz w:val="21"/>
                <w:szCs w:val="21"/>
                <w:lang w:val="en-US" w:eastAsia="zh-CN"/>
                <w14:textFill>
                  <w14:solidFill>
                    <w14:schemeClr w14:val="tx1">
                      <w14:lumMod w14:val="95000"/>
                      <w14:lumOff w14:val="5000"/>
                    </w14:schemeClr>
                  </w14:solidFill>
                </w14:textFill>
              </w:rPr>
              <w:t>投标文件中提供第三方机构出具的质量证明书</w:t>
            </w:r>
            <w:r>
              <w:rPr>
                <w:rFonts w:hint="eastAsia" w:ascii="宋体" w:hAnsi="宋体" w:eastAsia="宋体" w:cs="宋体"/>
                <w:b/>
                <w:bCs/>
                <w:color w:val="0D0D0D" w:themeColor="text1" w:themeTint="F2"/>
                <w:sz w:val="21"/>
                <w:szCs w:val="21"/>
                <w:lang w:eastAsia="zh-CN"/>
                <w14:textFill>
                  <w14:solidFill>
                    <w14:schemeClr w14:val="tx1">
                      <w14:lumMod w14:val="95000"/>
                      <w14:lumOff w14:val="5000"/>
                    </w14:schemeClr>
                  </w14:solidFill>
                </w14:textFill>
              </w:rPr>
              <w:t>）</w:t>
            </w:r>
            <w:r>
              <w:rPr>
                <w:rFonts w:hint="eastAsia" w:ascii="宋体" w:hAnsi="宋体" w:eastAsia="宋体" w:cs="宋体"/>
                <w:b w:val="0"/>
                <w:bCs w:val="0"/>
                <w:color w:val="0D0D0D" w:themeColor="text1" w:themeTint="F2"/>
                <w:sz w:val="21"/>
                <w:szCs w:val="21"/>
                <w:lang w:eastAsia="zh-CN"/>
                <w14:textFill>
                  <w14:solidFill>
                    <w14:schemeClr w14:val="tx1">
                      <w14:lumMod w14:val="95000"/>
                      <w14:lumOff w14:val="5000"/>
                    </w14:schemeClr>
                  </w14:solidFill>
                </w14:textFill>
              </w:rPr>
              <w:t>。</w:t>
            </w:r>
          </w:p>
          <w:p w14:paraId="5BB77DCD">
            <w:pPr>
              <w:pageBreakBefore w:val="0"/>
              <w:kinsoku/>
              <w:wordWrap/>
              <w:overflowPunct/>
              <w:topLinePunct w:val="0"/>
              <w:autoSpaceDE/>
              <w:autoSpaceDN/>
              <w:bidi w:val="0"/>
              <w:adjustRightInd/>
              <w:spacing w:line="300" w:lineRule="auto"/>
              <w:textAlignment w:val="auto"/>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t>2.船机要求</w:t>
            </w:r>
            <w:r>
              <w:rPr>
                <w:rFonts w:hint="eastAsia" w:ascii="宋体" w:hAnsi="宋体" w:eastAsia="宋体" w:cs="宋体"/>
                <w:b/>
                <w:bCs/>
                <w:color w:val="0D0D0D" w:themeColor="text1" w:themeTint="F2"/>
                <w:kern w:val="0"/>
                <w:sz w:val="21"/>
                <w:szCs w:val="21"/>
                <w:lang w:val="en-US" w:eastAsia="zh-CN" w:bidi="ar"/>
                <w14:textFill>
                  <w14:solidFill>
                    <w14:schemeClr w14:val="tx1">
                      <w14:lumMod w14:val="95000"/>
                      <w14:lumOff w14:val="5000"/>
                    </w14:schemeClr>
                  </w14:solidFill>
                </w14:textFill>
              </w:rPr>
              <w:t>（</w:t>
            </w:r>
            <w:r>
              <w:rPr>
                <w:rFonts w:hint="eastAsia" w:ascii="宋体" w:hAnsi="宋体" w:eastAsia="宋体" w:cs="宋体"/>
                <w:b/>
                <w:bCs/>
                <w:color w:val="0D0D0D" w:themeColor="text1" w:themeTint="F2"/>
                <w:sz w:val="21"/>
                <w:szCs w:val="21"/>
                <w:lang w:val="en-US" w:eastAsia="zh-CN"/>
                <w14:textFill>
                  <w14:solidFill>
                    <w14:schemeClr w14:val="tx1">
                      <w14:lumMod w14:val="95000"/>
                      <w14:lumOff w14:val="5000"/>
                    </w14:schemeClr>
                  </w14:solidFill>
                </w14:textFill>
              </w:rPr>
              <w:t>投标文件中</w:t>
            </w:r>
            <w:r>
              <w:rPr>
                <w:rFonts w:hint="eastAsia" w:ascii="宋体" w:hAnsi="宋体" w:eastAsia="宋体" w:cs="宋体"/>
                <w:b/>
                <w:bCs/>
                <w:color w:val="0D0D0D" w:themeColor="text1" w:themeTint="F2"/>
                <w:kern w:val="0"/>
                <w:sz w:val="21"/>
                <w:szCs w:val="21"/>
                <w:lang w:val="en-US" w:eastAsia="zh-CN" w:bidi="ar"/>
                <w14:textFill>
                  <w14:solidFill>
                    <w14:schemeClr w14:val="tx1">
                      <w14:lumMod w14:val="95000"/>
                      <w14:lumOff w14:val="5000"/>
                    </w14:schemeClr>
                  </w14:solidFill>
                </w14:textFill>
              </w:rPr>
              <w:t>提供产品彩页扫描件）</w:t>
            </w:r>
            <w:r>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t>：</w:t>
            </w:r>
          </w:p>
          <w:p w14:paraId="3D6FF18F">
            <w:pPr>
              <w:pageBreakBefore w:val="0"/>
              <w:numPr>
                <w:ilvl w:val="0"/>
                <w:numId w:val="1"/>
              </w:numPr>
              <w:kinsoku/>
              <w:wordWrap/>
              <w:overflowPunct/>
              <w:topLinePunct w:val="0"/>
              <w:autoSpaceDE/>
              <w:autoSpaceDN/>
              <w:bidi w:val="0"/>
              <w:adjustRightInd/>
              <w:spacing w:line="300" w:lineRule="auto"/>
              <w:textAlignment w:val="auto"/>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t>船动力采用挂桨机结构；</w:t>
            </w:r>
          </w:p>
          <w:p w14:paraId="7DBB43A4">
            <w:pPr>
              <w:pageBreakBefore w:val="0"/>
              <w:numPr>
                <w:ilvl w:val="0"/>
                <w:numId w:val="1"/>
              </w:numPr>
              <w:kinsoku/>
              <w:wordWrap/>
              <w:overflowPunct/>
              <w:topLinePunct w:val="0"/>
              <w:autoSpaceDE/>
              <w:autoSpaceDN/>
              <w:bidi w:val="0"/>
              <w:adjustRightInd/>
              <w:spacing w:line="300" w:lineRule="auto"/>
              <w:textAlignment w:val="auto"/>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t>两台柴油发电机，主发动机1台：额定功率≥35kW,额定转速≥2000 r/min；副发动机1台：额定功率≥15.7kW,额定转速≥2200 r/min；</w:t>
            </w:r>
          </w:p>
          <w:p w14:paraId="54607088">
            <w:pPr>
              <w:pageBreakBefore w:val="0"/>
              <w:kinsoku/>
              <w:wordWrap/>
              <w:overflowPunct/>
              <w:topLinePunct w:val="0"/>
              <w:autoSpaceDE/>
              <w:autoSpaceDN/>
              <w:bidi w:val="0"/>
              <w:adjustRightInd/>
              <w:spacing w:line="300" w:lineRule="auto"/>
              <w:textAlignment w:val="auto"/>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lang w:val="en-US" w:eastAsia="zh-CN"/>
                <w14:textFill>
                  <w14:solidFill>
                    <w14:schemeClr w14:val="tx1">
                      <w14:lumMod w14:val="95000"/>
                      <w14:lumOff w14:val="5000"/>
                    </w14:schemeClr>
                  </w14:solidFill>
                </w14:textFill>
              </w:rPr>
              <w:t>3</w:t>
            </w:r>
            <w:r>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t>.结构要求：</w:t>
            </w:r>
            <w:r>
              <w:rPr>
                <w:rFonts w:ascii="宋体" w:hAnsi="宋体" w:eastAsia="宋体" w:cs="宋体"/>
                <w:color w:val="0D0D0D" w:themeColor="text1" w:themeTint="F2"/>
                <w:sz w:val="21"/>
                <w:szCs w:val="21"/>
                <w14:textFill>
                  <w14:solidFill>
                    <w14:schemeClr w14:val="tx1">
                      <w14:lumMod w14:val="95000"/>
                      <w14:lumOff w14:val="5000"/>
                    </w14:schemeClr>
                  </w14:solidFill>
                </w14:textFill>
              </w:rPr>
              <w:t>船体结构采用横骨架式，结构强度满足内河船舶规范要求，船底及甲板设置足够数量的纵向加强构件，保证船体总纵强度与局部强度</w:t>
            </w:r>
            <w:r>
              <w:rPr>
                <w:rFonts w:hint="eastAsia" w:ascii="宋体" w:hAnsi="宋体" w:eastAsia="宋体" w:cs="宋体"/>
                <w:b/>
                <w:bCs/>
                <w:color w:val="0D0D0D" w:themeColor="text1" w:themeTint="F2"/>
                <w:sz w:val="21"/>
                <w:szCs w:val="21"/>
                <w:lang w:eastAsia="zh-CN"/>
                <w14:textFill>
                  <w14:solidFill>
                    <w14:schemeClr w14:val="tx1">
                      <w14:lumMod w14:val="95000"/>
                      <w14:lumOff w14:val="5000"/>
                    </w14:schemeClr>
                  </w14:solidFill>
                </w14:textFill>
              </w:rPr>
              <w:t>（</w:t>
            </w:r>
            <w:r>
              <w:rPr>
                <w:rFonts w:hint="eastAsia" w:ascii="宋体" w:hAnsi="宋体" w:eastAsia="宋体" w:cs="宋体"/>
                <w:b/>
                <w:bCs/>
                <w:color w:val="0D0D0D" w:themeColor="text1" w:themeTint="F2"/>
                <w:sz w:val="21"/>
                <w:szCs w:val="21"/>
                <w:lang w:val="en-US" w:eastAsia="zh-CN"/>
                <w14:textFill>
                  <w14:solidFill>
                    <w14:schemeClr w14:val="tx1">
                      <w14:lumMod w14:val="95000"/>
                      <w14:lumOff w14:val="5000"/>
                    </w14:schemeClr>
                  </w14:solidFill>
                </w14:textFill>
              </w:rPr>
              <w:t>投标文件中</w:t>
            </w:r>
            <w:r>
              <w:rPr>
                <w:rFonts w:hint="eastAsia" w:ascii="宋体" w:hAnsi="宋体" w:eastAsia="宋体" w:cs="宋体"/>
                <w:b/>
                <w:bCs/>
                <w:color w:val="0D0D0D" w:themeColor="text1" w:themeTint="F2"/>
                <w:kern w:val="0"/>
                <w:sz w:val="21"/>
                <w:szCs w:val="21"/>
                <w:lang w:val="en-US" w:eastAsia="zh-CN" w:bidi="ar"/>
                <w14:textFill>
                  <w14:solidFill>
                    <w14:schemeClr w14:val="tx1">
                      <w14:lumMod w14:val="95000"/>
                      <w14:lumOff w14:val="5000"/>
                    </w14:schemeClr>
                  </w14:solidFill>
                </w14:textFill>
              </w:rPr>
              <w:t>提供</w:t>
            </w:r>
            <w:r>
              <w:rPr>
                <w:rFonts w:hint="eastAsia" w:ascii="宋体" w:hAnsi="宋体" w:eastAsia="宋体" w:cs="宋体"/>
                <w:b/>
                <w:bCs/>
                <w:color w:val="0D0D0D" w:themeColor="text1" w:themeTint="F2"/>
                <w:sz w:val="21"/>
                <w:szCs w:val="21"/>
                <w:lang w:val="en-US" w:eastAsia="zh-CN"/>
                <w14:textFill>
                  <w14:solidFill>
                    <w14:schemeClr w14:val="tx1">
                      <w14:lumMod w14:val="95000"/>
                      <w14:lumOff w14:val="5000"/>
                    </w14:schemeClr>
                  </w14:solidFill>
                </w14:textFill>
              </w:rPr>
              <w:t>书面承诺，格式自拟</w:t>
            </w:r>
            <w:r>
              <w:rPr>
                <w:rFonts w:hint="eastAsia" w:ascii="宋体" w:hAnsi="宋体" w:eastAsia="宋体" w:cs="宋体"/>
                <w:b/>
                <w:bCs/>
                <w:color w:val="0D0D0D" w:themeColor="text1" w:themeTint="F2"/>
                <w:sz w:val="21"/>
                <w:szCs w:val="21"/>
                <w:lang w:eastAsia="zh-CN"/>
                <w14:textFill>
                  <w14:solidFill>
                    <w14:schemeClr w14:val="tx1">
                      <w14:lumMod w14:val="95000"/>
                      <w14:lumOff w14:val="5000"/>
                    </w14:schemeClr>
                  </w14:solidFill>
                </w14:textFill>
              </w:rPr>
              <w:t>）</w:t>
            </w:r>
            <w:r>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t>。</w:t>
            </w:r>
          </w:p>
          <w:p w14:paraId="712EF855">
            <w:pPr>
              <w:pStyle w:val="2"/>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t>4.甲板室采用玻璃钢制作，具备隔热、降噪、改善船员工作环境功能。</w:t>
            </w:r>
          </w:p>
          <w:p w14:paraId="50E06F20">
            <w:pPr>
              <w:pStyle w:val="2"/>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t>5.护舷：</w:t>
            </w:r>
            <w:r>
              <w:rPr>
                <w:rFonts w:ascii="宋体" w:hAnsi="宋体" w:eastAsia="宋体" w:cs="宋体"/>
                <w:color w:val="0D0D0D" w:themeColor="text1" w:themeTint="F2"/>
                <w:sz w:val="21"/>
                <w:szCs w:val="21"/>
                <w14:textFill>
                  <w14:solidFill>
                    <w14:schemeClr w14:val="tx1">
                      <w14:lumMod w14:val="95000"/>
                      <w14:lumOff w14:val="5000"/>
                    </w14:schemeClr>
                  </w14:solidFill>
                </w14:textFill>
              </w:rPr>
              <w:t>采用钢质</w:t>
            </w:r>
            <w: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t>护舷</w:t>
            </w:r>
            <w:r>
              <w:rPr>
                <w:rFonts w:ascii="宋体" w:hAnsi="宋体" w:eastAsia="宋体" w:cs="宋体"/>
                <w:color w:val="0D0D0D" w:themeColor="text1" w:themeTint="F2"/>
                <w:sz w:val="21"/>
                <w:szCs w:val="21"/>
                <w14:textFill>
                  <w14:solidFill>
                    <w14:schemeClr w14:val="tx1">
                      <w14:lumMod w14:val="95000"/>
                      <w14:lumOff w14:val="5000"/>
                    </w14:schemeClr>
                  </w14:solidFill>
                </w14:textFill>
              </w:rPr>
              <w:t>，截面形式适配船体线型，防撞性能满足内河 A/B/C 级航区靠泊作业要求</w:t>
            </w:r>
            <w:r>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t>。</w:t>
            </w:r>
          </w:p>
          <w:p w14:paraId="2AFFA150">
            <w:pPr>
              <w:pStyle w:val="2"/>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t>■6.干舷：满足《内河小型船舶技术规则》（2024）对 A、B、C 级航区最小干舷要求</w:t>
            </w:r>
          </w:p>
          <w:p w14:paraId="678735DF">
            <w:pPr>
              <w:pStyle w:val="2"/>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t>■7.稳性：船舶完整稳性满足《内河小型船舶技术规则》（2024）相应航区要求，覆盖满载、空载、作业工况。</w:t>
            </w:r>
          </w:p>
          <w:p w14:paraId="5F2A3E19">
            <w:pPr>
              <w:pStyle w:val="2"/>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t>■8.锚泊系泊设备：</w:t>
            </w:r>
            <w:r>
              <w:rPr>
                <w:rFonts w:ascii="宋体" w:hAnsi="宋体" w:eastAsia="宋体" w:cs="宋体"/>
                <w:color w:val="0D0D0D" w:themeColor="text1" w:themeTint="F2"/>
                <w:sz w:val="21"/>
                <w:szCs w:val="21"/>
                <w14:textFill>
                  <w14:solidFill>
                    <w14:schemeClr w14:val="tx1">
                      <w14:lumMod w14:val="95000"/>
                      <w14:lumOff w14:val="5000"/>
                    </w14:schemeClr>
                  </w14:solidFill>
                </w14:textFill>
              </w:rPr>
              <w:t>配置满足内河 A、B、C 级航区要求的人力抛锚装置及相应锚索、系缆索、系缆桩、系缆环等设施，具体规格由投标人按规范自行设计配置</w:t>
            </w:r>
            <w:r>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t>。</w:t>
            </w:r>
          </w:p>
          <w:p w14:paraId="5A27F962">
            <w:pPr>
              <w:pStyle w:val="2"/>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t>■9.消防设备：</w:t>
            </w:r>
            <w:r>
              <w:rPr>
                <w:rFonts w:ascii="宋体" w:hAnsi="宋体" w:eastAsia="宋体" w:cs="宋体"/>
                <w:color w:val="0D0D0D" w:themeColor="text1" w:themeTint="F2"/>
                <w:sz w:val="21"/>
                <w:szCs w:val="21"/>
                <w14:textFill>
                  <w14:solidFill>
                    <w14:schemeClr w14:val="tx1">
                      <w14:lumMod w14:val="95000"/>
                      <w14:lumOff w14:val="5000"/>
                    </w14:schemeClr>
                  </w14:solidFill>
                </w14:textFill>
              </w:rPr>
              <w:t>船消防配置应满足《内河小型船舶技术规则》（2024）A、B、C 级航区要求，配置手提式灭火器、消防水桶、砂箱、太平斧等基本消防设施。设置厨房或加热功能区域时，应按规范增配灭火毯及相应灭火设备，带电加热设备区域应采用适配电气火灾的灭火器材。</w:t>
            </w:r>
          </w:p>
          <w:p w14:paraId="6FCD7750">
            <w:pPr>
              <w:pStyle w:val="2"/>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t>■10、救生和无线电信号设备：按《内河小型船舶技术规则》（2024）对内河 A、B、C 级航区的要求配置。</w:t>
            </w:r>
          </w:p>
          <w:p w14:paraId="6850060A">
            <w:pPr>
              <w:pStyle w:val="2"/>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t>■11.防止油类污染：</w:t>
            </w:r>
            <w:r>
              <w:rPr>
                <w:rFonts w:ascii="宋体" w:hAnsi="宋体" w:eastAsia="宋体" w:cs="宋体"/>
                <w:color w:val="0D0D0D" w:themeColor="text1" w:themeTint="F2"/>
                <w:sz w:val="21"/>
                <w:szCs w:val="21"/>
                <w14:textFill>
                  <w14:solidFill>
                    <w14:schemeClr w14:val="tx1">
                      <w14:lumMod w14:val="95000"/>
                      <w14:lumOff w14:val="5000"/>
                    </w14:schemeClr>
                  </w14:solidFill>
                </w14:textFill>
              </w:rPr>
              <w:t>船舶应按《内河小型船舶技术规则》（2024）要求设置有效的防止油类污染设施，配置足够容量的污油收集装置、集油盘及油污收集工具，确保船舶产生的污油水全部收集贮存，不得排入水域，满足内河航区防污染要求。</w:t>
            </w:r>
          </w:p>
          <w:p w14:paraId="5BA8D788">
            <w:pPr>
              <w:pStyle w:val="2"/>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t>■12.防止垃圾污染：垃圾应按《内河小型船舶技术规则》（2024）8.1.1 分类处理，并设置足够容量的垃圾贮存器。</w:t>
            </w:r>
          </w:p>
          <w:p w14:paraId="05937868">
            <w:pPr>
              <w:pStyle w:val="2"/>
              <w:keepNext w:val="0"/>
              <w:keepLines w:val="0"/>
              <w:pageBreakBefore w:val="0"/>
              <w:widowControl w:val="0"/>
              <w:kinsoku/>
              <w:wordWrap/>
              <w:overflowPunct/>
              <w:topLinePunct w:val="0"/>
              <w:autoSpaceDE/>
              <w:autoSpaceDN/>
              <w:bidi w:val="0"/>
              <w:adjustRightInd/>
              <w:snapToGrid/>
              <w:spacing w:after="0" w:line="300" w:lineRule="auto"/>
              <w:textAlignment w:val="auto"/>
              <w:rPr>
                <w:rFonts w:hint="default" w:ascii="宋体" w:hAnsi="宋体" w:eastAsia="宋体" w:cs="宋体"/>
                <w:color w:val="0D0D0D" w:themeColor="text1" w:themeTint="F2"/>
                <w:kern w:val="0"/>
                <w:sz w:val="21"/>
                <w:szCs w:val="21"/>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kern w:val="0"/>
                <w:sz w:val="21"/>
                <w:szCs w:val="21"/>
                <w:lang w:val="en-US" w:eastAsia="zh-CN" w:bidi="ar"/>
                <w14:textFill>
                  <w14:solidFill>
                    <w14:schemeClr w14:val="tx1">
                      <w14:lumMod w14:val="95000"/>
                      <w14:lumOff w14:val="5000"/>
                    </w14:schemeClr>
                  </w14:solidFill>
                </w14:textFill>
              </w:rPr>
              <w:t>13.</w:t>
            </w:r>
            <w:r>
              <w:rPr>
                <w:rFonts w:hint="eastAsia" w:ascii="宋体" w:hAnsi="宋体" w:eastAsia="宋体" w:cs="宋体"/>
                <w:color w:val="0D0D0D" w:themeColor="text1" w:themeTint="F2"/>
                <w:kern w:val="0"/>
                <w:sz w:val="21"/>
                <w:szCs w:val="21"/>
                <w:lang w:val="en-US" w:eastAsia="zh-CN" w:bidi="ar"/>
                <w14:textFill>
                  <w14:solidFill>
                    <w14:schemeClr w14:val="tx1">
                      <w14:lumMod w14:val="95000"/>
                      <w14:lumOff w14:val="5000"/>
                    </w14:schemeClr>
                  </w14:solidFill>
                </w14:textFill>
              </w:rPr>
              <w:t>抗风等级≥5级。</w:t>
            </w:r>
          </w:p>
          <w:p w14:paraId="4F648B12">
            <w:pPr>
              <w:pStyle w:val="2"/>
              <w:keepNext w:val="0"/>
              <w:keepLines w:val="0"/>
              <w:pageBreakBefore w:val="0"/>
              <w:widowControl w:val="0"/>
              <w:kinsoku/>
              <w:wordWrap/>
              <w:overflowPunct/>
              <w:topLinePunct w:val="0"/>
              <w:autoSpaceDE/>
              <w:autoSpaceDN/>
              <w:bidi w:val="0"/>
              <w:adjustRightInd/>
              <w:snapToGrid/>
              <w:spacing w:after="0" w:line="300" w:lineRule="auto"/>
              <w:ind w:firstLine="0" w:firstLineChars="0"/>
              <w:textAlignment w:val="auto"/>
              <w:rPr>
                <w:rFonts w:hint="eastAsia" w:ascii="宋体" w:hAnsi="宋体" w:eastAsia="宋体" w:cs="宋体"/>
                <w:color w:val="0D0D0D" w:themeColor="text1" w:themeTint="F2"/>
                <w:kern w:val="0"/>
                <w:sz w:val="21"/>
                <w:szCs w:val="21"/>
                <w:lang w:val="en-US"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lang w:val="en-US" w:eastAsia="zh-CN" w:bidi="ar"/>
                <w14:textFill>
                  <w14:solidFill>
                    <w14:schemeClr w14:val="tx1">
                      <w14:lumMod w14:val="95000"/>
                      <w14:lumOff w14:val="5000"/>
                    </w14:schemeClr>
                  </w14:solidFill>
                </w14:textFill>
              </w:rPr>
              <w:t>14.尾部设置简易卫生间，内设自动打包坐便器。</w:t>
            </w:r>
          </w:p>
          <w:p w14:paraId="54394F66">
            <w:pPr>
              <w:pStyle w:val="2"/>
              <w:keepNext w:val="0"/>
              <w:keepLines w:val="0"/>
              <w:pageBreakBefore w:val="0"/>
              <w:widowControl w:val="0"/>
              <w:kinsoku/>
              <w:wordWrap/>
              <w:overflowPunct/>
              <w:topLinePunct w:val="0"/>
              <w:autoSpaceDE/>
              <w:autoSpaceDN/>
              <w:bidi w:val="0"/>
              <w:adjustRightInd/>
              <w:snapToGrid/>
              <w:spacing w:after="0" w:line="300" w:lineRule="auto"/>
              <w:ind w:firstLine="0" w:firstLineChars="0"/>
              <w:textAlignment w:val="auto"/>
              <w:rPr>
                <w:rFonts w:hint="default" w:ascii="宋体" w:hAnsi="宋体" w:eastAsia="宋体" w:cs="宋体"/>
                <w:color w:val="0D0D0D" w:themeColor="text1" w:themeTint="F2"/>
                <w:kern w:val="0"/>
                <w:sz w:val="21"/>
                <w:szCs w:val="21"/>
                <w:lang w:val="en-US" w:eastAsia="zh-CN" w:bidi="ar"/>
                <w14:textFill>
                  <w14:solidFill>
                    <w14:schemeClr w14:val="tx1">
                      <w14:lumMod w14:val="95000"/>
                      <w14:lumOff w14:val="5000"/>
                    </w14:schemeClr>
                  </w14:solidFill>
                </w14:textFill>
              </w:rPr>
            </w:pPr>
            <w:r>
              <w:rPr>
                <w:rFonts w:hint="eastAsia" w:ascii="宋体" w:hAnsi="宋体" w:eastAsia="宋体" w:cs="宋体"/>
                <w:b/>
                <w:bCs/>
                <w:color w:val="000000"/>
                <w:sz w:val="24"/>
                <w:szCs w:val="24"/>
                <w:highlight w:val="none"/>
              </w:rPr>
              <w:t>★</w:t>
            </w:r>
            <w:r>
              <w:rPr>
                <w:rFonts w:hint="eastAsia" w:ascii="宋体" w:hAnsi="宋体" w:eastAsia="宋体" w:cs="宋体"/>
                <w:b/>
                <w:bCs/>
                <w:color w:val="0D0D0D" w:themeColor="text1" w:themeTint="F2"/>
                <w:kern w:val="0"/>
                <w:sz w:val="21"/>
                <w:szCs w:val="21"/>
                <w:lang w:val="en-US" w:eastAsia="zh-CN" w:bidi="ar"/>
                <w14:textFill>
                  <w14:solidFill>
                    <w14:schemeClr w14:val="tx1">
                      <w14:lumMod w14:val="95000"/>
                      <w14:lumOff w14:val="5000"/>
                    </w14:schemeClr>
                  </w14:solidFill>
                </w14:textFill>
              </w:rPr>
              <w:t>15.投标文件中提供设计图。</w:t>
            </w:r>
          </w:p>
        </w:tc>
        <w:tc>
          <w:tcPr>
            <w:tcW w:w="1083" w:type="dxa"/>
            <w:vAlign w:val="center"/>
          </w:tcPr>
          <w:p w14:paraId="497C23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ascii="宋体" w:hAnsi="宋体" w:eastAsia="宋体"/>
                <w:bCs/>
                <w:color w:val="auto"/>
                <w:sz w:val="24"/>
                <w:szCs w:val="18"/>
                <w:highlight w:val="none"/>
              </w:rPr>
            </w:pPr>
            <w:r>
              <w:rPr>
                <w:rFonts w:hint="eastAsia" w:ascii="宋体" w:hAnsi="宋体" w:eastAsia="宋体" w:cs="宋体"/>
                <w:color w:val="000000"/>
                <w:kern w:val="0"/>
                <w:sz w:val="21"/>
                <w:szCs w:val="21"/>
                <w:lang w:val="en-US" w:eastAsia="zh-CN" w:bidi="ar"/>
              </w:rPr>
              <w:t>3艘</w:t>
            </w:r>
          </w:p>
        </w:tc>
        <w:tc>
          <w:tcPr>
            <w:tcW w:w="475" w:type="pct"/>
            <w:vAlign w:val="center"/>
          </w:tcPr>
          <w:p w14:paraId="39C57B94">
            <w:pPr>
              <w:pageBreakBefore w:val="0"/>
              <w:kinsoku/>
              <w:wordWrap/>
              <w:overflowPunct/>
              <w:topLinePunct w:val="0"/>
              <w:autoSpaceDE/>
              <w:autoSpaceDN/>
              <w:bidi w:val="0"/>
              <w:adjustRightInd/>
              <w:spacing w:line="300" w:lineRule="auto"/>
              <w:jc w:val="center"/>
              <w:textAlignment w:val="auto"/>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工业</w:t>
            </w:r>
          </w:p>
        </w:tc>
      </w:tr>
    </w:tbl>
    <w:p w14:paraId="461470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jc w:val="both"/>
        <w:textAlignment w:val="auto"/>
        <w:rPr>
          <w:rFonts w:hint="eastAsia" w:ascii="宋体" w:hAnsi="宋体" w:eastAsia="宋体" w:cs="宋体"/>
          <w:b/>
          <w:bCs/>
          <w:szCs w:val="21"/>
          <w:lang w:val="en-US"/>
        </w:rPr>
      </w:pPr>
      <w:bookmarkStart w:id="6" w:name="_Toc7421"/>
      <w:bookmarkStart w:id="7" w:name="_Toc4843"/>
      <w:r>
        <w:rPr>
          <w:rFonts w:hint="eastAsia" w:ascii="宋体" w:hAnsi="宋体" w:eastAsia="宋体" w:cs="宋体"/>
          <w:b/>
          <w:bCs/>
          <w:kern w:val="2"/>
          <w:sz w:val="21"/>
          <w:szCs w:val="21"/>
          <w:lang w:val="en-US" w:eastAsia="zh-CN" w:bidi="ar"/>
        </w:rPr>
        <w:t>三、备品备件及专用工具</w:t>
      </w:r>
    </w:p>
    <w:p w14:paraId="3C8C59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1、备品备件：中标人提供能够满足质量保证期内的设备维修要求的备品备件，备品备件应是新品。</w:t>
      </w:r>
    </w:p>
    <w:p w14:paraId="28F7D9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2、专用工具：中标人提供设备安装、调试、验收、维修、保养所必要的专用工具、仪器、仪表等工具。</w:t>
      </w:r>
    </w:p>
    <w:p w14:paraId="0A6286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jc w:val="both"/>
        <w:textAlignment w:val="auto"/>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四、安装调试、验收试验及质量保证</w:t>
      </w:r>
    </w:p>
    <w:p w14:paraId="62B21B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1、中标人在设备安装地点负责安装、调试。</w:t>
      </w:r>
    </w:p>
    <w:p w14:paraId="6BDB03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2、中标人须负责办理船舶检验证书并协助采购人办理船舶所有权登记证书、船舶国籍证书等法定必备证书，且须将上述证书所载权利主体全部变更登记至采购人名下。同时，中标人应将船舶全套设计图纸及船检证书原件随船移交采购人，未完成前述证书办理、权属变更及资料移交的，采购人有权拒绝验收。</w:t>
      </w:r>
    </w:p>
    <w:p w14:paraId="5B0ECF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3、具体设备验收标准和程序按采购人要求执行，验收标准和程序具体如下：</w:t>
      </w:r>
    </w:p>
    <w:p w14:paraId="6F7FAD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3.1 验收标准：符合《渔业船舶法定检验规则（2020 版）》《内河船舶法定检验技术规则（2024版）》，船舶为全新合格产品，所有设备具备产品合格证及第三方机构出具的检验报告，船体焊接、防腐等工艺符合</w:t>
      </w:r>
      <w:r>
        <w:rPr>
          <w:rFonts w:ascii="宋体" w:hAnsi="宋体" w:eastAsia="宋体" w:cs="宋体"/>
          <w:sz w:val="21"/>
          <w:szCs w:val="21"/>
        </w:rPr>
        <w:t>GB/T 33837-2017</w:t>
      </w:r>
      <w:r>
        <w:rPr>
          <w:rFonts w:hint="eastAsia" w:ascii="宋体" w:hAnsi="宋体" w:eastAsia="宋体" w:cs="宋体"/>
          <w:kern w:val="2"/>
          <w:sz w:val="21"/>
          <w:szCs w:val="21"/>
          <w:lang w:val="en-US" w:eastAsia="zh-CN" w:bidi="ar"/>
        </w:rPr>
        <w:t>、</w:t>
      </w:r>
      <w:r>
        <w:rPr>
          <w:rFonts w:ascii="宋体" w:hAnsi="宋体" w:eastAsia="宋体" w:cs="宋体"/>
          <w:sz w:val="21"/>
          <w:szCs w:val="21"/>
        </w:rPr>
        <w:t>GB/T</w:t>
      </w:r>
      <w:r>
        <w:rPr>
          <w:rFonts w:hint="eastAsia" w:ascii="宋体" w:hAnsi="宋体" w:eastAsia="宋体" w:cs="宋体"/>
          <w:sz w:val="21"/>
          <w:szCs w:val="21"/>
          <w:lang w:val="en-US" w:eastAsia="zh-CN"/>
        </w:rPr>
        <w:t xml:space="preserve"> 6822-2024</w:t>
      </w:r>
      <w:r>
        <w:rPr>
          <w:rFonts w:hint="eastAsia" w:ascii="宋体" w:hAnsi="宋体" w:eastAsia="宋体" w:cs="宋体"/>
          <w:kern w:val="2"/>
          <w:sz w:val="21"/>
          <w:szCs w:val="21"/>
          <w:lang w:val="en-US" w:eastAsia="zh-CN" w:bidi="ar"/>
        </w:rPr>
        <w:t>等国家标准。</w:t>
      </w:r>
    </w:p>
    <w:p w14:paraId="4DE0FF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3.2验收流程：</w:t>
      </w:r>
    </w:p>
    <w:p w14:paraId="190217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初步验收：制造完成后，核查船体结构、设备配置、外观质量，初步验收合格后出具初步验收报告；</w:t>
      </w:r>
    </w:p>
    <w:p w14:paraId="1D7A5D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试航验收：在采购人指定地点试航≥8小时，横摇角≤15°，试航验收合格后出具试航报告；</w:t>
      </w:r>
    </w:p>
    <w:p w14:paraId="788E5C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szCs w:val="21"/>
          <w:lang w:val="en-US" w:eastAsia="zh-CN"/>
        </w:rPr>
      </w:pPr>
      <w:r>
        <w:rPr>
          <w:rFonts w:hint="eastAsia" w:ascii="宋体" w:hAnsi="宋体" w:eastAsia="宋体" w:cs="宋体"/>
          <w:kern w:val="2"/>
          <w:sz w:val="21"/>
          <w:szCs w:val="21"/>
          <w:lang w:val="en-US" w:eastAsia="zh-CN" w:bidi="ar"/>
        </w:rPr>
        <w:t>最终验收：试航合格后10个工作日内，核对技术资料完整性及性能达标情况，最终验收合格后签署最</w:t>
      </w:r>
      <w:r>
        <w:rPr>
          <w:rFonts w:hint="eastAsia" w:ascii="宋体" w:hAnsi="宋体" w:eastAsia="宋体" w:cs="宋体"/>
          <w:sz w:val="21"/>
          <w:szCs w:val="21"/>
        </w:rPr>
        <w:t>终验收报告</w:t>
      </w:r>
      <w:r>
        <w:rPr>
          <w:rFonts w:hint="eastAsia" w:ascii="宋体" w:hAnsi="宋体" w:eastAsia="宋体" w:cs="宋体"/>
          <w:sz w:val="21"/>
          <w:szCs w:val="21"/>
          <w:lang w:eastAsia="zh-CN"/>
        </w:rPr>
        <w:t>。</w:t>
      </w:r>
    </w:p>
    <w:p w14:paraId="7DF867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3.3中标人应向采购人提供安装调试过程中的各种文档资料,以便采购人今后能掌握操作和维护方法：</w:t>
      </w:r>
    </w:p>
    <w:p w14:paraId="5E61B49F">
      <w:pPr>
        <w:pStyle w:val="2"/>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电子件：船舶设计图、施工图、结构图、设备说明书、维修手册（U盘存储</w:t>
      </w:r>
      <w:r>
        <w:rPr>
          <w:rFonts w:hint="eastAsia" w:ascii="宋体" w:hAnsi="宋体" w:eastAsia="宋体" w:cs="宋体"/>
          <w:sz w:val="21"/>
          <w:szCs w:val="21"/>
          <w:lang w:val="en-US" w:eastAsia="zh-CN"/>
        </w:rPr>
        <w:t>1</w:t>
      </w:r>
      <w:r>
        <w:rPr>
          <w:rFonts w:hint="eastAsia" w:ascii="宋体" w:hAnsi="宋体" w:eastAsia="宋体" w:cs="宋体"/>
          <w:sz w:val="21"/>
          <w:szCs w:val="21"/>
        </w:rPr>
        <w:t>份）</w:t>
      </w:r>
    </w:p>
    <w:p w14:paraId="7CD231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sz w:val="21"/>
          <w:szCs w:val="21"/>
        </w:rPr>
        <w:t>纸质件：</w:t>
      </w:r>
      <w:r>
        <w:rPr>
          <w:rFonts w:hint="eastAsia" w:ascii="宋体" w:hAnsi="宋体" w:eastAsia="宋体" w:cs="宋体"/>
          <w:sz w:val="21"/>
          <w:szCs w:val="21"/>
          <w:lang w:val="en-US" w:eastAsia="zh-CN"/>
        </w:rPr>
        <w:t>船舶安全证书、</w:t>
      </w:r>
      <w:r>
        <w:rPr>
          <w:rFonts w:hint="eastAsia" w:ascii="宋体" w:hAnsi="宋体" w:eastAsia="宋体" w:cs="宋体"/>
          <w:sz w:val="21"/>
          <w:szCs w:val="21"/>
        </w:rPr>
        <w:t>产品合格证、</w:t>
      </w:r>
      <w:r>
        <w:rPr>
          <w:rFonts w:hint="eastAsia" w:ascii="宋体" w:hAnsi="宋体" w:eastAsia="宋体" w:cs="宋体"/>
          <w:sz w:val="21"/>
          <w:szCs w:val="21"/>
          <w:lang w:val="en-US" w:eastAsia="zh-CN"/>
        </w:rPr>
        <w:t>第三方机构</w:t>
      </w:r>
      <w:r>
        <w:rPr>
          <w:rFonts w:hint="eastAsia" w:ascii="宋体" w:hAnsi="宋体" w:eastAsia="宋体" w:cs="宋体"/>
          <w:sz w:val="21"/>
          <w:szCs w:val="21"/>
        </w:rPr>
        <w:t>检验报告、备件清单、船舶所有权登记资料（正本</w:t>
      </w:r>
      <w:r>
        <w:rPr>
          <w:rFonts w:hint="eastAsia" w:ascii="宋体" w:hAnsi="宋体" w:eastAsia="宋体" w:cs="宋体"/>
          <w:sz w:val="21"/>
          <w:szCs w:val="21"/>
          <w:lang w:val="en-US" w:eastAsia="zh-CN"/>
        </w:rPr>
        <w:t>1</w:t>
      </w:r>
      <w:r>
        <w:rPr>
          <w:rFonts w:hint="eastAsia" w:ascii="宋体" w:hAnsi="宋体" w:eastAsia="宋体" w:cs="宋体"/>
          <w:sz w:val="21"/>
          <w:szCs w:val="21"/>
        </w:rPr>
        <w:t>份、副本</w:t>
      </w:r>
      <w:r>
        <w:rPr>
          <w:rFonts w:hint="eastAsia" w:ascii="宋体" w:hAnsi="宋体" w:eastAsia="宋体" w:cs="宋体"/>
          <w:sz w:val="21"/>
          <w:szCs w:val="21"/>
          <w:lang w:val="en-US" w:eastAsia="zh-CN"/>
        </w:rPr>
        <w:t>2</w:t>
      </w:r>
      <w:r>
        <w:rPr>
          <w:rFonts w:hint="eastAsia" w:ascii="宋体" w:hAnsi="宋体" w:eastAsia="宋体" w:cs="宋体"/>
          <w:sz w:val="21"/>
          <w:szCs w:val="21"/>
        </w:rPr>
        <w:t>份，加盖公章）</w:t>
      </w:r>
      <w:r>
        <w:rPr>
          <w:rFonts w:hint="eastAsia" w:ascii="宋体" w:hAnsi="宋体" w:eastAsia="宋体" w:cs="宋体"/>
          <w:kern w:val="2"/>
          <w:sz w:val="21"/>
          <w:szCs w:val="21"/>
          <w:lang w:val="en-US" w:eastAsia="zh-CN" w:bidi="ar"/>
        </w:rPr>
        <w:t>。</w:t>
      </w:r>
    </w:p>
    <w:p w14:paraId="387D8F7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4、如设备在验收时有一个或多个指标未能达到要求而属于中标人责任时，则中标人自费采取有效措施，在规定时间内使之达到保证指标。如在规定的时间内仍达不到合格标准时，则中标人应向采购人赔偿。</w:t>
      </w:r>
    </w:p>
    <w:p w14:paraId="563446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jc w:val="both"/>
        <w:textAlignment w:val="auto"/>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五、包装运输</w:t>
      </w:r>
    </w:p>
    <w:p w14:paraId="4DA530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1、中标人负责设备包装、办理运输和保险，将设备安全运抵交货地点。</w:t>
      </w:r>
    </w:p>
    <w:p w14:paraId="512B02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2、设备制造完成并通过试验后应及时包装，否则应得到切实的保护，确保其不受污损。</w:t>
      </w:r>
    </w:p>
    <w:p w14:paraId="2BA11E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3、在包装箱外应标明采购人的订货号、发货号。</w:t>
      </w:r>
    </w:p>
    <w:p w14:paraId="7FC802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4、各种包装应能确保各零部件在运输过程中不致遭到损坏、丢失、变形、受潮和腐蚀。</w:t>
      </w:r>
    </w:p>
    <w:p w14:paraId="0804FE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5、包装箱上应有明显的包装储运图示标志。</w:t>
      </w:r>
    </w:p>
    <w:p w14:paraId="0BDA7B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6、整体产品或分别运输的部件都要适应运输和装载的要求。</w:t>
      </w:r>
    </w:p>
    <w:p w14:paraId="21BB06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7、随产品提供的技术资料应完整无缺。</w:t>
      </w:r>
    </w:p>
    <w:p w14:paraId="00538E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jc w:val="both"/>
        <w:textAlignment w:val="auto"/>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六、技术培训</w:t>
      </w:r>
    </w:p>
    <w:p w14:paraId="19EE18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1、为使合同设备能正常安装和运行，由中标人提供相应的技术培训，并免收采购人培训费用。培训内容应与工程进度相一致。</w:t>
      </w:r>
    </w:p>
    <w:p w14:paraId="7557A6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2、货物最终验收合格并</w:t>
      </w:r>
      <w:r>
        <w:rPr>
          <w:rFonts w:hint="eastAsia" w:ascii="宋体" w:hAnsi="宋体" w:eastAsia="宋体" w:cs="宋体"/>
          <w:color w:val="auto"/>
          <w:sz w:val="21"/>
          <w:szCs w:val="21"/>
        </w:rPr>
        <w:t>交付后30个工作日内，</w:t>
      </w:r>
      <w:r>
        <w:rPr>
          <w:rFonts w:hint="eastAsia" w:ascii="宋体" w:hAnsi="宋体" w:eastAsia="宋体" w:cs="宋体"/>
          <w:color w:val="auto"/>
          <w:sz w:val="21"/>
          <w:szCs w:val="21"/>
          <w:lang w:val="en-US" w:eastAsia="zh-CN"/>
        </w:rPr>
        <w:t>中标人须</w:t>
      </w:r>
      <w:r>
        <w:rPr>
          <w:rFonts w:hint="eastAsia" w:ascii="宋体" w:hAnsi="宋体" w:eastAsia="宋体" w:cs="宋体"/>
          <w:color w:val="auto"/>
          <w:sz w:val="21"/>
          <w:szCs w:val="21"/>
        </w:rPr>
        <w:t>为</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4名操作人员提供2次培训（理论+实操），</w:t>
      </w:r>
      <w:r>
        <w:rPr>
          <w:rFonts w:hint="eastAsia" w:ascii="宋体" w:hAnsi="宋体" w:eastAsia="宋体" w:cs="宋体"/>
          <w:color w:val="auto"/>
          <w:sz w:val="21"/>
          <w:szCs w:val="21"/>
          <w:lang w:val="en-US" w:eastAsia="zh-CN"/>
        </w:rPr>
        <w:t>培训合格之后</w:t>
      </w:r>
      <w:r>
        <w:rPr>
          <w:rFonts w:hint="eastAsia" w:ascii="宋体" w:hAnsi="宋体" w:eastAsia="宋体" w:cs="宋体"/>
          <w:color w:val="auto"/>
          <w:sz w:val="21"/>
          <w:szCs w:val="21"/>
        </w:rPr>
        <w:t>出具培训合格证明</w:t>
      </w:r>
      <w:r>
        <w:rPr>
          <w:rFonts w:hint="eastAsia" w:ascii="宋体" w:hAnsi="宋体" w:eastAsia="宋体" w:cs="宋体"/>
          <w:color w:val="auto"/>
          <w:sz w:val="21"/>
          <w:szCs w:val="21"/>
          <w:lang w:val="en-US" w:eastAsia="zh-CN"/>
        </w:rPr>
        <w:t>。培训部分涉及的费用包含在本项目投标报价中，采购人后期不再另行支付费用。</w:t>
      </w:r>
      <w:r>
        <w:rPr>
          <w:rFonts w:hint="eastAsia" w:ascii="宋体" w:hAnsi="宋体" w:eastAsia="宋体" w:cs="宋体"/>
          <w:color w:val="auto"/>
          <w:kern w:val="2"/>
          <w:sz w:val="21"/>
          <w:szCs w:val="21"/>
          <w:lang w:val="en-US" w:eastAsia="zh-CN" w:bidi="ar"/>
        </w:rPr>
        <w:t>培训的时间、人数、地点等具体内容由买卖双方商定，内容至少包括：设备原理、使用、维护、运行操作、常见故障处理等。</w:t>
      </w:r>
    </w:p>
    <w:p w14:paraId="3FDADB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FF0000"/>
          <w:szCs w:val="21"/>
          <w:lang w:val="en-US"/>
        </w:rPr>
      </w:pPr>
      <w:r>
        <w:rPr>
          <w:rFonts w:hint="eastAsia" w:ascii="宋体" w:hAnsi="宋体" w:eastAsia="宋体" w:cs="宋体"/>
          <w:kern w:val="2"/>
          <w:sz w:val="21"/>
          <w:szCs w:val="21"/>
          <w:lang w:val="en-US" w:eastAsia="zh-CN" w:bidi="ar"/>
        </w:rPr>
        <w:t>3、技术参数及要求里有特别规定的，以技术参数及要求中的要求为准。</w:t>
      </w:r>
    </w:p>
    <w:p w14:paraId="44F2AE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jc w:val="both"/>
        <w:textAlignment w:val="auto"/>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七、质保及售后服务</w:t>
      </w:r>
    </w:p>
    <w:p w14:paraId="3F8ABC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1、自双方签订《验收报告》起进入免费质保期。</w:t>
      </w:r>
    </w:p>
    <w:p w14:paraId="0FC8F2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在质保期间内，非采购人过失和故意并且在正常使用的情况下发现商品有缺陷，中标人将免费修理或替换该设备；在质保期间内，非采购人过失和故意并且在正常使用的情况下设备发生故障，中标人应及时提供服务。</w:t>
      </w:r>
    </w:p>
    <w:p w14:paraId="0A6DB0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2.1接到故障通知后2小时内响应，响应后8小时内到达现场；</w:t>
      </w:r>
    </w:p>
    <w:p w14:paraId="1415CB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2.2故障处理：一般故障24小时内解决，重大故障72小时内解决，无法现场处理的提供备用设备；</w:t>
      </w:r>
    </w:p>
    <w:p w14:paraId="6076B6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jc w:val="both"/>
        <w:textAlignment w:val="auto"/>
        <w:rPr>
          <w:rFonts w:hint="eastAsia"/>
          <w:b/>
          <w:bCs/>
          <w:lang w:eastAsia="zh-CN"/>
        </w:rPr>
      </w:pPr>
      <w:r>
        <w:rPr>
          <w:rFonts w:hint="eastAsia" w:ascii="宋体" w:hAnsi="宋体" w:eastAsia="宋体" w:cs="宋体"/>
          <w:b/>
          <w:bCs/>
          <w:kern w:val="2"/>
          <w:sz w:val="21"/>
          <w:szCs w:val="21"/>
          <w:lang w:val="en-US" w:eastAsia="zh-CN" w:bidi="ar"/>
        </w:rPr>
        <w:t>2.3备件供应：核心零部件供应保障≥8年</w:t>
      </w:r>
      <w:r>
        <w:rPr>
          <w:rFonts w:hint="eastAsia" w:ascii="宋体" w:hAnsi="宋体" w:eastAsia="宋体" w:cs="宋体"/>
          <w:b/>
          <w:bCs/>
          <w:kern w:val="2"/>
          <w:sz w:val="21"/>
          <w:szCs w:val="21"/>
          <w:highlight w:val="green"/>
          <w:lang w:val="en-US" w:eastAsia="zh-CN" w:bidi="ar"/>
        </w:rPr>
        <w:t>（投标文件中提供书面承诺，否则投标无效，格式自拟）</w:t>
      </w:r>
      <w:r>
        <w:rPr>
          <w:rFonts w:hint="eastAsia" w:asciiTheme="minorEastAsia" w:hAnsiTheme="minorEastAsia" w:eastAsiaTheme="minorEastAsia" w:cstheme="minorEastAsia"/>
          <w:b/>
          <w:bCs/>
          <w:highlight w:val="green"/>
          <w:lang w:eastAsia="zh-CN"/>
        </w:rPr>
        <w:t>。</w:t>
      </w:r>
    </w:p>
    <w:p w14:paraId="69E6438C">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val="0"/>
          <w:color w:val="auto"/>
          <w:sz w:val="21"/>
          <w:szCs w:val="21"/>
          <w:highlight w:val="none"/>
          <w:lang w:val="en-US" w:eastAsia="zh-CN"/>
        </w:rPr>
      </w:pPr>
      <w:bookmarkStart w:id="8" w:name="_Toc16772"/>
      <w:r>
        <w:rPr>
          <w:rFonts w:hint="eastAsia" w:ascii="宋体" w:hAnsi="宋体" w:eastAsia="宋体"/>
          <w:b/>
          <w:bCs w:val="0"/>
          <w:color w:val="auto"/>
          <w:sz w:val="21"/>
          <w:szCs w:val="21"/>
          <w:highlight w:val="none"/>
          <w:lang w:val="en-US" w:eastAsia="zh-CN"/>
        </w:rPr>
        <w:t>八、报价要求</w:t>
      </w:r>
      <w:bookmarkEnd w:id="8"/>
    </w:p>
    <w:p w14:paraId="31C597A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pPr>
      <w:bookmarkStart w:id="9" w:name="_Toc23548"/>
      <w:r>
        <w:rPr>
          <w:rFonts w:hint="eastAsia" w:ascii="宋体" w:hAnsi="宋体" w:eastAsia="宋体"/>
          <w:bCs/>
          <w:color w:val="auto"/>
          <w:sz w:val="21"/>
          <w:szCs w:val="21"/>
          <w:highlight w:val="none"/>
          <w:lang w:val="en-US" w:eastAsia="zh-CN"/>
        </w:rPr>
        <w:t>本项目报总价，投标报价包括本项目需求的全部货物及所需附件购置费、包装费、运输费、人工费、安装调试费、各种税费、资料费、售后服务费及完成项目应有的全部费用。</w:t>
      </w:r>
      <w:bookmarkEnd w:id="6"/>
      <w:bookmarkEnd w:id="7"/>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C5BC8"/>
    <w:multiLevelType w:val="singleLevel"/>
    <w:tmpl w:val="C89C5B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C17AE"/>
    <w:rsid w:val="02DC2156"/>
    <w:rsid w:val="098E3BB6"/>
    <w:rsid w:val="0CAC17AE"/>
    <w:rsid w:val="247D330C"/>
    <w:rsid w:val="558973FF"/>
    <w:rsid w:val="70C45467"/>
    <w:rsid w:val="73104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amp;L"/>
    <w:basedOn w:val="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2029</Words>
  <Characters>2172</Characters>
  <Lines>0</Lines>
  <Paragraphs>0</Paragraphs>
  <TotalTime>0</TotalTime>
  <ScaleCrop>false</ScaleCrop>
  <LinksUpToDate>false</LinksUpToDate>
  <CharactersWithSpaces>2199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2026-05-20T09:32:00Z</dcterms:created>
  <dc:creator>省招</dc:creator>
  <cp:lastModifiedBy>省招</cp:lastModifiedBy>
  <dcterms:modified xsi:type="dcterms:W3CDTF">2026-06-16T15:22:21Z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E9FA8CBB887443AA9559F917007CCFA9_11</vt:lpwstr>
  </property>
  <property fmtid="{D5CDD505-2E9C-101B-9397-08002B2CF9AE}" pid="4" name="KSOTemplateDocerSaveRecord">
    <vt:lpwstr>eyJoZGlkIjoiNTY2MTE2NmE0MWNlYjQ4MmJmZTAzOTM5ZDExNmQ2YmYiLCJ1c2VySWQiOiI4ODgyMDUxMzUifQ==</vt:lpwstr>
  </property>
</Properties>
</file>