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F46D7">
      <w:pPr>
        <w:numPr>
          <w:ilvl w:val="0"/>
          <w:numId w:val="0"/>
        </w:numPr>
        <w:spacing w:line="360" w:lineRule="auto"/>
        <w:jc w:val="center"/>
        <w:outlineLvl w:val="0"/>
        <w:rPr>
          <w:rFonts w:hint="eastAsia" w:asciiTheme="minorEastAsia" w:hAnsiTheme="minorEastAsia" w:eastAsiaTheme="minorEastAsia"/>
          <w:b/>
          <w:sz w:val="28"/>
        </w:rPr>
      </w:pPr>
      <w:bookmarkStart w:id="0" w:name="_Toc22605"/>
      <w:bookmarkStart w:id="13" w:name="_GoBack"/>
      <w:bookmarkEnd w:id="13"/>
      <w:r>
        <w:rPr>
          <w:rFonts w:hint="eastAsia" w:asciiTheme="minorEastAsia" w:hAnsiTheme="minorEastAsia" w:eastAsiaTheme="minorEastAsia"/>
          <w:b/>
          <w:sz w:val="28"/>
        </w:rPr>
        <w:t>采购需求</w:t>
      </w:r>
      <w:bookmarkEnd w:id="0"/>
    </w:p>
    <w:p w14:paraId="306D62E0">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6F76EAC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40192E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p>
    <w:p w14:paraId="21123C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3B095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876223C">
      <w:pPr>
        <w:spacing w:line="360" w:lineRule="auto"/>
        <w:ind w:firstLine="480" w:firstLineChars="200"/>
        <w:rPr>
          <w:rFonts w:hint="eastAsia" w:ascii="宋体" w:hAnsi="宋体" w:eastAsia="宋体"/>
          <w:bCs/>
          <w:sz w:val="24"/>
          <w:szCs w:val="18"/>
        </w:rPr>
      </w:pPr>
      <w:r>
        <w:rPr>
          <w:rFonts w:hint="eastAsia" w:ascii="宋体" w:hAnsi="宋体" w:eastAsia="宋体" w:cs="宋体"/>
          <w:sz w:val="24"/>
          <w:szCs w:val="24"/>
        </w:rPr>
        <w:t>3.如采购人允许采用分包方式履行合同的，应当明确可以分包履行的相关内容。</w:t>
      </w:r>
    </w:p>
    <w:p w14:paraId="270C3B27">
      <w:pPr>
        <w:spacing w:line="360" w:lineRule="auto"/>
        <w:ind w:firstLine="437"/>
        <w:outlineLvl w:val="1"/>
        <w:rPr>
          <w:rFonts w:hint="eastAsia" w:ascii="宋体" w:hAnsi="宋体" w:eastAsia="宋体"/>
          <w:b/>
          <w:sz w:val="24"/>
          <w:szCs w:val="18"/>
        </w:rPr>
      </w:pPr>
      <w:bookmarkStart w:id="1" w:name="_Toc4148"/>
      <w:bookmarkStart w:id="2" w:name="_Toc21798"/>
      <w:bookmarkStart w:id="3" w:name="_Hlk23621890"/>
      <w:r>
        <w:rPr>
          <w:rFonts w:hint="eastAsia" w:ascii="宋体" w:hAnsi="宋体" w:eastAsia="宋体"/>
          <w:b/>
          <w:sz w:val="24"/>
          <w:szCs w:val="18"/>
        </w:rPr>
        <w:t>一、采购需求前附表</w:t>
      </w:r>
      <w:bookmarkEnd w:id="1"/>
      <w:bookmarkEnd w:id="2"/>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0EC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461B77">
            <w:pPr>
              <w:pStyle w:val="6"/>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192" w:type="pct"/>
            <w:vAlign w:val="center"/>
          </w:tcPr>
          <w:p w14:paraId="6B9864F7">
            <w:pPr>
              <w:pStyle w:val="7"/>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217" w:type="pct"/>
            <w:vAlign w:val="center"/>
          </w:tcPr>
          <w:p w14:paraId="50665589">
            <w:pPr>
              <w:pStyle w:val="7"/>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63B2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2A1ADE6">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92" w:type="pct"/>
            <w:vAlign w:val="center"/>
          </w:tcPr>
          <w:p w14:paraId="0F990EAD">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217" w:type="pct"/>
            <w:vAlign w:val="center"/>
          </w:tcPr>
          <w:p w14:paraId="7DD4B1B6">
            <w:pPr>
              <w:spacing w:line="360" w:lineRule="auto"/>
              <w:jc w:val="left"/>
              <w:rPr>
                <w:rFonts w:hint="eastAsia" w:ascii="宋体" w:hAnsi="宋体" w:eastAsia="宋体"/>
                <w:sz w:val="24"/>
                <w:u w:val="single"/>
              </w:rPr>
            </w:pPr>
            <w:r>
              <w:rPr>
                <w:rFonts w:hint="eastAsia" w:asciiTheme="minorEastAsia" w:hAnsiTheme="minorEastAsia" w:eastAsiaTheme="minorEastAsia"/>
                <w:sz w:val="24"/>
              </w:rPr>
              <w:t>合同生效后，支付合同价款的70%，合同期满后经采购人验收合格后支付合同剩余价款。</w:t>
            </w:r>
          </w:p>
        </w:tc>
      </w:tr>
      <w:tr w14:paraId="7ACA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031281">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5AE9D240">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服务地点</w:t>
            </w:r>
          </w:p>
        </w:tc>
        <w:tc>
          <w:tcPr>
            <w:tcW w:w="3217" w:type="pct"/>
            <w:vAlign w:val="center"/>
          </w:tcPr>
          <w:p w14:paraId="5733D6F6">
            <w:pPr>
              <w:pStyle w:val="7"/>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安徽省内，具体按采购人指定地点。</w:t>
            </w:r>
          </w:p>
        </w:tc>
      </w:tr>
      <w:tr w14:paraId="3926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60D4C42">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92" w:type="pct"/>
            <w:vAlign w:val="center"/>
          </w:tcPr>
          <w:p w14:paraId="0733668F">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服务期限</w:t>
            </w:r>
          </w:p>
        </w:tc>
        <w:tc>
          <w:tcPr>
            <w:tcW w:w="3217" w:type="pct"/>
            <w:vAlign w:val="center"/>
          </w:tcPr>
          <w:p w14:paraId="59F2229C">
            <w:pPr>
              <w:pStyle w:val="7"/>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合同签订后至本项目赛事全部结束。</w:t>
            </w:r>
          </w:p>
        </w:tc>
      </w:tr>
      <w:tr w14:paraId="03C6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C498728">
            <w:pPr>
              <w:pStyle w:val="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92" w:type="pct"/>
            <w:vAlign w:val="center"/>
          </w:tcPr>
          <w:p w14:paraId="4BD2BE0E">
            <w:pPr>
              <w:pStyle w:val="7"/>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本项目采购标的名称及所属行业</w:t>
            </w:r>
          </w:p>
        </w:tc>
        <w:tc>
          <w:tcPr>
            <w:tcW w:w="3217" w:type="pct"/>
            <w:vAlign w:val="center"/>
          </w:tcPr>
          <w:p w14:paraId="6ED20596">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标的名称：2026年国际汽联生态拉力杯（中国站）竞赛组织</w:t>
            </w:r>
          </w:p>
          <w:p w14:paraId="0A2D37EB">
            <w:pPr>
              <w:spacing w:line="360" w:lineRule="auto"/>
              <w:jc w:val="left"/>
              <w:rPr>
                <w:rFonts w:hint="eastAsia" w:asciiTheme="minorEastAsia" w:hAnsiTheme="minorEastAsia" w:eastAsiaTheme="minorEastAsia"/>
                <w:sz w:val="24"/>
              </w:rPr>
            </w:pPr>
            <w:r>
              <w:rPr>
                <w:rFonts w:hint="eastAsia" w:asciiTheme="minorEastAsia" w:hAnsiTheme="minorEastAsia" w:eastAsiaTheme="minorEastAsia"/>
                <w:sz w:val="24"/>
              </w:rPr>
              <w:t>所属行业：其他未列明行业</w:t>
            </w:r>
          </w:p>
        </w:tc>
      </w:tr>
    </w:tbl>
    <w:p w14:paraId="7F7B125D">
      <w:pPr>
        <w:spacing w:line="360" w:lineRule="auto"/>
        <w:rPr>
          <w:rFonts w:hint="eastAsia" w:ascii="宋体" w:hAnsi="宋体" w:eastAsia="宋体"/>
          <w:b/>
          <w:sz w:val="24"/>
          <w:szCs w:val="18"/>
        </w:rPr>
      </w:pPr>
      <w:bookmarkStart w:id="4" w:name="_Toc16543"/>
      <w:bookmarkStart w:id="5" w:name="_Hlk16461016"/>
    </w:p>
    <w:p w14:paraId="2F7C7A70">
      <w:pPr>
        <w:spacing w:line="360" w:lineRule="auto"/>
        <w:ind w:firstLine="482" w:firstLineChars="200"/>
        <w:outlineLvl w:val="1"/>
        <w:rPr>
          <w:rFonts w:hint="eastAsia" w:ascii="宋体" w:hAnsi="宋体" w:eastAsia="宋体"/>
          <w:b/>
          <w:sz w:val="24"/>
          <w:szCs w:val="18"/>
        </w:rPr>
      </w:pPr>
      <w:bookmarkStart w:id="6" w:name="_Toc8753"/>
      <w:r>
        <w:rPr>
          <w:rFonts w:hint="eastAsia" w:ascii="宋体" w:hAnsi="宋体" w:eastAsia="宋体"/>
          <w:b/>
          <w:sz w:val="24"/>
          <w:szCs w:val="18"/>
        </w:rPr>
        <w:t>二、项目概况</w:t>
      </w:r>
      <w:bookmarkEnd w:id="4"/>
      <w:bookmarkEnd w:id="6"/>
    </w:p>
    <w:p w14:paraId="5571EF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2026国际汽联生态拉力杯（中国站）计划于2026年9月举办，为更好服务本项目的运行，计划采购一家服务单位，负责2026国际汽联生态拉力杯（中国站）赛竞赛组织运行服务，包括但不限于：对接国际汽车联合会和中国汽车摩托车运动联合会提供赛事技术服务和赛事品牌推广工作；协助国际汽车联合会和中国汽车摩托车运动联合会进行车手招募和培训工作；组建裁判和技术团队，组织赛道线路勘查，安排赛事日程，印刷竞赛手册与路书等竞赛组织工作；负责赛段、起终点、车辆封存区竞赛管理，印刷竞赛证件等相关物料；协助做好竞赛安全保障、医疗救护保障、比赛信息统计发布工作。</w:t>
      </w:r>
    </w:p>
    <w:p w14:paraId="0F0C78BC">
      <w:pPr>
        <w:spacing w:line="360" w:lineRule="auto"/>
        <w:ind w:left="437"/>
        <w:outlineLvl w:val="1"/>
        <w:rPr>
          <w:rFonts w:hint="eastAsia" w:ascii="宋体" w:hAnsi="宋体" w:eastAsia="宋体"/>
          <w:b/>
          <w:sz w:val="24"/>
          <w:szCs w:val="18"/>
        </w:rPr>
      </w:pPr>
      <w:bookmarkStart w:id="7" w:name="_Toc27920"/>
      <w:bookmarkStart w:id="8" w:name="_Toc13016"/>
      <w:r>
        <w:rPr>
          <w:rFonts w:hint="eastAsia" w:ascii="宋体" w:hAnsi="宋体" w:eastAsia="宋体"/>
          <w:b/>
          <w:sz w:val="24"/>
          <w:szCs w:val="18"/>
        </w:rPr>
        <w:t>三、服务需求</w:t>
      </w:r>
      <w:bookmarkEnd w:id="7"/>
      <w:bookmarkEnd w:id="8"/>
    </w:p>
    <w:p w14:paraId="6C8090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(一)负责与国际汽联和中汽摩联对接竞赛组织相关工作，承担国际汽联、中汽摩联赛事品牌和技术服务费用。</w:t>
      </w:r>
    </w:p>
    <w:p w14:paraId="1B3A0D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1．负责对接国际汽联、中汽摩联所有竞赛组织、赛事备案、技术审核、品牌授权、赛事合规督导等工作，全程专人对接、资料报送、赛事认证落地。</w:t>
      </w:r>
    </w:p>
    <w:p w14:paraId="1D2B1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2．负责国际汽联国际官员、技术团队、中汽摩联赛事督导、裁判、技术官员、赛事工作人员等相关劳务费用。劳务费用按照国际汽联、中汽摩联标准。</w:t>
      </w:r>
    </w:p>
    <w:p w14:paraId="197205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3．负责赛事品牌和赛事技术服务费用赛前足额支付到位，确保赛事授权有效、官方人员正常履职。</w:t>
      </w:r>
    </w:p>
    <w:p w14:paraId="464AE3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4．因费用未及时支付、对接不到位导致赛事暂停、取消，由中标单位承担全部损失及违约责任。</w:t>
      </w:r>
    </w:p>
    <w:p w14:paraId="420BA4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（二）负责中外车手招募、赛前培训相关工作。</w:t>
      </w:r>
    </w:p>
    <w:p w14:paraId="53B87C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1.负责协助国际汽联、中汽摩联完成国际车手、国内车手招募筛选，协助外籍车手办理国内赛事临时驾驶许可、参赛备案、入境赛事手续，组织赛前专项培训，承担全部培训及配套费用。</w:t>
      </w:r>
    </w:p>
    <w:p w14:paraId="6790E2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2.负责邀请国内新能源汽车和零部件企业组队参赛并提供比赛和保障车辆。</w:t>
      </w:r>
    </w:p>
    <w:p w14:paraId="3C5EAD2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3.负责国际汽联官员、中汽摩联专家、授课讲师及培训人员相关食宿费用，住宿酒店四星级及以上标准，餐标不低于200元/人/天。</w:t>
      </w:r>
    </w:p>
    <w:p w14:paraId="1724E8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4.负责培训期间车辆安排，保障授课专家、培训人员用车等相关费用。</w:t>
      </w:r>
    </w:p>
    <w:p w14:paraId="7DE696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5.负责培训班授课专家住宿费用、授课劳务费用，授课费用按照国际汽联标准。 </w:t>
      </w:r>
    </w:p>
    <w:p w14:paraId="122F8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（三）负责赛事规则编制、技术委员会组建、车辆技术管控服务。</w:t>
      </w:r>
    </w:p>
    <w:p w14:paraId="43CB19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依据国际汽联、中汽摩联标准，编制全套赛事竞赛技术规则文件，文件内容包含参赛车辆技术标准、赛事计时计分规则、赛事违规处罚细则、车手参赛资格审核规则、车辆维修区、封存区管理规则、车辆抽检、复检、违规判定管理办法等。</w:t>
      </w:r>
    </w:p>
    <w:p w14:paraId="61A88D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2.组建赛事技术委员会、配置车辆技术裁判、负责赛前车辆初检、赛中随机抽检、赛后复检、违规判定、技术争议等。</w:t>
      </w:r>
    </w:p>
    <w:p w14:paraId="1A49802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（四）负责赛道勘察、赛事团队配置、手册路书印刷、赛场设施布置。</w:t>
      </w:r>
    </w:p>
    <w:p w14:paraId="10C54B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1.按照国际汽联和中汽摩联要求组织赛前线路勘察，规划符合赛事要求具有生态保护、竞技性、观赏性、安全性的比赛路线。</w:t>
      </w:r>
    </w:p>
    <w:p w14:paraId="7BFDB58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2.根据竞赛要求配备竞赛管理团队、裁判团队、现场执行团队，赛事团队人员不少于50 人。依据《体育竞赛裁判员管理办法》由中汽摩联选派仲裁、裁判长、副裁判长和临场裁判。其中裁判长须国家级及以上裁判员担任。</w:t>
      </w:r>
    </w:p>
    <w:p w14:paraId="4F2B043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3印制《赛事竞赛手册》、《路书》等各项手册不少于100本。</w:t>
      </w:r>
    </w:p>
    <w:p w14:paraId="404DA7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4.标准化建设全套竞赛功能区域：赛道起点、终点打卡区、全自动计时点位、维修区标准化工位、车辆专用封存区、裁判工作区、车手休息区、赛事补给站、应急救援驻点位，分区清晰、标识规范、完全合规。</w:t>
      </w:r>
    </w:p>
    <w:p w14:paraId="7E1019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5．制作比赛竞赛相关物料，包含相关工作证件、赛道标识、功能区域标识、办公物品等。</w:t>
      </w:r>
    </w:p>
    <w:p w14:paraId="4ABDEE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（五）赛事安全、医疗、应急综合保障服务。</w:t>
      </w:r>
    </w:p>
    <w:p w14:paraId="738510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1.配合组委会、公安、交通、应急、卫健部门，搭建赛事安全保障体系，编制《赛事安全方案》、《赛道封闭管控方案》、《突发事件应急预案》、《医疗救援处置流程》等。</w:t>
      </w:r>
    </w:p>
    <w:p w14:paraId="52DA0D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2.配合落实赛道封闭、交通分流、人流管控、车辆管控、赛道隐患排查。</w:t>
      </w:r>
    </w:p>
    <w:p w14:paraId="123E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3.配合落实专业医疗救援团队、赛道车辆救援团队，赛段分段布设应急保障点位。</w:t>
      </w:r>
    </w:p>
    <w:p w14:paraId="75E7D8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4.配合实时巡查赛道安全、车辆安全、人员安全，配合处置赛事突发事故、险情、舆情等问题，做到快速响应、闭环处置。</w:t>
      </w:r>
    </w:p>
    <w:p w14:paraId="5A5D2B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（六）赛事指挥中心搭建、计时系统、成绩统计发布服务。</w:t>
      </w:r>
    </w:p>
    <w:p w14:paraId="4347E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1.搭建标准化赛事指挥中心，全域监控终端、音视频指挥系统、数据统计终端，实现赛道全域可视化调度。</w:t>
      </w:r>
    </w:p>
    <w:p w14:paraId="3824A7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2.每车安装专业车载计时定位系统，杜绝数据丢失、计时故障，同时支持实时赛段成绩、总成绩、自动排名，可实时生成官方成绩。</w:t>
      </w:r>
    </w:p>
    <w:p w14:paraId="71329F0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3.专人负责成绩统计、复核、校对、官方发布，确保数据零错误、零延误、零争议。</w:t>
      </w:r>
    </w:p>
    <w:p w14:paraId="3E0B54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（七）赛事相关活动安排</w:t>
      </w:r>
    </w:p>
    <w:p w14:paraId="53A999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负责组织2026年国际汽联生态拉力杯（中国站）开幕式漂移特技表演；邀请3-5名职业漂移车手（持有正规职业赛事参赛经验，为国内CDC、D1等主流飘移赛事获奖、年度排名顶尖车手）展演；表演时长6–8分钟；表演形式至少包含：多车编队漂移、阵型变换、同步特技、单车极限炫技组合呈现。</w:t>
      </w:r>
    </w:p>
    <w:p w14:paraId="2C7156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2.参演车辆车况良好、涂装整洁，符合赛事现场安全及视觉展示标准。</w:t>
      </w:r>
    </w:p>
    <w:p w14:paraId="131EB7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3.服从组委会统一彩排、走位、流程安排，配合完成开幕式整体录制及直播工作。</w:t>
      </w:r>
    </w:p>
    <w:p w14:paraId="1C7C1B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（八）官方配套重点活动</w:t>
      </w:r>
    </w:p>
    <w:p w14:paraId="603A42D8">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负责组织2026年国际汽联生态拉力杯（中国站）官方配套重点活动，采用“实体拉力+虚拟竞速”虚实联动创新赛制，虚拟赛道，面向全球招募参赛选手，实现职业拉力车手与海内外顶尖模拟赛车选手跨界同场交流竞技，打造特色体育文旅赛事IP。</w:t>
      </w:r>
    </w:p>
    <w:p w14:paraId="36234903">
      <w:pPr>
        <w:numPr>
          <w:ilvl w:val="255"/>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2.本次招募面向国内外模拟赛车顶尖选手、电竞竞速爱好者，同时负责邀请本次参赛的国内外职业汽车拉力车手参与展演、交流及跨界对抗赛，实现专业车手与大众电竞选手同台互动、同台比拼。</w:t>
      </w:r>
    </w:p>
    <w:p w14:paraId="02B4CB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3.负责赛事全程搭建专业动态模拟赛车竞技舞台，配备专业解说、实时直播、大屏展示，全方位呈现竞速风采。</w:t>
      </w:r>
    </w:p>
    <w:p w14:paraId="6CE3B4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（九）负责赛事各类保险购买。</w:t>
      </w:r>
    </w:p>
    <w:p w14:paraId="769ADC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负责购买赛事所有保险，赛前10个工作日提交全部保单给组委会核验，保险种类包含但不限于赛事组织责任险、全体裁判员、工作人员、志愿者、参赛车手意外伤害险，保险保额满足国际级大型赛事安全要求。</w:t>
      </w:r>
    </w:p>
    <w:p w14:paraId="2E0D2A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（十）赛事报名及信息管理服务。</w:t>
      </w:r>
    </w:p>
    <w:p w14:paraId="4A1135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1.配合组委会完成报名工作，协助审核车手、车队参赛资质。</w:t>
      </w:r>
    </w:p>
    <w:p w14:paraId="11316D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2.赛事报名费由组委会统一收取。</w:t>
      </w:r>
    </w:p>
    <w:p w14:paraId="3031F2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3.统计报名数据、参赛车辆信息、人员信息等相关信息，及时上报组委会。</w:t>
      </w:r>
    </w:p>
    <w:p w14:paraId="0739A35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4.配合发布赛事通知、成绩公告、处罚公示，保证赛事信息统一、准确。</w:t>
      </w:r>
    </w:p>
    <w:p w14:paraId="493BE4F2">
      <w:pPr>
        <w:spacing w:line="360" w:lineRule="auto"/>
        <w:ind w:left="437"/>
        <w:outlineLvl w:val="1"/>
        <w:rPr>
          <w:rFonts w:hint="eastAsia" w:ascii="宋体" w:hAnsi="宋体" w:eastAsia="宋体"/>
          <w:b/>
          <w:sz w:val="24"/>
          <w:szCs w:val="24"/>
        </w:rPr>
      </w:pPr>
      <w:bookmarkStart w:id="9" w:name="_Toc20717"/>
      <w:bookmarkStart w:id="10" w:name="_Toc16414"/>
      <w:r>
        <w:rPr>
          <w:rFonts w:hint="eastAsia" w:ascii="宋体" w:hAnsi="宋体" w:eastAsia="宋体"/>
          <w:b/>
          <w:sz w:val="24"/>
          <w:szCs w:val="18"/>
        </w:rPr>
        <w:br w:type="textWrapping"/>
      </w:r>
      <w:r>
        <w:rPr>
          <w:rFonts w:hint="eastAsia" w:ascii="宋体" w:hAnsi="宋体" w:eastAsia="宋体"/>
          <w:b/>
          <w:sz w:val="24"/>
          <w:szCs w:val="24"/>
        </w:rPr>
        <w:t>四、报价要求</w:t>
      </w:r>
      <w:bookmarkEnd w:id="9"/>
      <w:bookmarkEnd w:id="10"/>
    </w:p>
    <w:p w14:paraId="19CAF56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本项目报总价，报价包含为完成本项目所需一切费用，</w:t>
      </w:r>
      <w:r>
        <w:rPr>
          <w:rFonts w:hint="eastAsia" w:ascii="Times New Roman" w:hAnsi="Times New Roman" w:eastAsia="宋体" w:cs="Times New Roman"/>
          <w:bCs/>
          <w:sz w:val="24"/>
          <w:szCs w:val="24"/>
        </w:rPr>
        <w:t>包含：赛事品牌和赛事技术服务费用、官员劳务、团队人员劳务、培训食宿交通、专家授课费、赛道勘察费、所有竞赛物料制作费、竞赛器材设备使用费、保险费、办公耗材、资料印刷、赛事表演、配套活动等竞赛组织所有费用。</w:t>
      </w:r>
      <w:r>
        <w:rPr>
          <w:rFonts w:ascii="Times New Roman" w:hAnsi="Times New Roman" w:eastAsia="宋体" w:cs="Times New Roman"/>
          <w:bCs/>
          <w:sz w:val="24"/>
          <w:szCs w:val="24"/>
        </w:rPr>
        <w:t>采购人后期不再追加任何费用。</w:t>
      </w:r>
      <w:r>
        <w:rPr>
          <w:rFonts w:hint="eastAsia" w:ascii="Times New Roman" w:hAnsi="Times New Roman" w:eastAsia="宋体" w:cs="Times New Roman"/>
          <w:bCs/>
          <w:sz w:val="24"/>
          <w:szCs w:val="24"/>
        </w:rPr>
        <w:t>投标人</w:t>
      </w:r>
      <w:r>
        <w:rPr>
          <w:rFonts w:ascii="Times New Roman" w:hAnsi="Times New Roman" w:eastAsia="宋体" w:cs="Times New Roman"/>
          <w:bCs/>
          <w:sz w:val="24"/>
          <w:szCs w:val="24"/>
        </w:rPr>
        <w:t>自行考虑税收费用及保险，</w:t>
      </w:r>
      <w:r>
        <w:rPr>
          <w:rFonts w:hint="eastAsia" w:ascii="Times New Roman" w:hAnsi="Times New Roman" w:eastAsia="宋体" w:cs="Times New Roman"/>
          <w:bCs/>
          <w:sz w:val="24"/>
          <w:szCs w:val="24"/>
        </w:rPr>
        <w:t>中标</w:t>
      </w:r>
      <w:r>
        <w:rPr>
          <w:rFonts w:ascii="Times New Roman" w:hAnsi="Times New Roman" w:eastAsia="宋体" w:cs="Times New Roman"/>
          <w:bCs/>
          <w:sz w:val="24"/>
          <w:szCs w:val="24"/>
        </w:rPr>
        <w:t>后须按国家相关规定缴纳税金并按采购人要求提供发票，费用含在本次总价中，</w:t>
      </w:r>
      <w:r>
        <w:rPr>
          <w:rFonts w:hint="eastAsia" w:ascii="Times New Roman" w:hAnsi="Times New Roman" w:eastAsia="宋体" w:cs="Times New Roman"/>
          <w:bCs/>
          <w:sz w:val="24"/>
          <w:szCs w:val="24"/>
        </w:rPr>
        <w:t>费用</w:t>
      </w:r>
      <w:r>
        <w:rPr>
          <w:rFonts w:ascii="Times New Roman" w:hAnsi="Times New Roman" w:eastAsia="宋体" w:cs="Times New Roman"/>
          <w:bCs/>
          <w:sz w:val="24"/>
          <w:szCs w:val="24"/>
        </w:rPr>
        <w:t>不作调整。</w:t>
      </w:r>
    </w:p>
    <w:p w14:paraId="1A362473">
      <w:pPr>
        <w:pStyle w:val="2"/>
        <w:ind w:left="437"/>
        <w:rPr>
          <w:rFonts w:hint="eastAsia"/>
          <w:sz w:val="24"/>
        </w:rPr>
      </w:pPr>
    </w:p>
    <w:p w14:paraId="2A211F0E">
      <w:pPr>
        <w:spacing w:line="360" w:lineRule="auto"/>
        <w:ind w:firstLine="437"/>
        <w:outlineLvl w:val="1"/>
        <w:rPr>
          <w:rFonts w:hint="eastAsia" w:ascii="宋体" w:hAnsi="宋体" w:eastAsia="宋体"/>
          <w:b/>
          <w:sz w:val="24"/>
          <w:szCs w:val="24"/>
        </w:rPr>
      </w:pPr>
      <w:bookmarkStart w:id="11" w:name="_Toc18794"/>
      <w:bookmarkStart w:id="12" w:name="_Toc8283"/>
      <w:r>
        <w:rPr>
          <w:rFonts w:hint="eastAsia" w:ascii="宋体" w:hAnsi="宋体" w:eastAsia="宋体"/>
          <w:b/>
          <w:sz w:val="24"/>
          <w:szCs w:val="24"/>
        </w:rPr>
        <w:t>五、其他要求</w:t>
      </w:r>
      <w:bookmarkEnd w:id="11"/>
      <w:bookmarkEnd w:id="12"/>
    </w:p>
    <w:bookmarkEnd w:id="3"/>
    <w:bookmarkEnd w:id="5"/>
    <w:p w14:paraId="53B1164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本项目中标人须具有组织或承办活动能力，应当取得服务许可，禁止未经许可或超越许可范围开展服务活动。如因此导致采购人损失的，投标人须承担全部赔偿责任。</w:t>
      </w:r>
    </w:p>
    <w:p w14:paraId="4BB18D5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本次比赛无形资产开发权属于采购单位，中标人或承办单位进行无形资产开发应提前与采购单位协商。</w:t>
      </w:r>
    </w:p>
    <w:p w14:paraId="0ADDF3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538B5"/>
    <w:rsid w:val="34BE0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amp;L"/>
    <w:basedOn w:val="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3314</Words>
  <Characters>3386</Characters>
  <Lines>0</Lines>
  <Paragraphs>0</Paragraphs>
  <TotalTime>0</TotalTime>
  <ScaleCrop>false</ScaleCrop>
  <LinksUpToDate>false</LinksUpToDate>
  <CharactersWithSpaces>3389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2026-07-14T01:54:00Z</dcterms:created>
  <dc:creator>Lenovo</dc:creator>
  <cp:lastModifiedBy>xmy</cp:lastModifiedBy>
  <dcterms:modified xsi:type="dcterms:W3CDTF">2026-07-14T06:46:57Z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04247A87414F4635B88157BC98A28D5A_13</vt:lpwstr>
  </property>
</Properties>
</file>