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EB64">
      <w:pPr>
        <w:pStyle w:val="2"/>
        <w:widowControl/>
        <w:snapToGrid w:val="0"/>
        <w:spacing w:before="0" w:after="0" w:line="360" w:lineRule="auto"/>
        <w:jc w:val="center"/>
        <w:rPr>
          <w:rFonts w:hint="eastAsia" w:ascii="宋体" w:hAnsi="宋体"/>
          <w:color w:val="000000"/>
          <w:highlight w:val="none"/>
        </w:rPr>
      </w:pPr>
      <w:bookmarkStart w:id="0" w:name="_Toc29702"/>
      <w:r>
        <w:rPr>
          <w:rFonts w:hint="eastAsia" w:ascii="宋体" w:hAnsi="宋体"/>
          <w:color w:val="000000"/>
          <w:highlight w:val="none"/>
        </w:rPr>
        <w:t>第三章  采购需求及技术规格要求</w:t>
      </w:r>
      <w:bookmarkEnd w:id="0"/>
    </w:p>
    <w:p w14:paraId="6C4078F3">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302EB696">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41721B66">
      <w:pPr>
        <w:pStyle w:val="11"/>
        <w:keepNext w:val="0"/>
        <w:keepLines w:val="0"/>
        <w:pageBreakBefore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0D12A593">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04EF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14C5E70">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37DBF916">
            <w:pPr>
              <w:keepNext w:val="0"/>
              <w:keepLines w:val="0"/>
              <w:pageBreakBefore w:val="0"/>
              <w:kinsoku/>
              <w:wordWrap w:val="0"/>
              <w:overflowPunct/>
              <w:topLinePunct w:val="0"/>
              <w:autoSpaceDE/>
              <w:autoSpaceDN/>
              <w:bidi w:val="0"/>
              <w:adjustRightInd/>
              <w:snapToGrid/>
              <w:spacing w:beforeAutospacing="0" w:afterAutospacing="0" w:line="360" w:lineRule="auto"/>
              <w:ind w:firstLine="2891" w:firstLineChars="1200"/>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7C1D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690ED08">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30BC5162">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5F79E897">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2893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0E14C2C6">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52FBEF38">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0BA50CC3">
            <w:pPr>
              <w:pStyle w:val="12"/>
              <w:keepNext w:val="0"/>
              <w:keepLines w:val="0"/>
              <w:pageBreakBefore w:val="0"/>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75B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04A2DA0">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7712D771">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563A1A73">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7B8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1011" w:type="dxa"/>
            <w:noWrap w:val="0"/>
            <w:vAlign w:val="center"/>
          </w:tcPr>
          <w:p w14:paraId="67E5BDF5">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cs="仿宋"/>
                <w:b/>
                <w:bCs/>
                <w:color w:val="auto"/>
                <w:highlight w:val="none"/>
              </w:rPr>
            </w:pPr>
            <w:r>
              <w:rPr>
                <w:rFonts w:hint="eastAsia"/>
                <w:highlight w:val="none"/>
              </w:rPr>
              <w:t>4</w:t>
            </w:r>
          </w:p>
        </w:tc>
        <w:tc>
          <w:tcPr>
            <w:tcW w:w="8745" w:type="dxa"/>
            <w:gridSpan w:val="2"/>
            <w:noWrap w:val="0"/>
            <w:vAlign w:val="center"/>
          </w:tcPr>
          <w:p w14:paraId="765AA428">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1BC0C667">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5E9D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011" w:type="dxa"/>
            <w:noWrap w:val="0"/>
            <w:vAlign w:val="center"/>
          </w:tcPr>
          <w:p w14:paraId="48CCFDF2">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5</w:t>
            </w:r>
          </w:p>
        </w:tc>
        <w:tc>
          <w:tcPr>
            <w:tcW w:w="8745" w:type="dxa"/>
            <w:gridSpan w:val="2"/>
            <w:noWrap w:val="0"/>
            <w:vAlign w:val="center"/>
          </w:tcPr>
          <w:p w14:paraId="15A9DED2">
            <w:p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配置要求：</w:t>
            </w:r>
          </w:p>
          <w:p w14:paraId="3F84F260">
            <w:p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1、4K超高清影像系统一套（含4K影像、光源、显示器）、3CMOS 摄像头一根；</w:t>
            </w:r>
          </w:p>
          <w:p w14:paraId="3E1A41A3">
            <w:p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2、30º肩膝关节镜镜头一根、70º髋关节镜镜头一根，踝关节镜1根；（备注：以上关节镜均需配置配套镜鞘）</w:t>
            </w:r>
          </w:p>
          <w:p w14:paraId="6A398147">
            <w:pPr>
              <w:numPr>
                <w:ilvl w:val="0"/>
                <w:numId w:val="1"/>
              </w:num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电子光纤（导光束）2根；</w:t>
            </w:r>
          </w:p>
          <w:p w14:paraId="79D5C7BD">
            <w:pPr>
              <w:numPr>
                <w:ilvl w:val="0"/>
                <w:numId w:val="1"/>
              </w:num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同品牌图文工作站1套；</w:t>
            </w:r>
          </w:p>
          <w:p w14:paraId="3C334D24">
            <w:pPr>
              <w:numPr>
                <w:ilvl w:val="0"/>
                <w:numId w:val="1"/>
              </w:num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动力系统一套（包含主机1台、刨削手柄1根）；</w:t>
            </w:r>
          </w:p>
          <w:p w14:paraId="204B4C8A">
            <w:pPr>
              <w:numPr>
                <w:ilvl w:val="0"/>
                <w:numId w:val="1"/>
              </w:numPr>
              <w:spacing w:line="360" w:lineRule="auto"/>
              <w:rPr>
                <w:rFonts w:hint="eastAsia" w:ascii="仿宋" w:hAnsi="仿宋" w:eastAsia="仿宋" w:cs="仿宋"/>
                <w:b/>
                <w:bCs/>
                <w:sz w:val="24"/>
                <w:highlight w:val="none"/>
                <w:lang w:eastAsia="zh-Hans"/>
              </w:rPr>
            </w:pPr>
            <w:r>
              <w:rPr>
                <w:rFonts w:hint="eastAsia" w:ascii="仿宋" w:hAnsi="仿宋" w:eastAsia="仿宋" w:cs="仿宋"/>
                <w:b/>
                <w:bCs/>
                <w:sz w:val="24"/>
                <w:highlight w:val="none"/>
                <w:lang w:eastAsia="zh-Hans"/>
              </w:rPr>
              <w:t>髋关节镜手术器械一批；</w:t>
            </w:r>
          </w:p>
          <w:p w14:paraId="7F9A97B9">
            <w:pPr>
              <w:numPr>
                <w:ilvl w:val="0"/>
                <w:numId w:val="1"/>
              </w:numPr>
              <w:rPr>
                <w:rFonts w:ascii="仿宋" w:hAnsi="仿宋" w:eastAsia="仿宋" w:cs="仿宋"/>
                <w:b/>
                <w:bCs/>
                <w:highlight w:val="none"/>
              </w:rPr>
            </w:pPr>
            <w:r>
              <w:rPr>
                <w:rFonts w:hint="eastAsia" w:ascii="仿宋" w:hAnsi="仿宋" w:eastAsia="仿宋" w:cs="仿宋"/>
                <w:b/>
                <w:bCs/>
                <w:sz w:val="24"/>
                <w:highlight w:val="none"/>
                <w:lang w:eastAsia="zh-Hans"/>
              </w:rPr>
              <w:t>配套专用台车1台。</w:t>
            </w:r>
          </w:p>
        </w:tc>
      </w:tr>
    </w:tbl>
    <w:p w14:paraId="7B26CA9E">
      <w:pPr>
        <w:spacing w:line="360" w:lineRule="auto"/>
        <w:rPr>
          <w:rFonts w:hint="eastAsia" w:ascii="仿宋" w:hAnsi="仿宋" w:eastAsia="仿宋" w:cs="仿宋"/>
          <w:b/>
          <w:color w:val="000000"/>
          <w:sz w:val="24"/>
          <w:highlight w:val="none"/>
        </w:rPr>
      </w:pPr>
    </w:p>
    <w:p w14:paraId="20B98630">
      <w:pPr>
        <w:spacing w:line="360" w:lineRule="auto"/>
        <w:rPr>
          <w:rFonts w:hint="eastAsia" w:ascii="仿宋" w:hAnsi="仿宋" w:eastAsia="仿宋" w:cs="仿宋"/>
          <w:b/>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0D2D275">
      <w:pPr>
        <w:pStyle w:val="5"/>
        <w:ind w:left="0" w:leftChars="0" w:firstLine="0" w:firstLineChars="0"/>
        <w:rPr>
          <w:rFonts w:hint="eastAsia" w:ascii="仿宋" w:hAnsi="仿宋" w:eastAsia="仿宋" w:cs="仿宋"/>
          <w:b/>
          <w:sz w:val="24"/>
          <w:highlight w:val="none"/>
        </w:rPr>
      </w:pPr>
    </w:p>
    <w:p w14:paraId="7476D915">
      <w:pPr>
        <w:pStyle w:val="5"/>
        <w:rPr>
          <w:rFonts w:hint="eastAsia" w:ascii="仿宋" w:hAnsi="仿宋" w:eastAsia="仿宋" w:cs="仿宋"/>
          <w:b/>
          <w:sz w:val="24"/>
          <w:highlight w:val="none"/>
        </w:rPr>
      </w:pPr>
    </w:p>
    <w:p w14:paraId="0E9FC734">
      <w:pPr>
        <w:pStyle w:val="4"/>
        <w:numPr>
          <w:ilvl w:val="0"/>
          <w:numId w:val="2"/>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5293D233">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330B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20BAA87">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23EC33C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797D928">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66C5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97A21ED">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74D67EF4">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4C6CF743">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219C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3C4765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2D401A5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14041A7F">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1AD8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DE8C8E7">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73E4122">
      <w:pPr>
        <w:numPr>
          <w:ilvl w:val="0"/>
          <w:numId w:val="3"/>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26A696BB">
      <w:pPr>
        <w:spacing w:line="360" w:lineRule="auto"/>
        <w:rPr>
          <w:rFonts w:hint="eastAsia" w:ascii="仿宋" w:hAnsi="仿宋" w:eastAsia="仿宋" w:cs="仿宋"/>
          <w:b/>
          <w:bCs/>
          <w:sz w:val="24"/>
          <w:highlight w:val="none"/>
        </w:rPr>
      </w:pPr>
      <w:r>
        <w:rPr>
          <w:rFonts w:hint="eastAsia" w:ascii="仿宋" w:hAnsi="仿宋" w:eastAsia="仿宋" w:cs="仿宋"/>
          <w:bCs/>
          <w:color w:val="000000"/>
          <w:sz w:val="24"/>
          <w:highlight w:val="none"/>
        </w:rPr>
        <w:t>★</w:t>
      </w:r>
      <w:r>
        <w:rPr>
          <w:rFonts w:hint="eastAsia" w:ascii="仿宋" w:hAnsi="仿宋" w:eastAsia="仿宋" w:cs="仿宋"/>
          <w:b/>
          <w:bCs/>
          <w:sz w:val="24"/>
          <w:highlight w:val="none"/>
          <w:lang w:eastAsia="zh-Hans"/>
        </w:rPr>
        <w:t>整体要求：</w:t>
      </w:r>
      <w:r>
        <w:rPr>
          <w:rFonts w:hint="eastAsia" w:ascii="仿宋" w:hAnsi="仿宋" w:eastAsia="仿宋" w:cs="仿宋"/>
          <w:b/>
          <w:bCs/>
          <w:sz w:val="24"/>
          <w:highlight w:val="none"/>
        </w:rPr>
        <w:t>同品牌摄像系统、显示器、镜子（</w:t>
      </w:r>
      <w:r>
        <w:rPr>
          <w:rFonts w:hint="eastAsia" w:ascii="仿宋" w:hAnsi="仿宋" w:eastAsia="仿宋" w:cs="仿宋"/>
          <w:b/>
          <w:bCs/>
          <w:sz w:val="24"/>
          <w:highlight w:val="none"/>
          <w:lang w:eastAsia="zh-Hans"/>
        </w:rPr>
        <w:t>肩膝关节镜</w:t>
      </w:r>
      <w:r>
        <w:rPr>
          <w:rFonts w:hint="eastAsia" w:ascii="仿宋" w:hAnsi="仿宋" w:eastAsia="仿宋" w:cs="仿宋"/>
          <w:b/>
          <w:bCs/>
          <w:sz w:val="24"/>
          <w:highlight w:val="none"/>
        </w:rPr>
        <w:t>、</w:t>
      </w:r>
      <w:r>
        <w:rPr>
          <w:rFonts w:hint="eastAsia" w:ascii="仿宋" w:hAnsi="仿宋" w:eastAsia="仿宋" w:cs="仿宋"/>
          <w:b/>
          <w:bCs/>
          <w:sz w:val="24"/>
          <w:highlight w:val="none"/>
          <w:lang w:eastAsia="zh-Hans"/>
        </w:rPr>
        <w:t>髋关节镜</w:t>
      </w:r>
      <w:r>
        <w:rPr>
          <w:rFonts w:hint="eastAsia" w:ascii="仿宋" w:hAnsi="仿宋" w:eastAsia="仿宋" w:cs="仿宋"/>
          <w:b/>
          <w:bCs/>
          <w:sz w:val="24"/>
          <w:highlight w:val="none"/>
        </w:rPr>
        <w:t>、踝关节镜）、动力刨削系统和手术器械等,非贴牌或代工等。</w:t>
      </w:r>
    </w:p>
    <w:p w14:paraId="6553BC6A">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1、同品牌4K摄像、光源、显示器1套</w:t>
      </w:r>
    </w:p>
    <w:p w14:paraId="3214D7CB">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1.1、符合I 类 CF 型应用</w:t>
      </w:r>
      <w:r>
        <w:rPr>
          <w:rFonts w:hint="eastAsia" w:ascii="仿宋" w:hAnsi="仿宋" w:eastAsia="仿宋" w:cs="仿宋"/>
          <w:color w:val="000000"/>
          <w:sz w:val="24"/>
          <w:highlight w:val="none"/>
          <w:lang w:eastAsia="zh-CN"/>
        </w:rPr>
        <w:t>。</w:t>
      </w:r>
    </w:p>
    <w:p w14:paraId="5CD6D737">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1.2、显示器分辨率：≥4,096 x 2,160，10-bit 全色深显示</w:t>
      </w:r>
      <w:r>
        <w:rPr>
          <w:rFonts w:hint="eastAsia" w:ascii="仿宋" w:hAnsi="仿宋" w:eastAsia="仿宋" w:cs="仿宋"/>
          <w:color w:val="000000"/>
          <w:sz w:val="24"/>
          <w:highlight w:val="none"/>
          <w:lang w:eastAsia="zh-CN"/>
        </w:rPr>
        <w:t>。</w:t>
      </w:r>
    </w:p>
    <w:p w14:paraId="630A1573">
      <w:pPr>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★1.3、具有中文界面</w:t>
      </w:r>
    </w:p>
    <w:p w14:paraId="5AAD680D">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 xml:space="preserve">1.4、显示器尺寸：≥32英寸 </w:t>
      </w:r>
      <w:r>
        <w:rPr>
          <w:rFonts w:hint="eastAsia" w:ascii="仿宋" w:hAnsi="仿宋" w:eastAsia="仿宋" w:cs="仿宋"/>
          <w:color w:val="000000"/>
          <w:sz w:val="24"/>
          <w:highlight w:val="none"/>
          <w:lang w:eastAsia="zh-CN"/>
        </w:rPr>
        <w:t>。</w:t>
      </w:r>
    </w:p>
    <w:p w14:paraId="6C985E12">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1.5、视频输出端口：</w:t>
      </w:r>
    </w:p>
    <w:p w14:paraId="07F448C0">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1.5.1、4K/UHD输出端口：支持3840*2160p信号输出</w:t>
      </w:r>
      <w:r>
        <w:rPr>
          <w:rFonts w:hint="eastAsia" w:ascii="仿宋" w:hAnsi="仿宋" w:eastAsia="仿宋" w:cs="仿宋"/>
          <w:color w:val="000000"/>
          <w:sz w:val="24"/>
          <w:highlight w:val="none"/>
          <w:lang w:eastAsia="zh-CN"/>
        </w:rPr>
        <w:t>。</w:t>
      </w:r>
    </w:p>
    <w:p w14:paraId="02D46D89">
      <w:pPr>
        <w:pStyle w:val="13"/>
        <w:spacing w:line="360" w:lineRule="auto"/>
        <w:ind w:firstLine="0" w:firstLineChars="0"/>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1.5.2 4K/UHD输出端口：12G-SDI接口，支持3840*2160p信号输出</w:t>
      </w:r>
      <w:r>
        <w:rPr>
          <w:rFonts w:hint="eastAsia" w:ascii="仿宋" w:hAnsi="仿宋" w:eastAsia="仿宋" w:cs="仿宋"/>
          <w:color w:val="000000"/>
          <w:sz w:val="24"/>
          <w:highlight w:val="none"/>
          <w:lang w:eastAsia="zh-CN"/>
        </w:rPr>
        <w:t>。</w:t>
      </w:r>
    </w:p>
    <w:p w14:paraId="267B426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1.5.3、高清信号输出：HDMI接口，支持1920*1080P信号输出</w:t>
      </w:r>
      <w:r>
        <w:rPr>
          <w:rFonts w:hint="eastAsia" w:ascii="仿宋" w:hAnsi="仿宋" w:eastAsia="仿宋" w:cs="仿宋"/>
          <w:color w:val="000000"/>
          <w:sz w:val="24"/>
          <w:highlight w:val="none"/>
          <w:lang w:eastAsia="zh-CN"/>
        </w:rPr>
        <w:t>。</w:t>
      </w:r>
    </w:p>
    <w:p w14:paraId="49EFA7B2">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1.5.4、高清信号输出：3G-SDI接口，支持1920*1080P信号输出</w:t>
      </w:r>
      <w:r>
        <w:rPr>
          <w:rFonts w:hint="eastAsia" w:ascii="仿宋" w:hAnsi="仿宋" w:eastAsia="仿宋" w:cs="仿宋"/>
          <w:color w:val="000000"/>
          <w:sz w:val="24"/>
          <w:highlight w:val="none"/>
          <w:lang w:eastAsia="zh-CN"/>
        </w:rPr>
        <w:t>。</w:t>
      </w:r>
    </w:p>
    <w:p w14:paraId="16E973CD">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1.6、显示器按键可以设置影像系统语言、亮度、颜色、图像缩放、锐利度、配置内窥镜尺寸对应参数、峰均比、光敏感度、光源待机、白平衡、摄像头按键功能、预设手术模式选择、用户参数自定义设置和选择</w:t>
      </w:r>
      <w:r>
        <w:rPr>
          <w:rFonts w:hint="eastAsia" w:ascii="仿宋" w:hAnsi="仿宋" w:eastAsia="仿宋" w:cs="仿宋"/>
          <w:color w:val="000000"/>
          <w:sz w:val="24"/>
          <w:highlight w:val="none"/>
          <w:lang w:eastAsia="zh-CN"/>
        </w:rPr>
        <w:t>。</w:t>
      </w:r>
    </w:p>
    <w:p w14:paraId="29F563A3">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1.7、具备峰均比调节功能，可以根据不同部位手术显示需求设置画面色彩动态平衡</w:t>
      </w:r>
      <w:r>
        <w:rPr>
          <w:rFonts w:hint="eastAsia" w:ascii="仿宋" w:hAnsi="仿宋" w:eastAsia="仿宋" w:cs="仿宋"/>
          <w:color w:val="000000"/>
          <w:sz w:val="24"/>
          <w:highlight w:val="none"/>
          <w:lang w:eastAsia="zh-CN"/>
        </w:rPr>
        <w:t>。</w:t>
      </w:r>
    </w:p>
    <w:p w14:paraId="5CA282DA">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b/>
          <w:bCs/>
          <w:color w:val="000000"/>
          <w:sz w:val="24"/>
          <w:highlight w:val="none"/>
        </w:rPr>
        <w:t>2、3CMOS摄像头1个</w:t>
      </w:r>
    </w:p>
    <w:p w14:paraId="2A3BF183">
      <w:pPr>
        <w:spacing w:line="360" w:lineRule="auto"/>
        <w:jc w:val="left"/>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★2.1、图像传感器类型：3 个 1/3 英寸CMOS 传感器</w:t>
      </w:r>
      <w:r>
        <w:rPr>
          <w:rFonts w:hint="eastAsia" w:ascii="仿宋" w:hAnsi="仿宋" w:eastAsia="仿宋" w:cs="仿宋"/>
          <w:b/>
          <w:color w:val="000000"/>
          <w:sz w:val="24"/>
          <w:highlight w:val="none"/>
          <w:lang w:eastAsia="zh-CN"/>
        </w:rPr>
        <w:t>。</w:t>
      </w:r>
    </w:p>
    <w:p w14:paraId="33F97404">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2.2、摄像头功能按键≥5个</w:t>
      </w:r>
      <w:r>
        <w:rPr>
          <w:rFonts w:hint="eastAsia" w:ascii="仿宋" w:hAnsi="仿宋" w:eastAsia="仿宋" w:cs="仿宋"/>
          <w:color w:val="000000"/>
          <w:sz w:val="24"/>
          <w:highlight w:val="none"/>
          <w:lang w:eastAsia="zh-CN"/>
        </w:rPr>
        <w:t>。</w:t>
      </w:r>
    </w:p>
    <w:p w14:paraId="2A4207F4">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2.3、摄像头按键有单击、双击和长按三种模式选择</w:t>
      </w:r>
      <w:r>
        <w:rPr>
          <w:rFonts w:hint="eastAsia" w:ascii="仿宋" w:hAnsi="仿宋" w:eastAsia="仿宋" w:cs="仿宋"/>
          <w:color w:val="000000"/>
          <w:sz w:val="24"/>
          <w:highlight w:val="none"/>
          <w:lang w:eastAsia="zh-CN"/>
        </w:rPr>
        <w:t>。</w:t>
      </w:r>
    </w:p>
    <w:p w14:paraId="2ED54F64">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2.4、摄像头按键可设置≥7种快捷操作，也可以选择关闭按键功能</w:t>
      </w:r>
      <w:r>
        <w:rPr>
          <w:rFonts w:hint="eastAsia" w:ascii="仿宋" w:hAnsi="仿宋" w:eastAsia="仿宋" w:cs="仿宋"/>
          <w:color w:val="000000"/>
          <w:sz w:val="24"/>
          <w:highlight w:val="none"/>
          <w:lang w:eastAsia="zh-CN"/>
        </w:rPr>
        <w:t>。</w:t>
      </w:r>
    </w:p>
    <w:p w14:paraId="4693CD38">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2.5、具备一键显示全部按键设置功能，默认预设功能包括亮度、图像缩放、光源待机、预设手术模式选择、录像、拍照、白平衡和关闭/打开按键功能（用户可自定义设置按键功能）</w:t>
      </w:r>
      <w:r>
        <w:rPr>
          <w:rFonts w:hint="eastAsia" w:ascii="仿宋" w:hAnsi="仿宋" w:eastAsia="仿宋" w:cs="仿宋"/>
          <w:color w:val="000000"/>
          <w:sz w:val="24"/>
          <w:highlight w:val="none"/>
          <w:lang w:eastAsia="zh-CN"/>
        </w:rPr>
        <w:t>。</w:t>
      </w:r>
    </w:p>
    <w:p w14:paraId="06870264">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2.6、具备一键显示菜单并自定义功能，默认预设功能包括亮度、图像缩放、光源待机、预设手术模式选择、录像、拍照、白平衡和关闭/打开按键功能（用户可自定义设置按键功能）</w:t>
      </w:r>
      <w:r>
        <w:rPr>
          <w:rFonts w:hint="eastAsia" w:ascii="仿宋" w:hAnsi="仿宋" w:eastAsia="仿宋" w:cs="仿宋"/>
          <w:color w:val="000000"/>
          <w:sz w:val="24"/>
          <w:highlight w:val="none"/>
          <w:lang w:eastAsia="zh-CN"/>
        </w:rPr>
        <w:t>。</w:t>
      </w:r>
    </w:p>
    <w:p w14:paraId="63E9DAFD">
      <w:pPr>
        <w:spacing w:line="360" w:lineRule="auto"/>
        <w:jc w:val="left"/>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★2.7、摄像头支持永久高温高压灭菌</w:t>
      </w:r>
      <w:r>
        <w:rPr>
          <w:rFonts w:hint="eastAsia" w:ascii="仿宋" w:hAnsi="仿宋" w:eastAsia="仿宋" w:cs="仿宋"/>
          <w:b/>
          <w:color w:val="000000"/>
          <w:sz w:val="24"/>
          <w:highlight w:val="none"/>
          <w:lang w:eastAsia="zh-CN"/>
        </w:rPr>
        <w:t>。</w:t>
      </w:r>
    </w:p>
    <w:p w14:paraId="27209CE5">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2.8、摄像头重量≤1.35磅</w:t>
      </w:r>
      <w:r>
        <w:rPr>
          <w:rFonts w:hint="eastAsia" w:ascii="仿宋" w:hAnsi="仿宋" w:eastAsia="仿宋" w:cs="仿宋"/>
          <w:color w:val="000000"/>
          <w:sz w:val="24"/>
          <w:highlight w:val="none"/>
          <w:lang w:eastAsia="zh-CN"/>
        </w:rPr>
        <w:t>。</w:t>
      </w:r>
    </w:p>
    <w:p w14:paraId="06278F92">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2.9、摄像头具备镜管锁定功能，可以根据用户偏好轻轻转动耦合器，以达到所需的摩擦水平</w:t>
      </w:r>
      <w:r>
        <w:rPr>
          <w:rFonts w:hint="eastAsia" w:ascii="仿宋" w:hAnsi="仿宋" w:eastAsia="仿宋" w:cs="仿宋"/>
          <w:color w:val="000000"/>
          <w:sz w:val="24"/>
          <w:highlight w:val="none"/>
          <w:lang w:eastAsia="zh-CN"/>
        </w:rPr>
        <w:t>。</w:t>
      </w:r>
    </w:p>
    <w:p w14:paraId="1506CFF9">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2.10、≥IPX7高级别防水性能</w:t>
      </w:r>
      <w:r>
        <w:rPr>
          <w:rFonts w:hint="eastAsia" w:ascii="仿宋" w:hAnsi="仿宋" w:eastAsia="仿宋" w:cs="仿宋"/>
          <w:color w:val="000000"/>
          <w:sz w:val="24"/>
          <w:highlight w:val="none"/>
          <w:lang w:eastAsia="zh-CN"/>
        </w:rPr>
        <w:t>。</w:t>
      </w:r>
    </w:p>
    <w:p w14:paraId="0CC5388C">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2.11、摄像头支持自动清洗机或消毒机清洗</w:t>
      </w:r>
      <w:r>
        <w:rPr>
          <w:rFonts w:hint="eastAsia" w:ascii="仿宋" w:hAnsi="仿宋" w:eastAsia="仿宋" w:cs="仿宋"/>
          <w:color w:val="000000"/>
          <w:sz w:val="24"/>
          <w:highlight w:val="none"/>
          <w:lang w:eastAsia="zh-CN"/>
        </w:rPr>
        <w:t>。</w:t>
      </w:r>
    </w:p>
    <w:p w14:paraId="6790A945">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2.12、摄像头防震抗摔</w:t>
      </w:r>
      <w:r>
        <w:rPr>
          <w:rFonts w:hint="eastAsia" w:ascii="仿宋" w:hAnsi="仿宋" w:eastAsia="仿宋" w:cs="仿宋"/>
          <w:color w:val="000000"/>
          <w:sz w:val="24"/>
          <w:highlight w:val="none"/>
          <w:lang w:eastAsia="zh-CN"/>
        </w:rPr>
        <w:t>。</w:t>
      </w:r>
    </w:p>
    <w:p w14:paraId="1B2F4A5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2.13、具备电子变焦功能</w:t>
      </w:r>
      <w:r>
        <w:rPr>
          <w:rFonts w:hint="eastAsia" w:ascii="仿宋" w:hAnsi="仿宋" w:eastAsia="仿宋" w:cs="仿宋"/>
          <w:color w:val="000000"/>
          <w:sz w:val="24"/>
          <w:highlight w:val="none"/>
          <w:lang w:eastAsia="zh-CN"/>
        </w:rPr>
        <w:t>。</w:t>
      </w:r>
    </w:p>
    <w:p w14:paraId="2F626EC4">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2.14、最近调焦距离：≤152mm，允差≤±10%</w:t>
      </w:r>
      <w:r>
        <w:rPr>
          <w:rFonts w:hint="eastAsia" w:ascii="仿宋" w:hAnsi="仿宋" w:eastAsia="仿宋" w:cs="仿宋"/>
          <w:color w:val="000000"/>
          <w:sz w:val="24"/>
          <w:highlight w:val="none"/>
          <w:lang w:eastAsia="zh-CN"/>
        </w:rPr>
        <w:t>。</w:t>
      </w:r>
    </w:p>
    <w:p w14:paraId="3DD93BF0">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2.15、最小照度≤1Lux</w:t>
      </w:r>
      <w:r>
        <w:rPr>
          <w:rFonts w:hint="eastAsia" w:ascii="仿宋" w:hAnsi="仿宋" w:eastAsia="仿宋" w:cs="仿宋"/>
          <w:color w:val="000000"/>
          <w:sz w:val="24"/>
          <w:highlight w:val="none"/>
          <w:lang w:eastAsia="zh-CN"/>
        </w:rPr>
        <w:t>。</w:t>
      </w:r>
    </w:p>
    <w:p w14:paraId="120DF9C4">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3、LED电子光源，非传统导光纤维</w:t>
      </w:r>
    </w:p>
    <w:p w14:paraId="5EC53A93">
      <w:pPr>
        <w:pStyle w:val="13"/>
        <w:numPr>
          <w:ilvl w:val="1"/>
          <w:numId w:val="4"/>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、电子光源耐折弯、相对于传统导光纤维10倍耐久度，更耐用</w:t>
      </w:r>
      <w:r>
        <w:rPr>
          <w:rFonts w:hint="eastAsia" w:ascii="仿宋" w:hAnsi="仿宋" w:eastAsia="仿宋" w:cs="仿宋"/>
          <w:color w:val="000000"/>
          <w:sz w:val="24"/>
          <w:highlight w:val="none"/>
          <w:lang w:eastAsia="zh-CN"/>
        </w:rPr>
        <w:t>。</w:t>
      </w:r>
    </w:p>
    <w:p w14:paraId="30CC626E">
      <w:pPr>
        <w:pStyle w:val="13"/>
        <w:numPr>
          <w:ilvl w:val="1"/>
          <w:numId w:val="4"/>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、≥IPX7高级别防水性能</w:t>
      </w:r>
      <w:r>
        <w:rPr>
          <w:rFonts w:hint="eastAsia" w:ascii="仿宋" w:hAnsi="仿宋" w:eastAsia="仿宋" w:cs="仿宋"/>
          <w:color w:val="000000"/>
          <w:sz w:val="24"/>
          <w:highlight w:val="none"/>
          <w:lang w:eastAsia="zh-CN"/>
        </w:rPr>
        <w:t>。</w:t>
      </w:r>
    </w:p>
    <w:p w14:paraId="6DF19D24">
      <w:pPr>
        <w:pStyle w:val="13"/>
        <w:numPr>
          <w:ilvl w:val="1"/>
          <w:numId w:val="4"/>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、支持高温高压灭菌</w:t>
      </w:r>
      <w:r>
        <w:rPr>
          <w:rFonts w:hint="eastAsia" w:ascii="仿宋" w:hAnsi="仿宋" w:eastAsia="仿宋" w:cs="仿宋"/>
          <w:color w:val="000000"/>
          <w:sz w:val="24"/>
          <w:highlight w:val="none"/>
          <w:lang w:eastAsia="zh-CN"/>
        </w:rPr>
        <w:t>。</w:t>
      </w:r>
    </w:p>
    <w:p w14:paraId="0ADF85D3">
      <w:pPr>
        <w:pStyle w:val="13"/>
        <w:numPr>
          <w:ilvl w:val="1"/>
          <w:numId w:val="4"/>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、色温：≥4623K</w:t>
      </w:r>
      <w:r>
        <w:rPr>
          <w:rFonts w:hint="eastAsia" w:ascii="仿宋" w:hAnsi="仿宋" w:eastAsia="仿宋" w:cs="仿宋"/>
          <w:color w:val="000000"/>
          <w:sz w:val="24"/>
          <w:highlight w:val="none"/>
          <w:lang w:eastAsia="zh-CN"/>
        </w:rPr>
        <w:t>。</w:t>
      </w:r>
    </w:p>
    <w:p w14:paraId="56FE8A3D">
      <w:pPr>
        <w:pStyle w:val="13"/>
        <w:numPr>
          <w:ilvl w:val="1"/>
          <w:numId w:val="4"/>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、线缆长度≥3.6m</w:t>
      </w:r>
      <w:r>
        <w:rPr>
          <w:rFonts w:hint="eastAsia" w:ascii="仿宋" w:hAnsi="仿宋" w:eastAsia="仿宋" w:cs="仿宋"/>
          <w:color w:val="000000"/>
          <w:sz w:val="24"/>
          <w:highlight w:val="none"/>
          <w:lang w:eastAsia="zh-CN"/>
        </w:rPr>
        <w:t>。</w:t>
      </w:r>
    </w:p>
    <w:p w14:paraId="1B937C4D">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3.6、灯泡寿命：≥60,000小时</w:t>
      </w:r>
      <w:r>
        <w:rPr>
          <w:rFonts w:hint="eastAsia" w:ascii="仿宋" w:hAnsi="仿宋" w:eastAsia="仿宋" w:cs="仿宋"/>
          <w:color w:val="000000"/>
          <w:sz w:val="24"/>
          <w:highlight w:val="none"/>
          <w:lang w:eastAsia="zh-CN"/>
        </w:rPr>
        <w:t>。</w:t>
      </w:r>
    </w:p>
    <w:p w14:paraId="4D8E5FBC">
      <w:pPr>
        <w:pStyle w:val="13"/>
        <w:numPr>
          <w:ilvl w:val="1"/>
          <w:numId w:val="4"/>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、拥有多种适配接口</w:t>
      </w:r>
      <w:r>
        <w:rPr>
          <w:rFonts w:hint="eastAsia" w:ascii="仿宋" w:hAnsi="仿宋" w:eastAsia="仿宋" w:cs="仿宋"/>
          <w:color w:val="000000"/>
          <w:sz w:val="24"/>
          <w:highlight w:val="none"/>
          <w:lang w:eastAsia="zh-CN"/>
        </w:rPr>
        <w:t>。</w:t>
      </w:r>
    </w:p>
    <w:p w14:paraId="382B721E">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4、内窥镜影像工作站，中文界面1套</w:t>
      </w:r>
    </w:p>
    <w:p w14:paraId="1F173E4F">
      <w:pPr>
        <w:pStyle w:val="13"/>
        <w:numPr>
          <w:ilvl w:val="1"/>
          <w:numId w:val="5"/>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、液晶触控屏幕，可外接键盘、鼠标，更多个性化选择</w:t>
      </w:r>
      <w:r>
        <w:rPr>
          <w:rFonts w:hint="eastAsia" w:ascii="仿宋" w:hAnsi="仿宋" w:eastAsia="仿宋" w:cs="仿宋"/>
          <w:color w:val="000000"/>
          <w:sz w:val="24"/>
          <w:highlight w:val="none"/>
          <w:lang w:eastAsia="zh-CN"/>
        </w:rPr>
        <w:t>。</w:t>
      </w:r>
    </w:p>
    <w:p w14:paraId="5D33E0E4">
      <w:pPr>
        <w:pStyle w:val="13"/>
        <w:numPr>
          <w:ilvl w:val="1"/>
          <w:numId w:val="5"/>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、中文界面，内置≥1TB 固态存储硬盘</w:t>
      </w:r>
      <w:r>
        <w:rPr>
          <w:rFonts w:hint="eastAsia" w:ascii="仿宋" w:hAnsi="仿宋" w:eastAsia="仿宋" w:cs="仿宋"/>
          <w:color w:val="000000"/>
          <w:sz w:val="24"/>
          <w:highlight w:val="none"/>
          <w:lang w:eastAsia="zh-CN"/>
        </w:rPr>
        <w:t>。</w:t>
      </w:r>
    </w:p>
    <w:p w14:paraId="1071C5EC">
      <w:pPr>
        <w:pStyle w:val="13"/>
        <w:numPr>
          <w:ilvl w:val="1"/>
          <w:numId w:val="5"/>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、支持拍照和录像</w:t>
      </w:r>
      <w:r>
        <w:rPr>
          <w:rFonts w:hint="eastAsia" w:ascii="仿宋" w:hAnsi="仿宋" w:eastAsia="仿宋" w:cs="仿宋"/>
          <w:color w:val="000000"/>
          <w:sz w:val="24"/>
          <w:highlight w:val="none"/>
          <w:lang w:eastAsia="zh-CN"/>
        </w:rPr>
        <w:t>。</w:t>
      </w:r>
    </w:p>
    <w:p w14:paraId="4D57884D">
      <w:pPr>
        <w:pStyle w:val="13"/>
        <w:numPr>
          <w:ilvl w:val="1"/>
          <w:numId w:val="5"/>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、支持影像资料同步导出和一键导出</w:t>
      </w:r>
      <w:r>
        <w:rPr>
          <w:rFonts w:hint="eastAsia" w:ascii="仿宋" w:hAnsi="仿宋" w:eastAsia="仿宋" w:cs="仿宋"/>
          <w:color w:val="000000"/>
          <w:sz w:val="24"/>
          <w:highlight w:val="none"/>
          <w:lang w:eastAsia="zh-CN"/>
        </w:rPr>
        <w:t>。</w:t>
      </w:r>
    </w:p>
    <w:p w14:paraId="2DFBA8D0">
      <w:pPr>
        <w:pStyle w:val="13"/>
        <w:numPr>
          <w:ilvl w:val="1"/>
          <w:numId w:val="5"/>
        </w:numPr>
        <w:spacing w:line="360" w:lineRule="auto"/>
        <w:ind w:firstLineChars="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、支持JPEG、BMP 和PNG 图片格式和MP4 视频格式文件，具备观看、编辑等功能</w:t>
      </w:r>
      <w:r>
        <w:rPr>
          <w:rFonts w:hint="eastAsia" w:ascii="仿宋" w:hAnsi="仿宋" w:eastAsia="仿宋" w:cs="仿宋"/>
          <w:color w:val="000000"/>
          <w:sz w:val="24"/>
          <w:highlight w:val="none"/>
          <w:lang w:eastAsia="zh-CN"/>
        </w:rPr>
        <w:t>。</w:t>
      </w:r>
    </w:p>
    <w:p w14:paraId="73B67785">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5、关节镜专用台车1辆</w:t>
      </w:r>
      <w:r>
        <w:rPr>
          <w:rFonts w:hint="eastAsia" w:ascii="仿宋" w:hAnsi="仿宋" w:eastAsia="仿宋" w:cs="仿宋"/>
          <w:b/>
          <w:bCs/>
          <w:color w:val="000000"/>
          <w:sz w:val="24"/>
          <w:highlight w:val="none"/>
          <w:lang w:eastAsia="zh-CN"/>
        </w:rPr>
        <w:t>。</w:t>
      </w:r>
    </w:p>
    <w:p w14:paraId="5BD7A946">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6、肩、膝关节镜镜头</w:t>
      </w:r>
    </w:p>
    <w:p w14:paraId="2BB22992">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★6.1、肩、膝关节镜镜头1套，镜头有UHD或4K标志</w:t>
      </w:r>
      <w:r>
        <w:rPr>
          <w:rFonts w:hint="eastAsia" w:ascii="仿宋" w:hAnsi="仿宋" w:eastAsia="仿宋" w:cs="仿宋"/>
          <w:b/>
          <w:bCs/>
          <w:color w:val="000000"/>
          <w:sz w:val="24"/>
          <w:highlight w:val="none"/>
          <w:lang w:eastAsia="zh-CN"/>
        </w:rPr>
        <w:t>。</w:t>
      </w:r>
    </w:p>
    <w:p w14:paraId="7AE4481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6.2 、可高温高压灭菌</w:t>
      </w:r>
      <w:r>
        <w:rPr>
          <w:rFonts w:hint="eastAsia" w:ascii="仿宋" w:hAnsi="仿宋" w:eastAsia="仿宋" w:cs="仿宋"/>
          <w:color w:val="000000"/>
          <w:sz w:val="24"/>
          <w:highlight w:val="none"/>
          <w:lang w:eastAsia="zh-CN"/>
        </w:rPr>
        <w:t>。</w:t>
      </w:r>
    </w:p>
    <w:p w14:paraId="03124B1C">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6.3 、关节镜1根，直径4mm, 30度，长度≥150mm</w:t>
      </w:r>
      <w:r>
        <w:rPr>
          <w:rFonts w:hint="eastAsia" w:ascii="仿宋" w:hAnsi="仿宋" w:eastAsia="仿宋" w:cs="仿宋"/>
          <w:color w:val="000000"/>
          <w:sz w:val="24"/>
          <w:highlight w:val="none"/>
          <w:lang w:eastAsia="zh-CN"/>
        </w:rPr>
        <w:t>。</w:t>
      </w:r>
    </w:p>
    <w:p w14:paraId="088907EA">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6.4、前端采用蓝宝石镜面，光线均匀，透光度强, 照度≥1500Lx，有效景深：≥4-50mm</w:t>
      </w:r>
      <w:r>
        <w:rPr>
          <w:rFonts w:hint="eastAsia" w:ascii="仿宋" w:hAnsi="仿宋" w:eastAsia="仿宋" w:cs="仿宋"/>
          <w:color w:val="000000"/>
          <w:sz w:val="24"/>
          <w:highlight w:val="none"/>
          <w:lang w:eastAsia="zh-CN"/>
        </w:rPr>
        <w:t>。</w:t>
      </w:r>
    </w:p>
    <w:p w14:paraId="1D37F95E">
      <w:pPr>
        <w:pStyle w:val="7"/>
        <w:spacing w:line="360" w:lineRule="auto"/>
        <w:ind w:left="0" w:left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6.5 、镜鞘直径≤5.5mm，镜鞘双开关设计，具有大水调节和小水调节功能，鞘管和穿刺锥或镜子拆装采用一键式，非旋钮式，可单手操作，快捷、安全、方便。</w:t>
      </w:r>
    </w:p>
    <w:p w14:paraId="57FC149C">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7、髋关节镜</w:t>
      </w:r>
    </w:p>
    <w:p w14:paraId="675DAB53">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color w:val="000000"/>
          <w:sz w:val="24"/>
          <w:highlight w:val="none"/>
        </w:rPr>
        <w:t>★7.1、</w:t>
      </w:r>
      <w:r>
        <w:rPr>
          <w:rFonts w:hint="eastAsia" w:ascii="仿宋" w:hAnsi="仿宋" w:eastAsia="仿宋" w:cs="仿宋"/>
          <w:b/>
          <w:bCs/>
          <w:color w:val="000000"/>
          <w:sz w:val="24"/>
          <w:highlight w:val="none"/>
        </w:rPr>
        <w:t>镜头1套，镜头有UHD或4K标志</w:t>
      </w:r>
      <w:r>
        <w:rPr>
          <w:rFonts w:hint="eastAsia" w:ascii="仿宋" w:hAnsi="仿宋" w:eastAsia="仿宋" w:cs="仿宋"/>
          <w:b/>
          <w:bCs/>
          <w:color w:val="000000"/>
          <w:sz w:val="24"/>
          <w:highlight w:val="none"/>
          <w:lang w:eastAsia="zh-CN"/>
        </w:rPr>
        <w:t>。</w:t>
      </w:r>
    </w:p>
    <w:p w14:paraId="34C83375">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7.2 、可高温高压灭菌</w:t>
      </w:r>
      <w:r>
        <w:rPr>
          <w:rFonts w:hint="eastAsia" w:ascii="仿宋" w:hAnsi="仿宋" w:eastAsia="仿宋" w:cs="仿宋"/>
          <w:color w:val="000000"/>
          <w:sz w:val="24"/>
          <w:highlight w:val="none"/>
          <w:lang w:eastAsia="zh-CN"/>
        </w:rPr>
        <w:t>。</w:t>
      </w:r>
    </w:p>
    <w:p w14:paraId="3FF104A7">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7.3 、关节镜1根，直径4mm, 70度，长度≥150mm</w:t>
      </w:r>
      <w:r>
        <w:rPr>
          <w:rFonts w:hint="eastAsia" w:ascii="仿宋" w:hAnsi="仿宋" w:eastAsia="仿宋" w:cs="仿宋"/>
          <w:color w:val="000000"/>
          <w:sz w:val="24"/>
          <w:highlight w:val="none"/>
          <w:lang w:eastAsia="zh-CN"/>
        </w:rPr>
        <w:t>。</w:t>
      </w:r>
    </w:p>
    <w:p w14:paraId="613774E3">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7.4、前端采用蓝宝石镜面，光线均匀，透光度强, 照度≥1500Lx，有效景深：≥4-50mm</w:t>
      </w:r>
      <w:r>
        <w:rPr>
          <w:rFonts w:hint="eastAsia" w:ascii="仿宋" w:hAnsi="仿宋" w:eastAsia="仿宋" w:cs="仿宋"/>
          <w:color w:val="000000"/>
          <w:sz w:val="24"/>
          <w:highlight w:val="none"/>
          <w:lang w:eastAsia="zh-CN"/>
        </w:rPr>
        <w:t>。</w:t>
      </w:r>
    </w:p>
    <w:p w14:paraId="52F622D5">
      <w:pPr>
        <w:pStyle w:val="7"/>
        <w:spacing w:line="360" w:lineRule="auto"/>
        <w:ind w:left="0" w:left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、镜鞘直径≤5.5mm，镜鞘双开关设计，具有大水调节和小水调节功能，鞘管和穿刺锥或镜子拆装采用一键式，非旋钮式，可单手操作，快捷、安全、方便。</w:t>
      </w:r>
    </w:p>
    <w:p w14:paraId="145BFD26">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8、踝关节镜镜头1套</w:t>
      </w:r>
    </w:p>
    <w:p w14:paraId="562F0C87">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★8.1、2.9mm 30°关节镜、镜鞘、穿刺锥各1根，可高温高压消毒</w:t>
      </w:r>
      <w:r>
        <w:rPr>
          <w:rFonts w:hint="eastAsia" w:ascii="仿宋" w:hAnsi="仿宋" w:eastAsia="仿宋" w:cs="仿宋"/>
          <w:b/>
          <w:bCs/>
          <w:color w:val="000000"/>
          <w:sz w:val="24"/>
          <w:highlight w:val="none"/>
          <w:lang w:eastAsia="zh-CN"/>
        </w:rPr>
        <w:t>。</w:t>
      </w:r>
    </w:p>
    <w:p w14:paraId="37E4E50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8.2、前端采用蓝宝石镜面，光线均匀，透光度强，照度≥11万 Lx,长度≥150mm</w:t>
      </w:r>
      <w:r>
        <w:rPr>
          <w:rFonts w:hint="eastAsia" w:ascii="仿宋" w:hAnsi="仿宋" w:eastAsia="仿宋" w:cs="仿宋"/>
          <w:color w:val="000000"/>
          <w:sz w:val="24"/>
          <w:highlight w:val="none"/>
          <w:lang w:eastAsia="zh-CN"/>
        </w:rPr>
        <w:t>。</w:t>
      </w:r>
    </w:p>
    <w:p w14:paraId="2CAFC19C">
      <w:pPr>
        <w:pStyle w:val="7"/>
        <w:spacing w:line="360" w:lineRule="auto"/>
        <w:ind w:left="0" w:left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8.3、有效景深：4-10mm</w:t>
      </w:r>
      <w:r>
        <w:rPr>
          <w:rFonts w:hint="eastAsia" w:ascii="仿宋" w:hAnsi="仿宋" w:eastAsia="仿宋" w:cs="仿宋"/>
          <w:color w:val="000000"/>
          <w:sz w:val="24"/>
          <w:szCs w:val="24"/>
          <w:highlight w:val="none"/>
          <w:lang w:eastAsia="zh-CN"/>
        </w:rPr>
        <w:t>。</w:t>
      </w:r>
    </w:p>
    <w:p w14:paraId="64D19141">
      <w:pPr>
        <w:pStyle w:val="7"/>
        <w:spacing w:line="360" w:lineRule="auto"/>
        <w:ind w:left="0" w:left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8.4、鞘管外径直径≤4.0mm,镜鞘双开关设计，具有大水调节和小水调节功能，鞘管和穿刺锥或镜子拆装采用一键式，非旋钮式，可单手操作，快捷、安全、方便</w:t>
      </w:r>
      <w:r>
        <w:rPr>
          <w:rFonts w:hint="eastAsia" w:ascii="仿宋" w:hAnsi="仿宋" w:eastAsia="仿宋" w:cs="仿宋"/>
          <w:color w:val="000000"/>
          <w:sz w:val="24"/>
          <w:szCs w:val="24"/>
          <w:highlight w:val="none"/>
          <w:lang w:eastAsia="zh-CN"/>
        </w:rPr>
        <w:t>。</w:t>
      </w:r>
    </w:p>
    <w:p w14:paraId="521896B3">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9、动力系统1套</w:t>
      </w:r>
    </w:p>
    <w:p w14:paraId="114AAE23">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9.1、智能型动力刨削主机一台，双动力输出，内置独立的两套动力系统，可单独运行和同时运行，动力输出无主次之分。</w:t>
      </w:r>
      <w:r>
        <w:rPr>
          <w:rFonts w:hint="eastAsia" w:ascii="仿宋" w:hAnsi="仿宋" w:eastAsia="仿宋" w:cs="仿宋"/>
          <w:color w:val="000000"/>
          <w:sz w:val="24"/>
          <w:highlight w:val="none"/>
        </w:rPr>
        <w:tab/>
      </w:r>
    </w:p>
    <w:p w14:paraId="1A44BC05">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9.2、一机多用，可兼容20种以上手柄，包括大骨动力和高速磨钻、摆锯、矢状锯、往复锯等，适用于各类骨科手术，最高支持80000rpm</w:t>
      </w:r>
      <w:r>
        <w:rPr>
          <w:rFonts w:hint="eastAsia" w:ascii="仿宋" w:hAnsi="仿宋" w:eastAsia="仿宋" w:cs="仿宋"/>
          <w:color w:val="000000"/>
          <w:sz w:val="24"/>
          <w:highlight w:val="none"/>
          <w:lang w:eastAsia="zh-CN"/>
        </w:rPr>
        <w:t>。</w:t>
      </w:r>
    </w:p>
    <w:p w14:paraId="05DA1E80">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9.3、彩色触摸双显示屏≥3英寸，可显示所连接的手柄类型、转速、模式、方向等</w:t>
      </w:r>
      <w:r>
        <w:rPr>
          <w:rFonts w:hint="eastAsia" w:ascii="仿宋" w:hAnsi="仿宋" w:eastAsia="仿宋" w:cs="仿宋"/>
          <w:color w:val="000000"/>
          <w:sz w:val="24"/>
          <w:highlight w:val="none"/>
          <w:lang w:eastAsia="zh-CN"/>
        </w:rPr>
        <w:t>。</w:t>
      </w:r>
    </w:p>
    <w:p w14:paraId="4B4EEDBB">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9..4、彩色触摸显示屏可设定：提示音、屏幕亮度、参数记忆、窗口大小、往复转比例、手柄按键开关、脚踏开关、语言等功能</w:t>
      </w:r>
      <w:r>
        <w:rPr>
          <w:rFonts w:hint="eastAsia" w:ascii="仿宋" w:hAnsi="仿宋" w:eastAsia="仿宋" w:cs="仿宋"/>
          <w:color w:val="000000"/>
          <w:sz w:val="24"/>
          <w:highlight w:val="none"/>
          <w:lang w:eastAsia="zh-CN"/>
        </w:rPr>
        <w:t>。</w:t>
      </w:r>
    </w:p>
    <w:p w14:paraId="7A73E7A5">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9.5、双手柄模式，支持2个手柄同时独立工作，并保证100%动力(速度及扭矩)</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 </w:t>
      </w:r>
    </w:p>
    <w:p w14:paraId="72FB7F7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9.6、带有吸引接口，并配有多段式吸引流量的控制开关</w:t>
      </w:r>
      <w:r>
        <w:rPr>
          <w:rFonts w:hint="eastAsia" w:ascii="仿宋" w:hAnsi="仿宋" w:eastAsia="仿宋" w:cs="仿宋"/>
          <w:color w:val="000000"/>
          <w:sz w:val="24"/>
          <w:highlight w:val="none"/>
          <w:lang w:eastAsia="zh-CN"/>
        </w:rPr>
        <w:t>。</w:t>
      </w:r>
    </w:p>
    <w:p w14:paraId="78379EB8">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★9.7、往复转频率具有≥10级的调节，可任意设定</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 xml:space="preserve"> </w:t>
      </w:r>
    </w:p>
    <w:p w14:paraId="665B4995">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9.8、具有窗锁功能，可在面板设定刀头的窗开和窗锁，可任意调整刀头窗开大小</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 </w:t>
      </w:r>
    </w:p>
    <w:p w14:paraId="574CF61C">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9.9、具有医生自我编程功能，医生可根据自己手术习惯设定转速等参数</w:t>
      </w:r>
      <w:r>
        <w:rPr>
          <w:rFonts w:hint="eastAsia" w:ascii="仿宋" w:hAnsi="仿宋" w:eastAsia="仿宋" w:cs="仿宋"/>
          <w:color w:val="000000"/>
          <w:sz w:val="24"/>
          <w:highlight w:val="none"/>
          <w:lang w:eastAsia="zh-CN"/>
        </w:rPr>
        <w:t>。</w:t>
      </w:r>
    </w:p>
    <w:p w14:paraId="6F78A1DD">
      <w:pPr>
        <w:spacing w:line="360" w:lineRule="auto"/>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10、刨削手柄1把</w:t>
      </w:r>
    </w:p>
    <w:p w14:paraId="524F5E6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10.1、手柄采用双键式的人体工学设计，可采用直握、笔式握和拳式握</w:t>
      </w:r>
      <w:r>
        <w:rPr>
          <w:rFonts w:hint="eastAsia" w:ascii="仿宋" w:hAnsi="仿宋" w:eastAsia="仿宋" w:cs="仿宋"/>
          <w:color w:val="000000"/>
          <w:sz w:val="24"/>
          <w:highlight w:val="none"/>
          <w:lang w:eastAsia="zh-CN"/>
        </w:rPr>
        <w:t>。</w:t>
      </w:r>
    </w:p>
    <w:p w14:paraId="2E0F0A7E">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★10.2、可高温高压消毒刨削手柄，带有吸引接口，单向转速：500-12,000rpm</w:t>
      </w:r>
      <w:r>
        <w:rPr>
          <w:rFonts w:hint="eastAsia" w:ascii="仿宋" w:hAnsi="仿宋" w:eastAsia="仿宋" w:cs="仿宋"/>
          <w:b/>
          <w:bCs/>
          <w:color w:val="000000"/>
          <w:sz w:val="24"/>
          <w:highlight w:val="none"/>
          <w:lang w:eastAsia="zh-CN"/>
        </w:rPr>
        <w:t>。</w:t>
      </w:r>
    </w:p>
    <w:p w14:paraId="6C03B4B6">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10.3、正反转速度：500-2,500rpm</w:t>
      </w:r>
      <w:r>
        <w:rPr>
          <w:rFonts w:hint="eastAsia" w:ascii="仿宋" w:hAnsi="仿宋" w:eastAsia="仿宋" w:cs="仿宋"/>
          <w:color w:val="000000"/>
          <w:sz w:val="24"/>
          <w:highlight w:val="none"/>
          <w:lang w:eastAsia="zh-CN"/>
        </w:rPr>
        <w:t>。</w:t>
      </w:r>
    </w:p>
    <w:p w14:paraId="04CA45C7">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10.4、刨削手柄噪声≤56dB</w:t>
      </w:r>
      <w:r>
        <w:rPr>
          <w:rFonts w:hint="eastAsia" w:ascii="仿宋" w:hAnsi="仿宋" w:eastAsia="仿宋" w:cs="仿宋"/>
          <w:color w:val="000000"/>
          <w:sz w:val="24"/>
          <w:highlight w:val="none"/>
          <w:lang w:eastAsia="zh-CN"/>
        </w:rPr>
        <w:t>。</w:t>
      </w:r>
    </w:p>
    <w:p w14:paraId="695C2DB7">
      <w:pPr>
        <w:pStyle w:val="7"/>
        <w:spacing w:line="360" w:lineRule="auto"/>
        <w:ind w:left="0" w:leftChars="0"/>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★10.5、一把手柄可接髋关节、肩关节、膝关节、小骨关节、手外科等术式的刨削刀头和磨头, 可接刀头直径为2.9mm、3.5 mm、3.7 mm、4.2 mm、4.8 mm、5.5 mm等</w:t>
      </w:r>
      <w:r>
        <w:rPr>
          <w:rFonts w:hint="eastAsia" w:ascii="仿宋" w:hAnsi="仿宋" w:eastAsia="仿宋" w:cs="仿宋"/>
          <w:b/>
          <w:bCs/>
          <w:color w:val="000000"/>
          <w:sz w:val="24"/>
          <w:szCs w:val="24"/>
          <w:highlight w:val="none"/>
          <w:lang w:eastAsia="zh-CN"/>
        </w:rPr>
        <w:t>。</w:t>
      </w:r>
    </w:p>
    <w:p w14:paraId="23A4A3B2">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★10.6、配备刨削刀头折弯器，可对可折弯刨削刀头进行0-30°的折弯，更好的开展复杂的解剖区域手术</w:t>
      </w:r>
      <w:r>
        <w:rPr>
          <w:rFonts w:hint="eastAsia" w:ascii="仿宋" w:hAnsi="仿宋" w:eastAsia="仿宋" w:cs="仿宋"/>
          <w:b/>
          <w:bCs/>
          <w:color w:val="000000"/>
          <w:sz w:val="24"/>
          <w:highlight w:val="none"/>
          <w:lang w:eastAsia="zh-CN"/>
        </w:rPr>
        <w:t>。</w:t>
      </w:r>
    </w:p>
    <w:p w14:paraId="01DB31C3">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10.7、刀头采用ECG（电解磨削）的制造技术，具有更好的表面光洁度。小关节刨削刀头≥8cm，肩/膝刀头≥13cm,髋关节刀头≥19cm</w:t>
      </w:r>
      <w:r>
        <w:rPr>
          <w:rFonts w:hint="eastAsia" w:ascii="仿宋" w:hAnsi="仿宋" w:eastAsia="仿宋" w:cs="仿宋"/>
          <w:color w:val="000000"/>
          <w:sz w:val="24"/>
          <w:highlight w:val="none"/>
          <w:lang w:eastAsia="zh-CN"/>
        </w:rPr>
        <w:t>。</w:t>
      </w:r>
    </w:p>
    <w:p w14:paraId="532B3E6C">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10.8、刀头具有自动识别功能，不同刀头自动匹配转速和模式，内芯和外鞘接近完全同心，减少摩擦产生的金属屑，哑光外鞘，减少反光，使镜下视野更好。</w:t>
      </w:r>
    </w:p>
    <w:p w14:paraId="53EDA889">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10.9、刀头直径≥7种，有直型、预弯型、加长型、和可折弯型、直径包含2.0 mm、2.9 mm、3.5 mm、3.7 mm、4.2 mm、4.8 mm、5.5 mm等，刀头种类≥140种。</w:t>
      </w:r>
    </w:p>
    <w:p w14:paraId="26D78EDE">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10.10、不同颜色标识不同刀头，利于辨别，缩短手术时间。优化的刀齿角度来切除软组织和骨, 避免撕扯。</w:t>
      </w:r>
    </w:p>
    <w:p w14:paraId="3BD53C1F">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10.11、刀头在转动时做往复运动，切割力更强、减少组织损伤、缩短手术时间</w:t>
      </w:r>
      <w:r>
        <w:rPr>
          <w:rFonts w:hint="eastAsia" w:ascii="仿宋" w:hAnsi="仿宋" w:eastAsia="仿宋" w:cs="仿宋"/>
          <w:color w:val="000000"/>
          <w:sz w:val="24"/>
          <w:highlight w:val="none"/>
          <w:lang w:eastAsia="zh-CN"/>
        </w:rPr>
        <w:t>。</w:t>
      </w:r>
    </w:p>
    <w:p w14:paraId="0C61D2F0">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10.12、刨削刀头基体芯杆圆跳动偏差≤0.01mm</w:t>
      </w:r>
      <w:r>
        <w:rPr>
          <w:rFonts w:hint="eastAsia" w:ascii="仿宋" w:hAnsi="仿宋" w:eastAsia="仿宋" w:cs="仿宋"/>
          <w:color w:val="000000"/>
          <w:sz w:val="24"/>
          <w:highlight w:val="none"/>
          <w:lang w:eastAsia="zh-CN"/>
        </w:rPr>
        <w:t>。</w:t>
      </w:r>
    </w:p>
    <w:p w14:paraId="5E179373">
      <w:pPr>
        <w:spacing w:line="360" w:lineRule="auto"/>
        <w:jc w:val="lef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11. 髋关节手术器械1批，采用精钢制造，硬度高，韧度强</w:t>
      </w:r>
      <w:r>
        <w:rPr>
          <w:rFonts w:hint="eastAsia" w:ascii="仿宋" w:hAnsi="仿宋" w:eastAsia="仿宋" w:cs="仿宋"/>
          <w:b/>
          <w:bCs/>
          <w:color w:val="000000"/>
          <w:sz w:val="24"/>
          <w:highlight w:val="none"/>
          <w:lang w:eastAsia="zh-CN"/>
        </w:rPr>
        <w:t>。</w:t>
      </w:r>
    </w:p>
    <w:p w14:paraId="1F69F126">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11.1、髋关节专用篮钳，上曲15°，长度≥210mm,直径≤3.4mm, 1把</w:t>
      </w:r>
      <w:r>
        <w:rPr>
          <w:rFonts w:hint="eastAsia" w:ascii="仿宋" w:hAnsi="仿宋" w:eastAsia="仿宋" w:cs="仿宋"/>
          <w:color w:val="000000"/>
          <w:sz w:val="24"/>
          <w:highlight w:val="none"/>
          <w:lang w:eastAsia="zh-CN"/>
        </w:rPr>
        <w:t>。</w:t>
      </w:r>
    </w:p>
    <w:p w14:paraId="49815670">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11.2、髋关节专用新型抓线钳,上曲, 1把</w:t>
      </w:r>
      <w:r>
        <w:rPr>
          <w:rFonts w:hint="eastAsia" w:ascii="仿宋" w:hAnsi="仿宋" w:eastAsia="仿宋" w:cs="仿宋"/>
          <w:color w:val="000000"/>
          <w:sz w:val="24"/>
          <w:highlight w:val="none"/>
          <w:lang w:eastAsia="zh-CN"/>
        </w:rPr>
        <w:t>。</w:t>
      </w:r>
    </w:p>
    <w:p w14:paraId="28C57FBE">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11.3、髋关节专用戳枪，上曲15°，直径≤3.5mm,长度≥210mm， 1把</w:t>
      </w:r>
      <w:r>
        <w:rPr>
          <w:rFonts w:hint="eastAsia" w:ascii="仿宋" w:hAnsi="仿宋" w:eastAsia="仿宋" w:cs="仿宋"/>
          <w:color w:val="000000"/>
          <w:sz w:val="24"/>
          <w:highlight w:val="none"/>
          <w:lang w:eastAsia="zh-CN"/>
        </w:rPr>
        <w:t>。</w:t>
      </w:r>
    </w:p>
    <w:p w14:paraId="7A0DCC12">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11.4、抓钳，直型，带棘齿，长度≥210mm,直径≤3.4mm，1把</w:t>
      </w:r>
      <w:r>
        <w:rPr>
          <w:rFonts w:hint="eastAsia" w:ascii="仿宋" w:hAnsi="仿宋" w:eastAsia="仿宋" w:cs="仿宋"/>
          <w:color w:val="000000"/>
          <w:sz w:val="24"/>
          <w:highlight w:val="none"/>
          <w:lang w:eastAsia="zh-CN"/>
        </w:rPr>
        <w:t>。</w:t>
      </w:r>
    </w:p>
    <w:p w14:paraId="6338009C">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11.5、剪刀，高强度线，加长型，直径4.0mm,长度≥210mm, 1把</w:t>
      </w:r>
      <w:r>
        <w:rPr>
          <w:rFonts w:hint="eastAsia" w:ascii="仿宋" w:hAnsi="仿宋" w:eastAsia="仿宋" w:cs="仿宋"/>
          <w:color w:val="000000"/>
          <w:sz w:val="24"/>
          <w:highlight w:val="none"/>
          <w:lang w:eastAsia="zh-CN"/>
        </w:rPr>
        <w:t>。</w:t>
      </w:r>
    </w:p>
    <w:p w14:paraId="5EA033A9">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11.6、刮匙，杯状，1把</w:t>
      </w:r>
      <w:r>
        <w:rPr>
          <w:rFonts w:hint="eastAsia" w:ascii="仿宋" w:hAnsi="仿宋" w:eastAsia="仿宋" w:cs="仿宋"/>
          <w:color w:val="000000"/>
          <w:sz w:val="24"/>
          <w:highlight w:val="none"/>
          <w:lang w:eastAsia="zh-CN"/>
        </w:rPr>
        <w:t>。</w:t>
      </w:r>
    </w:p>
    <w:p w14:paraId="503FECBB">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11.7、带手柄逐级扩张套管，直径≤4.6mm，1把</w:t>
      </w:r>
      <w:r>
        <w:rPr>
          <w:rFonts w:hint="eastAsia" w:ascii="仿宋" w:hAnsi="仿宋" w:eastAsia="仿宋" w:cs="仿宋"/>
          <w:color w:val="000000"/>
          <w:sz w:val="24"/>
          <w:highlight w:val="none"/>
          <w:lang w:eastAsia="zh-CN"/>
        </w:rPr>
        <w:t>。</w:t>
      </w:r>
    </w:p>
    <w:p w14:paraId="04E0AFCC">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11.8、带手柄逐级扩张套管，直径≤5.2mm，1把</w:t>
      </w:r>
      <w:r>
        <w:rPr>
          <w:rFonts w:hint="eastAsia" w:ascii="仿宋" w:hAnsi="仿宋" w:eastAsia="仿宋" w:cs="仿宋"/>
          <w:color w:val="000000"/>
          <w:sz w:val="24"/>
          <w:highlight w:val="none"/>
          <w:lang w:eastAsia="zh-CN"/>
        </w:rPr>
        <w:t>。</w:t>
      </w:r>
    </w:p>
    <w:p w14:paraId="00602937">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11.9、带手柄逐级扩张套管，直径≤6.0mm，1把</w:t>
      </w:r>
      <w:r>
        <w:rPr>
          <w:rFonts w:hint="eastAsia" w:ascii="仿宋" w:hAnsi="仿宋" w:eastAsia="仿宋" w:cs="仿宋"/>
          <w:color w:val="000000"/>
          <w:sz w:val="24"/>
          <w:highlight w:val="none"/>
          <w:lang w:eastAsia="zh-CN"/>
        </w:rPr>
        <w:t>。</w:t>
      </w:r>
    </w:p>
    <w:p w14:paraId="1DB59C26">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11.10、髋关节专用分离式镜鞘，带孔双阀门，1把</w:t>
      </w:r>
      <w:r>
        <w:rPr>
          <w:rFonts w:hint="eastAsia" w:ascii="仿宋" w:hAnsi="仿宋" w:eastAsia="仿宋" w:cs="仿宋"/>
          <w:color w:val="000000"/>
          <w:sz w:val="24"/>
          <w:highlight w:val="none"/>
          <w:lang w:eastAsia="zh-CN"/>
        </w:rPr>
        <w:t>。</w:t>
      </w:r>
    </w:p>
    <w:p w14:paraId="762BD3FC">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11.11、髋关节专用分离式镜桥，1把</w:t>
      </w:r>
      <w:r>
        <w:rPr>
          <w:rFonts w:hint="eastAsia" w:ascii="仿宋" w:hAnsi="仿宋" w:eastAsia="仿宋" w:cs="仿宋"/>
          <w:color w:val="000000"/>
          <w:sz w:val="24"/>
          <w:highlight w:val="none"/>
          <w:lang w:eastAsia="zh-CN"/>
        </w:rPr>
        <w:t>。</w:t>
      </w:r>
    </w:p>
    <w:p w14:paraId="5A4C4F95">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11.12、分离式镜鞘专用插入手柄，1把</w:t>
      </w:r>
      <w:r>
        <w:rPr>
          <w:rFonts w:hint="eastAsia" w:ascii="仿宋" w:hAnsi="仿宋" w:eastAsia="仿宋" w:cs="仿宋"/>
          <w:color w:val="000000"/>
          <w:sz w:val="24"/>
          <w:highlight w:val="none"/>
          <w:lang w:eastAsia="zh-CN"/>
        </w:rPr>
        <w:t>。</w:t>
      </w:r>
    </w:p>
    <w:p w14:paraId="4FACD76A">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11.13、香蕉刀手柄，可高温高压灭菌，可调节香蕉刀长度，长度≥120mm, 1把</w:t>
      </w:r>
      <w:r>
        <w:rPr>
          <w:rFonts w:hint="eastAsia" w:ascii="仿宋" w:hAnsi="仿宋" w:eastAsia="仿宋" w:cs="仿宋"/>
          <w:color w:val="000000"/>
          <w:sz w:val="24"/>
          <w:highlight w:val="none"/>
          <w:lang w:eastAsia="zh-CN"/>
        </w:rPr>
        <w:t>。</w:t>
      </w:r>
    </w:p>
    <w:p w14:paraId="24678F68">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11.14、香蕉刀,可高温高压灭菌，1把</w:t>
      </w:r>
      <w:r>
        <w:rPr>
          <w:rFonts w:hint="eastAsia" w:ascii="仿宋" w:hAnsi="仿宋" w:eastAsia="仿宋" w:cs="仿宋"/>
          <w:color w:val="000000"/>
          <w:sz w:val="24"/>
          <w:highlight w:val="none"/>
          <w:lang w:eastAsia="zh-CN"/>
        </w:rPr>
        <w:t>。</w:t>
      </w:r>
    </w:p>
    <w:p w14:paraId="43DAA7B3">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11.15、交换棒导丝套装，1把</w:t>
      </w:r>
      <w:r>
        <w:rPr>
          <w:rFonts w:hint="eastAsia" w:ascii="仿宋" w:hAnsi="仿宋" w:eastAsia="仿宋" w:cs="仿宋"/>
          <w:color w:val="000000"/>
          <w:sz w:val="24"/>
          <w:highlight w:val="none"/>
          <w:lang w:eastAsia="zh-CN"/>
        </w:rPr>
        <w:t>。</w:t>
      </w:r>
    </w:p>
    <w:p w14:paraId="12B67DD1">
      <w:pPr>
        <w:spacing w:line="360" w:lineRule="auto"/>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11.16、套管手柄，直径8.0mm,长度120mm, 1把</w:t>
      </w:r>
      <w:r>
        <w:rPr>
          <w:rFonts w:hint="eastAsia" w:ascii="仿宋" w:hAnsi="仿宋" w:eastAsia="仿宋" w:cs="仿宋"/>
          <w:color w:val="000000"/>
          <w:sz w:val="24"/>
          <w:highlight w:val="none"/>
          <w:lang w:eastAsia="zh-CN"/>
        </w:rPr>
        <w:t>。</w:t>
      </w:r>
    </w:p>
    <w:p w14:paraId="5ED4A5E1">
      <w:pPr>
        <w:rPr>
          <w:rFonts w:hint="eastAsia" w:ascii="Calibri" w:hAnsi="Calibri"/>
          <w:szCs w:val="21"/>
          <w:highlight w:val="none"/>
        </w:rPr>
      </w:pPr>
    </w:p>
    <w:p w14:paraId="4F19B534">
      <w:pPr>
        <w:pStyle w:val="2"/>
        <w:pageBreakBefore w:val="0"/>
        <w:widowControl/>
        <w:numPr>
          <w:ilvl w:val="0"/>
          <w:numId w:val="2"/>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1" w:name="_Toc6150"/>
      <w:r>
        <w:rPr>
          <w:rFonts w:hint="eastAsia" w:ascii="仿宋" w:hAnsi="仿宋" w:eastAsia="仿宋" w:cs="仿宋"/>
          <w:b/>
          <w:bCs/>
          <w:kern w:val="44"/>
          <w:sz w:val="24"/>
          <w:szCs w:val="24"/>
          <w:highlight w:val="none"/>
          <w:lang w:val="en-US" w:eastAsia="zh-CN" w:bidi="ar-SA"/>
        </w:rPr>
        <w:t>其他配套要求：</w:t>
      </w:r>
      <w:bookmarkEnd w:id="1"/>
    </w:p>
    <w:p w14:paraId="0A9335F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08B8E53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04CD63B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224D25E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01A2E4B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75BE57C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5D15E47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36AC340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12508C2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5B00A6F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24F8C0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6DE9475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2F1A01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2A38D4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2F8C9C4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35F0732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2A03277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77AED58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6C917AB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77A34B2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C75916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6AA9476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342A5E8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70C5DA4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58C7EF9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0BB06D0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086F42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E7BC22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6B3169B4">
      <w:pPr>
        <w:spacing w:line="360" w:lineRule="auto"/>
        <w:rPr>
          <w:rFonts w:hint="eastAsia" w:ascii="Calibri" w:hAnsi="Calibri"/>
          <w:szCs w:val="21"/>
          <w:highlight w:val="none"/>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2" w:name="_GoBack"/>
      <w:bookmarkEnd w:id="2"/>
      <w:r>
        <w:rPr>
          <w:rFonts w:hint="eastAsia" w:ascii="宋体" w:hAnsi="宋体"/>
          <w:color w:val="000000"/>
          <w:highlight w:val="none"/>
        </w:rPr>
        <w:br w:type="page"/>
      </w:r>
    </w:p>
    <w:p w14:paraId="6B4B27BA">
      <w:pPr>
        <w:spacing w:line="360" w:lineRule="auto"/>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abstractNum w:abstractNumId="2">
    <w:nsid w:val="4B62353D"/>
    <w:multiLevelType w:val="multilevel"/>
    <w:tmpl w:val="4B62353D"/>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5CCE279B"/>
    <w:multiLevelType w:val="multilevel"/>
    <w:tmpl w:val="5CCE279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64C38D8A"/>
    <w:multiLevelType w:val="singleLevel"/>
    <w:tmpl w:val="64C38D8A"/>
    <w:lvl w:ilvl="0" w:tentative="0">
      <w:start w:val="3"/>
      <w:numFmt w:val="decimal"/>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B0DFF"/>
    <w:rsid w:val="45E32D76"/>
    <w:rsid w:val="493321E8"/>
    <w:rsid w:val="5F0F3954"/>
    <w:rsid w:val="7739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uiPriority w:val="99"/>
    <w:pPr>
      <w:spacing w:after="120" w:afterLines="0"/>
      <w:ind w:left="420" w:leftChars="200"/>
    </w:pPr>
    <w:rPr>
      <w:sz w:val="16"/>
      <w:szCs w:val="16"/>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3015</Words>
  <Characters>3162</Characters>
  <Lines>0</Lines>
  <Paragraphs>0</Paragraphs>
  <TotalTime>0</TotalTime>
  <ScaleCrop>false</ScaleCrop>
  <LinksUpToDate>false</LinksUpToDate>
  <CharactersWithSpaces>3190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2025-11-27T03:07:38Z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