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A4A00">
      <w:pPr>
        <w:pStyle w:val="2"/>
        <w:widowControl/>
        <w:snapToGrid w:val="0"/>
        <w:spacing w:before="0" w:after="0" w:line="360" w:lineRule="auto"/>
        <w:jc w:val="center"/>
        <w:rPr>
          <w:rFonts w:hint="eastAsia" w:ascii="宋体" w:hAnsi="宋体"/>
          <w:color w:val="000000"/>
          <w:highlight w:val="none"/>
        </w:rPr>
      </w:pPr>
      <w:bookmarkStart w:id="0" w:name="_Toc8946"/>
      <w:r>
        <w:rPr>
          <w:rFonts w:hint="eastAsia" w:ascii="宋体" w:hAnsi="宋体"/>
          <w:color w:val="000000"/>
          <w:highlight w:val="none"/>
        </w:rPr>
        <w:t>第三章  采购需求及技术规格要求</w:t>
      </w:r>
      <w:bookmarkEnd w:id="0"/>
    </w:p>
    <w:p w14:paraId="5916FD25">
      <w:pPr>
        <w:pStyle w:val="3"/>
        <w:spacing w:before="0" w:after="0" w:line="360"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总则：</w:t>
      </w:r>
    </w:p>
    <w:p w14:paraId="42E73F5B">
      <w:pPr>
        <w:widowControl/>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2D6341F8">
      <w:pPr>
        <w:pStyle w:val="10"/>
        <w:spacing w:line="360" w:lineRule="auto"/>
        <w:ind w:firstLine="480" w:firstLineChars="200"/>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t>1.2 中标产品的名称、品牌、规格型号、数量、单价等将予以公布。</w:t>
      </w:r>
    </w:p>
    <w:p w14:paraId="7D3A4EC4">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一、商务条款：</w:t>
      </w:r>
    </w:p>
    <w:tbl>
      <w:tblPr>
        <w:tblStyle w:val="8"/>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2503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2F7BDD6A">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8745" w:type="dxa"/>
            <w:gridSpan w:val="2"/>
            <w:noWrap w:val="0"/>
            <w:vAlign w:val="center"/>
          </w:tcPr>
          <w:p w14:paraId="287D5237">
            <w:pPr>
              <w:wordWrap w:val="0"/>
              <w:spacing w:line="360" w:lineRule="auto"/>
              <w:ind w:firstLine="2891" w:firstLineChars="120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商务条款内容</w:t>
            </w:r>
          </w:p>
        </w:tc>
      </w:tr>
      <w:tr w14:paraId="10CC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7B2E6A2B">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w:t>
            </w:r>
          </w:p>
        </w:tc>
        <w:tc>
          <w:tcPr>
            <w:tcW w:w="1529" w:type="dxa"/>
            <w:vMerge w:val="restart"/>
            <w:noWrap w:val="0"/>
            <w:vAlign w:val="center"/>
          </w:tcPr>
          <w:p w14:paraId="42420EB1">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如是依法纳入医疗器械管理的须具有：</w:t>
            </w:r>
          </w:p>
        </w:tc>
        <w:tc>
          <w:tcPr>
            <w:tcW w:w="7216" w:type="dxa"/>
            <w:noWrap w:val="0"/>
            <w:vAlign w:val="center"/>
          </w:tcPr>
          <w:p w14:paraId="21435EC9">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投标人为制造商的（进口产品除外），须具有相应的医疗器械生产备案获取的备案编号（属于一类时）。</w:t>
            </w:r>
          </w:p>
        </w:tc>
      </w:tr>
      <w:tr w14:paraId="2ED8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68B70CAA">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w:t>
            </w:r>
          </w:p>
        </w:tc>
        <w:tc>
          <w:tcPr>
            <w:tcW w:w="1529" w:type="dxa"/>
            <w:vMerge w:val="continue"/>
            <w:noWrap w:val="0"/>
            <w:vAlign w:val="top"/>
          </w:tcPr>
          <w:p w14:paraId="3F3BA2DA">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47FA0B35">
            <w:pPr>
              <w:pStyle w:val="11"/>
              <w:spacing w:line="360"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投标人须具有与投标产品相应的有效经营备案编号（属于二类时）；（如本次投标产品的注册人、备案人在其住所或者生产地址销售的，无需再办理医疗器械经营许可或备案。）。</w:t>
            </w:r>
          </w:p>
        </w:tc>
      </w:tr>
      <w:tr w14:paraId="7D85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78FB8A37">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w:t>
            </w:r>
          </w:p>
        </w:tc>
        <w:tc>
          <w:tcPr>
            <w:tcW w:w="1529" w:type="dxa"/>
            <w:vMerge w:val="continue"/>
            <w:noWrap w:val="0"/>
            <w:vAlign w:val="top"/>
          </w:tcPr>
          <w:p w14:paraId="137B93B6">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7132B0B9">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1875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B69F7CF">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4</w:t>
            </w:r>
          </w:p>
        </w:tc>
        <w:tc>
          <w:tcPr>
            <w:tcW w:w="8745" w:type="dxa"/>
            <w:gridSpan w:val="2"/>
            <w:noWrap w:val="0"/>
            <w:vAlign w:val="top"/>
          </w:tcPr>
          <w:p w14:paraId="1CBBF87F">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1、投标人所投设备须与医院信息系统连接，由此产生的费用包含在投标总报价中，采购人不另行支付。</w:t>
            </w:r>
          </w:p>
          <w:p w14:paraId="78E72F9E">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498AC09F">
      <w:pPr>
        <w:spacing w:line="360" w:lineRule="auto"/>
        <w:rPr>
          <w:rFonts w:hint="eastAsia" w:ascii="仿宋" w:hAnsi="仿宋" w:eastAsia="仿宋" w:cs="仿宋"/>
          <w:b/>
          <w:color w:val="000000"/>
          <w:sz w:val="24"/>
          <w:highlight w:val="none"/>
        </w:rPr>
      </w:pPr>
    </w:p>
    <w:p w14:paraId="12649C65">
      <w:pPr>
        <w:spacing w:line="360" w:lineRule="auto"/>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注：上述</w:t>
      </w:r>
      <w:r>
        <w:rPr>
          <w:rFonts w:hint="eastAsia" w:ascii="仿宋" w:hAnsi="仿宋" w:eastAsia="仿宋" w:cs="仿宋"/>
          <w:b/>
          <w:sz w:val="24"/>
          <w:highlight w:val="none"/>
        </w:rPr>
        <w:t>商务条款必须全部满足，否则做无效标处理。</w:t>
      </w:r>
    </w:p>
    <w:p w14:paraId="410E2FD3">
      <w:pPr>
        <w:pStyle w:val="5"/>
        <w:ind w:firstLine="0"/>
        <w:rPr>
          <w:rFonts w:hint="eastAsia" w:ascii="仿宋" w:hAnsi="仿宋" w:eastAsia="仿宋" w:cs="仿宋"/>
          <w:b/>
          <w:sz w:val="24"/>
          <w:highlight w:val="none"/>
        </w:rPr>
      </w:pPr>
    </w:p>
    <w:p w14:paraId="7C10FAD0">
      <w:pPr>
        <w:pStyle w:val="5"/>
        <w:rPr>
          <w:rFonts w:hint="eastAsia" w:ascii="仿宋" w:hAnsi="仿宋" w:eastAsia="仿宋" w:cs="仿宋"/>
          <w:b/>
          <w:sz w:val="24"/>
          <w:highlight w:val="none"/>
        </w:rPr>
      </w:pPr>
    </w:p>
    <w:p w14:paraId="6E6A6E60">
      <w:pPr>
        <w:pStyle w:val="5"/>
        <w:rPr>
          <w:rFonts w:hint="eastAsia" w:ascii="仿宋" w:hAnsi="仿宋" w:eastAsia="仿宋" w:cs="仿宋"/>
          <w:b/>
          <w:sz w:val="24"/>
          <w:highlight w:val="none"/>
        </w:rPr>
      </w:pPr>
    </w:p>
    <w:p w14:paraId="48A941A8">
      <w:pPr>
        <w:pStyle w:val="4"/>
        <w:numPr>
          <w:ilvl w:val="0"/>
          <w:numId w:val="1"/>
        </w:numPr>
        <w:spacing w:line="360" w:lineRule="auto"/>
        <w:ind w:firstLine="0" w:firstLineChars="0"/>
        <w:rPr>
          <w:rFonts w:hint="eastAsia" w:ascii="仿宋" w:hAnsi="仿宋" w:eastAsia="仿宋" w:cs="仿宋"/>
          <w:b/>
          <w:bCs/>
          <w:kern w:val="44"/>
          <w:sz w:val="24"/>
          <w:highlight w:val="none"/>
          <w:lang w:val="zh-CN"/>
        </w:rPr>
      </w:pPr>
      <w:r>
        <w:rPr>
          <w:rFonts w:hint="eastAsia" w:ascii="仿宋" w:hAnsi="仿宋" w:eastAsia="仿宋" w:cs="仿宋"/>
          <w:b/>
          <w:bCs/>
          <w:kern w:val="44"/>
          <w:sz w:val="24"/>
          <w:highlight w:val="none"/>
        </w:rPr>
        <w:t>项目技术</w:t>
      </w:r>
      <w:r>
        <w:rPr>
          <w:rFonts w:hint="eastAsia" w:ascii="仿宋" w:hAnsi="仿宋" w:eastAsia="仿宋" w:cs="仿宋"/>
          <w:b/>
          <w:bCs/>
          <w:kern w:val="44"/>
          <w:sz w:val="24"/>
          <w:highlight w:val="none"/>
          <w:lang w:val="zh-CN"/>
        </w:rPr>
        <w:t>需求：</w:t>
      </w:r>
    </w:p>
    <w:p w14:paraId="28987818">
      <w:pPr>
        <w:pStyle w:val="4"/>
        <w:ind w:firstLine="0" w:firstLineChars="0"/>
        <w:rPr>
          <w:b/>
          <w:bCs/>
          <w:highlight w:val="none"/>
          <w:lang w:val="zh-CN"/>
        </w:rPr>
      </w:pPr>
    </w:p>
    <w:p w14:paraId="08A3C1BB">
      <w:pPr>
        <w:wordWrap w:val="0"/>
        <w:spacing w:line="360" w:lineRule="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（一）</w:t>
      </w:r>
      <w:r>
        <w:rPr>
          <w:rFonts w:hint="eastAsia" w:ascii="仿宋" w:hAnsi="仿宋" w:eastAsia="仿宋" w:cs="仿宋"/>
          <w:b/>
          <w:bCs/>
          <w:kern w:val="44"/>
          <w:sz w:val="24"/>
          <w:highlight w:val="none"/>
        </w:rPr>
        <w:t>技术</w:t>
      </w:r>
      <w:r>
        <w:rPr>
          <w:rFonts w:hint="eastAsia" w:ascii="仿宋" w:hAnsi="仿宋" w:eastAsia="仿宋" w:cs="仿宋"/>
          <w:b/>
          <w:bCs/>
          <w:kern w:val="44"/>
          <w:sz w:val="24"/>
          <w:highlight w:val="none"/>
          <w:lang w:val="zh-CN"/>
        </w:rPr>
        <w:t>需求</w:t>
      </w:r>
      <w:r>
        <w:rPr>
          <w:rFonts w:hint="eastAsia" w:ascii="仿宋_GB2312" w:hAnsi="仿宋_GB2312" w:eastAsia="仿宋_GB2312" w:cs="仿宋_GB2312"/>
          <w:b/>
          <w:color w:val="000000"/>
          <w:sz w:val="24"/>
          <w:highlight w:val="none"/>
        </w:rPr>
        <w:t>重要性表述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2913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4908702D">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标识重要性</w:t>
            </w:r>
          </w:p>
        </w:tc>
        <w:tc>
          <w:tcPr>
            <w:tcW w:w="2180" w:type="dxa"/>
            <w:noWrap w:val="0"/>
            <w:vAlign w:val="center"/>
          </w:tcPr>
          <w:p w14:paraId="3A2A7D3F">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标识符号</w:t>
            </w:r>
          </w:p>
        </w:tc>
        <w:tc>
          <w:tcPr>
            <w:tcW w:w="5463" w:type="dxa"/>
            <w:noWrap w:val="0"/>
            <w:vAlign w:val="center"/>
          </w:tcPr>
          <w:p w14:paraId="75034C27">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代表意思</w:t>
            </w:r>
          </w:p>
        </w:tc>
      </w:tr>
      <w:tr w14:paraId="4973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119E99D3">
            <w:pPr>
              <w:widowControl/>
              <w:spacing w:line="360" w:lineRule="auto"/>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关键指标项</w:t>
            </w:r>
          </w:p>
        </w:tc>
        <w:tc>
          <w:tcPr>
            <w:tcW w:w="2180" w:type="dxa"/>
            <w:noWrap w:val="0"/>
            <w:vAlign w:val="center"/>
          </w:tcPr>
          <w:p w14:paraId="1DAA411C">
            <w:pPr>
              <w:widowControl/>
              <w:spacing w:line="36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w:t>
            </w:r>
          </w:p>
        </w:tc>
        <w:tc>
          <w:tcPr>
            <w:tcW w:w="5463" w:type="dxa"/>
            <w:noWrap w:val="0"/>
            <w:vAlign w:val="center"/>
          </w:tcPr>
          <w:p w14:paraId="5E8E749F">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3574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34300273">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一般指标项</w:t>
            </w:r>
          </w:p>
        </w:tc>
        <w:tc>
          <w:tcPr>
            <w:tcW w:w="2180" w:type="dxa"/>
            <w:noWrap w:val="0"/>
            <w:vAlign w:val="center"/>
          </w:tcPr>
          <w:p w14:paraId="3A148365">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无标识项</w:t>
            </w:r>
          </w:p>
        </w:tc>
        <w:tc>
          <w:tcPr>
            <w:tcW w:w="5463" w:type="dxa"/>
            <w:noWrap w:val="0"/>
            <w:vAlign w:val="center"/>
          </w:tcPr>
          <w:p w14:paraId="7C9138C6">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61BD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429B1CC5">
            <w:pPr>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17B86EDC">
      <w:pPr>
        <w:numPr>
          <w:ilvl w:val="0"/>
          <w:numId w:val="2"/>
        </w:num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技术要求</w:t>
      </w:r>
    </w:p>
    <w:tbl>
      <w:tblPr>
        <w:tblStyle w:val="8"/>
        <w:tblW w:w="9005" w:type="dxa"/>
        <w:tblInd w:w="91" w:type="dxa"/>
        <w:tblLayout w:type="autofit"/>
        <w:tblCellMar>
          <w:top w:w="0" w:type="dxa"/>
          <w:left w:w="108" w:type="dxa"/>
          <w:bottom w:w="0" w:type="dxa"/>
          <w:right w:w="108" w:type="dxa"/>
        </w:tblCellMar>
      </w:tblPr>
      <w:tblGrid>
        <w:gridCol w:w="9005"/>
      </w:tblGrid>
      <w:tr w14:paraId="3C9799F7">
        <w:tblPrEx>
          <w:tblCellMar>
            <w:top w:w="0" w:type="dxa"/>
            <w:left w:w="108" w:type="dxa"/>
            <w:bottom w:w="0" w:type="dxa"/>
            <w:right w:w="108" w:type="dxa"/>
          </w:tblCellMar>
        </w:tblPrEx>
        <w:trPr>
          <w:trHeight w:val="850" w:hRule="atLeast"/>
        </w:trPr>
        <w:tc>
          <w:tcPr>
            <w:tcW w:w="9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EE4F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b/>
                <w:bCs/>
                <w:color w:val="000000"/>
                <w:sz w:val="24"/>
                <w:highlight w:val="none"/>
              </w:rPr>
              <w:t>★</w:t>
            </w:r>
            <w:r>
              <w:rPr>
                <w:rFonts w:hint="eastAsia" w:ascii="仿宋" w:hAnsi="仿宋" w:eastAsia="仿宋" w:cs="仿宋"/>
                <w:b/>
                <w:bCs/>
                <w:color w:val="000000"/>
                <w:kern w:val="0"/>
                <w:sz w:val="24"/>
                <w:highlight w:val="none"/>
                <w:lang w:bidi="ar"/>
              </w:rPr>
              <w:t>1、鉴定功能：仪器可鉴定超过500种细菌及真菌，包括革兰阴性杆菌、革兰阳性球菌、真菌、嗜血杆菌及奈瑟氏菌、厌氧菌及棒状杆菌等。</w:t>
            </w:r>
          </w:p>
        </w:tc>
      </w:tr>
      <w:tr w14:paraId="72DA51C8">
        <w:tblPrEx>
          <w:tblCellMar>
            <w:top w:w="0" w:type="dxa"/>
            <w:left w:w="108" w:type="dxa"/>
            <w:bottom w:w="0" w:type="dxa"/>
            <w:right w:w="108" w:type="dxa"/>
          </w:tblCellMar>
        </w:tblPrEx>
        <w:trPr>
          <w:trHeight w:val="352" w:hRule="atLeast"/>
        </w:trPr>
        <w:tc>
          <w:tcPr>
            <w:tcW w:w="9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A3A63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2、通量：设备通量为≥60孔位，最多同时进行60个鉴定或药敏实验。</w:t>
            </w:r>
          </w:p>
        </w:tc>
      </w:tr>
      <w:tr w14:paraId="05C30395">
        <w:tblPrEx>
          <w:tblCellMar>
            <w:top w:w="0" w:type="dxa"/>
            <w:left w:w="108" w:type="dxa"/>
            <w:bottom w:w="0" w:type="dxa"/>
            <w:right w:w="108" w:type="dxa"/>
          </w:tblCellMar>
        </w:tblPrEx>
        <w:trPr>
          <w:trHeight w:val="595" w:hRule="atLeast"/>
        </w:trPr>
        <w:tc>
          <w:tcPr>
            <w:tcW w:w="9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9494A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3、鉴定、药敏卡片：细菌鉴定与药敏试验（检测）卡要求分开单独包装，全封闭式附独立条形码测试卡，检测过程中无需额外加试剂。</w:t>
            </w:r>
          </w:p>
        </w:tc>
      </w:tr>
      <w:tr w14:paraId="3210C59B">
        <w:tblPrEx>
          <w:tblCellMar>
            <w:top w:w="0" w:type="dxa"/>
            <w:left w:w="108" w:type="dxa"/>
            <w:bottom w:w="0" w:type="dxa"/>
            <w:right w:w="108" w:type="dxa"/>
          </w:tblCellMar>
        </w:tblPrEx>
        <w:trPr>
          <w:trHeight w:val="568" w:hRule="atLeast"/>
        </w:trPr>
        <w:tc>
          <w:tcPr>
            <w:tcW w:w="9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8A29E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4、具备自动配制药敏菌悬液。</w:t>
            </w:r>
          </w:p>
        </w:tc>
      </w:tr>
      <w:tr w14:paraId="44132A8F">
        <w:tblPrEx>
          <w:tblCellMar>
            <w:top w:w="0" w:type="dxa"/>
            <w:left w:w="108" w:type="dxa"/>
            <w:bottom w:w="0" w:type="dxa"/>
            <w:right w:w="108" w:type="dxa"/>
          </w:tblCellMar>
        </w:tblPrEx>
        <w:trPr>
          <w:trHeight w:val="323" w:hRule="atLeast"/>
        </w:trPr>
        <w:tc>
          <w:tcPr>
            <w:tcW w:w="9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AD899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5、具备卡片自动化装载。</w:t>
            </w:r>
          </w:p>
        </w:tc>
      </w:tr>
      <w:tr w14:paraId="073772A5">
        <w:tblPrEx>
          <w:tblCellMar>
            <w:top w:w="0" w:type="dxa"/>
            <w:left w:w="108" w:type="dxa"/>
            <w:bottom w:w="0" w:type="dxa"/>
            <w:right w:w="108" w:type="dxa"/>
          </w:tblCellMar>
        </w:tblPrEx>
        <w:trPr>
          <w:trHeight w:val="1679" w:hRule="atLeast"/>
        </w:trPr>
        <w:tc>
          <w:tcPr>
            <w:tcW w:w="9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F7442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关键测试药物：对于革兰阴性菌，可以提供头孢哌酮/舒巴坦、替加环素、头孢他啶-阿维巴坦、依拉环素、粘菌素等药物的药敏检测；对于革兰阳性球菌可以提供达托霉素、替考拉宁等最新药物的药敏检测。对于真菌可以提供卡泊芬净、米卡芬净两种棘白菌素类药物。</w:t>
            </w:r>
          </w:p>
        </w:tc>
      </w:tr>
      <w:tr w14:paraId="4D8E30AB">
        <w:tblPrEx>
          <w:tblCellMar>
            <w:top w:w="0" w:type="dxa"/>
            <w:left w:w="108" w:type="dxa"/>
            <w:bottom w:w="0" w:type="dxa"/>
            <w:right w:w="108" w:type="dxa"/>
          </w:tblCellMar>
        </w:tblPrEx>
        <w:trPr>
          <w:trHeight w:val="773" w:hRule="atLeast"/>
        </w:trPr>
        <w:tc>
          <w:tcPr>
            <w:tcW w:w="9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0ECB9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7、MIC检测范围：可提供5~7个MIC浓度报告范围，完全覆盖CLSI、EUCAST的折点，满足临床根据PK/PD用药的需求。</w:t>
            </w:r>
          </w:p>
        </w:tc>
      </w:tr>
      <w:tr w14:paraId="184B9D56">
        <w:tblPrEx>
          <w:tblCellMar>
            <w:top w:w="0" w:type="dxa"/>
            <w:left w:w="108" w:type="dxa"/>
            <w:bottom w:w="0" w:type="dxa"/>
            <w:right w:w="108" w:type="dxa"/>
          </w:tblCellMar>
        </w:tblPrEx>
        <w:trPr>
          <w:trHeight w:val="850" w:hRule="atLeast"/>
        </w:trPr>
        <w:tc>
          <w:tcPr>
            <w:tcW w:w="9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B674D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8、专家系统中储存有≥50,000张MIC分布图谱，并可以分析≥3,000种的耐药表型；可以根据耐药机理等原理来推导未参加测试的抗生素的结果并一同报告，在病人报告中依照临床特点提出有针对性用药指引。</w:t>
            </w:r>
          </w:p>
        </w:tc>
      </w:tr>
      <w:tr w14:paraId="03CFD652">
        <w:tblPrEx>
          <w:tblCellMar>
            <w:top w:w="0" w:type="dxa"/>
            <w:left w:w="108" w:type="dxa"/>
            <w:bottom w:w="0" w:type="dxa"/>
            <w:right w:w="108" w:type="dxa"/>
          </w:tblCellMar>
        </w:tblPrEx>
        <w:trPr>
          <w:trHeight w:val="850" w:hRule="atLeast"/>
        </w:trPr>
        <w:tc>
          <w:tcPr>
            <w:tcW w:w="9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9D80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9、专家系统可以发现异常耐药表型，并对鉴定+药敏结果进行评价，通过与LIS相配合，90%以上药敏结果可以免去人工审核，直接发送至LIS快速出报告。提升药敏报告的时效性。</w:t>
            </w:r>
          </w:p>
        </w:tc>
      </w:tr>
      <w:tr w14:paraId="519AD16C">
        <w:tblPrEx>
          <w:tblCellMar>
            <w:top w:w="0" w:type="dxa"/>
            <w:left w:w="108" w:type="dxa"/>
            <w:bottom w:w="0" w:type="dxa"/>
            <w:right w:w="108" w:type="dxa"/>
          </w:tblCellMar>
        </w:tblPrEx>
        <w:trPr>
          <w:trHeight w:val="594" w:hRule="atLeast"/>
        </w:trPr>
        <w:tc>
          <w:tcPr>
            <w:tcW w:w="9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7A31F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10、CARSS中间件独立通道：通过新增独立数据传输通道实现与CARSS中间件的连接，保障耐药数据规范快速上报。</w:t>
            </w:r>
          </w:p>
        </w:tc>
      </w:tr>
      <w:tr w14:paraId="2BC8EA44">
        <w:tblPrEx>
          <w:tblCellMar>
            <w:top w:w="0" w:type="dxa"/>
            <w:left w:w="108" w:type="dxa"/>
            <w:bottom w:w="0" w:type="dxa"/>
            <w:right w:w="108" w:type="dxa"/>
          </w:tblCellMar>
        </w:tblPrEx>
        <w:trPr>
          <w:trHeight w:val="531" w:hRule="atLeast"/>
        </w:trPr>
        <w:tc>
          <w:tcPr>
            <w:tcW w:w="90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02E7D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b/>
                <w:bCs/>
                <w:color w:val="000000"/>
                <w:sz w:val="24"/>
                <w:highlight w:val="none"/>
              </w:rPr>
              <w:t>★</w:t>
            </w:r>
            <w:r>
              <w:rPr>
                <w:rFonts w:hint="eastAsia" w:ascii="仿宋" w:hAnsi="仿宋" w:eastAsia="仿宋" w:cs="仿宋"/>
                <w:b/>
                <w:bCs/>
                <w:color w:val="000000"/>
                <w:kern w:val="0"/>
                <w:sz w:val="24"/>
                <w:highlight w:val="none"/>
                <w:lang w:bidi="ar"/>
              </w:rPr>
              <w:t>11、比浊仪：提供可与鉴定药敏系统连接的比浊仪，自动将配制的菌悬液浊度传输到仪器中储存。</w:t>
            </w:r>
          </w:p>
        </w:tc>
      </w:tr>
    </w:tbl>
    <w:p w14:paraId="5FA65788">
      <w:pPr>
        <w:pStyle w:val="2"/>
        <w:pageBreakBefore w:val="0"/>
        <w:widowControl/>
        <w:numPr>
          <w:ilvl w:val="0"/>
          <w:numId w:val="1"/>
        </w:numPr>
        <w:kinsoku/>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eastAsia" w:ascii="仿宋" w:hAnsi="仿宋" w:eastAsia="仿宋" w:cs="仿宋"/>
          <w:b/>
          <w:bCs/>
          <w:kern w:val="44"/>
          <w:sz w:val="24"/>
          <w:szCs w:val="24"/>
          <w:highlight w:val="none"/>
          <w:lang w:val="en-US" w:eastAsia="zh-CN" w:bidi="ar-SA"/>
        </w:rPr>
      </w:pPr>
      <w:r>
        <w:rPr>
          <w:rFonts w:hint="eastAsia" w:ascii="仿宋" w:hAnsi="仿宋" w:eastAsia="仿宋" w:cs="仿宋"/>
          <w:b/>
          <w:bCs/>
          <w:kern w:val="44"/>
          <w:sz w:val="24"/>
          <w:szCs w:val="24"/>
          <w:highlight w:val="none"/>
          <w:lang w:val="en-US" w:eastAsia="zh-CN" w:bidi="ar-SA"/>
        </w:rPr>
        <w:t>其他配套要求：</w:t>
      </w:r>
    </w:p>
    <w:p w14:paraId="302CACE4">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一</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应急服务要求</w:t>
      </w:r>
    </w:p>
    <w:p w14:paraId="60D2E90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备品备件：中标人提供能够满足质量保证期内的设备维修要求的备品备件，备品备件应是新品。中标人应保证10年以上零部件供应期，并对设备故障等突发状况及时响应。</w:t>
      </w:r>
    </w:p>
    <w:p w14:paraId="4784944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专用工具：中标人提供设备安装、调试、验收、维修、保养所必要的专用工具、仪器、仪表等工具。</w:t>
      </w:r>
    </w:p>
    <w:p w14:paraId="7B384BB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 xml:space="preserve"> 接到报修后应及时响应，若未及时修复设备故障，应提供备用设备供院方使用。</w:t>
      </w:r>
    </w:p>
    <w:p w14:paraId="2309122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二</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安装调试、验收试验及质量保证</w:t>
      </w:r>
    </w:p>
    <w:p w14:paraId="77408EC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中标人在设备安装地点负责安装、调试。</w:t>
      </w:r>
    </w:p>
    <w:p w14:paraId="5B02365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具体设备验收标准和程序按采购人要求执行，下列验收程序可参照执行：</w:t>
      </w:r>
    </w:p>
    <w:p w14:paraId="1B859311">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2.1</w:t>
      </w:r>
      <w:r>
        <w:rPr>
          <w:rFonts w:hint="eastAsia" w:ascii="仿宋" w:hAnsi="仿宋" w:eastAsia="仿宋" w:cs="仿宋"/>
          <w:color w:val="000000"/>
          <w:kern w:val="0"/>
          <w:sz w:val="24"/>
          <w:highlight w:val="none"/>
          <w:lang w:bidi="ar"/>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r>
        <w:rPr>
          <w:rFonts w:hint="eastAsia" w:ascii="仿宋" w:hAnsi="仿宋" w:eastAsia="仿宋" w:cs="仿宋"/>
          <w:color w:val="000000"/>
          <w:kern w:val="0"/>
          <w:sz w:val="24"/>
          <w:highlight w:val="none"/>
          <w:lang w:eastAsia="zh-CN" w:bidi="ar"/>
        </w:rPr>
        <w:t>；</w:t>
      </w:r>
    </w:p>
    <w:p w14:paraId="2E4F0DDB">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2.2</w:t>
      </w:r>
      <w:r>
        <w:rPr>
          <w:rFonts w:hint="eastAsia" w:ascii="仿宋" w:hAnsi="仿宋" w:eastAsia="仿宋" w:cs="仿宋"/>
          <w:color w:val="000000"/>
          <w:kern w:val="0"/>
          <w:sz w:val="24"/>
          <w:highlight w:val="none"/>
          <w:lang w:bidi="ar"/>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r>
        <w:rPr>
          <w:rFonts w:hint="eastAsia" w:ascii="仿宋" w:hAnsi="仿宋" w:eastAsia="仿宋" w:cs="仿宋"/>
          <w:color w:val="000000"/>
          <w:kern w:val="0"/>
          <w:sz w:val="24"/>
          <w:highlight w:val="none"/>
          <w:lang w:eastAsia="zh-CN" w:bidi="ar"/>
        </w:rPr>
        <w:t>；</w:t>
      </w:r>
    </w:p>
    <w:p w14:paraId="2DF4CA1F">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2.3</w:t>
      </w:r>
      <w:r>
        <w:rPr>
          <w:rFonts w:hint="eastAsia" w:ascii="仿宋" w:hAnsi="仿宋" w:eastAsia="仿宋" w:cs="仿宋"/>
          <w:color w:val="000000"/>
          <w:kern w:val="0"/>
          <w:sz w:val="24"/>
          <w:highlight w:val="none"/>
          <w:lang w:bidi="ar"/>
        </w:rPr>
        <w:t>中标人应根据采购人使用单位的技术要求提供相应的产品。由中标人所提供的设备部件间的连线和插接件均应视为设备内部器件，包含在相应的设备之中</w:t>
      </w:r>
      <w:r>
        <w:rPr>
          <w:rFonts w:hint="eastAsia" w:ascii="仿宋" w:hAnsi="仿宋" w:eastAsia="仿宋" w:cs="仿宋"/>
          <w:color w:val="000000"/>
          <w:kern w:val="0"/>
          <w:sz w:val="24"/>
          <w:highlight w:val="none"/>
          <w:lang w:eastAsia="zh-CN" w:bidi="ar"/>
        </w:rPr>
        <w:t>；</w:t>
      </w:r>
    </w:p>
    <w:p w14:paraId="3E815FDC">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2.4</w:t>
      </w:r>
      <w:r>
        <w:rPr>
          <w:rFonts w:hint="eastAsia" w:ascii="仿宋" w:hAnsi="仿宋" w:eastAsia="仿宋" w:cs="仿宋"/>
          <w:color w:val="000000"/>
          <w:kern w:val="0"/>
          <w:sz w:val="24"/>
          <w:highlight w:val="none"/>
          <w:lang w:bidi="ar"/>
        </w:rPr>
        <w:t>运行测试及最终验收。在系统安装、调试结束后，采购人对其进行全面的测试，对测试中暴露出来的问题，中标人应及时进行整改，系统最终测试完毕经验收合格后，采购人应向中标人签发最终验收证明</w:t>
      </w:r>
      <w:r>
        <w:rPr>
          <w:rFonts w:hint="eastAsia" w:ascii="仿宋" w:hAnsi="仿宋" w:eastAsia="仿宋" w:cs="仿宋"/>
          <w:color w:val="000000"/>
          <w:kern w:val="0"/>
          <w:sz w:val="24"/>
          <w:highlight w:val="none"/>
          <w:lang w:eastAsia="zh-CN" w:bidi="ar"/>
        </w:rPr>
        <w:t>；</w:t>
      </w:r>
    </w:p>
    <w:p w14:paraId="53F8C6B8">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2.5</w:t>
      </w:r>
      <w:r>
        <w:rPr>
          <w:rFonts w:hint="eastAsia" w:ascii="仿宋" w:hAnsi="仿宋" w:eastAsia="仿宋" w:cs="仿宋"/>
          <w:color w:val="000000"/>
          <w:kern w:val="0"/>
          <w:sz w:val="24"/>
          <w:highlight w:val="none"/>
          <w:lang w:bidi="ar"/>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76A6CAAE">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2.6</w:t>
      </w:r>
      <w:r>
        <w:rPr>
          <w:rFonts w:hint="eastAsia" w:ascii="仿宋" w:hAnsi="仿宋" w:eastAsia="仿宋" w:cs="仿宋"/>
          <w:color w:val="000000"/>
          <w:kern w:val="0"/>
          <w:sz w:val="24"/>
          <w:highlight w:val="none"/>
          <w:lang w:bidi="ar"/>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2803DC5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三</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包装运输</w:t>
      </w:r>
    </w:p>
    <w:p w14:paraId="535B81C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中标人负责设备包装、办理运输和保险，将设备安全运抵交货地点。</w:t>
      </w:r>
    </w:p>
    <w:p w14:paraId="30FE7D8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设备制造完成并通过试验后应及时包装，否则应得到切实的保护，确保其不受污损。</w:t>
      </w:r>
    </w:p>
    <w:p w14:paraId="17C35966">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在包装箱外应标明采购人的订货号、发货号。</w:t>
      </w:r>
    </w:p>
    <w:p w14:paraId="657B96E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各种包装应能确保各零部件在运输过程中不致遭到损坏、丢失、变形、受潮和腐蚀。</w:t>
      </w:r>
    </w:p>
    <w:p w14:paraId="0F4759E6">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包装箱上应有明显的包装储运图示标志。</w:t>
      </w:r>
    </w:p>
    <w:p w14:paraId="1E9CF88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6.</w:t>
      </w:r>
      <w:r>
        <w:rPr>
          <w:rFonts w:hint="eastAsia" w:ascii="仿宋" w:hAnsi="仿宋" w:eastAsia="仿宋" w:cs="仿宋"/>
          <w:color w:val="000000"/>
          <w:kern w:val="0"/>
          <w:sz w:val="24"/>
          <w:highlight w:val="none"/>
          <w:lang w:bidi="ar"/>
        </w:rPr>
        <w:t>整体产品或分别运输的部件都要适应运输和装载的要求。</w:t>
      </w:r>
    </w:p>
    <w:p w14:paraId="4387ACA5">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7.</w:t>
      </w:r>
      <w:r>
        <w:rPr>
          <w:rFonts w:hint="eastAsia" w:ascii="仿宋" w:hAnsi="仿宋" w:eastAsia="仿宋" w:cs="仿宋"/>
          <w:color w:val="000000"/>
          <w:kern w:val="0"/>
          <w:sz w:val="24"/>
          <w:highlight w:val="none"/>
          <w:lang w:bidi="ar"/>
        </w:rPr>
        <w:t>随产品提供的技术资料应完整无缺。</w:t>
      </w:r>
    </w:p>
    <w:p w14:paraId="40171DE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四</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培训要求</w:t>
      </w:r>
    </w:p>
    <w:p w14:paraId="05A6901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56BB6B8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设备使用培训：不少于2人，直至完全掌握设备应用技术，并获厂方资质许可；免一切费用(包含交通、食宿、资料、工具材料等所有与培训相关的费用)。</w:t>
      </w:r>
    </w:p>
    <w:p w14:paraId="3D1A1F8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五</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质保及售后服务</w:t>
      </w:r>
    </w:p>
    <w:p w14:paraId="39C352F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自双方签订《验收报告》起进入免费质保期。</w:t>
      </w:r>
    </w:p>
    <w:p w14:paraId="30E26F8C">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06D174F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六</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其他</w:t>
      </w:r>
    </w:p>
    <w:p w14:paraId="55031E8C">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投标人所投产品应为性能稳定、安全的成熟设备，故障率低、维修便利，并在投标文件中针对</w:t>
      </w:r>
      <w:bookmarkStart w:id="1" w:name="_GoBack"/>
      <w:bookmarkEnd w:id="1"/>
      <w:r>
        <w:rPr>
          <w:rFonts w:hint="eastAsia" w:ascii="仿宋" w:hAnsi="仿宋" w:eastAsia="仿宋" w:cs="仿宋"/>
          <w:color w:val="000000"/>
          <w:kern w:val="0"/>
          <w:sz w:val="24"/>
          <w:highlight w:val="none"/>
          <w:lang w:bidi="ar"/>
        </w:rPr>
        <w:t>所投产品技术先进性、设备性能、配置情况、设计等方面进行阐述说明，提供相应证明材料。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C0891"/>
    <w:rsid w:val="129D77F1"/>
    <w:rsid w:val="1F2D5D92"/>
    <w:rsid w:val="4D743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5"/>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qFormat/>
    <w:uiPriority w:val="99"/>
    <w:pPr>
      <w:spacing w:after="120" w:afterLines="0"/>
      <w:ind w:left="420" w:leftChars="200"/>
    </w:pPr>
  </w:style>
  <w:style w:type="paragraph" w:styleId="7">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0">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5052</Words>
  <Characters>5507</Characters>
  <Lines>0</Lines>
  <Paragraphs>0</Paragraphs>
  <TotalTime>0</TotalTime>
  <ScaleCrop>false</ScaleCrop>
  <LinksUpToDate>false</LinksUpToDate>
  <CharactersWithSpaces>5571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2025-11-30T11:47:00Z</dcterms:created>
  <dc:creator>1</dc:creator>
  <cp:lastModifiedBy>豆奶是个小胖子</cp:lastModifiedBy>
  <dcterms:modified xsi:type="dcterms:W3CDTF">2025-11-30T12:35:00Z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eyJoZGlkIjoiNzUyOTA3MTdkN2ZkZGNjNWU1MDc2NTE0MWNiZTE2MDkiLCJ1c2VySWQiOiIzMDI3OTc1ODcifQ==</vt:lpwstr>
  </property>
  <property fmtid="{D5CDD505-2E9C-101B-9397-08002B2CF9AE}" pid="4" name="ICV">
    <vt:lpwstr>BA952FDCD16147F987985432D78BE9C0_12</vt:lpwstr>
  </property>
</Properties>
</file>