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2E1AF">
      <w:pPr>
        <w:pStyle w:val="2"/>
        <w:widowControl/>
        <w:snapToGrid w:val="0"/>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6D34E92">
      <w:pPr>
        <w:pStyle w:val="3"/>
        <w:rPr>
          <w:rStyle w:val="7"/>
          <w:rFonts w:hint="eastAsia" w:ascii="仿宋" w:hAnsi="仿宋" w:eastAsia="仿宋" w:cs="仿宋"/>
          <w:b/>
          <w:bCs/>
          <w:color w:val="auto"/>
          <w:sz w:val="24"/>
          <w:szCs w:val="24"/>
          <w:highlight w:val="none"/>
        </w:rPr>
      </w:pPr>
      <w:bookmarkStart w:id="0" w:name="_Toc455587273"/>
      <w:bookmarkStart w:id="1" w:name="_Toc455587089"/>
      <w:bookmarkStart w:id="2" w:name="_Toc466024556"/>
      <w:bookmarkStart w:id="3" w:name="_Toc445554747"/>
      <w:r>
        <w:rPr>
          <w:rStyle w:val="7"/>
          <w:rFonts w:hint="eastAsia" w:ascii="仿宋" w:hAnsi="仿宋" w:eastAsia="仿宋" w:cs="仿宋"/>
          <w:b/>
          <w:bCs/>
          <w:color w:val="auto"/>
          <w:sz w:val="24"/>
          <w:szCs w:val="24"/>
          <w:highlight w:val="none"/>
        </w:rPr>
        <w:t xml:space="preserve">一. </w:t>
      </w:r>
      <w:bookmarkEnd w:id="0"/>
      <w:bookmarkEnd w:id="1"/>
      <w:bookmarkEnd w:id="2"/>
      <w:r>
        <w:rPr>
          <w:rStyle w:val="7"/>
          <w:rFonts w:hint="eastAsia" w:ascii="仿宋" w:hAnsi="仿宋" w:eastAsia="仿宋" w:cs="仿宋"/>
          <w:b/>
          <w:bCs/>
          <w:color w:val="auto"/>
          <w:sz w:val="24"/>
          <w:szCs w:val="24"/>
          <w:highlight w:val="none"/>
        </w:rPr>
        <w:t>总体说明</w:t>
      </w:r>
    </w:p>
    <w:p w14:paraId="7AA5DB59">
      <w:pPr>
        <w:widowControl/>
        <w:tabs>
          <w:tab w:val="left" w:pos="1406"/>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章所提出的技术要求是对本次采购的基本要求，并未涉及所有技术细节，也未充分引述有关标准、规范的全部条款。供应商应保证除了满足本技术要求外，还应符合中国国家、行业、地方或服务提供商所在国的有关强制性标准、规范。当上述标准、规范的有关规定之间存在差异时，应以要求高的为准。</w:t>
      </w:r>
    </w:p>
    <w:p w14:paraId="191D7D69">
      <w:pPr>
        <w:widowControl/>
        <w:tabs>
          <w:tab w:val="left" w:pos="1406"/>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1D991053">
      <w:pPr>
        <w:widowControl/>
        <w:tabs>
          <w:tab w:val="left" w:pos="1406"/>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对于标注“※”条款的规定见第二章供应商前附表第6.2.3项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本项目无</w:t>
      </w:r>
      <w:r>
        <w:rPr>
          <w:rFonts w:hint="eastAsia" w:ascii="仿宋" w:hAnsi="仿宋" w:eastAsia="仿宋" w:cs="仿宋"/>
          <w:color w:val="auto"/>
          <w:sz w:val="24"/>
          <w:highlight w:val="none"/>
        </w:rPr>
        <w:t>“※”条款；实质性变动的内容，须经采购人代表确认。</w:t>
      </w:r>
    </w:p>
    <w:p w14:paraId="52FCB5C3">
      <w:pPr>
        <w:pStyle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项目概况及总体要求</w:t>
      </w:r>
    </w:p>
    <w:p w14:paraId="4EE5FF56">
      <w:pPr>
        <w:widowControl/>
        <w:tabs>
          <w:tab w:val="left" w:pos="1406"/>
        </w:tabs>
        <w:wordWrap/>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设计施工一体化项目，旨在打造具有智能会务能力特色公共空间，主要依据采购人实际使用需求，对会议室灯光效果、会务实时无死角监控、音影收录、话务实时对讲播放，会务实景音影投屏显示器播放等装置；外墙雨水渗漏检测；防水改造施工；恢复内外墙原貌装饰功能及效果。室内部分改造及翻新；办公楼走廊雨水渗漏检测，防水改造施工；恢复原貌装饰功能及效果。空调维修及保养。九层及五层所有公共卫生间拆除原装饰后重新设计及使用功能升级改造。一楼大厅及楼层及电梯间办公功能区引导宣传装置提升，大厅、楼层、电梯间、会议室等空间进行氛围提升，以及室内相应空间墙面，顶面，地面，照明灯具，开关线路的改造提升。冷热水设备功能及效果提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具体为：</w:t>
      </w:r>
    </w:p>
    <w:p w14:paraId="22547ED6">
      <w:pPr>
        <w:widowControl/>
        <w:tabs>
          <w:tab w:val="left" w:pos="1406"/>
        </w:tabs>
        <w:wordWrap/>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（1）设计范围：主要包含满足项目使用功能配套的所有专业工程和附属配</w:t>
      </w:r>
      <w:r>
        <w:rPr>
          <w:rFonts w:hint="eastAsia" w:ascii="仿宋" w:hAnsi="仿宋" w:eastAsia="仿宋" w:cs="仿宋"/>
          <w:color w:val="auto"/>
          <w:sz w:val="24"/>
          <w:szCs w:val="24"/>
          <w:highlight w:val="none"/>
          <w:lang w:val="en-US" w:eastAsia="zh-CN"/>
        </w:rPr>
        <w:t>套</w:t>
      </w:r>
      <w:r>
        <w:rPr>
          <w:rFonts w:hint="eastAsia" w:ascii="仿宋" w:hAnsi="仿宋" w:eastAsia="仿宋" w:cs="仿宋"/>
          <w:color w:val="auto"/>
          <w:sz w:val="24"/>
          <w:szCs w:val="24"/>
          <w:highlight w:val="none"/>
        </w:rPr>
        <w:t>工程的方案设计、施工图设计。</w:t>
      </w:r>
    </w:p>
    <w:p w14:paraId="7476AD25">
      <w:pPr>
        <w:widowControl/>
        <w:tabs>
          <w:tab w:val="left" w:pos="1406"/>
        </w:tabs>
        <w:wordWrap/>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（2）施工范围：与本项目有关的所有工程，包含但不限于设计图纸范围内的满足项目使用功能配套的所有专业工程和附属配套工程。</w:t>
      </w:r>
    </w:p>
    <w:p w14:paraId="173023F5">
      <w:pPr>
        <w:pStyle w:val="3"/>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 商务要求</w:t>
      </w:r>
    </w:p>
    <w:p w14:paraId="7B5FE20E">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w:t>
      </w:r>
      <w:r>
        <w:rPr>
          <w:rFonts w:hint="eastAsia" w:ascii="仿宋" w:hAnsi="仿宋" w:eastAsia="仿宋" w:cs="仿宋"/>
          <w:b/>
          <w:bCs/>
          <w:color w:val="auto"/>
          <w:sz w:val="24"/>
          <w:szCs w:val="32"/>
          <w:highlight w:val="none"/>
          <w:lang w:val="en-US" w:eastAsia="zh-CN"/>
        </w:rPr>
        <w:t>包别1和包别2的</w:t>
      </w:r>
      <w:r>
        <w:rPr>
          <w:rFonts w:hint="eastAsia" w:ascii="仿宋" w:hAnsi="仿宋" w:eastAsia="仿宋" w:cs="仿宋"/>
          <w:b/>
          <w:bCs/>
          <w:color w:val="auto"/>
          <w:sz w:val="24"/>
          <w:szCs w:val="32"/>
          <w:highlight w:val="none"/>
        </w:rPr>
        <w:t>实质性要求。</w:t>
      </w:r>
    </w:p>
    <w:tbl>
      <w:tblPr>
        <w:tblStyle w:val="8"/>
        <w:tblW w:w="98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27"/>
        <w:gridCol w:w="8427"/>
      </w:tblGrid>
      <w:tr w14:paraId="35216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82" w:type="dxa"/>
            <w:noWrap w:val="0"/>
            <w:vAlign w:val="top"/>
          </w:tcPr>
          <w:p w14:paraId="14E7E072">
            <w:pPr>
              <w:keepNext w:val="0"/>
              <w:keepLines w:val="0"/>
              <w:pageBreakBefore w:val="0"/>
              <w:widowControl w:val="0"/>
              <w:kinsoku w:val="0"/>
              <w:wordWrap/>
              <w:overflowPunct/>
              <w:topLinePunct w:val="0"/>
              <w:autoSpaceDE w:val="0"/>
              <w:autoSpaceDN w:val="0"/>
              <w:bidi w:val="0"/>
              <w:adjustRightInd w:val="0"/>
              <w:snapToGrid w:val="0"/>
              <w:spacing w:before="41" w:line="400" w:lineRule="exact"/>
              <w:ind w:left="123" w:right="347" w:firstLine="6"/>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合同履行期限（工</w:t>
            </w:r>
            <w:r>
              <w:rPr>
                <w:rFonts w:hint="eastAsia" w:ascii="仿宋" w:hAnsi="仿宋" w:eastAsia="仿宋" w:cs="仿宋"/>
                <w:snapToGrid w:val="0"/>
                <w:color w:val="auto"/>
                <w:spacing w:val="-8"/>
                <w:kern w:val="0"/>
                <w:sz w:val="24"/>
                <w:szCs w:val="24"/>
                <w:highlight w:val="none"/>
                <w:lang w:val="en-US" w:eastAsia="en-US" w:bidi="ar-SA"/>
              </w:rPr>
              <w:t>期）</w:t>
            </w:r>
          </w:p>
        </w:tc>
        <w:tc>
          <w:tcPr>
            <w:tcW w:w="7568" w:type="dxa"/>
            <w:noWrap w:val="0"/>
            <w:vAlign w:val="top"/>
          </w:tcPr>
          <w:p w14:paraId="6A16FAB7">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1" w:right="17" w:firstLine="0"/>
              <w:jc w:val="both"/>
              <w:textAlignment w:val="baseline"/>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合同生效之日起，60个日历天。其中：（1）设计工期：合同生效之日起，15个日历天内提交方案设计、施工图设计成果文件；（2）施工工期：合同生效之日起，60个日历天内完成。</w:t>
            </w:r>
          </w:p>
          <w:p w14:paraId="62429787">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left="2057" w:right="4543" w:hanging="193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是否接受负偏离：</w:t>
            </w:r>
            <w:r>
              <w:rPr>
                <w:rFonts w:hint="eastAsia" w:ascii="仿宋" w:hAnsi="仿宋" w:eastAsia="仿宋" w:cs="仿宋"/>
                <w:snapToGrid w:val="0"/>
                <w:color w:val="auto"/>
                <w:spacing w:val="-22"/>
                <w:kern w:val="0"/>
                <w:sz w:val="24"/>
                <w:szCs w:val="24"/>
                <w:highlight w:val="none"/>
                <w:lang w:val="en-US" w:eastAsia="zh-CN" w:bidi="ar-SA"/>
              </w:rPr>
              <w:t>☑</w:t>
            </w:r>
            <w:r>
              <w:rPr>
                <w:rFonts w:hint="eastAsia" w:ascii="仿宋" w:hAnsi="仿宋" w:eastAsia="仿宋" w:cs="仿宋"/>
                <w:snapToGrid w:val="0"/>
                <w:color w:val="auto"/>
                <w:kern w:val="0"/>
                <w:sz w:val="24"/>
                <w:szCs w:val="24"/>
                <w:highlight w:val="none"/>
                <w:lang w:val="en-US" w:eastAsia="en-US" w:bidi="ar-SA"/>
              </w:rPr>
              <w:t>不接受</w:t>
            </w:r>
          </w:p>
          <w:p w14:paraId="23979B8F">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right="4543" w:firstLine="2156" w:firstLineChars="11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2"/>
                <w:kern w:val="0"/>
                <w:sz w:val="24"/>
                <w:szCs w:val="24"/>
                <w:highlight w:val="none"/>
                <w:lang w:val="en-US" w:eastAsia="en-US" w:bidi="ar-SA"/>
              </w:rPr>
              <w:t>□接受：</w:t>
            </w:r>
          </w:p>
          <w:p w14:paraId="7B1AF9F1">
            <w:pPr>
              <w:keepNext w:val="0"/>
              <w:keepLines w:val="0"/>
              <w:pageBreakBefore w:val="0"/>
              <w:widowControl w:val="0"/>
              <w:kinsoku w:val="0"/>
              <w:wordWrap/>
              <w:overflowPunct/>
              <w:topLinePunct w:val="0"/>
              <w:autoSpaceDE w:val="0"/>
              <w:autoSpaceDN w:val="0"/>
              <w:bidi w:val="0"/>
              <w:adjustRightInd w:val="0"/>
              <w:snapToGrid w:val="0"/>
              <w:spacing w:line="400" w:lineRule="exact"/>
              <w:ind w:left="228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允许偏离的幅度：/</w:t>
            </w:r>
          </w:p>
        </w:tc>
      </w:tr>
      <w:tr w14:paraId="2D3BD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82" w:type="dxa"/>
            <w:noWrap w:val="0"/>
            <w:vAlign w:val="top"/>
          </w:tcPr>
          <w:p w14:paraId="70928AAA">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9"/>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5"/>
                <w:kern w:val="0"/>
                <w:sz w:val="24"/>
                <w:szCs w:val="24"/>
                <w:highlight w:val="none"/>
                <w:lang w:val="en-US" w:eastAsia="en-US" w:bidi="ar-SA"/>
              </w:rPr>
              <w:t>工程地点</w:t>
            </w:r>
          </w:p>
        </w:tc>
        <w:tc>
          <w:tcPr>
            <w:tcW w:w="7568" w:type="dxa"/>
            <w:noWrap w:val="0"/>
            <w:vAlign w:val="top"/>
          </w:tcPr>
          <w:p w14:paraId="5B7956FB">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采购人指定地点</w:t>
            </w:r>
          </w:p>
        </w:tc>
      </w:tr>
      <w:tr w14:paraId="226A7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82" w:type="dxa"/>
            <w:noWrap w:val="0"/>
            <w:vAlign w:val="top"/>
          </w:tcPr>
          <w:p w14:paraId="6AEB9E98">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3"/>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付款方式</w:t>
            </w:r>
          </w:p>
        </w:tc>
        <w:tc>
          <w:tcPr>
            <w:tcW w:w="7568" w:type="dxa"/>
            <w:noWrap w:val="0"/>
            <w:vAlign w:val="top"/>
          </w:tcPr>
          <w:p w14:paraId="2CCBC2D7">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1" w:right="17"/>
              <w:jc w:val="both"/>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1"/>
                <w:kern w:val="0"/>
                <w:sz w:val="24"/>
                <w:szCs w:val="24"/>
                <w:highlight w:val="none"/>
                <w:lang w:val="en-US" w:eastAsia="en-US" w:bidi="ar-SA"/>
              </w:rPr>
              <w:t>预付款支付方式：</w:t>
            </w:r>
            <w:r>
              <w:rPr>
                <w:rFonts w:hint="eastAsia" w:ascii="仿宋" w:hAnsi="仿宋" w:eastAsia="仿宋" w:cs="仿宋"/>
                <w:b/>
                <w:bCs/>
                <w:snapToGrid w:val="0"/>
                <w:color w:val="auto"/>
                <w:spacing w:val="-11"/>
                <w:kern w:val="0"/>
                <w:sz w:val="24"/>
                <w:szCs w:val="24"/>
                <w:highlight w:val="none"/>
                <w:lang w:val="en-US" w:eastAsia="en-US" w:bidi="ar-SA"/>
              </w:rPr>
              <w:t>预付款为合同总金额（扣除暂列金、暂估价）的40%。</w:t>
            </w:r>
            <w:r>
              <w:rPr>
                <w:rFonts w:hint="eastAsia" w:ascii="仿宋" w:hAnsi="仿宋" w:eastAsia="仿宋" w:cs="仿宋"/>
                <w:snapToGrid w:val="0"/>
                <w:color w:val="auto"/>
                <w:spacing w:val="1"/>
                <w:kern w:val="0"/>
                <w:sz w:val="24"/>
                <w:szCs w:val="24"/>
                <w:highlight w:val="none"/>
                <w:lang w:val="en-US" w:eastAsia="en-US" w:bidi="ar-SA"/>
              </w:rPr>
              <w:t>成交供应商需提供预付款保函，预付款在合同、担保措施生效以及具</w:t>
            </w:r>
            <w:r>
              <w:rPr>
                <w:rFonts w:hint="eastAsia" w:ascii="仿宋" w:hAnsi="仿宋" w:eastAsia="仿宋" w:cs="仿宋"/>
                <w:snapToGrid w:val="0"/>
                <w:color w:val="auto"/>
                <w:spacing w:val="-5"/>
                <w:kern w:val="0"/>
                <w:sz w:val="24"/>
                <w:szCs w:val="24"/>
                <w:highlight w:val="none"/>
                <w:lang w:val="en-US" w:eastAsia="en-US" w:bidi="ar-SA"/>
              </w:rPr>
              <w:t>备实施条件后5个工作日内支付。</w:t>
            </w:r>
          </w:p>
          <w:p w14:paraId="66D4A17A">
            <w:pPr>
              <w:keepNext w:val="0"/>
              <w:keepLines w:val="0"/>
              <w:pageBreakBefore w:val="0"/>
              <w:widowControl w:val="0"/>
              <w:kinsoku w:val="0"/>
              <w:wordWrap/>
              <w:overflowPunct/>
              <w:topLinePunct w:val="0"/>
              <w:autoSpaceDE w:val="0"/>
              <w:autoSpaceDN w:val="0"/>
              <w:bidi w:val="0"/>
              <w:adjustRightInd w:val="0"/>
              <w:snapToGrid w:val="0"/>
              <w:spacing w:before="40" w:line="400" w:lineRule="exact"/>
              <w:ind w:left="1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8"/>
                <w:kern w:val="0"/>
                <w:sz w:val="24"/>
                <w:szCs w:val="24"/>
                <w:highlight w:val="none"/>
                <w:lang w:val="en-US" w:eastAsia="en-US" w:bidi="ar-SA"/>
              </w:rPr>
              <w:t>预付款保函要求：</w:t>
            </w:r>
          </w:p>
          <w:p w14:paraId="213C977A">
            <w:pPr>
              <w:keepNext w:val="0"/>
              <w:keepLines w:val="0"/>
              <w:pageBreakBefore w:val="0"/>
              <w:widowControl w:val="0"/>
              <w:kinsoku w:val="0"/>
              <w:wordWrap/>
              <w:overflowPunct/>
              <w:topLinePunct w:val="0"/>
              <w:autoSpaceDE w:val="0"/>
              <w:autoSpaceDN w:val="0"/>
              <w:bidi w:val="0"/>
              <w:adjustRightInd w:val="0"/>
              <w:snapToGrid w:val="0"/>
              <w:spacing w:before="93" w:line="400" w:lineRule="exact"/>
              <w:ind w:left="125" w:right="125" w:hanging="5"/>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（1）成交供应商提供保函的受益人和收取单位须为采购人，担保期限</w:t>
            </w:r>
            <w:r>
              <w:rPr>
                <w:rFonts w:hint="eastAsia" w:ascii="仿宋" w:hAnsi="仿宋" w:eastAsia="仿宋" w:cs="仿宋"/>
                <w:snapToGrid w:val="0"/>
                <w:color w:val="auto"/>
                <w:spacing w:val="-5"/>
                <w:kern w:val="0"/>
                <w:sz w:val="24"/>
                <w:szCs w:val="24"/>
                <w:highlight w:val="none"/>
                <w:lang w:val="en-US" w:eastAsia="en-US" w:bidi="ar-SA"/>
              </w:rPr>
              <w:t>不少于合同履约期限。</w:t>
            </w:r>
          </w:p>
          <w:p w14:paraId="729FADD8">
            <w:pPr>
              <w:keepNext w:val="0"/>
              <w:keepLines w:val="0"/>
              <w:pageBreakBefore w:val="0"/>
              <w:widowControl w:val="0"/>
              <w:kinsoku w:val="0"/>
              <w:wordWrap/>
              <w:overflowPunct/>
              <w:topLinePunct w:val="0"/>
              <w:autoSpaceDE w:val="0"/>
              <w:autoSpaceDN w:val="0"/>
              <w:bidi w:val="0"/>
              <w:adjustRightInd w:val="0"/>
              <w:snapToGrid w:val="0"/>
              <w:spacing w:before="107"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（2）保函形式：☑银行保函☑担保机构担保☑保证保险☑电子保函</w:t>
            </w:r>
          </w:p>
          <w:p w14:paraId="606C22E8">
            <w:pPr>
              <w:keepNext w:val="0"/>
              <w:keepLines w:val="0"/>
              <w:pageBreakBefore w:val="0"/>
              <w:widowControl w:val="0"/>
              <w:kinsoku w:val="0"/>
              <w:wordWrap/>
              <w:overflowPunct/>
              <w:topLinePunct w:val="0"/>
              <w:autoSpaceDE w:val="0"/>
              <w:autoSpaceDN w:val="0"/>
              <w:bidi w:val="0"/>
              <w:adjustRightInd w:val="0"/>
              <w:snapToGrid w:val="0"/>
              <w:spacing w:before="75"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（3）保函递交要求：</w:t>
            </w:r>
          </w:p>
          <w:p w14:paraId="071FCFF3">
            <w:pPr>
              <w:keepNext w:val="0"/>
              <w:keepLines w:val="0"/>
              <w:pageBreakBefore w:val="0"/>
              <w:widowControl w:val="0"/>
              <w:kinsoku w:val="0"/>
              <w:wordWrap/>
              <w:overflowPunct/>
              <w:topLinePunct w:val="0"/>
              <w:autoSpaceDE w:val="0"/>
              <w:autoSpaceDN w:val="0"/>
              <w:bidi w:val="0"/>
              <w:adjustRightInd w:val="0"/>
              <w:snapToGrid w:val="0"/>
              <w:spacing w:before="44" w:line="400" w:lineRule="exact"/>
              <w:ind w:left="131" w:right="107" w:hanging="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①如采用银行保函，银行保函应为见索即付无条件独立保</w:t>
            </w:r>
            <w:r>
              <w:rPr>
                <w:rFonts w:hint="eastAsia" w:ascii="仿宋" w:hAnsi="仿宋" w:eastAsia="仿宋" w:cs="仿宋"/>
                <w:snapToGrid w:val="0"/>
                <w:color w:val="auto"/>
                <w:spacing w:val="1"/>
                <w:kern w:val="0"/>
                <w:sz w:val="24"/>
                <w:szCs w:val="24"/>
                <w:highlight w:val="none"/>
                <w:lang w:val="en-US" w:eastAsia="en-US" w:bidi="ar-SA"/>
              </w:rPr>
              <w:t>函，且应将</w:t>
            </w:r>
            <w:r>
              <w:rPr>
                <w:rFonts w:hint="eastAsia" w:ascii="仿宋" w:hAnsi="仿宋" w:eastAsia="仿宋" w:cs="仿宋"/>
                <w:snapToGrid w:val="0"/>
                <w:color w:val="auto"/>
                <w:spacing w:val="-5"/>
                <w:kern w:val="0"/>
                <w:sz w:val="24"/>
                <w:szCs w:val="24"/>
                <w:highlight w:val="none"/>
                <w:lang w:val="en-US" w:eastAsia="en-US" w:bidi="ar-SA"/>
              </w:rPr>
              <w:t>原件交至采购人保管。</w:t>
            </w:r>
            <w:r>
              <w:rPr>
                <w:rFonts w:hint="eastAsia" w:ascii="仿宋" w:hAnsi="仿宋" w:eastAsia="仿宋" w:cs="仿宋"/>
                <w:snapToGrid w:val="0"/>
                <w:color w:val="auto"/>
                <w:spacing w:val="2"/>
                <w:kern w:val="0"/>
                <w:sz w:val="24"/>
                <w:szCs w:val="24"/>
                <w:highlight w:val="none"/>
                <w:lang w:val="en-US" w:eastAsia="en-US" w:bidi="ar-SA"/>
              </w:rPr>
              <w:t>②采用担保机构担保的，应为依法取得融资担保业务经营许</w:t>
            </w:r>
            <w:r>
              <w:rPr>
                <w:rFonts w:hint="eastAsia" w:ascii="仿宋" w:hAnsi="仿宋" w:eastAsia="仿宋" w:cs="仿宋"/>
                <w:snapToGrid w:val="0"/>
                <w:color w:val="auto"/>
                <w:spacing w:val="1"/>
                <w:kern w:val="0"/>
                <w:sz w:val="24"/>
                <w:szCs w:val="24"/>
                <w:highlight w:val="none"/>
                <w:lang w:val="en-US" w:eastAsia="en-US" w:bidi="ar-SA"/>
              </w:rPr>
              <w:t>可证的融</w:t>
            </w:r>
            <w:r>
              <w:rPr>
                <w:rFonts w:hint="eastAsia" w:ascii="仿宋" w:hAnsi="仿宋" w:eastAsia="仿宋" w:cs="仿宋"/>
                <w:snapToGrid w:val="0"/>
                <w:color w:val="auto"/>
                <w:spacing w:val="-2"/>
                <w:kern w:val="0"/>
                <w:sz w:val="24"/>
                <w:szCs w:val="24"/>
                <w:highlight w:val="none"/>
                <w:lang w:val="en-US" w:eastAsia="en-US" w:bidi="ar-SA"/>
              </w:rPr>
              <w:t>资担保机构出具的不可撤销、不可转让的见索即付</w:t>
            </w:r>
            <w:r>
              <w:rPr>
                <w:rFonts w:hint="eastAsia" w:ascii="仿宋" w:hAnsi="仿宋" w:eastAsia="仿宋" w:cs="仿宋"/>
                <w:snapToGrid w:val="0"/>
                <w:color w:val="auto"/>
                <w:spacing w:val="-3"/>
                <w:kern w:val="0"/>
                <w:sz w:val="24"/>
                <w:szCs w:val="24"/>
                <w:highlight w:val="none"/>
                <w:lang w:val="en-US" w:eastAsia="en-US" w:bidi="ar-SA"/>
              </w:rPr>
              <w:t>独立保函。</w:t>
            </w:r>
          </w:p>
          <w:p w14:paraId="13DFEF3D">
            <w:pPr>
              <w:keepNext w:val="0"/>
              <w:keepLines w:val="0"/>
              <w:pageBreakBefore w:val="0"/>
              <w:widowControl w:val="0"/>
              <w:kinsoku w:val="0"/>
              <w:wordWrap/>
              <w:overflowPunct/>
              <w:topLinePunct w:val="0"/>
              <w:autoSpaceDE w:val="0"/>
              <w:autoSpaceDN w:val="0"/>
              <w:bidi w:val="0"/>
              <w:adjustRightInd w:val="0"/>
              <w:snapToGrid w:val="0"/>
              <w:spacing w:before="96" w:line="400" w:lineRule="exact"/>
              <w:ind w:left="132" w:right="107" w:hanging="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③采用保证保险的，应为保险公司出具的不可撤销、不可转</w:t>
            </w:r>
            <w:r>
              <w:rPr>
                <w:rFonts w:hint="eastAsia" w:ascii="仿宋" w:hAnsi="仿宋" w:eastAsia="仿宋" w:cs="仿宋"/>
                <w:snapToGrid w:val="0"/>
                <w:color w:val="auto"/>
                <w:spacing w:val="1"/>
                <w:kern w:val="0"/>
                <w:sz w:val="24"/>
                <w:szCs w:val="24"/>
                <w:highlight w:val="none"/>
                <w:lang w:val="en-US" w:eastAsia="en-US" w:bidi="ar-SA"/>
              </w:rPr>
              <w:t>让的见索</w:t>
            </w:r>
            <w:r>
              <w:rPr>
                <w:rFonts w:hint="eastAsia" w:ascii="仿宋" w:hAnsi="仿宋" w:eastAsia="仿宋" w:cs="仿宋"/>
                <w:snapToGrid w:val="0"/>
                <w:color w:val="auto"/>
                <w:spacing w:val="-8"/>
                <w:kern w:val="0"/>
                <w:sz w:val="24"/>
                <w:szCs w:val="24"/>
                <w:highlight w:val="none"/>
                <w:lang w:val="en-US" w:eastAsia="en-US" w:bidi="ar-SA"/>
              </w:rPr>
              <w:t>即付保证保险。</w:t>
            </w:r>
          </w:p>
          <w:p w14:paraId="4961359B">
            <w:pPr>
              <w:keepNext w:val="0"/>
              <w:keepLines w:val="0"/>
              <w:pageBreakBefore w:val="0"/>
              <w:widowControl w:val="0"/>
              <w:kinsoku w:val="0"/>
              <w:wordWrap/>
              <w:overflowPunct/>
              <w:topLinePunct w:val="0"/>
              <w:autoSpaceDE w:val="0"/>
              <w:autoSpaceDN w:val="0"/>
              <w:bidi w:val="0"/>
              <w:adjustRightInd w:val="0"/>
              <w:snapToGrid w:val="0"/>
              <w:spacing w:before="90" w:line="400" w:lineRule="exact"/>
              <w:ind w:left="153" w:right="107" w:hanging="42"/>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④采用电子保函的，可访问安徽省政府采购网“融资/保函”栏</w:t>
            </w:r>
            <w:r>
              <w:rPr>
                <w:rFonts w:hint="eastAsia" w:ascii="仿宋" w:hAnsi="仿宋" w:eastAsia="仿宋" w:cs="仿宋"/>
                <w:snapToGrid w:val="0"/>
                <w:color w:val="auto"/>
                <w:spacing w:val="-3"/>
                <w:kern w:val="0"/>
                <w:sz w:val="24"/>
                <w:szCs w:val="24"/>
                <w:highlight w:val="none"/>
                <w:lang w:val="en-US" w:eastAsia="en-US" w:bidi="ar-SA"/>
              </w:rPr>
              <w:t>目进行</w:t>
            </w:r>
            <w:r>
              <w:rPr>
                <w:rFonts w:hint="eastAsia" w:ascii="仿宋" w:hAnsi="仿宋" w:eastAsia="仿宋" w:cs="仿宋"/>
                <w:snapToGrid w:val="0"/>
                <w:color w:val="auto"/>
                <w:spacing w:val="-19"/>
                <w:kern w:val="0"/>
                <w:sz w:val="24"/>
                <w:szCs w:val="24"/>
                <w:highlight w:val="none"/>
                <w:lang w:val="en-US" w:eastAsia="en-US" w:bidi="ar-SA"/>
              </w:rPr>
              <w:t>申请。</w:t>
            </w:r>
          </w:p>
          <w:p w14:paraId="182A29B4">
            <w:pPr>
              <w:keepNext w:val="0"/>
              <w:keepLines w:val="0"/>
              <w:pageBreakBefore w:val="0"/>
              <w:widowControl w:val="0"/>
              <w:kinsoku w:val="0"/>
              <w:wordWrap/>
              <w:overflowPunct/>
              <w:topLinePunct w:val="0"/>
              <w:autoSpaceDE w:val="0"/>
              <w:autoSpaceDN w:val="0"/>
              <w:bidi w:val="0"/>
              <w:adjustRightInd w:val="0"/>
              <w:snapToGrid w:val="0"/>
              <w:spacing w:before="92" w:line="400" w:lineRule="exact"/>
              <w:ind w:left="127" w:right="125" w:hanging="7"/>
              <w:jc w:val="left"/>
              <w:textAlignment w:val="baseline"/>
              <w:rPr>
                <w:rFonts w:hint="eastAsia" w:ascii="仿宋" w:hAnsi="仿宋" w:eastAsia="仿宋" w:cs="仿宋"/>
                <w:b w:val="0"/>
                <w:bCs w:val="0"/>
                <w:snapToGrid w:val="0"/>
                <w:color w:val="auto"/>
                <w:spacing w:val="-3"/>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余款支付方式：</w:t>
            </w:r>
            <w:r>
              <w:rPr>
                <w:rFonts w:hint="eastAsia" w:ascii="仿宋" w:hAnsi="仿宋" w:eastAsia="仿宋" w:cs="仿宋"/>
                <w:b w:val="0"/>
                <w:bCs w:val="0"/>
                <w:snapToGrid w:val="0"/>
                <w:color w:val="auto"/>
                <w:spacing w:val="-3"/>
                <w:kern w:val="0"/>
                <w:sz w:val="24"/>
                <w:szCs w:val="24"/>
                <w:highlight w:val="none"/>
                <w:lang w:val="en-US" w:eastAsia="en-US" w:bidi="ar-SA"/>
              </w:rPr>
              <w:t>1.竣工验收合格后支付至合同金额的90%；</w:t>
            </w:r>
          </w:p>
          <w:p w14:paraId="4BDBD5EA">
            <w:pPr>
              <w:keepNext w:val="0"/>
              <w:keepLines w:val="0"/>
              <w:pageBreakBefore w:val="0"/>
              <w:widowControl w:val="0"/>
              <w:kinsoku w:val="0"/>
              <w:wordWrap/>
              <w:overflowPunct/>
              <w:topLinePunct w:val="0"/>
              <w:autoSpaceDE w:val="0"/>
              <w:autoSpaceDN w:val="0"/>
              <w:bidi w:val="0"/>
              <w:adjustRightInd w:val="0"/>
              <w:snapToGrid w:val="0"/>
              <w:spacing w:before="92" w:line="400" w:lineRule="exact"/>
              <w:ind w:left="127" w:right="125" w:hanging="7"/>
              <w:jc w:val="left"/>
              <w:textAlignment w:val="baseline"/>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b w:val="0"/>
                <w:bCs w:val="0"/>
                <w:snapToGrid w:val="0"/>
                <w:color w:val="auto"/>
                <w:spacing w:val="-3"/>
                <w:kern w:val="0"/>
                <w:sz w:val="24"/>
                <w:szCs w:val="24"/>
                <w:highlight w:val="none"/>
                <w:lang w:val="en-US" w:eastAsia="en-US" w:bidi="ar-SA"/>
              </w:rPr>
              <w:t>2.工程</w:t>
            </w:r>
            <w:r>
              <w:rPr>
                <w:rFonts w:hint="default" w:ascii="仿宋" w:hAnsi="仿宋" w:eastAsia="仿宋" w:cs="仿宋"/>
                <w:b w:val="0"/>
                <w:bCs w:val="0"/>
                <w:snapToGrid w:val="0"/>
                <w:color w:val="auto"/>
                <w:spacing w:val="-3"/>
                <w:kern w:val="0"/>
                <w:sz w:val="24"/>
                <w:szCs w:val="24"/>
                <w:highlight w:val="none"/>
                <w:lang w:val="en-US" w:eastAsia="en-US" w:bidi="ar-SA"/>
              </w:rPr>
              <w:t>结算审核结束</w:t>
            </w:r>
            <w:r>
              <w:rPr>
                <w:rFonts w:hint="eastAsia" w:ascii="仿宋" w:hAnsi="仿宋" w:eastAsia="仿宋" w:cs="仿宋"/>
                <w:b w:val="0"/>
                <w:bCs w:val="0"/>
                <w:snapToGrid w:val="0"/>
                <w:color w:val="auto"/>
                <w:spacing w:val="-3"/>
                <w:kern w:val="0"/>
                <w:sz w:val="24"/>
                <w:szCs w:val="24"/>
                <w:highlight w:val="none"/>
                <w:lang w:val="en-US" w:eastAsia="en-US" w:bidi="ar-SA"/>
              </w:rPr>
              <w:t>后支付至最终结算价格的9</w:t>
            </w:r>
            <w:r>
              <w:rPr>
                <w:rFonts w:hint="eastAsia" w:ascii="仿宋" w:hAnsi="仿宋" w:eastAsia="仿宋" w:cs="仿宋"/>
                <w:b w:val="0"/>
                <w:bCs w:val="0"/>
                <w:snapToGrid w:val="0"/>
                <w:color w:val="auto"/>
                <w:spacing w:val="-3"/>
                <w:kern w:val="0"/>
                <w:sz w:val="24"/>
                <w:szCs w:val="24"/>
                <w:highlight w:val="none"/>
                <w:lang w:val="en-US" w:eastAsia="zh-CN" w:bidi="ar-SA"/>
              </w:rPr>
              <w:t>7</w:t>
            </w:r>
            <w:r>
              <w:rPr>
                <w:rFonts w:hint="eastAsia" w:ascii="仿宋" w:hAnsi="仿宋" w:eastAsia="仿宋" w:cs="仿宋"/>
                <w:b w:val="0"/>
                <w:bCs w:val="0"/>
                <w:snapToGrid w:val="0"/>
                <w:color w:val="auto"/>
                <w:spacing w:val="-3"/>
                <w:kern w:val="0"/>
                <w:sz w:val="24"/>
                <w:szCs w:val="24"/>
                <w:highlight w:val="none"/>
                <w:lang w:val="en-US" w:eastAsia="en-US" w:bidi="ar-SA"/>
              </w:rPr>
              <w:t>.5%，剩余最终结算价格的2.5%为工程质保金，待工程缺陷责任期满（24个月）后退还（如质保金使用银行保函、第三方担保形式的，则工程结算审核结束后，一次性付至</w:t>
            </w:r>
            <w:r>
              <w:rPr>
                <w:rFonts w:hint="eastAsia" w:ascii="仿宋" w:hAnsi="仿宋" w:eastAsia="仿宋" w:cs="仿宋"/>
                <w:b w:val="0"/>
                <w:bCs w:val="0"/>
                <w:snapToGrid w:val="0"/>
                <w:color w:val="auto"/>
                <w:spacing w:val="-3"/>
                <w:kern w:val="0"/>
                <w:sz w:val="24"/>
                <w:szCs w:val="24"/>
                <w:highlight w:val="none"/>
                <w:lang w:val="en-US" w:eastAsia="zh-CN" w:bidi="ar-SA"/>
              </w:rPr>
              <w:t>结算最终结算价格</w:t>
            </w:r>
            <w:r>
              <w:rPr>
                <w:rFonts w:hint="eastAsia" w:ascii="仿宋" w:hAnsi="仿宋" w:eastAsia="仿宋" w:cs="仿宋"/>
                <w:b w:val="0"/>
                <w:bCs w:val="0"/>
                <w:snapToGrid w:val="0"/>
                <w:color w:val="auto"/>
                <w:spacing w:val="-3"/>
                <w:kern w:val="0"/>
                <w:sz w:val="24"/>
                <w:szCs w:val="24"/>
                <w:highlight w:val="none"/>
                <w:lang w:val="en-US" w:eastAsia="en-US" w:bidi="ar-SA"/>
              </w:rPr>
              <w:t>的100%）。</w:t>
            </w:r>
          </w:p>
          <w:p w14:paraId="4931C5CD">
            <w:pPr>
              <w:keepNext w:val="0"/>
              <w:keepLines w:val="0"/>
              <w:pageBreakBefore w:val="0"/>
              <w:widowControl w:val="0"/>
              <w:kinsoku w:val="0"/>
              <w:wordWrap/>
              <w:overflowPunct/>
              <w:topLinePunct w:val="0"/>
              <w:autoSpaceDE w:val="0"/>
              <w:autoSpaceDN w:val="0"/>
              <w:bidi w:val="0"/>
              <w:adjustRightInd w:val="0"/>
              <w:snapToGrid w:val="0"/>
              <w:spacing w:before="27" w:line="400" w:lineRule="exact"/>
              <w:ind w:left="125"/>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质量保证金保函要求：</w:t>
            </w:r>
          </w:p>
          <w:p w14:paraId="2FA9F05E">
            <w:pPr>
              <w:keepNext w:val="0"/>
              <w:keepLines w:val="0"/>
              <w:pageBreakBefore w:val="0"/>
              <w:widowControl w:val="0"/>
              <w:kinsoku w:val="0"/>
              <w:wordWrap/>
              <w:overflowPunct/>
              <w:topLinePunct w:val="0"/>
              <w:autoSpaceDE w:val="0"/>
              <w:autoSpaceDN w:val="0"/>
              <w:bidi w:val="0"/>
              <w:adjustRightInd w:val="0"/>
              <w:snapToGrid w:val="0"/>
              <w:spacing w:before="92" w:line="400" w:lineRule="exact"/>
              <w:ind w:left="127" w:right="125" w:hanging="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（1）成交供应商提供保函的受益人和收取单位须为采购人，担保期限</w:t>
            </w:r>
            <w:r>
              <w:rPr>
                <w:rFonts w:hint="eastAsia" w:ascii="仿宋" w:hAnsi="仿宋" w:eastAsia="仿宋" w:cs="仿宋"/>
                <w:snapToGrid w:val="0"/>
                <w:color w:val="auto"/>
                <w:spacing w:val="-7"/>
                <w:kern w:val="0"/>
                <w:sz w:val="24"/>
                <w:szCs w:val="24"/>
                <w:highlight w:val="none"/>
                <w:lang w:val="en-US" w:eastAsia="en-US" w:bidi="ar-SA"/>
              </w:rPr>
              <w:t>至缺陷责任期满。</w:t>
            </w:r>
          </w:p>
          <w:p w14:paraId="4D478EF8">
            <w:pPr>
              <w:keepNext w:val="0"/>
              <w:keepLines w:val="0"/>
              <w:pageBreakBefore w:val="0"/>
              <w:widowControl w:val="0"/>
              <w:kinsoku w:val="0"/>
              <w:wordWrap/>
              <w:overflowPunct/>
              <w:topLinePunct w:val="0"/>
              <w:autoSpaceDE w:val="0"/>
              <w:autoSpaceDN w:val="0"/>
              <w:bidi w:val="0"/>
              <w:adjustRightInd w:val="0"/>
              <w:snapToGrid w:val="0"/>
              <w:spacing w:before="107"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（2）保函形式：☑银行保函☑担保机构担保☑保证保险</w:t>
            </w:r>
          </w:p>
          <w:p w14:paraId="5D2062E6">
            <w:pPr>
              <w:keepNext w:val="0"/>
              <w:keepLines w:val="0"/>
              <w:pageBreakBefore w:val="0"/>
              <w:widowControl w:val="0"/>
              <w:kinsoku w:val="0"/>
              <w:wordWrap/>
              <w:overflowPunct/>
              <w:topLinePunct w:val="0"/>
              <w:autoSpaceDE w:val="0"/>
              <w:autoSpaceDN w:val="0"/>
              <w:bidi w:val="0"/>
              <w:adjustRightInd w:val="0"/>
              <w:snapToGrid w:val="0"/>
              <w:spacing w:before="78"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（3）保函递交要求：</w:t>
            </w:r>
          </w:p>
          <w:p w14:paraId="0F17B643">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left="124" w:right="107" w:hanging="12"/>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①如采用银行保函，银行保函应为见索即付无条件独立保</w:t>
            </w:r>
            <w:r>
              <w:rPr>
                <w:rFonts w:hint="eastAsia" w:ascii="仿宋" w:hAnsi="仿宋" w:eastAsia="仿宋" w:cs="仿宋"/>
                <w:snapToGrid w:val="0"/>
                <w:color w:val="auto"/>
                <w:spacing w:val="1"/>
                <w:kern w:val="0"/>
                <w:sz w:val="24"/>
                <w:szCs w:val="24"/>
                <w:highlight w:val="none"/>
                <w:lang w:val="en-US" w:eastAsia="en-US" w:bidi="ar-SA"/>
              </w:rPr>
              <w:t>函，且应将</w:t>
            </w:r>
            <w:r>
              <w:rPr>
                <w:rFonts w:hint="eastAsia" w:ascii="仿宋" w:hAnsi="仿宋" w:eastAsia="仿宋" w:cs="仿宋"/>
                <w:snapToGrid w:val="0"/>
                <w:color w:val="auto"/>
                <w:spacing w:val="-5"/>
                <w:kern w:val="0"/>
                <w:sz w:val="24"/>
                <w:szCs w:val="24"/>
                <w:highlight w:val="none"/>
                <w:lang w:val="en-US" w:eastAsia="en-US" w:bidi="ar-SA"/>
              </w:rPr>
              <w:t>原件交至采购人保管。</w:t>
            </w:r>
          </w:p>
          <w:p w14:paraId="6B31F779">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left="131" w:right="107" w:hanging="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②采用担保机构担保的，应为依法取得融资担保业务经营许</w:t>
            </w:r>
            <w:r>
              <w:rPr>
                <w:rFonts w:hint="eastAsia" w:ascii="仿宋" w:hAnsi="仿宋" w:eastAsia="仿宋" w:cs="仿宋"/>
                <w:snapToGrid w:val="0"/>
                <w:color w:val="auto"/>
                <w:spacing w:val="1"/>
                <w:kern w:val="0"/>
                <w:sz w:val="24"/>
                <w:szCs w:val="24"/>
                <w:highlight w:val="none"/>
                <w:lang w:val="en-US" w:eastAsia="en-US" w:bidi="ar-SA"/>
              </w:rPr>
              <w:t>可证的融</w:t>
            </w:r>
            <w:r>
              <w:rPr>
                <w:rFonts w:hint="eastAsia" w:ascii="仿宋" w:hAnsi="仿宋" w:eastAsia="仿宋" w:cs="仿宋"/>
                <w:snapToGrid w:val="0"/>
                <w:color w:val="auto"/>
                <w:spacing w:val="-2"/>
                <w:kern w:val="0"/>
                <w:sz w:val="24"/>
                <w:szCs w:val="24"/>
                <w:highlight w:val="none"/>
                <w:lang w:val="en-US" w:eastAsia="en-US" w:bidi="ar-SA"/>
              </w:rPr>
              <w:t>资担保机构出具的不可撤销、不可转让的见索即付</w:t>
            </w:r>
            <w:r>
              <w:rPr>
                <w:rFonts w:hint="eastAsia" w:ascii="仿宋" w:hAnsi="仿宋" w:eastAsia="仿宋" w:cs="仿宋"/>
                <w:snapToGrid w:val="0"/>
                <w:color w:val="auto"/>
                <w:spacing w:val="-3"/>
                <w:kern w:val="0"/>
                <w:sz w:val="24"/>
                <w:szCs w:val="24"/>
                <w:highlight w:val="none"/>
                <w:lang w:val="en-US" w:eastAsia="en-US" w:bidi="ar-SA"/>
              </w:rPr>
              <w:t>独立保函。</w:t>
            </w:r>
          </w:p>
          <w:p w14:paraId="487AA2EC">
            <w:pPr>
              <w:keepNext w:val="0"/>
              <w:keepLines w:val="0"/>
              <w:pageBreakBefore w:val="0"/>
              <w:widowControl w:val="0"/>
              <w:kinsoku w:val="0"/>
              <w:wordWrap/>
              <w:overflowPunct/>
              <w:topLinePunct w:val="0"/>
              <w:autoSpaceDE w:val="0"/>
              <w:autoSpaceDN w:val="0"/>
              <w:bidi w:val="0"/>
              <w:adjustRightInd w:val="0"/>
              <w:snapToGrid w:val="0"/>
              <w:spacing w:before="97" w:line="400" w:lineRule="exact"/>
              <w:ind w:left="132" w:right="107" w:hanging="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③采用保证保险的，应为保险公司出具的不可撤销、不可转</w:t>
            </w:r>
            <w:r>
              <w:rPr>
                <w:rFonts w:hint="eastAsia" w:ascii="仿宋" w:hAnsi="仿宋" w:eastAsia="仿宋" w:cs="仿宋"/>
                <w:snapToGrid w:val="0"/>
                <w:color w:val="auto"/>
                <w:spacing w:val="1"/>
                <w:kern w:val="0"/>
                <w:sz w:val="24"/>
                <w:szCs w:val="24"/>
                <w:highlight w:val="none"/>
                <w:lang w:val="en-US" w:eastAsia="en-US" w:bidi="ar-SA"/>
              </w:rPr>
              <w:t>让的见索</w:t>
            </w:r>
            <w:r>
              <w:rPr>
                <w:rFonts w:hint="eastAsia" w:ascii="仿宋" w:hAnsi="仿宋" w:eastAsia="仿宋" w:cs="仿宋"/>
                <w:snapToGrid w:val="0"/>
                <w:color w:val="auto"/>
                <w:spacing w:val="-8"/>
                <w:kern w:val="0"/>
                <w:sz w:val="24"/>
                <w:szCs w:val="24"/>
                <w:highlight w:val="none"/>
                <w:lang w:val="en-US" w:eastAsia="en-US" w:bidi="ar-SA"/>
              </w:rPr>
              <w:t>即付保证保险。</w:t>
            </w:r>
          </w:p>
          <w:p w14:paraId="2C52A63B">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2057" w:right="4543" w:hanging="193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是否接受负偏离：</w:t>
            </w:r>
            <w:r>
              <w:rPr>
                <w:rFonts w:hint="eastAsia" w:ascii="仿宋" w:hAnsi="仿宋" w:eastAsia="仿宋" w:cs="仿宋"/>
                <w:snapToGrid w:val="0"/>
                <w:color w:val="auto"/>
                <w:spacing w:val="-22"/>
                <w:kern w:val="0"/>
                <w:sz w:val="24"/>
                <w:szCs w:val="24"/>
                <w:highlight w:val="none"/>
                <w:lang w:val="en-US" w:eastAsia="zh-CN" w:bidi="ar-SA"/>
              </w:rPr>
              <w:t>☑</w:t>
            </w:r>
            <w:r>
              <w:rPr>
                <w:rFonts w:hint="eastAsia" w:ascii="仿宋" w:hAnsi="仿宋" w:eastAsia="仿宋" w:cs="仿宋"/>
                <w:snapToGrid w:val="0"/>
                <w:color w:val="auto"/>
                <w:kern w:val="0"/>
                <w:sz w:val="24"/>
                <w:szCs w:val="24"/>
                <w:highlight w:val="none"/>
                <w:lang w:val="en-US" w:eastAsia="en-US" w:bidi="ar-SA"/>
              </w:rPr>
              <w:t>不接受</w:t>
            </w:r>
          </w:p>
          <w:p w14:paraId="1A833195">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2057" w:leftChars="960" w:right="4543" w:hanging="41" w:hangingChars="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2"/>
                <w:kern w:val="0"/>
                <w:sz w:val="24"/>
                <w:szCs w:val="24"/>
                <w:highlight w:val="none"/>
                <w:lang w:val="en-US" w:eastAsia="en-US" w:bidi="ar-SA"/>
              </w:rPr>
              <w:t>□接受：</w:t>
            </w:r>
          </w:p>
          <w:p w14:paraId="1902E498">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124" w:right="107" w:hanging="12"/>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允许偏离的幅度：/</w:t>
            </w:r>
          </w:p>
        </w:tc>
      </w:tr>
      <w:tr w14:paraId="0570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jc w:val="center"/>
        </w:trPr>
        <w:tc>
          <w:tcPr>
            <w:tcW w:w="1282" w:type="dxa"/>
            <w:noWrap w:val="0"/>
            <w:vAlign w:val="top"/>
          </w:tcPr>
          <w:p w14:paraId="49E00066">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3"/>
              <w:jc w:val="left"/>
              <w:textAlignment w:val="baseline"/>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本项目采购标的所</w:t>
            </w:r>
            <w:r>
              <w:rPr>
                <w:rFonts w:hint="eastAsia" w:ascii="仿宋" w:hAnsi="仿宋" w:eastAsia="仿宋" w:cs="仿宋"/>
                <w:snapToGrid w:val="0"/>
                <w:color w:val="auto"/>
                <w:spacing w:val="-4"/>
                <w:kern w:val="0"/>
                <w:sz w:val="24"/>
                <w:szCs w:val="24"/>
                <w:highlight w:val="none"/>
                <w:lang w:val="en-US" w:eastAsia="en-US" w:bidi="ar-SA"/>
              </w:rPr>
              <w:t>属行业</w:t>
            </w:r>
          </w:p>
        </w:tc>
        <w:tc>
          <w:tcPr>
            <w:tcW w:w="7568" w:type="dxa"/>
            <w:noWrap w:val="0"/>
            <w:vAlign w:val="top"/>
          </w:tcPr>
          <w:p w14:paraId="772A356C">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124" w:right="107" w:hanging="12"/>
              <w:jc w:val="left"/>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所属行业：建筑业</w:t>
            </w:r>
          </w:p>
        </w:tc>
      </w:tr>
    </w:tbl>
    <w:p w14:paraId="0F5F6730">
      <w:pPr>
        <w:pStyle w:val="9"/>
        <w:ind w:firstLine="480"/>
        <w:rPr>
          <w:rFonts w:hint="eastAsia" w:ascii="仿宋" w:hAnsi="仿宋" w:eastAsia="仿宋" w:cs="仿宋"/>
          <w:color w:val="auto"/>
          <w:sz w:val="24"/>
          <w:highlight w:val="none"/>
        </w:rPr>
      </w:pPr>
    </w:p>
    <w:bookmarkEnd w:id="3"/>
    <w:p w14:paraId="4FC90BE4">
      <w:pPr>
        <w:pStyle w:val="3"/>
        <w:rPr>
          <w:rFonts w:hint="eastAsia" w:ascii="仿宋" w:hAnsi="仿宋" w:eastAsia="仿宋" w:cs="仿宋"/>
          <w:b/>
          <w:bCs/>
          <w:color w:val="auto"/>
          <w:sz w:val="24"/>
          <w:highlight w:val="none"/>
          <w:lang w:val="en-US" w:eastAsia="en-US"/>
        </w:rPr>
      </w:pPr>
      <w:r>
        <w:rPr>
          <w:rFonts w:hint="eastAsia" w:ascii="仿宋" w:hAnsi="仿宋" w:eastAsia="仿宋" w:cs="仿宋"/>
          <w:b/>
          <w:bCs/>
          <w:color w:val="auto"/>
          <w:sz w:val="24"/>
          <w:highlight w:val="none"/>
          <w:lang w:val="en-US" w:eastAsia="zh-CN"/>
        </w:rPr>
        <w:t>四.采购内容及范围</w:t>
      </w:r>
      <w:r>
        <w:rPr>
          <w:rFonts w:hint="eastAsia" w:ascii="仿宋" w:hAnsi="仿宋" w:eastAsia="仿宋" w:cs="仿宋"/>
          <w:b/>
          <w:bCs/>
          <w:color w:val="auto"/>
          <w:sz w:val="24"/>
          <w:highlight w:val="none"/>
          <w:lang w:val="en-US" w:eastAsia="en-US"/>
        </w:rPr>
        <w:t>：</w:t>
      </w:r>
    </w:p>
    <w:p w14:paraId="450550BD">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音频系统：现有五间会议室虽已配置完整音频系统，但由于设备服役年限较长，已出现系统性老化现象。拟实施有线话筒无线化改造工程，每间会议室配置手持式无线话筒及桌面鹅颈式无线话筒各1套；其余音频辅助设备需由投标单位完成系统诊断测试后，依据实际运行参数制定优化升级方案。</w:t>
      </w:r>
    </w:p>
    <w:p w14:paraId="48608B26">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监控系统：需在每间会议室及附属楼道区域配备全向旋转云台监控装置，构建360度无死角覆盖体系。同步部多通道硬盘录像系统，技术规格需满足32路视频信号接入能力，存储系统需满足不低于90天的监控数据完整保存周期。</w:t>
      </w:r>
    </w:p>
    <w:p w14:paraId="2CC9A180">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视频会议系统：需部署不少于四台4K超高清视频会议采集终端，设备须具备USB 3.0标准接口SDI\HDMI直连功能，并实现与腾讯会议、微信会议等主流视频会议平台的多协议无缝兼容。</w:t>
      </w:r>
    </w:p>
    <w:p w14:paraId="611F4287">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会议信息发布系统：各会议室需配置智能多媒体信息发布终端，支持会议室状态参数、会议进程信息等数据的实时可视化呈现，同时预留标准化无纸化会议系统扩展接口。</w:t>
      </w:r>
    </w:p>
    <w:p w14:paraId="225944C2">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智能会议显示终端：四间会议室各配置</w:t>
      </w:r>
      <w:r>
        <w:rPr>
          <w:rFonts w:hint="eastAsia" w:ascii="仿宋" w:hAnsi="仿宋" w:eastAsia="仿宋" w:cs="仿宋"/>
          <w:sz w:val="24"/>
          <w:szCs w:val="24"/>
          <w:highlight w:val="none"/>
          <w:lang w:eastAsia="zh-CN"/>
        </w:rPr>
        <w:t>9</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寸以上会议平板1台，剩余会议室配置同规格设备2台。</w:t>
      </w:r>
      <w:r>
        <w:rPr>
          <w:rFonts w:hint="eastAsia" w:ascii="仿宋" w:hAnsi="仿宋" w:eastAsia="仿宋" w:cs="仿宋"/>
          <w:sz w:val="24"/>
          <w:szCs w:val="24"/>
          <w:highlight w:val="none"/>
          <w:lang w:val="en-US" w:eastAsia="zh-CN"/>
        </w:rPr>
        <w:t>显示终端具备</w:t>
      </w:r>
      <w:r>
        <w:rPr>
          <w:rFonts w:hint="eastAsia" w:ascii="仿宋" w:hAnsi="仿宋" w:eastAsia="仿宋" w:cs="仿宋"/>
          <w:sz w:val="24"/>
          <w:szCs w:val="24"/>
          <w:highlight w:val="none"/>
        </w:rPr>
        <w:t>无限投屏功能，可实现外部</w:t>
      </w:r>
      <w:r>
        <w:rPr>
          <w:rFonts w:hint="eastAsia" w:ascii="仿宋" w:hAnsi="仿宋" w:eastAsia="仿宋" w:cs="仿宋"/>
          <w:sz w:val="24"/>
          <w:szCs w:val="24"/>
          <w:highlight w:val="none"/>
          <w:lang w:val="en-US" w:eastAsia="zh-CN"/>
        </w:rPr>
        <w:t>终端</w:t>
      </w:r>
      <w:r>
        <w:rPr>
          <w:rFonts w:hint="eastAsia" w:ascii="仿宋" w:hAnsi="仿宋" w:eastAsia="仿宋" w:cs="仿宋"/>
          <w:sz w:val="24"/>
          <w:szCs w:val="24"/>
          <w:highlight w:val="none"/>
        </w:rPr>
        <w:t>音视频信号无损低延迟传输，并具备双向触控信号传输能力，技术指标需符合即插即用标准，免除驱动程序安装要求。</w:t>
      </w:r>
    </w:p>
    <w:p w14:paraId="2F14E59F">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会议室、走廊改造：会议室、走廊相应空间墙面渗水修复，顶面照明灯具做到科学、合理、节能、环保，符合会议室照明要求标准，所有会议室窗帘改为百叶窗帘。</w:t>
      </w:r>
    </w:p>
    <w:p w14:paraId="4AEBDE4B">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空调维修及保养：对各会议室空调检测维修保养。</w:t>
      </w:r>
    </w:p>
    <w:p w14:paraId="1532033E">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洗手间改造：4间洗手间进行改造，包括但不限于地板、吊顶、便池隔板、五金管件更换、便池、光源系统。</w:t>
      </w:r>
    </w:p>
    <w:p w14:paraId="1B49FAA3">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配备全自动电热烧水器。</w:t>
      </w:r>
    </w:p>
    <w:p w14:paraId="357B218D">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10.一楼大厅、楼层、电梯间办公引导宣传装置提升，大厅、楼层、电梯间、会议室等空间进行氛围提升。</w:t>
      </w:r>
    </w:p>
    <w:p w14:paraId="33D7EF47">
      <w:pPr>
        <w:spacing w:line="6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、最高限价、计价及结算原则</w:t>
      </w:r>
    </w:p>
    <w:p w14:paraId="2ADE171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1、</w:t>
      </w:r>
      <w:r>
        <w:rPr>
          <w:rFonts w:hint="eastAsia" w:ascii="仿宋" w:hAnsi="仿宋" w:eastAsia="仿宋" w:cs="仿宋"/>
          <w:b w:val="0"/>
          <w:bCs w:val="0"/>
          <w:color w:val="000000"/>
          <w:sz w:val="24"/>
          <w:szCs w:val="24"/>
          <w:highlight w:val="none"/>
          <w:lang w:val="en-US" w:eastAsia="zh-CN"/>
        </w:rPr>
        <w:t>本项目最高限价100万元，其中设计费最高限价2万元，预留金2万元，供应商的最终报价不得超过最高限价，也不得超过单项最高限价。</w:t>
      </w:r>
    </w:p>
    <w:p w14:paraId="43F4CC3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本项目采用总价进行报价（即勘察设计费+建筑安装工程费），总报价</w:t>
      </w:r>
      <w:r>
        <w:rPr>
          <w:rFonts w:hint="eastAsia" w:ascii="仿宋" w:hAnsi="仿宋" w:eastAsia="仿宋" w:cs="仿宋"/>
          <w:b w:val="0"/>
          <w:bCs w:val="0"/>
          <w:color w:val="000000"/>
          <w:sz w:val="24"/>
          <w:szCs w:val="24"/>
          <w:highlight w:val="none"/>
          <w:lang w:val="en-US" w:eastAsia="zh-CN"/>
        </w:rPr>
        <w:t>和分项报价</w:t>
      </w:r>
      <w:r>
        <w:rPr>
          <w:rFonts w:hint="eastAsia" w:ascii="仿宋" w:hAnsi="仿宋" w:eastAsia="仿宋" w:cs="仿宋"/>
          <w:b w:val="0"/>
          <w:bCs w:val="0"/>
          <w:color w:val="000000"/>
          <w:sz w:val="24"/>
          <w:szCs w:val="24"/>
          <w:highlight w:val="none"/>
        </w:rPr>
        <w:t>超过</w:t>
      </w:r>
      <w:r>
        <w:rPr>
          <w:rFonts w:hint="eastAsia" w:ascii="仿宋" w:hAnsi="仿宋" w:eastAsia="仿宋" w:cs="仿宋"/>
          <w:b w:val="0"/>
          <w:bCs w:val="0"/>
          <w:color w:val="000000"/>
          <w:sz w:val="24"/>
          <w:szCs w:val="24"/>
          <w:highlight w:val="none"/>
          <w:lang w:val="en-US" w:eastAsia="zh-CN"/>
        </w:rPr>
        <w:t>最高限价</w:t>
      </w:r>
      <w:r>
        <w:rPr>
          <w:rFonts w:hint="eastAsia" w:ascii="仿宋" w:hAnsi="仿宋" w:eastAsia="仿宋" w:cs="仿宋"/>
          <w:b w:val="0"/>
          <w:bCs w:val="0"/>
          <w:color w:val="000000"/>
          <w:sz w:val="24"/>
          <w:szCs w:val="24"/>
          <w:highlight w:val="none"/>
        </w:rPr>
        <w:t>的</w:t>
      </w:r>
      <w:r>
        <w:rPr>
          <w:rFonts w:hint="eastAsia" w:ascii="仿宋" w:hAnsi="仿宋" w:eastAsia="仿宋" w:cs="仿宋"/>
          <w:b w:val="0"/>
          <w:bCs w:val="0"/>
          <w:color w:val="000000"/>
          <w:sz w:val="24"/>
          <w:szCs w:val="24"/>
          <w:highlight w:val="none"/>
          <w:lang w:val="en-US" w:eastAsia="zh-CN"/>
        </w:rPr>
        <w:t>响应</w:t>
      </w:r>
      <w:r>
        <w:rPr>
          <w:rFonts w:hint="eastAsia" w:ascii="仿宋" w:hAnsi="仿宋" w:eastAsia="仿宋" w:cs="仿宋"/>
          <w:b w:val="0"/>
          <w:bCs w:val="0"/>
          <w:color w:val="000000"/>
          <w:sz w:val="24"/>
          <w:szCs w:val="24"/>
          <w:highlight w:val="none"/>
        </w:rPr>
        <w:t>无效。本项目设计费主要包括方案设计、初步设计、施工图设计、专项设计等前期相关所有工作涉及的全部费用。本项目建安费用综合了本项目所有施工费用、设备采购及安装费、人工费、材料费、机械费、管理费、利润以及有关文件规定的调价、税金、风险等全部费用。</w:t>
      </w:r>
    </w:p>
    <w:p w14:paraId="41E493F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、施工图完成后，</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委托造价单位按定稿施工图编制清单和最高投标限价。最终施工图及清单和最高投标限价需报</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审核，</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与施工单位共同确认，作为施工进度款支付及审核结算的依据。本项目清单和最高投标限价编制依据《2018版安徽省建设工程费用定额》、《2018版安徽省建设工程施工机械台班费用编制规则》、《2018 版安徽省配套计价定额》、《关于贯彻执行版安徽省建设工程计价依据动态调整（第1期）&gt;的通知》（合建监管〔2024〕1号）及其他相关材料；增值税税率执行《关于调整合肥市建设工程计价依据增值税税率的通知》（合造价〔2019〕1号）；材料价格按合肥市造价站发布的市场价格信息（按照开工报告当月公布的信息价执行）（信息价没有的，根据市场询价协商确定）。备注：如有相关政策文件更新，按照最新政策文件执行。</w:t>
      </w:r>
    </w:p>
    <w:p w14:paraId="7A1A923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、因中标人自身原因导致的施工图设计阶段的任何调整和优化均不得调增中标价，最终定稿的施工图作为中标人现场实施的依据，原则上不存在导致费用增加的任何设计变更。</w:t>
      </w:r>
    </w:p>
    <w:p w14:paraId="7580921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、因中标人施工质量未达到设计效果所造成的的返工，其费用及损失由中标人自行承担，同时承担由其导致的工期延误责任；因</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要求或不可抗力引起的变更，增加的费用由</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承担，涉及费用调减的，</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有权在实际结算过程中作相应扣除；设计变更按相关程序办理，按实结算。未经批准的变更不得办理变更签证。</w:t>
      </w:r>
    </w:p>
    <w:p w14:paraId="3EE101D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、签约合同价：中标人的投标报价作为本项目签订合同时暂定签约合同价。</w:t>
      </w:r>
    </w:p>
    <w:p w14:paraId="4C2F8BC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、最终结算价格：结算合同价＝</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设计费用＋</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建筑安装工程费用，其中：（1）</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设计费用=设计费用投标报价，中标后</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无论提出任何工程方案或施工图设计调整意见，中标人必须及时、高质量地完成相应的设计调整，同时</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不再另行增加设计部分的费用。（2）</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建筑安装工程费用=最高投标限价×工程综合费率±经济签证（如有）×工程综合费率。</w:t>
      </w:r>
    </w:p>
    <w:p w14:paraId="31C5E54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工程综合费率＝建筑安装工程投标报价/建筑安装工程最高限价×100%，计算结果保留两位小数（小数点后第三位“四舍五入”），即为 *.**%。</w:t>
      </w:r>
    </w:p>
    <w:p w14:paraId="4A48EAAB">
      <w:pPr>
        <w:pStyle w:val="4"/>
        <w:spacing w:before="91" w:line="219" w:lineRule="auto"/>
        <w:ind w:left="0" w:firstLine="480" w:firstLineChars="2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本项目要求最终工程结算价（含设计费、设备采购及安装费、建安工程费）不得超出</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的预算资金（</w:t>
      </w:r>
      <w:r>
        <w:rPr>
          <w:rFonts w:hint="eastAsia" w:ascii="仿宋" w:hAnsi="仿宋" w:eastAsia="仿宋" w:cs="仿宋"/>
          <w:b w:val="0"/>
          <w:bCs w:val="0"/>
          <w:color w:val="000000"/>
          <w:sz w:val="24"/>
          <w:szCs w:val="24"/>
          <w:highlight w:val="none"/>
          <w:lang w:val="en-US" w:eastAsia="zh-CN"/>
        </w:rPr>
        <w:t>100</w:t>
      </w:r>
      <w:r>
        <w:rPr>
          <w:rFonts w:hint="eastAsia" w:ascii="仿宋" w:hAnsi="仿宋" w:eastAsia="仿宋" w:cs="仿宋"/>
          <w:b w:val="0"/>
          <w:bCs w:val="0"/>
          <w:color w:val="000000"/>
          <w:sz w:val="24"/>
          <w:szCs w:val="24"/>
          <w:highlight w:val="none"/>
        </w:rPr>
        <w:t>万元）</w:t>
      </w:r>
    </w:p>
    <w:p w14:paraId="40437058">
      <w:pPr>
        <w:pStyle w:val="4"/>
        <w:spacing w:before="91" w:line="219" w:lineRule="auto"/>
        <w:ind w:left="0"/>
        <w:rPr>
          <w:rFonts w:hint="eastAsia" w:ascii="仿宋" w:hAnsi="仿宋" w:eastAsia="仿宋" w:cs="仿宋"/>
          <w:sz w:val="28"/>
          <w:szCs w:val="28"/>
          <w:highlight w:val="none"/>
        </w:rPr>
      </w:pPr>
      <w:r>
        <w:rPr>
          <w:rFonts w:hint="eastAsia" w:ascii="仿宋" w:hAnsi="仿宋" w:eastAsia="仿宋" w:cs="仿宋"/>
          <w:b/>
          <w:bCs/>
          <w:spacing w:val="-9"/>
          <w:sz w:val="28"/>
          <w:szCs w:val="28"/>
          <w:highlight w:val="none"/>
          <w:lang w:eastAsia="zh-CN"/>
        </w:rPr>
        <w:t>六、</w:t>
      </w:r>
      <w:r>
        <w:rPr>
          <w:rFonts w:hint="eastAsia" w:ascii="仿宋" w:hAnsi="仿宋" w:eastAsia="仿宋" w:cs="仿宋"/>
          <w:b/>
          <w:bCs/>
          <w:spacing w:val="-9"/>
          <w:sz w:val="28"/>
          <w:szCs w:val="28"/>
          <w:highlight w:val="none"/>
        </w:rPr>
        <w:t>品牌推荐表</w:t>
      </w:r>
    </w:p>
    <w:p w14:paraId="1D893690">
      <w:pPr>
        <w:spacing w:line="117" w:lineRule="exact"/>
        <w:rPr>
          <w:rFonts w:hint="eastAsia" w:ascii="仿宋" w:hAnsi="仿宋" w:eastAsia="仿宋" w:cs="仿宋"/>
          <w:highlight w:val="none"/>
        </w:rPr>
      </w:pPr>
    </w:p>
    <w:tbl>
      <w:tblPr>
        <w:tblStyle w:val="8"/>
        <w:tblW w:w="82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649"/>
        <w:gridCol w:w="3471"/>
        <w:gridCol w:w="2411"/>
      </w:tblGrid>
      <w:tr w14:paraId="5055F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04" w:type="dxa"/>
            <w:noWrap w:val="0"/>
            <w:vAlign w:val="top"/>
          </w:tcPr>
          <w:p w14:paraId="48E4BB1C">
            <w:pPr>
              <w:spacing w:before="205" w:line="217" w:lineRule="auto"/>
              <w:ind w:left="112"/>
              <w:rPr>
                <w:rFonts w:ascii="仿宋" w:hAnsi="仿宋" w:eastAsia="仿宋" w:cs="仿宋"/>
                <w:sz w:val="24"/>
                <w:szCs w:val="24"/>
                <w:highlight w:val="none"/>
              </w:rPr>
            </w:pPr>
            <w:r>
              <w:rPr>
                <w:rFonts w:ascii="仿宋" w:hAnsi="仿宋" w:eastAsia="仿宋" w:cs="仿宋"/>
                <w:b/>
                <w:bCs/>
                <w:spacing w:val="-5"/>
                <w:sz w:val="24"/>
                <w:szCs w:val="24"/>
                <w:highlight w:val="none"/>
              </w:rPr>
              <w:t>序号</w:t>
            </w:r>
          </w:p>
        </w:tc>
        <w:tc>
          <w:tcPr>
            <w:tcW w:w="1649" w:type="dxa"/>
            <w:noWrap w:val="0"/>
            <w:vAlign w:val="top"/>
          </w:tcPr>
          <w:p w14:paraId="1817C780">
            <w:pPr>
              <w:spacing w:before="205" w:line="219" w:lineRule="auto"/>
              <w:ind w:left="587"/>
              <w:rPr>
                <w:rFonts w:ascii="仿宋" w:hAnsi="仿宋" w:eastAsia="仿宋" w:cs="仿宋"/>
                <w:sz w:val="24"/>
                <w:szCs w:val="24"/>
                <w:highlight w:val="none"/>
              </w:rPr>
            </w:pPr>
            <w:r>
              <w:rPr>
                <w:rFonts w:ascii="仿宋" w:hAnsi="仿宋" w:eastAsia="仿宋" w:cs="仿宋"/>
                <w:b/>
                <w:bCs/>
                <w:spacing w:val="-6"/>
                <w:sz w:val="24"/>
                <w:szCs w:val="24"/>
                <w:highlight w:val="none"/>
              </w:rPr>
              <w:t>分类</w:t>
            </w:r>
          </w:p>
        </w:tc>
        <w:tc>
          <w:tcPr>
            <w:tcW w:w="3471" w:type="dxa"/>
            <w:noWrap w:val="0"/>
            <w:vAlign w:val="top"/>
          </w:tcPr>
          <w:p w14:paraId="217FBBFB">
            <w:pPr>
              <w:spacing w:before="205" w:line="217" w:lineRule="auto"/>
              <w:ind w:left="1262"/>
              <w:rPr>
                <w:rFonts w:ascii="仿宋" w:hAnsi="仿宋" w:eastAsia="仿宋" w:cs="仿宋"/>
                <w:sz w:val="24"/>
                <w:szCs w:val="24"/>
                <w:highlight w:val="none"/>
              </w:rPr>
            </w:pPr>
            <w:r>
              <w:rPr>
                <w:rFonts w:ascii="仿宋" w:hAnsi="仿宋" w:eastAsia="仿宋" w:cs="仿宋"/>
                <w:b/>
                <w:bCs/>
                <w:spacing w:val="-5"/>
                <w:sz w:val="24"/>
                <w:szCs w:val="24"/>
                <w:highlight w:val="none"/>
              </w:rPr>
              <w:t>推荐品牌</w:t>
            </w:r>
          </w:p>
        </w:tc>
        <w:tc>
          <w:tcPr>
            <w:tcW w:w="2411" w:type="dxa"/>
            <w:noWrap w:val="0"/>
            <w:vAlign w:val="top"/>
          </w:tcPr>
          <w:p w14:paraId="284F0D9B">
            <w:pPr>
              <w:spacing w:before="204" w:line="220" w:lineRule="auto"/>
              <w:ind w:left="268"/>
              <w:rPr>
                <w:rFonts w:ascii="仿宋" w:hAnsi="仿宋" w:eastAsia="仿宋" w:cs="仿宋"/>
                <w:sz w:val="24"/>
                <w:szCs w:val="24"/>
                <w:highlight w:val="none"/>
              </w:rPr>
            </w:pPr>
            <w:r>
              <w:rPr>
                <w:rFonts w:ascii="仿宋" w:hAnsi="仿宋" w:eastAsia="仿宋" w:cs="仿宋"/>
                <w:b/>
                <w:bCs/>
                <w:spacing w:val="-6"/>
                <w:sz w:val="24"/>
                <w:szCs w:val="24"/>
                <w:highlight w:val="none"/>
              </w:rPr>
              <w:t>备注</w:t>
            </w:r>
          </w:p>
        </w:tc>
      </w:tr>
      <w:tr w14:paraId="7B14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noWrap w:val="0"/>
            <w:vAlign w:val="top"/>
          </w:tcPr>
          <w:p w14:paraId="111F30BC">
            <w:pPr>
              <w:pStyle w:val="10"/>
              <w:spacing w:before="172" w:line="241" w:lineRule="auto"/>
              <w:ind w:left="316"/>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49" w:type="dxa"/>
            <w:noWrap w:val="0"/>
            <w:vAlign w:val="top"/>
          </w:tcPr>
          <w:p w14:paraId="1E62CCED">
            <w:pPr>
              <w:pStyle w:val="10"/>
              <w:spacing w:before="172" w:line="221"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音频系统</w:t>
            </w:r>
          </w:p>
        </w:tc>
        <w:tc>
          <w:tcPr>
            <w:tcW w:w="3471" w:type="dxa"/>
            <w:noWrap w:val="0"/>
            <w:vAlign w:val="top"/>
          </w:tcPr>
          <w:p w14:paraId="220D12F3">
            <w:pPr>
              <w:pStyle w:val="10"/>
              <w:spacing w:before="171" w:line="219"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得胜、声优诺、ITC</w:t>
            </w:r>
          </w:p>
        </w:tc>
        <w:tc>
          <w:tcPr>
            <w:tcW w:w="2411" w:type="dxa"/>
            <w:noWrap w:val="0"/>
            <w:vAlign w:val="top"/>
          </w:tcPr>
          <w:p w14:paraId="43FD0FFD">
            <w:pPr>
              <w:rPr>
                <w:rFonts w:hint="eastAsia" w:ascii="仿宋" w:hAnsi="仿宋" w:eastAsia="仿宋" w:cs="仿宋"/>
                <w:color w:val="000000"/>
                <w:sz w:val="24"/>
                <w:highlight w:val="none"/>
              </w:rPr>
            </w:pPr>
          </w:p>
        </w:tc>
      </w:tr>
      <w:tr w14:paraId="5CD0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noWrap w:val="0"/>
            <w:vAlign w:val="top"/>
          </w:tcPr>
          <w:p w14:paraId="20C27D84">
            <w:pPr>
              <w:pStyle w:val="10"/>
              <w:spacing w:before="204" w:line="241" w:lineRule="auto"/>
              <w:ind w:left="303"/>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49" w:type="dxa"/>
            <w:noWrap w:val="0"/>
            <w:vAlign w:val="top"/>
          </w:tcPr>
          <w:p w14:paraId="5793D09A">
            <w:pPr>
              <w:pStyle w:val="10"/>
              <w:spacing w:before="204" w:line="220"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监控系统</w:t>
            </w:r>
          </w:p>
        </w:tc>
        <w:tc>
          <w:tcPr>
            <w:tcW w:w="3471" w:type="dxa"/>
            <w:noWrap w:val="0"/>
            <w:vAlign w:val="top"/>
          </w:tcPr>
          <w:p w14:paraId="44732EF2">
            <w:pPr>
              <w:pStyle w:val="10"/>
              <w:spacing w:before="48" w:line="248" w:lineRule="auto"/>
              <w:ind w:left="0" w:right="278" w:firstLine="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海康威视、大华、宇视</w:t>
            </w:r>
          </w:p>
        </w:tc>
        <w:tc>
          <w:tcPr>
            <w:tcW w:w="2411" w:type="dxa"/>
            <w:noWrap w:val="0"/>
            <w:vAlign w:val="top"/>
          </w:tcPr>
          <w:p w14:paraId="6819F47F">
            <w:pPr>
              <w:rPr>
                <w:rFonts w:hint="eastAsia" w:ascii="仿宋" w:hAnsi="仿宋" w:eastAsia="仿宋" w:cs="仿宋"/>
                <w:color w:val="000000"/>
                <w:sz w:val="24"/>
                <w:highlight w:val="none"/>
              </w:rPr>
            </w:pPr>
          </w:p>
        </w:tc>
      </w:tr>
      <w:tr w14:paraId="1C9BF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4" w:type="dxa"/>
            <w:noWrap w:val="0"/>
            <w:vAlign w:val="top"/>
          </w:tcPr>
          <w:p w14:paraId="203D8C37">
            <w:pPr>
              <w:pStyle w:val="10"/>
              <w:spacing w:before="292"/>
              <w:ind w:left="304"/>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49" w:type="dxa"/>
            <w:noWrap w:val="0"/>
            <w:vAlign w:val="top"/>
          </w:tcPr>
          <w:p w14:paraId="33754A50">
            <w:pPr>
              <w:pStyle w:val="10"/>
              <w:spacing w:before="293" w:line="223"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视频会议系统</w:t>
            </w:r>
          </w:p>
        </w:tc>
        <w:tc>
          <w:tcPr>
            <w:tcW w:w="3471" w:type="dxa"/>
            <w:noWrap w:val="0"/>
            <w:vAlign w:val="top"/>
          </w:tcPr>
          <w:p w14:paraId="033CEA4E">
            <w:pPr>
              <w:pStyle w:val="10"/>
              <w:spacing w:before="292" w:line="219"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海康威视、罗技、MAXHUB</w:t>
            </w:r>
          </w:p>
        </w:tc>
        <w:tc>
          <w:tcPr>
            <w:tcW w:w="2411" w:type="dxa"/>
            <w:noWrap w:val="0"/>
            <w:vAlign w:val="top"/>
          </w:tcPr>
          <w:p w14:paraId="51F05222">
            <w:pPr>
              <w:rPr>
                <w:rFonts w:hint="eastAsia" w:ascii="仿宋" w:hAnsi="仿宋" w:eastAsia="仿宋" w:cs="仿宋"/>
                <w:color w:val="000000"/>
                <w:sz w:val="24"/>
                <w:highlight w:val="none"/>
              </w:rPr>
            </w:pPr>
          </w:p>
        </w:tc>
      </w:tr>
      <w:tr w14:paraId="2097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4" w:type="dxa"/>
            <w:noWrap w:val="0"/>
            <w:vAlign w:val="top"/>
          </w:tcPr>
          <w:p w14:paraId="4FD6B011">
            <w:pPr>
              <w:pStyle w:val="10"/>
              <w:spacing w:before="69" w:line="241" w:lineRule="auto"/>
              <w:ind w:left="29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49" w:type="dxa"/>
            <w:noWrap w:val="0"/>
            <w:vAlign w:val="top"/>
          </w:tcPr>
          <w:p w14:paraId="45A16601">
            <w:pPr>
              <w:pStyle w:val="10"/>
              <w:spacing w:before="62" w:line="219"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会议信息发布系统</w:t>
            </w:r>
          </w:p>
        </w:tc>
        <w:tc>
          <w:tcPr>
            <w:tcW w:w="3471" w:type="dxa"/>
            <w:noWrap w:val="0"/>
            <w:vAlign w:val="top"/>
          </w:tcPr>
          <w:p w14:paraId="33DBA5D9">
            <w:pPr>
              <w:pStyle w:val="10"/>
              <w:spacing w:before="68" w:line="220"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华会通、ITC、奥视明</w:t>
            </w:r>
          </w:p>
        </w:tc>
        <w:tc>
          <w:tcPr>
            <w:tcW w:w="2411" w:type="dxa"/>
            <w:noWrap w:val="0"/>
            <w:vAlign w:val="top"/>
          </w:tcPr>
          <w:p w14:paraId="5FF43C36">
            <w:pPr>
              <w:spacing w:before="28" w:line="222" w:lineRule="auto"/>
              <w:ind w:left="295" w:right="130" w:hanging="116"/>
              <w:rPr>
                <w:rFonts w:hint="eastAsia" w:ascii="仿宋" w:hAnsi="仿宋" w:eastAsia="仿宋" w:cs="仿宋"/>
                <w:color w:val="000000"/>
                <w:sz w:val="24"/>
                <w:szCs w:val="24"/>
                <w:highlight w:val="none"/>
              </w:rPr>
            </w:pPr>
          </w:p>
        </w:tc>
      </w:tr>
      <w:tr w14:paraId="2D20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4" w:type="dxa"/>
            <w:noWrap w:val="0"/>
            <w:vAlign w:val="top"/>
          </w:tcPr>
          <w:p w14:paraId="155E86BF">
            <w:pPr>
              <w:pStyle w:val="10"/>
              <w:spacing w:before="174"/>
              <w:ind w:left="304"/>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49" w:type="dxa"/>
            <w:noWrap w:val="0"/>
            <w:vAlign w:val="top"/>
          </w:tcPr>
          <w:p w14:paraId="09681B41">
            <w:pPr>
              <w:pStyle w:val="10"/>
              <w:spacing w:before="175" w:line="223"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智能会议显示终端</w:t>
            </w:r>
          </w:p>
        </w:tc>
        <w:tc>
          <w:tcPr>
            <w:tcW w:w="3471" w:type="dxa"/>
            <w:noWrap w:val="0"/>
            <w:vAlign w:val="top"/>
          </w:tcPr>
          <w:p w14:paraId="09BBEB93">
            <w:pPr>
              <w:pStyle w:val="10"/>
              <w:spacing w:before="174" w:line="220"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推荐品牌：小米、AOC、创维</w:t>
            </w:r>
          </w:p>
        </w:tc>
        <w:tc>
          <w:tcPr>
            <w:tcW w:w="2411" w:type="dxa"/>
            <w:noWrap w:val="0"/>
            <w:vAlign w:val="top"/>
          </w:tcPr>
          <w:p w14:paraId="48A0F80E">
            <w:pPr>
              <w:rPr>
                <w:rFonts w:hint="eastAsia" w:ascii="仿宋" w:hAnsi="仿宋" w:eastAsia="仿宋" w:cs="仿宋"/>
                <w:color w:val="000000"/>
                <w:sz w:val="24"/>
                <w:highlight w:val="none"/>
              </w:rPr>
            </w:pPr>
          </w:p>
        </w:tc>
      </w:tr>
    </w:tbl>
    <w:p w14:paraId="2558432B">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24080"/>
    <w:rsid w:val="3FD2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eastAsia="黑体"/>
      <w:sz w:val="36"/>
    </w:rPr>
  </w:style>
  <w:style w:type="character" w:customStyle="1" w:styleId="7">
    <w:name w:val="标题 2 Char Char"/>
    <w:uiPriority w:val="0"/>
    <w:rPr>
      <w:rFonts w:ascii="Arial" w:hAnsi="Arial" w:eastAsia="黑体" w:cs="Times New Roman"/>
      <w:b/>
      <w:bCs/>
      <w:kern w:val="2"/>
      <w:sz w:val="32"/>
      <w:szCs w:val="32"/>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列出段落1"/>
    <w:basedOn w:val="1"/>
    <w:qFormat/>
    <w:uiPriority w:val="0"/>
    <w:pPr>
      <w:ind w:firstLine="420" w:firstLineChars="200"/>
    </w:p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2025-06-20T10:25:00Z</dcterms:created>
  <dc:creator>章芹</dc:creator>
  <cp:lastModifiedBy>章芹</cp:lastModifiedBy>
  <dcterms:modified xsi:type="dcterms:W3CDTF">2025-06-20T10:25:27Z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E6E729C9305F4F19ADC2A4D0EAA827BE_11</vt:lpwstr>
  </property>
</Properties>
</file>