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AB5BB">
      <w:pPr>
        <w:pStyle w:val="2"/>
        <w:widowControl/>
        <w:snapToGrid w:val="0"/>
        <w:spacing w:before="0" w:after="0" w:line="360" w:lineRule="auto"/>
        <w:jc w:val="center"/>
        <w:rPr>
          <w:rFonts w:hint="eastAsia" w:ascii="宋体" w:hAnsi="宋体" w:eastAsia="仿宋"/>
          <w:color w:val="auto"/>
          <w:highlight w:val="none"/>
        </w:rPr>
      </w:pPr>
      <w:bookmarkStart w:id="0" w:name="_Toc24366"/>
      <w:bookmarkStart w:id="1" w:name="_Toc466024555"/>
      <w:bookmarkStart w:id="2" w:name="_Toc445554746"/>
      <w:r>
        <w:rPr>
          <w:rFonts w:hint="eastAsia" w:ascii="宋体" w:hAnsi="宋体" w:eastAsia="仿宋"/>
          <w:color w:val="auto"/>
          <w:highlight w:val="none"/>
        </w:rPr>
        <w:t>第三章  采购需求</w:t>
      </w:r>
      <w:bookmarkEnd w:id="0"/>
      <w:bookmarkEnd w:id="1"/>
      <w:bookmarkEnd w:id="2"/>
    </w:p>
    <w:p w14:paraId="2093F5BB">
      <w:pPr>
        <w:pStyle w:val="3"/>
        <w:spacing w:line="360" w:lineRule="auto"/>
        <w:rPr>
          <w:rStyle w:val="7"/>
          <w:rFonts w:ascii="宋体" w:hAnsi="宋体" w:eastAsia="仿宋"/>
          <w:b/>
          <w:bCs/>
          <w:color w:val="auto"/>
          <w:sz w:val="24"/>
          <w:szCs w:val="24"/>
          <w:highlight w:val="none"/>
        </w:rPr>
      </w:pPr>
      <w:bookmarkStart w:id="3" w:name="_Toc455587089"/>
      <w:bookmarkStart w:id="4" w:name="_Toc466024556"/>
      <w:bookmarkStart w:id="5" w:name="_Toc455587273"/>
      <w:bookmarkStart w:id="6" w:name="_Toc445554747"/>
      <w:r>
        <w:rPr>
          <w:rStyle w:val="7"/>
          <w:rFonts w:hint="eastAsia" w:ascii="宋体" w:hAnsi="宋体" w:eastAsia="仿宋"/>
          <w:b/>
          <w:bCs/>
          <w:color w:val="auto"/>
          <w:sz w:val="24"/>
          <w:szCs w:val="24"/>
          <w:highlight w:val="none"/>
        </w:rPr>
        <w:t xml:space="preserve">1. </w:t>
      </w:r>
      <w:bookmarkEnd w:id="3"/>
      <w:bookmarkEnd w:id="4"/>
      <w:bookmarkEnd w:id="5"/>
      <w:r>
        <w:rPr>
          <w:rStyle w:val="7"/>
          <w:rFonts w:hint="eastAsia" w:ascii="宋体" w:hAnsi="宋体" w:eastAsia="仿宋"/>
          <w:b/>
          <w:bCs/>
          <w:color w:val="auto"/>
          <w:sz w:val="24"/>
          <w:szCs w:val="24"/>
          <w:highlight w:val="none"/>
        </w:rPr>
        <w:t>总体说明</w:t>
      </w:r>
      <w:bookmarkStart w:id="60" w:name="_GoBack"/>
      <w:bookmarkEnd w:id="60"/>
    </w:p>
    <w:p w14:paraId="3EE02D68">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1.1 本章所提出的技术要求是对本次招标货物及伴随服务的基本要求，并未涉及所有技术细节，也未充分引述有关标准、规范的全部条款。投标人应保证其提供的货物及伴随服务除了满足本技术要求外，还应符合中国国家、行业、地方或设备制造商所在国的有关强制性标准、规范。当上述标准、规范的有关规定之间存在差异时，应以要求高的为准。</w:t>
      </w:r>
    </w:p>
    <w:p w14:paraId="4C0FE16B">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1.2 本章中提及的工艺、材料、设备的标准及品牌或型号（如有）仅起说明作用，并没有强制性。投标人在投标中可以用替代工艺、材料、设备的标准及品牌或型号，但这种替代须实质上满足、等同或优于本章技术要求，同时须提供相关证明材料，否则可能被评标委员会认定为负偏离。</w:t>
      </w:r>
    </w:p>
    <w:p w14:paraId="7561AECD">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1.3 除非有特别说明，本章中所列的具体参数或参数范围，均理解为采购人可接受的最低要求。</w:t>
      </w:r>
    </w:p>
    <w:p w14:paraId="43C8B8FA">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1.4 根据《关于规范政府采购进口产品有关工作的通知》及政府采购管理部门的相关规定，下列采购需求中标注进口产品的货物均已履行相关论证手续，经核准采购进口产品，但不限制满足招标文件要求的国内产品参与竞争。未标注进口产品的货物均为拒绝采购进口产品。</w:t>
      </w:r>
      <w:r>
        <w:rPr>
          <w:rFonts w:hint="eastAsia" w:ascii="宋体" w:hAnsi="宋体" w:eastAsia="仿宋" w:cs="Calibri"/>
          <w:color w:val="auto"/>
          <w:sz w:val="24"/>
          <w:highlight w:val="none"/>
        </w:rPr>
        <w:t>进口产品的认定按照财政部文件《关于政府采购进口产品管理有关问题的通知》（财办库〔2008〕248号）规定，整机设备内元器件不做限制。</w:t>
      </w:r>
    </w:p>
    <w:p w14:paraId="608E089F">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1.5 采购需求如包含属于《节能产品政府采购品目清单》中政府强制采购的节能产品，则投标人所投产品须具有市场监管总局公布的《参与实施政府采购节能产品认证机构目录》中的认证机构出具的、处于有效期内的节能（节水）产品认证证书。</w:t>
      </w:r>
    </w:p>
    <w:p w14:paraId="4DBA10EE">
      <w:pPr>
        <w:pStyle w:val="3"/>
        <w:spacing w:line="360" w:lineRule="auto"/>
        <w:rPr>
          <w:rStyle w:val="7"/>
          <w:rFonts w:hint="eastAsia" w:ascii="宋体" w:hAnsi="宋体" w:eastAsia="仿宋"/>
          <w:b/>
          <w:bCs/>
          <w:color w:val="auto"/>
          <w:sz w:val="24"/>
          <w:szCs w:val="24"/>
          <w:highlight w:val="none"/>
        </w:rPr>
      </w:pPr>
      <w:bookmarkStart w:id="7" w:name="_Toc455587090"/>
      <w:bookmarkStart w:id="8" w:name="_Toc455587274"/>
      <w:bookmarkStart w:id="9" w:name="_Toc466024557"/>
      <w:r>
        <w:rPr>
          <w:rStyle w:val="7"/>
          <w:rFonts w:hint="eastAsia" w:ascii="宋体" w:hAnsi="宋体" w:eastAsia="仿宋"/>
          <w:b/>
          <w:bCs/>
          <w:color w:val="auto"/>
          <w:sz w:val="24"/>
          <w:szCs w:val="24"/>
          <w:highlight w:val="none"/>
        </w:rPr>
        <w:t>2. 采购内容及范围</w:t>
      </w:r>
      <w:bookmarkEnd w:id="7"/>
      <w:bookmarkEnd w:id="8"/>
      <w:bookmarkEnd w:id="9"/>
    </w:p>
    <w:p w14:paraId="1388927F">
      <w:pPr>
        <w:widowControl/>
        <w:tabs>
          <w:tab w:val="left" w:pos="1406"/>
        </w:tabs>
        <w:snapToGrid w:val="0"/>
        <w:spacing w:line="360" w:lineRule="auto"/>
        <w:ind w:firstLine="412" w:firstLineChars="171"/>
        <w:rPr>
          <w:rFonts w:hint="eastAsia" w:ascii="宋体" w:hAnsi="宋体"/>
          <w:b/>
          <w:color w:val="auto"/>
          <w:sz w:val="24"/>
          <w:highlight w:val="none"/>
        </w:rPr>
      </w:pPr>
      <w:r>
        <w:rPr>
          <w:rFonts w:hint="eastAsia" w:ascii="宋体" w:hAnsi="宋体" w:eastAsia="仿宋"/>
          <w:b/>
          <w:color w:val="auto"/>
          <w:sz w:val="24"/>
          <w:highlight w:val="none"/>
        </w:rPr>
        <w:t>2.1 采购内容</w:t>
      </w:r>
    </w:p>
    <w:tbl>
      <w:tblPr>
        <w:tblStyle w:val="5"/>
        <w:tblW w:w="1005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80"/>
        <w:gridCol w:w="791"/>
        <w:gridCol w:w="2012"/>
        <w:gridCol w:w="885"/>
        <w:gridCol w:w="915"/>
        <w:gridCol w:w="1380"/>
        <w:gridCol w:w="1215"/>
        <w:gridCol w:w="1210"/>
        <w:gridCol w:w="770"/>
      </w:tblGrid>
      <w:tr w14:paraId="655D4CCD">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F0B5510">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包号</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8443FDD">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default" w:ascii="宋体" w:hAnsi="宋体" w:eastAsia="仿宋" w:cs="Times New Roman"/>
                <w:color w:val="auto"/>
                <w:sz w:val="24"/>
                <w:highlight w:val="none"/>
              </w:rPr>
              <w:t>序号</w:t>
            </w:r>
          </w:p>
        </w:tc>
        <w:tc>
          <w:tcPr>
            <w:tcW w:w="201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DCFA699">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eastAsia" w:ascii="宋体" w:hAnsi="宋体" w:eastAsia="仿宋" w:cs="Times New Roman"/>
                <w:color w:val="auto"/>
                <w:sz w:val="24"/>
                <w:highlight w:val="none"/>
              </w:rPr>
              <w:t>标的</w:t>
            </w:r>
            <w:r>
              <w:rPr>
                <w:rFonts w:hint="default" w:ascii="宋体" w:hAnsi="宋体" w:eastAsia="仿宋" w:cs="Times New Roman"/>
                <w:color w:val="auto"/>
                <w:sz w:val="24"/>
                <w:highlight w:val="none"/>
              </w:rPr>
              <w:t>名称</w:t>
            </w:r>
          </w:p>
        </w:tc>
        <w:tc>
          <w:tcPr>
            <w:tcW w:w="88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E574D59">
            <w:pPr>
              <w:keepNext w:val="0"/>
              <w:keepLines w:val="0"/>
              <w:widowControl/>
              <w:suppressLineNumbers w:val="0"/>
              <w:autoSpaceDN w:val="0"/>
              <w:spacing w:before="0" w:beforeAutospacing="0" w:after="0" w:afterAutospacing="0"/>
              <w:ind w:left="0" w:right="0"/>
              <w:jc w:val="center"/>
              <w:rPr>
                <w:rFonts w:hint="eastAsia" w:ascii="Calibri" w:hAnsi="宋体" w:cs="Times New Roman"/>
                <w:color w:val="auto"/>
                <w:sz w:val="24"/>
                <w:highlight w:val="none"/>
              </w:rPr>
            </w:pPr>
            <w:r>
              <w:rPr>
                <w:rFonts w:hint="eastAsia" w:ascii="Calibri" w:hAnsi="宋体" w:eastAsia="仿宋" w:cs="Times New Roman"/>
                <w:color w:val="auto"/>
                <w:sz w:val="24"/>
                <w:highlight w:val="none"/>
              </w:rPr>
              <w:t>单位</w:t>
            </w:r>
          </w:p>
        </w:tc>
        <w:tc>
          <w:tcPr>
            <w:tcW w:w="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49CB132">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eastAsia" w:ascii="宋体" w:hAnsi="宋体" w:eastAsia="仿宋" w:cs="Times New Roman"/>
                <w:color w:val="auto"/>
                <w:sz w:val="24"/>
                <w:highlight w:val="none"/>
              </w:rPr>
              <w:t>数量</w:t>
            </w:r>
          </w:p>
        </w:tc>
        <w:tc>
          <w:tcPr>
            <w:tcW w:w="13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38219F1">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auto"/>
                <w:sz w:val="24"/>
                <w:highlight w:val="none"/>
                <w:lang w:eastAsia="zh-CN"/>
              </w:rPr>
            </w:pPr>
            <w:r>
              <w:rPr>
                <w:rFonts w:hint="eastAsia" w:ascii="Calibri" w:hAnsi="宋体" w:eastAsia="仿宋" w:cs="Times New Roman"/>
                <w:color w:val="auto"/>
                <w:sz w:val="24"/>
                <w:highlight w:val="none"/>
              </w:rPr>
              <w:t>单套限价</w:t>
            </w:r>
            <w:r>
              <w:rPr>
                <w:rFonts w:hint="eastAsia" w:ascii="Calibri" w:hAnsi="宋体" w:eastAsia="仿宋" w:cs="Times New Roman"/>
                <w:color w:val="auto"/>
                <w:sz w:val="24"/>
                <w:highlight w:val="none"/>
                <w:lang w:eastAsia="zh-CN"/>
              </w:rPr>
              <w:t>（</w:t>
            </w:r>
            <w:r>
              <w:rPr>
                <w:rFonts w:hint="eastAsia" w:ascii="Calibri" w:hAnsi="宋体" w:eastAsia="仿宋" w:cs="Times New Roman"/>
                <w:color w:val="auto"/>
                <w:sz w:val="24"/>
                <w:highlight w:val="none"/>
                <w:lang w:val="en-US" w:eastAsia="zh-CN"/>
              </w:rPr>
              <w:t>万元</w:t>
            </w:r>
            <w:r>
              <w:rPr>
                <w:rFonts w:hint="eastAsia" w:ascii="Calibri" w:hAnsi="宋体" w:eastAsia="仿宋" w:cs="Times New Roman"/>
                <w:color w:val="auto"/>
                <w:sz w:val="24"/>
                <w:highlight w:val="none"/>
                <w:lang w:eastAsia="zh-CN"/>
              </w:rPr>
              <w:t>）</w:t>
            </w:r>
          </w:p>
        </w:tc>
        <w:tc>
          <w:tcPr>
            <w:tcW w:w="12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FFC323E">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color w:val="auto"/>
                <w:sz w:val="24"/>
                <w:highlight w:val="none"/>
              </w:rPr>
            </w:pPr>
            <w:r>
              <w:rPr>
                <w:rFonts w:hint="eastAsia" w:ascii="Calibri" w:hAnsi="宋体" w:eastAsia="仿宋" w:cs="Times New Roman"/>
                <w:color w:val="auto"/>
                <w:sz w:val="24"/>
                <w:highlight w:val="none"/>
              </w:rPr>
              <w:t>所属行业</w:t>
            </w:r>
          </w:p>
        </w:tc>
        <w:tc>
          <w:tcPr>
            <w:tcW w:w="121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F9D0C2A">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color w:val="auto"/>
                <w:sz w:val="24"/>
                <w:highlight w:val="none"/>
              </w:rPr>
            </w:pPr>
            <w:r>
              <w:rPr>
                <w:rFonts w:hint="eastAsia" w:ascii="Calibri" w:hAnsi="宋体" w:eastAsia="仿宋" w:cs="Times New Roman"/>
                <w:color w:val="auto"/>
                <w:sz w:val="24"/>
                <w:highlight w:val="none"/>
              </w:rPr>
              <w:t>是否接受进口</w:t>
            </w:r>
          </w:p>
        </w:tc>
        <w:tc>
          <w:tcPr>
            <w:tcW w:w="77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2CC0CC43">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auto"/>
                <w:sz w:val="24"/>
                <w:highlight w:val="none"/>
              </w:rPr>
            </w:pPr>
            <w:r>
              <w:rPr>
                <w:rFonts w:hint="eastAsia" w:ascii="宋体" w:hAnsi="宋体" w:eastAsia="仿宋" w:cs="Times New Roman"/>
                <w:color w:val="auto"/>
                <w:sz w:val="24"/>
                <w:highlight w:val="none"/>
              </w:rPr>
              <w:t>备注</w:t>
            </w:r>
          </w:p>
        </w:tc>
      </w:tr>
      <w:tr w14:paraId="2C7ACCE7">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28324D2">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第1包</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06320D4">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default" w:ascii="宋体" w:hAnsi="宋体" w:eastAsia="仿宋" w:cs="Times New Roman"/>
                <w:color w:val="auto"/>
                <w:sz w:val="24"/>
                <w:highlight w:val="none"/>
              </w:rPr>
              <w:t>1</w:t>
            </w:r>
          </w:p>
        </w:tc>
        <w:tc>
          <w:tcPr>
            <w:tcW w:w="201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E822C4A">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眼科AB超</w:t>
            </w:r>
          </w:p>
        </w:tc>
        <w:tc>
          <w:tcPr>
            <w:tcW w:w="88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E06AD8B">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台</w:t>
            </w:r>
          </w:p>
        </w:tc>
        <w:tc>
          <w:tcPr>
            <w:tcW w:w="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60792B2">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auto"/>
                <w:kern w:val="2"/>
                <w:sz w:val="22"/>
                <w:szCs w:val="22"/>
                <w:highlight w:val="none"/>
                <w:u w:val="none"/>
                <w:lang w:val="en-US" w:eastAsia="zh-CN" w:bidi="ar-SA"/>
              </w:rPr>
            </w:pPr>
            <w:r>
              <w:rPr>
                <w:rFonts w:hint="eastAsia" w:ascii="宋体" w:hAnsi="宋体" w:eastAsia="宋体" w:cs="宋体"/>
                <w:i w:val="0"/>
                <w:iCs w:val="0"/>
                <w:color w:val="auto"/>
                <w:kern w:val="2"/>
                <w:sz w:val="22"/>
                <w:szCs w:val="22"/>
                <w:highlight w:val="none"/>
                <w:u w:val="none"/>
                <w:lang w:val="en-US" w:eastAsia="zh-CN" w:bidi="ar-SA"/>
              </w:rPr>
              <w:t>5</w:t>
            </w:r>
          </w:p>
        </w:tc>
        <w:tc>
          <w:tcPr>
            <w:tcW w:w="13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7B7DE32">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30</w:t>
            </w:r>
          </w:p>
        </w:tc>
        <w:tc>
          <w:tcPr>
            <w:tcW w:w="12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6606DB4">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工业</w:t>
            </w:r>
          </w:p>
        </w:tc>
        <w:tc>
          <w:tcPr>
            <w:tcW w:w="121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5BADA02">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否</w:t>
            </w:r>
          </w:p>
        </w:tc>
        <w:tc>
          <w:tcPr>
            <w:tcW w:w="77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F2F0A75">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w:t>
            </w:r>
          </w:p>
        </w:tc>
      </w:tr>
    </w:tbl>
    <w:p w14:paraId="2DC5203B">
      <w:pPr>
        <w:widowControl/>
        <w:tabs>
          <w:tab w:val="left" w:pos="1406"/>
        </w:tabs>
        <w:snapToGrid w:val="0"/>
        <w:spacing w:line="360" w:lineRule="auto"/>
        <w:ind w:firstLine="412" w:firstLineChars="171"/>
        <w:rPr>
          <w:rFonts w:hint="eastAsia" w:ascii="宋体" w:hAnsi="宋体" w:eastAsia="仿宋"/>
          <w:b/>
          <w:color w:val="auto"/>
          <w:sz w:val="24"/>
          <w:highlight w:val="none"/>
        </w:rPr>
      </w:pPr>
    </w:p>
    <w:p w14:paraId="27820833">
      <w:pPr>
        <w:widowControl/>
        <w:tabs>
          <w:tab w:val="left" w:pos="1406"/>
        </w:tabs>
        <w:snapToGrid w:val="0"/>
        <w:spacing w:line="360" w:lineRule="auto"/>
        <w:ind w:firstLine="412" w:firstLineChars="171"/>
        <w:rPr>
          <w:rFonts w:hint="eastAsia" w:ascii="宋体" w:hAnsi="宋体" w:eastAsia="仿宋"/>
          <w:b/>
          <w:color w:val="auto"/>
          <w:sz w:val="24"/>
          <w:highlight w:val="none"/>
        </w:rPr>
      </w:pPr>
      <w:r>
        <w:rPr>
          <w:rFonts w:hint="eastAsia" w:ascii="宋体" w:hAnsi="宋体" w:eastAsia="仿宋"/>
          <w:b/>
          <w:color w:val="auto"/>
          <w:sz w:val="24"/>
          <w:highlight w:val="none"/>
        </w:rPr>
        <w:t>2.2 采购范围</w:t>
      </w:r>
    </w:p>
    <w:p w14:paraId="6EAF3199">
      <w:pPr>
        <w:pStyle w:val="4"/>
        <w:widowControl/>
        <w:snapToGrid w:val="0"/>
        <w:spacing w:line="360" w:lineRule="auto"/>
        <w:ind w:firstLine="480" w:firstLineChars="200"/>
        <w:rPr>
          <w:rFonts w:hint="eastAsia" w:hAnsi="宋体" w:eastAsia="仿宋"/>
          <w:color w:val="auto"/>
          <w:sz w:val="24"/>
          <w:highlight w:val="none"/>
        </w:rPr>
      </w:pPr>
      <w:r>
        <w:rPr>
          <w:rFonts w:hint="eastAsia" w:hAnsi="宋体" w:eastAsia="仿宋"/>
          <w:color w:val="auto"/>
          <w:sz w:val="24"/>
          <w:szCs w:val="24"/>
          <w:highlight w:val="none"/>
        </w:rPr>
        <w:t>包括所有货物的供货、包装运输（包括卸车及就位至采购人指定的安装地点）、安装、调试、技术服务、培训、售后服务等所有内容。</w:t>
      </w:r>
    </w:p>
    <w:p w14:paraId="1471B483">
      <w:pPr>
        <w:pStyle w:val="3"/>
        <w:spacing w:line="360" w:lineRule="auto"/>
        <w:rPr>
          <w:rFonts w:ascii="宋体" w:hAnsi="宋体" w:eastAsia="仿宋"/>
          <w:color w:val="auto"/>
          <w:sz w:val="24"/>
          <w:highlight w:val="none"/>
        </w:rPr>
      </w:pPr>
      <w:r>
        <w:rPr>
          <w:rFonts w:hint="eastAsia" w:ascii="宋体" w:hAnsi="宋体" w:eastAsia="仿宋"/>
          <w:color w:val="auto"/>
          <w:sz w:val="24"/>
          <w:highlight w:val="none"/>
        </w:rPr>
        <w:t>3</w:t>
      </w:r>
      <w:r>
        <w:rPr>
          <w:rFonts w:ascii="宋体" w:hAnsi="宋体" w:eastAsia="仿宋"/>
          <w:color w:val="auto"/>
          <w:sz w:val="24"/>
          <w:highlight w:val="none"/>
        </w:rPr>
        <w:t>. 商务要求</w:t>
      </w:r>
    </w:p>
    <w:p w14:paraId="4F46B02F">
      <w:pPr>
        <w:spacing w:line="360" w:lineRule="auto"/>
        <w:rPr>
          <w:rFonts w:hint="eastAsia"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除非有特别说明，本条为实质性要求。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7"/>
        <w:gridCol w:w="6475"/>
      </w:tblGrid>
      <w:tr w14:paraId="6ED07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375" w:type="dxa"/>
            <w:noWrap w:val="0"/>
            <w:vAlign w:val="center"/>
          </w:tcPr>
          <w:p w14:paraId="0A3A1DCD">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交付（实施）的时间（期限）</w:t>
            </w:r>
          </w:p>
        </w:tc>
        <w:tc>
          <w:tcPr>
            <w:tcW w:w="7479" w:type="dxa"/>
            <w:noWrap w:val="0"/>
            <w:vAlign w:val="top"/>
          </w:tcPr>
          <w:p w14:paraId="34354148">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楷体" w:hAnsi="楷体" w:eastAsia="仿宋" w:cs="Calibri"/>
                <w:color w:val="auto"/>
                <w:sz w:val="24"/>
                <w:highlight w:val="none"/>
              </w:rPr>
              <w:t>合同生效后60日历天内完成供货安装调试。</w:t>
            </w:r>
          </w:p>
          <w:p w14:paraId="2E5E7566">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宋体" w:hAnsi="宋体" w:eastAsia="仿宋" w:cs="Calibri"/>
                <w:color w:val="auto"/>
                <w:sz w:val="24"/>
                <w:highlight w:val="none"/>
              </w:rPr>
              <w:t>是否接受负偏离：</w:t>
            </w:r>
            <w:r>
              <w:rPr>
                <w:rFonts w:hint="eastAsia" w:ascii="楷体" w:hAnsi="楷体" w:eastAsia="仿宋" w:cs="Calibri"/>
                <w:color w:val="auto"/>
                <w:sz w:val="24"/>
                <w:highlight w:val="none"/>
              </w:rPr>
              <w:t>☑不接受</w:t>
            </w:r>
          </w:p>
          <w:p w14:paraId="1A4C4111">
            <w:pPr>
              <w:pStyle w:val="8"/>
              <w:keepNext w:val="0"/>
              <w:keepLines w:val="0"/>
              <w:suppressLineNumbers w:val="0"/>
              <w:spacing w:before="0" w:beforeAutospacing="0" w:after="0" w:afterAutospacing="0" w:line="360" w:lineRule="auto"/>
              <w:ind w:left="0" w:right="0" w:firstLine="480"/>
              <w:rPr>
                <w:rFonts w:hint="eastAsia" w:ascii="楷体" w:hAnsi="楷体" w:eastAsia="仿宋" w:cs="Calibri"/>
                <w:color w:val="auto"/>
                <w:sz w:val="24"/>
                <w:highlight w:val="none"/>
              </w:rPr>
            </w:pPr>
            <w:r>
              <w:rPr>
                <w:rFonts w:hint="eastAsia" w:ascii="楷体" w:hAnsi="楷体" w:eastAsia="仿宋" w:cs="Calibri"/>
                <w:color w:val="auto"/>
                <w:sz w:val="24"/>
                <w:highlight w:val="none"/>
              </w:rPr>
              <w:t xml:space="preserve">            □接受：</w:t>
            </w:r>
          </w:p>
          <w:p w14:paraId="3E2EC080">
            <w:pPr>
              <w:pStyle w:val="8"/>
              <w:keepNext w:val="0"/>
              <w:keepLines w:val="0"/>
              <w:suppressLineNumbers w:val="0"/>
              <w:spacing w:before="0" w:beforeAutospacing="0" w:after="0" w:afterAutospacing="0" w:line="360" w:lineRule="auto"/>
              <w:ind w:left="0" w:right="0" w:firstLine="2160" w:firstLineChars="900"/>
              <w:rPr>
                <w:rFonts w:hint="eastAsia" w:ascii="宋体" w:hAnsi="宋体" w:eastAsia="仿宋" w:cs="Times New Roman"/>
                <w:color w:val="auto"/>
                <w:sz w:val="24"/>
                <w:highlight w:val="none"/>
              </w:rPr>
            </w:pPr>
            <w:r>
              <w:rPr>
                <w:rFonts w:hint="eastAsia" w:ascii="楷体" w:hAnsi="楷体" w:eastAsia="仿宋" w:cs="Calibri"/>
                <w:color w:val="auto"/>
                <w:sz w:val="24"/>
                <w:highlight w:val="none"/>
              </w:rPr>
              <w:t>允许偏离的幅度：</w:t>
            </w:r>
            <w:r>
              <w:rPr>
                <w:rFonts w:hint="eastAsia" w:ascii="宋体" w:hAnsi="宋体" w:eastAsia="仿宋" w:cs="Calibri"/>
                <w:color w:val="auto"/>
                <w:sz w:val="24"/>
                <w:highlight w:val="none"/>
              </w:rPr>
              <w:t>/</w:t>
            </w:r>
          </w:p>
        </w:tc>
      </w:tr>
      <w:tr w14:paraId="07E39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4D17B0EF">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交付（实施）的地点（范围）</w:t>
            </w:r>
          </w:p>
        </w:tc>
        <w:tc>
          <w:tcPr>
            <w:tcW w:w="7479" w:type="dxa"/>
            <w:noWrap w:val="0"/>
            <w:vAlign w:val="center"/>
          </w:tcPr>
          <w:p w14:paraId="48F91A0C">
            <w:pPr>
              <w:pStyle w:val="8"/>
              <w:keepNext w:val="0"/>
              <w:keepLines w:val="0"/>
              <w:suppressLineNumbers w:val="0"/>
              <w:spacing w:before="0" w:beforeAutospacing="0" w:after="0" w:afterAutospacing="0" w:line="360" w:lineRule="auto"/>
              <w:ind w:left="0" w:right="0" w:firstLine="0" w:firstLineChars="0"/>
              <w:jc w:val="left"/>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安徽省，采购人或使用单位指定地点</w:t>
            </w:r>
          </w:p>
        </w:tc>
      </w:tr>
      <w:tr w14:paraId="74662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2B8909CC">
            <w:pPr>
              <w:pStyle w:val="8"/>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付款方式</w:t>
            </w:r>
          </w:p>
        </w:tc>
        <w:tc>
          <w:tcPr>
            <w:tcW w:w="7479" w:type="dxa"/>
            <w:noWrap w:val="0"/>
            <w:vAlign w:val="top"/>
          </w:tcPr>
          <w:p w14:paraId="0B41892B">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（1）供货合同签订且所投产品货到使用单位指定地点，提交所在市卫健委汇总后报安徽省卫生健康委员会，由安徽省卫生健康委员会统一支付超长期国债资金（以下简称“到货款”）。</w:t>
            </w:r>
          </w:p>
          <w:p w14:paraId="7364EFB5">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（2）货物安装、验收合格后，各使用单位在收到发票后向中标人支付对应分合同剩余款项（以下简称“尾款”）。</w:t>
            </w:r>
          </w:p>
          <w:p w14:paraId="6BEE635F">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（3）安徽省卫生健康委员会支付的到货款与各使用单位支付的尾款之和为对应使用单位分合同的合同总额。</w:t>
            </w:r>
          </w:p>
          <w:p w14:paraId="034A9CE9">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4）如果招标公告附件中列明的某使用单位“超长期国债资金付款金额”不小于分合同合同总额的90%，则安徽省卫生健康委员会支付的到货款为分合同合同总额的90%，使用单位支付的尾款为其分合同合同总额的10%。</w:t>
            </w:r>
          </w:p>
          <w:p w14:paraId="73DC0C05">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5）如果招标公告附件中列明的某使用单位“超长期国债资金付款金额”小于分合同合同总额的90%，则安徽省卫生健康委员会支付的到货款为招标公告附件中列明的“超长期国债资金付款金额”，使用单位支付的尾款为其分合同合同总额扣除招标公告附件中列明的“超长期国债资金付款金额”的剩余金额。</w:t>
            </w:r>
          </w:p>
          <w:p w14:paraId="6EA86510">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宋体" w:hAnsi="宋体" w:eastAsia="仿宋" w:cs="Calibri"/>
                <w:color w:val="auto"/>
                <w:sz w:val="24"/>
                <w:highlight w:val="none"/>
              </w:rPr>
              <w:t>是否接受负偏离：</w:t>
            </w:r>
            <w:r>
              <w:rPr>
                <w:rFonts w:hint="eastAsia" w:ascii="楷体" w:hAnsi="楷体" w:eastAsia="仿宋" w:cs="Calibri"/>
                <w:color w:val="auto"/>
                <w:sz w:val="24"/>
                <w:highlight w:val="none"/>
              </w:rPr>
              <w:t>☑不接受</w:t>
            </w:r>
          </w:p>
          <w:p w14:paraId="49ACD922">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楷体" w:hAnsi="楷体" w:eastAsia="仿宋" w:cs="Calibri"/>
                <w:color w:val="auto"/>
                <w:sz w:val="24"/>
                <w:highlight w:val="none"/>
              </w:rPr>
              <w:t xml:space="preserve">                □接受：</w:t>
            </w:r>
          </w:p>
          <w:p w14:paraId="740762A2">
            <w:pPr>
              <w:keepNext w:val="0"/>
              <w:keepLines w:val="0"/>
              <w:widowControl/>
              <w:suppressLineNumbers w:val="0"/>
              <w:adjustRightInd w:val="0"/>
              <w:snapToGrid w:val="0"/>
              <w:spacing w:before="0" w:beforeAutospacing="0" w:after="0" w:afterAutospacing="0" w:line="360" w:lineRule="auto"/>
              <w:ind w:left="0" w:right="0" w:firstLine="1920" w:firstLineChars="800"/>
              <w:rPr>
                <w:rFonts w:hint="default" w:ascii="宋体" w:hAnsi="宋体" w:eastAsia="仿宋" w:cs="Times New Roman"/>
                <w:color w:val="auto"/>
                <w:sz w:val="24"/>
                <w:highlight w:val="none"/>
              </w:rPr>
            </w:pPr>
            <w:r>
              <w:rPr>
                <w:rFonts w:hint="eastAsia" w:ascii="楷体" w:hAnsi="楷体" w:eastAsia="仿宋" w:cs="Calibri"/>
                <w:color w:val="auto"/>
                <w:sz w:val="24"/>
                <w:highlight w:val="none"/>
              </w:rPr>
              <w:t>允许偏离的幅度：</w:t>
            </w:r>
            <w:r>
              <w:rPr>
                <w:rFonts w:hint="eastAsia" w:ascii="仿宋" w:hAnsi="仿宋" w:eastAsia="仿宋" w:cs="仿宋"/>
                <w:iCs/>
                <w:color w:val="auto"/>
                <w:sz w:val="24"/>
                <w:highlight w:val="none"/>
              </w:rPr>
              <w:t>/</w:t>
            </w:r>
          </w:p>
        </w:tc>
      </w:tr>
      <w:tr w14:paraId="4471E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top"/>
          </w:tcPr>
          <w:p w14:paraId="29ACF23D">
            <w:pPr>
              <w:pStyle w:val="8"/>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color w:val="auto"/>
                <w:sz w:val="24"/>
                <w:highlight w:val="none"/>
              </w:rPr>
            </w:pPr>
            <w:r>
              <w:rPr>
                <w:rFonts w:hint="eastAsia" w:ascii="宋体" w:hAnsi="宋体" w:eastAsia="仿宋" w:cs="Calibri"/>
                <w:color w:val="auto"/>
                <w:sz w:val="24"/>
                <w:highlight w:val="none"/>
              </w:rPr>
              <w:t>质量保证期</w:t>
            </w:r>
          </w:p>
        </w:tc>
        <w:tc>
          <w:tcPr>
            <w:tcW w:w="7479" w:type="dxa"/>
            <w:noWrap w:val="0"/>
            <w:vAlign w:val="top"/>
          </w:tcPr>
          <w:p w14:paraId="263CBBB7">
            <w:pPr>
              <w:keepNext w:val="0"/>
              <w:keepLines w:val="0"/>
              <w:widowControl/>
              <w:suppressLineNumbers w:val="0"/>
              <w:adjustRightInd w:val="0"/>
              <w:snapToGrid w:val="0"/>
              <w:spacing w:before="0" w:beforeAutospacing="0" w:after="0" w:afterAutospacing="0" w:line="360" w:lineRule="auto"/>
              <w:ind w:left="0" w:right="0"/>
              <w:rPr>
                <w:rFonts w:hint="default" w:ascii="宋体" w:hAnsi="宋体" w:eastAsia="仿宋" w:cs="Calibri"/>
                <w:color w:val="auto"/>
                <w:sz w:val="24"/>
                <w:highlight w:val="none"/>
              </w:rPr>
            </w:pPr>
            <w:r>
              <w:rPr>
                <w:rFonts w:hint="eastAsia" w:ascii="宋体" w:hAnsi="宋体" w:eastAsia="仿宋" w:cs="Calibri"/>
                <w:color w:val="auto"/>
                <w:sz w:val="24"/>
                <w:highlight w:val="none"/>
              </w:rPr>
              <w:t>质量保证期：</w:t>
            </w:r>
            <w:r>
              <w:rPr>
                <w:rFonts w:hint="eastAsia" w:ascii="宋体" w:hAnsi="宋体" w:eastAsia="仿宋" w:cs="Calibri"/>
                <w:color w:val="auto"/>
                <w:sz w:val="24"/>
                <w:highlight w:val="none"/>
                <w:lang w:val="en-US" w:eastAsia="zh-CN"/>
              </w:rPr>
              <w:t>整机（含易损件）</w:t>
            </w:r>
            <w:r>
              <w:rPr>
                <w:rFonts w:hint="eastAsia" w:ascii="宋体" w:hAnsi="宋体" w:eastAsia="仿宋" w:cs="Calibri"/>
                <w:color w:val="auto"/>
                <w:sz w:val="24"/>
                <w:highlight w:val="none"/>
              </w:rPr>
              <w:t>自验收合格之日起</w:t>
            </w:r>
            <w:r>
              <w:rPr>
                <w:rFonts w:hint="eastAsia" w:ascii="仿宋" w:hAnsi="仿宋" w:eastAsia="仿宋" w:cs="仿宋"/>
                <w:iCs/>
                <w:color w:val="auto"/>
                <w:sz w:val="24"/>
                <w:highlight w:val="none"/>
                <w:lang w:val="en-US" w:eastAsia="zh-CN"/>
              </w:rPr>
              <w:t>5</w:t>
            </w:r>
            <w:r>
              <w:rPr>
                <w:rFonts w:hint="eastAsia" w:ascii="仿宋" w:hAnsi="仿宋" w:eastAsia="仿宋" w:cs="仿宋"/>
                <w:iCs/>
                <w:color w:val="auto"/>
                <w:sz w:val="24"/>
                <w:highlight w:val="none"/>
              </w:rPr>
              <w:t>年</w:t>
            </w:r>
            <w:r>
              <w:rPr>
                <w:rFonts w:hint="eastAsia" w:ascii="仿宋" w:hAnsi="仿宋" w:eastAsia="仿宋" w:cs="仿宋"/>
                <w:iCs/>
                <w:color w:val="auto"/>
                <w:sz w:val="24"/>
                <w:highlight w:val="none"/>
                <w:lang w:eastAsia="zh-CN"/>
              </w:rPr>
              <w:t>，</w:t>
            </w:r>
            <w:r>
              <w:rPr>
                <w:rFonts w:hint="eastAsia" w:ascii="仿宋" w:hAnsi="仿宋" w:eastAsia="仿宋" w:cs="仿宋"/>
                <w:iCs/>
                <w:color w:val="auto"/>
                <w:sz w:val="24"/>
                <w:highlight w:val="none"/>
                <w:lang w:val="en-US" w:eastAsia="zh-CN"/>
              </w:rPr>
              <w:t>更换后的零部件质保期为3年（从更换之日起计算）</w:t>
            </w:r>
            <w:r>
              <w:rPr>
                <w:rFonts w:hint="eastAsia" w:ascii="宋体" w:hAnsi="宋体" w:eastAsia="仿宋" w:cs="Calibri"/>
                <w:b/>
                <w:bCs/>
                <w:color w:val="auto"/>
                <w:sz w:val="24"/>
                <w:highlight w:val="none"/>
              </w:rPr>
              <w:t>。（如本招标文件第三章采购需求部分关于质量保证期的要求与本处不一致，则以采购需求部分规定为准。）</w:t>
            </w:r>
          </w:p>
          <w:p w14:paraId="2A8CB277">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宋体" w:hAnsi="宋体" w:eastAsia="仿宋" w:cs="Calibri"/>
                <w:color w:val="auto"/>
                <w:sz w:val="24"/>
                <w:highlight w:val="none"/>
              </w:rPr>
              <w:t>是否接受负偏离：</w:t>
            </w:r>
            <w:r>
              <w:rPr>
                <w:rFonts w:hint="eastAsia" w:ascii="楷体" w:hAnsi="楷体" w:eastAsia="仿宋" w:cs="Calibri"/>
                <w:color w:val="auto"/>
                <w:sz w:val="24"/>
                <w:highlight w:val="none"/>
              </w:rPr>
              <w:t>☑不接受</w:t>
            </w:r>
          </w:p>
          <w:p w14:paraId="6C3F178E">
            <w:pPr>
              <w:pStyle w:val="8"/>
              <w:keepNext w:val="0"/>
              <w:keepLines w:val="0"/>
              <w:suppressLineNumbers w:val="0"/>
              <w:spacing w:before="0" w:beforeAutospacing="0" w:after="0" w:afterAutospacing="0" w:line="360" w:lineRule="auto"/>
              <w:ind w:left="0" w:right="0" w:firstLine="480"/>
              <w:rPr>
                <w:rFonts w:hint="eastAsia" w:ascii="楷体" w:hAnsi="楷体" w:eastAsia="仿宋" w:cs="Calibri"/>
                <w:color w:val="auto"/>
                <w:sz w:val="24"/>
                <w:highlight w:val="none"/>
              </w:rPr>
            </w:pPr>
            <w:r>
              <w:rPr>
                <w:rFonts w:hint="eastAsia" w:ascii="楷体" w:hAnsi="楷体" w:eastAsia="仿宋" w:cs="Calibri"/>
                <w:color w:val="auto"/>
                <w:sz w:val="24"/>
                <w:highlight w:val="none"/>
              </w:rPr>
              <w:t xml:space="preserve">            □接受：</w:t>
            </w:r>
          </w:p>
          <w:p w14:paraId="11051995">
            <w:pPr>
              <w:pStyle w:val="8"/>
              <w:keepNext w:val="0"/>
              <w:keepLines w:val="0"/>
              <w:suppressLineNumbers w:val="0"/>
              <w:spacing w:before="0" w:beforeAutospacing="0" w:after="0" w:afterAutospacing="0" w:line="360" w:lineRule="auto"/>
              <w:ind w:left="0" w:right="0" w:firstLine="1920" w:firstLineChars="800"/>
              <w:rPr>
                <w:rFonts w:hint="default" w:ascii="宋体" w:hAnsi="宋体" w:eastAsia="仿宋" w:cs="Times New Roman"/>
                <w:color w:val="auto"/>
                <w:sz w:val="24"/>
                <w:highlight w:val="none"/>
              </w:rPr>
            </w:pPr>
            <w:r>
              <w:rPr>
                <w:rFonts w:hint="eastAsia" w:ascii="楷体" w:hAnsi="楷体" w:eastAsia="仿宋" w:cs="Calibri"/>
                <w:color w:val="auto"/>
                <w:sz w:val="24"/>
                <w:highlight w:val="none"/>
              </w:rPr>
              <w:t>允许偏离的幅度：</w:t>
            </w:r>
            <w:r>
              <w:rPr>
                <w:rFonts w:hint="eastAsia" w:ascii="仿宋" w:hAnsi="仿宋" w:eastAsia="仿宋" w:cs="仿宋"/>
                <w:iCs/>
                <w:color w:val="auto"/>
                <w:sz w:val="24"/>
                <w:highlight w:val="none"/>
              </w:rPr>
              <w:t>/</w:t>
            </w:r>
          </w:p>
        </w:tc>
      </w:tr>
    </w:tbl>
    <w:p w14:paraId="04222E64">
      <w:pPr>
        <w:pStyle w:val="8"/>
        <w:spacing w:line="360" w:lineRule="auto"/>
        <w:ind w:firstLine="480"/>
        <w:rPr>
          <w:rFonts w:ascii="宋体" w:hAnsi="宋体" w:eastAsia="仿宋"/>
          <w:color w:val="auto"/>
          <w:sz w:val="24"/>
          <w:highlight w:val="none"/>
        </w:rPr>
      </w:pPr>
    </w:p>
    <w:bookmarkEnd w:id="6"/>
    <w:p w14:paraId="5092D1E9">
      <w:pPr>
        <w:pStyle w:val="4"/>
        <w:widowControl/>
        <w:snapToGrid w:val="0"/>
        <w:spacing w:line="360" w:lineRule="auto"/>
        <w:outlineLvl w:val="1"/>
        <w:rPr>
          <w:rStyle w:val="7"/>
          <w:rFonts w:hint="eastAsia" w:ascii="宋体" w:hAnsi="宋体" w:eastAsia="仿宋"/>
          <w:color w:val="auto"/>
          <w:sz w:val="24"/>
          <w:szCs w:val="24"/>
          <w:highlight w:val="none"/>
        </w:rPr>
      </w:pPr>
      <w:r>
        <w:rPr>
          <w:rFonts w:hint="eastAsia" w:hAnsi="宋体" w:eastAsia="仿宋"/>
          <w:color w:val="auto"/>
          <w:sz w:val="24"/>
          <w:szCs w:val="24"/>
          <w:highlight w:val="none"/>
        </w:rPr>
        <w:br w:type="page"/>
      </w:r>
      <w:bookmarkStart w:id="10" w:name="_Toc445554749"/>
      <w:bookmarkStart w:id="11" w:name="_Toc455587091"/>
      <w:bookmarkStart w:id="12" w:name="_Toc455587275"/>
      <w:bookmarkStart w:id="13" w:name="_Toc466024558"/>
      <w:r>
        <w:rPr>
          <w:rStyle w:val="7"/>
          <w:rFonts w:hint="eastAsia" w:ascii="宋体" w:hAnsi="宋体" w:eastAsia="仿宋"/>
          <w:color w:val="auto"/>
          <w:sz w:val="24"/>
          <w:szCs w:val="24"/>
          <w:highlight w:val="none"/>
        </w:rPr>
        <w:t>4. 技术要求</w:t>
      </w:r>
      <w:bookmarkEnd w:id="10"/>
      <w:bookmarkEnd w:id="11"/>
      <w:bookmarkEnd w:id="12"/>
      <w:bookmarkEnd w:id="13"/>
    </w:p>
    <w:p w14:paraId="5E0930F6">
      <w:pPr>
        <w:pStyle w:val="4"/>
        <w:widowControl/>
        <w:snapToGrid w:val="0"/>
        <w:spacing w:line="360" w:lineRule="auto"/>
        <w:ind w:firstLine="482" w:firstLineChars="200"/>
        <w:outlineLvl w:val="2"/>
        <w:rPr>
          <w:rFonts w:hint="eastAsia" w:hAnsi="宋体" w:eastAsia="仿宋"/>
          <w:b/>
          <w:bCs/>
          <w:color w:val="auto"/>
          <w:sz w:val="24"/>
          <w:szCs w:val="24"/>
          <w:highlight w:val="none"/>
        </w:rPr>
      </w:pPr>
      <w:r>
        <w:rPr>
          <w:rFonts w:hint="eastAsia" w:hAnsi="宋体" w:eastAsia="仿宋"/>
          <w:b/>
          <w:bCs/>
          <w:color w:val="auto"/>
          <w:sz w:val="24"/>
          <w:szCs w:val="24"/>
          <w:highlight w:val="none"/>
        </w:rPr>
        <w:t>4.1标识符号</w:t>
      </w:r>
    </w:p>
    <w:tbl>
      <w:tblPr>
        <w:tblStyle w:val="5"/>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1212"/>
        <w:gridCol w:w="5351"/>
      </w:tblGrid>
      <w:tr w14:paraId="7F5DD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6" w:type="pct"/>
            <w:noWrap w:val="0"/>
            <w:vAlign w:val="center"/>
          </w:tcPr>
          <w:p w14:paraId="3EA3025B">
            <w:pPr>
              <w:keepNext w:val="0"/>
              <w:keepLines w:val="0"/>
              <w:suppressLineNumbers w:val="0"/>
              <w:spacing w:before="0" w:beforeAutospacing="0" w:after="0" w:afterAutospacing="0"/>
              <w:ind w:left="0" w:right="0"/>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标识类型</w:t>
            </w:r>
          </w:p>
        </w:tc>
        <w:tc>
          <w:tcPr>
            <w:tcW w:w="719" w:type="pct"/>
            <w:noWrap w:val="0"/>
            <w:vAlign w:val="center"/>
          </w:tcPr>
          <w:p w14:paraId="21200E77">
            <w:pPr>
              <w:keepNext w:val="0"/>
              <w:keepLines w:val="0"/>
              <w:suppressLineNumbers w:val="0"/>
              <w:spacing w:before="0" w:beforeAutospacing="0" w:after="0" w:afterAutospacing="0"/>
              <w:ind w:left="0" w:right="0"/>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标识符号</w:t>
            </w:r>
          </w:p>
        </w:tc>
        <w:tc>
          <w:tcPr>
            <w:tcW w:w="3173" w:type="pct"/>
            <w:noWrap w:val="0"/>
            <w:vAlign w:val="center"/>
          </w:tcPr>
          <w:p w14:paraId="09665230">
            <w:pPr>
              <w:keepNext w:val="0"/>
              <w:keepLines w:val="0"/>
              <w:suppressLineNumbers w:val="0"/>
              <w:spacing w:before="0" w:beforeAutospacing="0" w:after="0" w:afterAutospacing="0"/>
              <w:ind w:left="0" w:right="0"/>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标识符号含义</w:t>
            </w:r>
          </w:p>
        </w:tc>
      </w:tr>
      <w:tr w14:paraId="426E1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6" w:type="pct"/>
            <w:noWrap w:val="0"/>
            <w:vAlign w:val="center"/>
          </w:tcPr>
          <w:p w14:paraId="0F3116E4">
            <w:pPr>
              <w:keepNext w:val="0"/>
              <w:keepLines w:val="0"/>
              <w:suppressLineNumbers w:val="0"/>
              <w:spacing w:before="0" w:beforeAutospacing="0" w:after="0" w:afterAutospacing="0"/>
              <w:ind w:left="0" w:right="0"/>
              <w:jc w:val="center"/>
              <w:rPr>
                <w:rFonts w:hint="default" w:ascii="仿宋" w:hAnsi="仿宋" w:eastAsia="仿宋" w:cs="仿宋"/>
                <w:color w:val="auto"/>
                <w:sz w:val="24"/>
                <w:highlight w:val="none"/>
              </w:rPr>
            </w:pPr>
            <w:r>
              <w:rPr>
                <w:rFonts w:hint="eastAsia" w:ascii="仿宋" w:hAnsi="仿宋" w:eastAsia="仿宋" w:cs="仿宋"/>
                <w:color w:val="auto"/>
                <w:sz w:val="24"/>
                <w:highlight w:val="none"/>
              </w:rPr>
              <w:t>核心产品</w:t>
            </w:r>
          </w:p>
        </w:tc>
        <w:tc>
          <w:tcPr>
            <w:tcW w:w="719" w:type="pct"/>
            <w:noWrap w:val="0"/>
            <w:vAlign w:val="center"/>
          </w:tcPr>
          <w:p w14:paraId="4F79F54D">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334E857F">
            <w:pPr>
              <w:keepNext w:val="0"/>
              <w:keepLines w:val="0"/>
              <w:suppressLineNumbers w:val="0"/>
              <w:spacing w:before="0" w:beforeAutospacing="0" w:after="0" w:afterAutospacing="0"/>
              <w:ind w:left="0" w:right="0"/>
              <w:jc w:val="center"/>
              <w:rPr>
                <w:rFonts w:hint="default" w:ascii="仿宋" w:hAnsi="仿宋" w:eastAsia="仿宋" w:cs="仿宋"/>
                <w:b/>
                <w:bCs/>
                <w:color w:val="auto"/>
                <w:sz w:val="24"/>
                <w:highlight w:val="none"/>
              </w:rPr>
            </w:pPr>
            <w:r>
              <w:rPr>
                <w:rFonts w:hint="eastAsia" w:ascii="仿宋" w:hAnsi="仿宋" w:eastAsia="仿宋" w:cs="仿宋"/>
                <w:b/>
                <w:bCs/>
                <w:color w:val="auto"/>
                <w:sz w:val="24"/>
                <w:highlight w:val="none"/>
              </w:rPr>
              <w:t>标的属于核心产品</w:t>
            </w:r>
          </w:p>
        </w:tc>
      </w:tr>
      <w:tr w14:paraId="63470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7F45FB2D">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实质性参数</w:t>
            </w:r>
          </w:p>
        </w:tc>
        <w:tc>
          <w:tcPr>
            <w:tcW w:w="719" w:type="pct"/>
            <w:noWrap w:val="0"/>
            <w:vAlign w:val="center"/>
          </w:tcPr>
          <w:p w14:paraId="7E221A66">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5733B878">
            <w:pPr>
              <w:keepNext w:val="0"/>
              <w:keepLines w:val="0"/>
              <w:suppressLineNumbers w:val="0"/>
              <w:spacing w:before="0" w:beforeAutospacing="0" w:after="0" w:afterAutospacing="0"/>
              <w:ind w:left="0" w:right="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负偏离或未响应视为实质性不响应招标文件要求</w:t>
            </w:r>
          </w:p>
        </w:tc>
      </w:tr>
      <w:tr w14:paraId="14085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7B042BB6">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核心参数</w:t>
            </w:r>
          </w:p>
        </w:tc>
        <w:tc>
          <w:tcPr>
            <w:tcW w:w="719" w:type="pct"/>
            <w:noWrap w:val="0"/>
            <w:vAlign w:val="center"/>
          </w:tcPr>
          <w:p w14:paraId="595243A2">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475E9589">
            <w:pPr>
              <w:keepNext w:val="0"/>
              <w:keepLines w:val="0"/>
              <w:suppressLineNumbers w:val="0"/>
              <w:spacing w:before="0" w:beforeAutospacing="0" w:after="0" w:afterAutospacing="0"/>
              <w:ind w:left="0" w:right="0"/>
              <w:jc w:val="center"/>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评分项</w:t>
            </w:r>
          </w:p>
        </w:tc>
      </w:tr>
      <w:tr w14:paraId="56652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32291E34">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重要参数</w:t>
            </w:r>
          </w:p>
        </w:tc>
        <w:tc>
          <w:tcPr>
            <w:tcW w:w="719" w:type="pct"/>
            <w:noWrap w:val="0"/>
            <w:vAlign w:val="center"/>
          </w:tcPr>
          <w:p w14:paraId="3F097118">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04FDA7AB">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评分项</w:t>
            </w:r>
          </w:p>
        </w:tc>
      </w:tr>
      <w:tr w14:paraId="17B9F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2155" w:type="dxa"/>
            <w:vMerge w:val="restart"/>
            <w:noWrap w:val="0"/>
            <w:vAlign w:val="center"/>
          </w:tcPr>
          <w:p w14:paraId="4A7839C4">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一般参数</w:t>
            </w:r>
          </w:p>
        </w:tc>
        <w:tc>
          <w:tcPr>
            <w:tcW w:w="719" w:type="pct"/>
            <w:vMerge w:val="restart"/>
            <w:noWrap w:val="0"/>
            <w:vAlign w:val="center"/>
          </w:tcPr>
          <w:p w14:paraId="3EB09F61">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无标识</w:t>
            </w:r>
          </w:p>
        </w:tc>
        <w:tc>
          <w:tcPr>
            <w:tcW w:w="3173" w:type="pct"/>
            <w:noWrap w:val="0"/>
            <w:vAlign w:val="center"/>
          </w:tcPr>
          <w:p w14:paraId="19A18EC4">
            <w:pPr>
              <w:keepNext w:val="0"/>
              <w:keepLines w:val="0"/>
              <w:suppressLineNumbers w:val="0"/>
              <w:spacing w:before="0" w:beforeAutospacing="0" w:after="0" w:afterAutospacing="0"/>
              <w:ind w:left="0" w:right="0"/>
              <w:jc w:val="left"/>
              <w:rPr>
                <w:rFonts w:hint="eastAsia" w:ascii="Times New Roman" w:hAnsi="Times New Roman" w:cs="Times New Roman"/>
                <w:color w:val="auto"/>
                <w:highlight w:val="none"/>
              </w:rPr>
            </w:pPr>
            <w:r>
              <w:rPr>
                <w:rFonts w:hint="default" w:ascii="Times New Roman" w:hAnsi="Times New Roman" w:cs="Times New Roman"/>
                <w:color w:val="auto"/>
                <w:highlight w:val="none"/>
              </w:rPr>
              <w:sym w:font="Wingdings 2" w:char="0052"/>
            </w:r>
            <w:r>
              <w:rPr>
                <w:rFonts w:hint="eastAsia" w:ascii="仿宋" w:hAnsi="仿宋" w:eastAsia="仿宋" w:cs="仿宋"/>
                <w:color w:val="auto"/>
                <w:sz w:val="24"/>
                <w:highlight w:val="none"/>
              </w:rPr>
              <w:t>评分项</w:t>
            </w:r>
          </w:p>
        </w:tc>
      </w:tr>
      <w:tr w14:paraId="28420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pct"/>
            <w:vMerge w:val="continue"/>
            <w:noWrap w:val="0"/>
            <w:vAlign w:val="center"/>
          </w:tcPr>
          <w:p w14:paraId="13D10FFB">
            <w:pPr>
              <w:keepNext w:val="0"/>
              <w:keepLines w:val="0"/>
              <w:suppressLineNumbers w:val="0"/>
              <w:spacing w:before="0" w:beforeAutospacing="0" w:after="0" w:afterAutospacing="0"/>
              <w:ind w:left="0" w:right="0"/>
              <w:jc w:val="left"/>
              <w:rPr>
                <w:rFonts w:hint="default" w:ascii="Calibri" w:hAnsi="Calibri" w:cs="Times New Roman"/>
                <w:color w:val="auto"/>
                <w:highlight w:val="none"/>
              </w:rPr>
            </w:pPr>
          </w:p>
        </w:tc>
        <w:tc>
          <w:tcPr>
            <w:tcW w:w="719" w:type="pct"/>
            <w:vMerge w:val="continue"/>
            <w:noWrap w:val="0"/>
            <w:vAlign w:val="center"/>
          </w:tcPr>
          <w:p w14:paraId="0B64ED93">
            <w:pPr>
              <w:keepNext w:val="0"/>
              <w:keepLines w:val="0"/>
              <w:suppressLineNumbers w:val="0"/>
              <w:spacing w:before="0" w:beforeAutospacing="0" w:after="0" w:afterAutospacing="0"/>
              <w:ind w:left="0" w:right="0"/>
              <w:jc w:val="left"/>
              <w:rPr>
                <w:rFonts w:hint="default" w:ascii="Calibri" w:hAnsi="Calibri" w:cs="Times New Roman"/>
                <w:color w:val="auto"/>
                <w:highlight w:val="none"/>
              </w:rPr>
            </w:pPr>
          </w:p>
        </w:tc>
        <w:tc>
          <w:tcPr>
            <w:tcW w:w="3173" w:type="pct"/>
            <w:noWrap w:val="0"/>
            <w:vAlign w:val="center"/>
          </w:tcPr>
          <w:p w14:paraId="6EDD64EE">
            <w:pPr>
              <w:keepNext w:val="0"/>
              <w:keepLines w:val="0"/>
              <w:suppressLineNumbers w:val="0"/>
              <w:spacing w:before="0" w:beforeAutospacing="0" w:after="0" w:afterAutospacing="0"/>
              <w:ind w:left="0" w:right="0"/>
              <w:jc w:val="left"/>
              <w:rPr>
                <w:rFonts w:hint="default" w:ascii="Times New Roman" w:hAnsi="Times New Roman" w:eastAsia="仿宋" w:cs="Times New Roman"/>
                <w:color w:val="auto"/>
                <w:highlight w:val="none"/>
              </w:rPr>
            </w:pPr>
            <w:r>
              <w:rPr>
                <w:rFonts w:hint="default" w:ascii="Times New Roman" w:hAnsi="Times New Roman" w:cs="Times New Roman"/>
                <w:color w:val="auto"/>
                <w:highlight w:val="none"/>
              </w:rPr>
              <w:sym w:font="Wingdings 2" w:char="00A3"/>
            </w:r>
            <w:r>
              <w:rPr>
                <w:rFonts w:hint="eastAsia" w:ascii="宋体" w:hAnsi="宋体" w:eastAsia="仿宋" w:cs="Calibri"/>
                <w:color w:val="auto"/>
                <w:sz w:val="24"/>
                <w:highlight w:val="none"/>
              </w:rPr>
              <w:t>...</w:t>
            </w:r>
          </w:p>
        </w:tc>
      </w:tr>
      <w:tr w14:paraId="21EA2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5000" w:type="pct"/>
            <w:gridSpan w:val="3"/>
            <w:noWrap w:val="0"/>
            <w:vAlign w:val="center"/>
          </w:tcPr>
          <w:p w14:paraId="11130E67">
            <w:pPr>
              <w:keepNext w:val="0"/>
              <w:keepLines w:val="0"/>
              <w:suppressLineNumbers w:val="0"/>
              <w:spacing w:before="0" w:beforeAutospacing="0" w:after="0" w:afterAutospacing="0" w:line="360" w:lineRule="auto"/>
              <w:ind w:left="0" w:right="0"/>
              <w:jc w:val="left"/>
              <w:rPr>
                <w:rFonts w:hint="eastAsia" w:ascii="仿宋" w:hAnsi="仿宋" w:eastAsia="仿宋" w:cs="仿宋"/>
                <w:b/>
                <w:color w:val="auto"/>
                <w:sz w:val="24"/>
                <w:szCs w:val="18"/>
                <w:highlight w:val="none"/>
              </w:rPr>
            </w:pPr>
            <w:r>
              <w:rPr>
                <w:rFonts w:hint="eastAsia" w:ascii="仿宋" w:hAnsi="仿宋" w:eastAsia="仿宋" w:cs="仿宋"/>
                <w:b/>
                <w:color w:val="auto"/>
                <w:sz w:val="24"/>
                <w:szCs w:val="18"/>
                <w:highlight w:val="none"/>
              </w:rPr>
              <w:t>注：</w:t>
            </w:r>
          </w:p>
          <w:p w14:paraId="196F6198">
            <w:pPr>
              <w:keepNext w:val="0"/>
              <w:keepLines w:val="0"/>
              <w:numPr>
                <w:ilvl w:val="0"/>
                <w:numId w:val="1"/>
              </w:numPr>
              <w:suppressLineNumbers w:val="0"/>
              <w:spacing w:before="0" w:beforeAutospacing="0" w:after="0" w:afterAutospacing="0" w:line="360" w:lineRule="auto"/>
              <w:ind w:left="0" w:right="0"/>
              <w:jc w:val="left"/>
              <w:rPr>
                <w:rFonts w:hint="eastAsia" w:ascii="仿宋" w:hAnsi="仿宋" w:eastAsia="仿宋" w:cs="仿宋"/>
                <w:b/>
                <w:color w:val="auto"/>
                <w:sz w:val="24"/>
                <w:szCs w:val="18"/>
                <w:highlight w:val="none"/>
              </w:rPr>
            </w:pPr>
            <w:r>
              <w:rPr>
                <w:rFonts w:hint="eastAsia" w:ascii="仿宋" w:hAnsi="仿宋" w:eastAsia="仿宋" w:cs="仿宋"/>
                <w:b/>
                <w:color w:val="auto"/>
                <w:sz w:val="24"/>
                <w:szCs w:val="18"/>
                <w:highlight w:val="none"/>
              </w:rPr>
              <w:t>对于标注“★”、“</w:t>
            </w:r>
            <w:r>
              <w:rPr>
                <w:rFonts w:hint="eastAsia" w:ascii="仿宋" w:hAnsi="仿宋" w:eastAsia="仿宋" w:cs="仿宋"/>
                <w:color w:val="auto"/>
                <w:sz w:val="24"/>
                <w:highlight w:val="none"/>
              </w:rPr>
              <w:t>█”、“●”</w:t>
            </w:r>
            <w:r>
              <w:rPr>
                <w:rFonts w:hint="eastAsia" w:ascii="仿宋" w:hAnsi="仿宋" w:eastAsia="仿宋" w:cs="仿宋"/>
                <w:b/>
                <w:color w:val="auto"/>
                <w:sz w:val="24"/>
                <w:szCs w:val="18"/>
                <w:highlight w:val="none"/>
              </w:rPr>
              <w:t>号项技术性能参数的响应情况，以招标文件明确要求的材料为准，若招标文件未明确要求则以所投产品制造商公开发布的资料或产品技术白皮书或产品彩页或检测机构出具的检测报告或功能界面截图或官网功能截图或评标委员会认可的其他证明材料为准。若所投产品制造商公开发布的资料与检测机构出具的检测报告不一致，以检测机构出具的检测报告为准。为便于评审，投标人对证明材料中的关键参数进行标注并标注页码。</w:t>
            </w:r>
          </w:p>
          <w:p w14:paraId="3788F8A4">
            <w:pPr>
              <w:keepNext w:val="0"/>
              <w:keepLines w:val="0"/>
              <w:suppressLineNumbers w:val="0"/>
              <w:spacing w:before="0" w:beforeAutospacing="0" w:after="0" w:afterAutospacing="0" w:line="360" w:lineRule="auto"/>
              <w:ind w:left="0" w:right="0"/>
              <w:jc w:val="left"/>
              <w:rPr>
                <w:rFonts w:hint="eastAsia" w:ascii="仿宋" w:hAnsi="仿宋" w:eastAsia="仿宋" w:cs="仿宋"/>
                <w:b/>
                <w:color w:val="auto"/>
                <w:sz w:val="24"/>
                <w:szCs w:val="18"/>
                <w:highlight w:val="none"/>
              </w:rPr>
            </w:pPr>
            <w:r>
              <w:rPr>
                <w:rFonts w:hint="eastAsia" w:ascii="仿宋" w:hAnsi="仿宋" w:eastAsia="仿宋" w:cs="仿宋"/>
                <w:b/>
                <w:color w:val="auto"/>
                <w:sz w:val="24"/>
                <w:szCs w:val="18"/>
                <w:highlight w:val="none"/>
              </w:rPr>
              <w:t>2）所有技术参数及要求使用单位验收时将逐条核对，如发现与实际情况不符、虚假响应等，使用单位有权终止合同并报相关监管部门，由此产生的责任与后果均由中标人承担。</w:t>
            </w:r>
          </w:p>
          <w:p w14:paraId="5D7F3965">
            <w:pPr>
              <w:keepNext w:val="0"/>
              <w:keepLines w:val="0"/>
              <w:suppressLineNumbers w:val="0"/>
              <w:spacing w:before="0" w:beforeAutospacing="0" w:after="0" w:afterAutospacing="0" w:line="360" w:lineRule="auto"/>
              <w:ind w:left="0" w:right="0"/>
              <w:jc w:val="left"/>
              <w:rPr>
                <w:rFonts w:hint="eastAsia" w:ascii="仿宋" w:hAnsi="仿宋" w:cs="仿宋"/>
                <w:color w:val="auto"/>
                <w:sz w:val="24"/>
                <w:highlight w:val="none"/>
              </w:rPr>
            </w:pPr>
            <w:r>
              <w:rPr>
                <w:rFonts w:hint="eastAsia" w:ascii="仿宋" w:hAnsi="仿宋" w:eastAsia="仿宋" w:cs="仿宋"/>
                <w:b/>
                <w:bCs/>
                <w:color w:val="auto"/>
                <w:kern w:val="0"/>
                <w:sz w:val="24"/>
                <w:highlight w:val="none"/>
                <w:lang w:bidi="ar"/>
              </w:rPr>
              <w:t>3）标识条款中如包含多条子项技术参数或要求，则需满足或优于该标识条款内所有子项技术参数或要求方为响应。</w:t>
            </w:r>
          </w:p>
        </w:tc>
      </w:tr>
    </w:tbl>
    <w:p w14:paraId="69B25F37">
      <w:pPr>
        <w:pStyle w:val="4"/>
        <w:widowControl/>
        <w:snapToGrid w:val="0"/>
        <w:spacing w:line="360" w:lineRule="auto"/>
        <w:ind w:firstLine="480" w:firstLineChars="200"/>
        <w:rPr>
          <w:rFonts w:hint="eastAsia" w:hAnsi="宋体" w:eastAsia="仿宋"/>
          <w:color w:val="auto"/>
          <w:sz w:val="24"/>
          <w:szCs w:val="24"/>
          <w:highlight w:val="none"/>
        </w:rPr>
      </w:pPr>
    </w:p>
    <w:p w14:paraId="11278992">
      <w:pPr>
        <w:pStyle w:val="4"/>
        <w:widowControl/>
        <w:snapToGrid w:val="0"/>
        <w:spacing w:line="360" w:lineRule="auto"/>
        <w:ind w:firstLine="482" w:firstLineChars="200"/>
        <w:outlineLvl w:val="2"/>
        <w:rPr>
          <w:rFonts w:hint="eastAsia" w:hAnsi="宋体" w:eastAsia="仿宋"/>
          <w:b/>
          <w:bCs/>
          <w:color w:val="auto"/>
          <w:sz w:val="24"/>
          <w:szCs w:val="24"/>
          <w:highlight w:val="none"/>
        </w:rPr>
      </w:pPr>
      <w:r>
        <w:rPr>
          <w:rFonts w:hint="eastAsia" w:hAnsi="宋体" w:eastAsia="仿宋"/>
          <w:b/>
          <w:bCs/>
          <w:color w:val="auto"/>
          <w:sz w:val="24"/>
          <w:szCs w:val="24"/>
          <w:highlight w:val="none"/>
        </w:rPr>
        <w:t>4.2技术要求表</w:t>
      </w:r>
    </w:p>
    <w:p w14:paraId="7DCCC9C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imes New Roman" w:hAnsi="宋体" w:eastAsia="仿宋" w:cs="Times New Roman"/>
          <w:b w:val="0"/>
          <w:bCs w:val="0"/>
          <w:color w:val="auto"/>
          <w:sz w:val="24"/>
          <w:szCs w:val="24"/>
          <w:highlight w:val="none"/>
          <w:lang w:val="en-US" w:eastAsia="zh-CN"/>
        </w:rPr>
      </w:pPr>
      <w:r>
        <w:rPr>
          <w:rFonts w:hint="eastAsia" w:ascii="Times New Roman" w:hAnsi="宋体" w:eastAsia="仿宋" w:cs="Times New Roman"/>
          <w:b w:val="0"/>
          <w:bCs w:val="0"/>
          <w:color w:val="auto"/>
          <w:sz w:val="24"/>
          <w:szCs w:val="24"/>
          <w:highlight w:val="none"/>
          <w:lang w:val="en-US" w:eastAsia="zh-CN"/>
        </w:rPr>
        <w:t>说明：以下技术要求均为单台（套）设备技术要求及配置。</w:t>
      </w:r>
    </w:p>
    <w:tbl>
      <w:tblPr>
        <w:tblStyle w:val="5"/>
        <w:tblW w:w="4880" w:type="pct"/>
        <w:tblInd w:w="12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73"/>
        <w:gridCol w:w="2937"/>
        <w:gridCol w:w="4407"/>
      </w:tblGrid>
      <w:tr w14:paraId="025B5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vMerge w:val="restart"/>
            <w:tcBorders>
              <w:top w:val="single" w:color="000000" w:sz="4" w:space="0"/>
              <w:left w:val="single" w:color="000000" w:sz="4" w:space="0"/>
              <w:bottom w:val="single" w:color="000000" w:sz="4" w:space="0"/>
              <w:right w:val="single" w:color="000000" w:sz="4" w:space="0"/>
            </w:tcBorders>
            <w:noWrap/>
            <w:vAlign w:val="center"/>
          </w:tcPr>
          <w:p w14:paraId="498BF7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bookmarkStart w:id="14" w:name="_Toc493432669"/>
            <w:bookmarkStart w:id="15" w:name="_Toc512611688"/>
            <w:bookmarkStart w:id="16" w:name="_Toc515539871"/>
            <w:bookmarkStart w:id="17" w:name="_Toc493440974"/>
            <w:bookmarkStart w:id="18" w:name="_Toc526265690"/>
            <w:bookmarkStart w:id="19" w:name="_Toc517011813"/>
            <w:bookmarkStart w:id="20" w:name="_Toc493440806"/>
            <w:bookmarkStart w:id="21" w:name="_Toc512544433"/>
            <w:bookmarkStart w:id="22" w:name="_Toc525819966"/>
            <w:r>
              <w:rPr>
                <w:rFonts w:hint="eastAsia" w:ascii="宋体" w:hAnsi="宋体" w:eastAsia="宋体" w:cs="宋体"/>
                <w:i w:val="0"/>
                <w:iCs w:val="0"/>
                <w:color w:val="auto"/>
                <w:kern w:val="0"/>
                <w:sz w:val="24"/>
                <w:szCs w:val="24"/>
                <w:highlight w:val="none"/>
                <w:u w:val="none"/>
                <w:lang w:val="en-US" w:eastAsia="zh-CN" w:bidi="ar"/>
              </w:rPr>
              <w:t>序号</w:t>
            </w:r>
          </w:p>
        </w:tc>
        <w:tc>
          <w:tcPr>
            <w:tcW w:w="1765" w:type="pct"/>
            <w:vMerge w:val="restart"/>
            <w:tcBorders>
              <w:top w:val="single" w:color="000000" w:sz="4" w:space="0"/>
              <w:left w:val="single" w:color="000000" w:sz="4" w:space="0"/>
              <w:bottom w:val="single" w:color="000000" w:sz="4" w:space="0"/>
              <w:right w:val="single" w:color="000000" w:sz="4" w:space="0"/>
            </w:tcBorders>
            <w:noWrap/>
            <w:vAlign w:val="center"/>
          </w:tcPr>
          <w:p w14:paraId="00A3294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技术规格</w:t>
            </w:r>
          </w:p>
        </w:tc>
        <w:tc>
          <w:tcPr>
            <w:tcW w:w="2648" w:type="pct"/>
            <w:vMerge w:val="restart"/>
            <w:tcBorders>
              <w:top w:val="single" w:color="000000" w:sz="4" w:space="0"/>
              <w:left w:val="single" w:color="000000" w:sz="4" w:space="0"/>
              <w:bottom w:val="single" w:color="000000" w:sz="4" w:space="0"/>
              <w:right w:val="single" w:color="000000" w:sz="4" w:space="0"/>
            </w:tcBorders>
            <w:noWrap/>
            <w:vAlign w:val="center"/>
          </w:tcPr>
          <w:p w14:paraId="3E4A0B6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参数要求</w:t>
            </w:r>
          </w:p>
        </w:tc>
      </w:tr>
      <w:tr w14:paraId="38CDD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85" w:type="pct"/>
            <w:vMerge w:val="continue"/>
            <w:tcBorders>
              <w:top w:val="single" w:color="000000" w:sz="4" w:space="0"/>
              <w:left w:val="single" w:color="000000" w:sz="4" w:space="0"/>
              <w:bottom w:val="single" w:color="000000" w:sz="4" w:space="0"/>
              <w:right w:val="single" w:color="000000" w:sz="4" w:space="0"/>
            </w:tcBorders>
            <w:noWrap/>
            <w:vAlign w:val="center"/>
          </w:tcPr>
          <w:p w14:paraId="1865F884">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4"/>
                <w:szCs w:val="24"/>
                <w:highlight w:val="none"/>
                <w:u w:val="none"/>
              </w:rPr>
            </w:pPr>
          </w:p>
        </w:tc>
        <w:tc>
          <w:tcPr>
            <w:tcW w:w="1765" w:type="pct"/>
            <w:vMerge w:val="continue"/>
            <w:tcBorders>
              <w:top w:val="single" w:color="000000" w:sz="4" w:space="0"/>
              <w:left w:val="single" w:color="000000" w:sz="4" w:space="0"/>
              <w:bottom w:val="single" w:color="000000" w:sz="4" w:space="0"/>
              <w:right w:val="single" w:color="000000" w:sz="4" w:space="0"/>
            </w:tcBorders>
            <w:noWrap/>
            <w:vAlign w:val="center"/>
          </w:tcPr>
          <w:p w14:paraId="298CC553">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4"/>
                <w:szCs w:val="24"/>
                <w:highlight w:val="none"/>
                <w:u w:val="none"/>
              </w:rPr>
            </w:pPr>
          </w:p>
        </w:tc>
        <w:tc>
          <w:tcPr>
            <w:tcW w:w="2648" w:type="pct"/>
            <w:vMerge w:val="continue"/>
            <w:tcBorders>
              <w:top w:val="single" w:color="000000" w:sz="4" w:space="0"/>
              <w:left w:val="single" w:color="000000" w:sz="4" w:space="0"/>
              <w:bottom w:val="single" w:color="000000" w:sz="4" w:space="0"/>
              <w:right w:val="single" w:color="000000" w:sz="4" w:space="0"/>
            </w:tcBorders>
            <w:noWrap/>
            <w:vAlign w:val="center"/>
          </w:tcPr>
          <w:p w14:paraId="3141B0FA">
            <w:pPr>
              <w:keepNext w:val="0"/>
              <w:keepLines w:val="0"/>
              <w:suppressLineNumbers w:val="0"/>
              <w:spacing w:before="0" w:beforeAutospacing="0" w:after="0" w:afterAutospacing="0"/>
              <w:ind w:left="0" w:right="0"/>
              <w:jc w:val="center"/>
              <w:rPr>
                <w:rFonts w:hint="eastAsia" w:ascii="宋体" w:hAnsi="宋体" w:eastAsia="宋体" w:cs="宋体"/>
                <w:i w:val="0"/>
                <w:iCs w:val="0"/>
                <w:color w:val="auto"/>
                <w:sz w:val="24"/>
                <w:szCs w:val="24"/>
                <w:highlight w:val="none"/>
                <w:u w:val="none"/>
              </w:rPr>
            </w:pPr>
          </w:p>
        </w:tc>
      </w:tr>
      <w:tr w14:paraId="50116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0BA6A7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03ABDEB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探头频率</w:t>
            </w:r>
          </w:p>
        </w:tc>
        <w:tc>
          <w:tcPr>
            <w:tcW w:w="2648" w:type="pct"/>
            <w:tcBorders>
              <w:top w:val="single" w:color="000000" w:sz="4" w:space="0"/>
              <w:left w:val="single" w:color="000000" w:sz="4" w:space="0"/>
              <w:bottom w:val="single" w:color="000000" w:sz="4" w:space="0"/>
              <w:right w:val="single" w:color="000000" w:sz="4" w:space="0"/>
            </w:tcBorders>
            <w:noWrap/>
            <w:vAlign w:val="center"/>
          </w:tcPr>
          <w:p w14:paraId="2AD0FA9D">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10MHz</w:t>
            </w:r>
          </w:p>
        </w:tc>
      </w:tr>
      <w:tr w14:paraId="795E8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391002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1765" w:type="pct"/>
            <w:tcBorders>
              <w:top w:val="single" w:color="000000" w:sz="4" w:space="0"/>
              <w:left w:val="single" w:color="000000" w:sz="4" w:space="0"/>
              <w:bottom w:val="single" w:color="000000" w:sz="4" w:space="0"/>
              <w:right w:val="single" w:color="000000" w:sz="4" w:space="0"/>
            </w:tcBorders>
            <w:noWrap/>
            <w:vAlign w:val="center"/>
          </w:tcPr>
          <w:p w14:paraId="498D6B7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增益调节范围</w:t>
            </w:r>
          </w:p>
        </w:tc>
        <w:tc>
          <w:tcPr>
            <w:tcW w:w="2648" w:type="pct"/>
            <w:tcBorders>
              <w:top w:val="single" w:color="000000" w:sz="4" w:space="0"/>
              <w:left w:val="single" w:color="000000" w:sz="4" w:space="0"/>
              <w:bottom w:val="single" w:color="000000" w:sz="4" w:space="0"/>
              <w:right w:val="single" w:color="000000" w:sz="4" w:space="0"/>
            </w:tcBorders>
            <w:noWrap/>
            <w:vAlign w:val="center"/>
          </w:tcPr>
          <w:p w14:paraId="3F9042D0">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1-105dB</w:t>
            </w:r>
          </w:p>
        </w:tc>
      </w:tr>
      <w:tr w14:paraId="4D2CC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4EB219F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1765" w:type="pct"/>
            <w:tcBorders>
              <w:top w:val="single" w:color="000000" w:sz="4" w:space="0"/>
              <w:left w:val="single" w:color="000000" w:sz="4" w:space="0"/>
              <w:bottom w:val="single" w:color="000000" w:sz="4" w:space="0"/>
              <w:right w:val="single" w:color="000000" w:sz="4" w:space="0"/>
            </w:tcBorders>
            <w:noWrap/>
            <w:vAlign w:val="center"/>
          </w:tcPr>
          <w:p w14:paraId="4437BE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扫描方式</w:t>
            </w:r>
          </w:p>
        </w:tc>
        <w:tc>
          <w:tcPr>
            <w:tcW w:w="2648" w:type="pct"/>
            <w:tcBorders>
              <w:top w:val="single" w:color="000000" w:sz="4" w:space="0"/>
              <w:left w:val="single" w:color="000000" w:sz="4" w:space="0"/>
              <w:bottom w:val="single" w:color="000000" w:sz="4" w:space="0"/>
              <w:right w:val="single" w:color="000000" w:sz="4" w:space="0"/>
            </w:tcBorders>
            <w:noWrap/>
            <w:vAlign w:val="center"/>
          </w:tcPr>
          <w:p w14:paraId="48F6B223">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机械扇形扫描</w:t>
            </w:r>
          </w:p>
        </w:tc>
      </w:tr>
      <w:tr w14:paraId="1DBDD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346E772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1765" w:type="pct"/>
            <w:tcBorders>
              <w:top w:val="single" w:color="000000" w:sz="4" w:space="0"/>
              <w:left w:val="single" w:color="000000" w:sz="4" w:space="0"/>
              <w:bottom w:val="single" w:color="000000" w:sz="4" w:space="0"/>
              <w:right w:val="single" w:color="000000" w:sz="4" w:space="0"/>
            </w:tcBorders>
            <w:noWrap/>
            <w:vAlign w:val="center"/>
          </w:tcPr>
          <w:p w14:paraId="07D2F30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B型超声</w:t>
            </w:r>
          </w:p>
        </w:tc>
        <w:tc>
          <w:tcPr>
            <w:tcW w:w="2648" w:type="pct"/>
            <w:tcBorders>
              <w:top w:val="single" w:color="000000" w:sz="4" w:space="0"/>
              <w:left w:val="single" w:color="000000" w:sz="4" w:space="0"/>
              <w:bottom w:val="single" w:color="000000" w:sz="4" w:space="0"/>
              <w:right w:val="single" w:color="000000" w:sz="4" w:space="0"/>
            </w:tcBorders>
            <w:noWrap/>
            <w:vAlign w:val="center"/>
          </w:tcPr>
          <w:p w14:paraId="69E9FF05">
            <w:pPr>
              <w:keepNext w:val="0"/>
              <w:keepLines w:val="0"/>
              <w:suppressLineNumbers w:val="0"/>
              <w:spacing w:before="0" w:beforeAutospacing="0" w:after="0" w:afterAutospacing="0"/>
              <w:ind w:left="0" w:right="0"/>
              <w:jc w:val="both"/>
              <w:rPr>
                <w:rFonts w:hint="eastAsia" w:ascii="宋体" w:hAnsi="宋体" w:eastAsia="宋体" w:cs="宋体"/>
                <w:i w:val="0"/>
                <w:iCs w:val="0"/>
                <w:color w:val="auto"/>
                <w:sz w:val="24"/>
                <w:szCs w:val="24"/>
                <w:highlight w:val="none"/>
                <w:u w:val="none"/>
              </w:rPr>
            </w:pPr>
          </w:p>
        </w:tc>
      </w:tr>
      <w:tr w14:paraId="351D2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4B6F888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3175AC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最大探测深度</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2D35C80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Style w:val="9"/>
                <w:rFonts w:hint="eastAsia" w:ascii="宋体" w:hAnsi="宋体" w:eastAsia="宋体" w:cs="宋体"/>
                <w:color w:val="auto"/>
                <w:sz w:val="24"/>
                <w:szCs w:val="24"/>
                <w:highlight w:val="none"/>
                <w:lang w:val="en-US" w:eastAsia="zh-CN" w:bidi="ar"/>
              </w:rPr>
              <w:t>≥60 mm（</w:t>
            </w:r>
            <w:r>
              <w:rPr>
                <w:rStyle w:val="10"/>
                <w:rFonts w:hint="eastAsia" w:ascii="宋体" w:hAnsi="宋体" w:eastAsia="宋体" w:cs="宋体"/>
                <w:color w:val="auto"/>
                <w:sz w:val="24"/>
                <w:szCs w:val="24"/>
                <w:highlight w:val="none"/>
                <w:lang w:val="en-US" w:eastAsia="zh-CN" w:bidi="ar"/>
              </w:rPr>
              <w:t>提供技术白皮书、彩页等证明材料</w:t>
            </w:r>
            <w:r>
              <w:rPr>
                <w:rStyle w:val="9"/>
                <w:rFonts w:hint="eastAsia" w:ascii="宋体" w:hAnsi="宋体" w:eastAsia="宋体" w:cs="宋体"/>
                <w:color w:val="auto"/>
                <w:sz w:val="24"/>
                <w:szCs w:val="24"/>
                <w:highlight w:val="none"/>
                <w:lang w:val="en-US" w:eastAsia="zh-CN" w:bidi="ar"/>
              </w:rPr>
              <w:t>）</w:t>
            </w:r>
          </w:p>
        </w:tc>
      </w:tr>
      <w:tr w14:paraId="67671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63CDA1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6</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7D34CBA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轴向分辨力</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3A01939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Style w:val="9"/>
                <w:rFonts w:hint="eastAsia" w:ascii="宋体" w:hAnsi="宋体" w:eastAsia="宋体" w:cs="宋体"/>
                <w:color w:val="auto"/>
                <w:sz w:val="24"/>
                <w:szCs w:val="24"/>
                <w:highlight w:val="none"/>
                <w:lang w:val="en-US" w:eastAsia="zh-CN" w:bidi="ar"/>
              </w:rPr>
              <w:t>≤0.1mm</w:t>
            </w:r>
            <w:r>
              <w:rPr>
                <w:rStyle w:val="10"/>
                <w:rFonts w:hint="eastAsia" w:ascii="宋体" w:hAnsi="宋体" w:eastAsia="宋体" w:cs="宋体"/>
                <w:color w:val="auto"/>
                <w:sz w:val="24"/>
                <w:szCs w:val="24"/>
                <w:highlight w:val="none"/>
                <w:lang w:val="en-US" w:eastAsia="zh-CN" w:bidi="ar"/>
              </w:rPr>
              <w:t>（提供技术白皮书、彩页等证明材料）</w:t>
            </w:r>
          </w:p>
        </w:tc>
      </w:tr>
      <w:tr w14:paraId="182DC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5BE960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7</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3F1D6D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侧向分辨力</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221CF82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Style w:val="9"/>
                <w:rFonts w:hint="eastAsia" w:ascii="宋体" w:hAnsi="宋体" w:eastAsia="宋体" w:cs="宋体"/>
                <w:color w:val="auto"/>
                <w:sz w:val="24"/>
                <w:szCs w:val="24"/>
                <w:highlight w:val="none"/>
                <w:lang w:val="en-US" w:eastAsia="zh-CN" w:bidi="ar"/>
              </w:rPr>
              <w:t>≤0.2mm</w:t>
            </w:r>
            <w:r>
              <w:rPr>
                <w:rStyle w:val="10"/>
                <w:rFonts w:hint="eastAsia" w:ascii="宋体" w:hAnsi="宋体" w:eastAsia="宋体" w:cs="宋体"/>
                <w:color w:val="auto"/>
                <w:sz w:val="24"/>
                <w:szCs w:val="24"/>
                <w:highlight w:val="none"/>
                <w:lang w:val="en-US" w:eastAsia="zh-CN" w:bidi="ar"/>
              </w:rPr>
              <w:t>（提供技术白皮书、彩页等证明材料）</w:t>
            </w:r>
          </w:p>
        </w:tc>
      </w:tr>
      <w:tr w14:paraId="5707E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37E88E9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8</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35672F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动态回放功能</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2EFCFB14">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Style w:val="9"/>
                <w:rFonts w:hint="eastAsia" w:ascii="宋体" w:hAnsi="宋体" w:eastAsia="宋体" w:cs="宋体"/>
                <w:color w:val="auto"/>
                <w:sz w:val="24"/>
                <w:szCs w:val="24"/>
                <w:highlight w:val="none"/>
                <w:lang w:val="en-US" w:eastAsia="zh-CN" w:bidi="ar"/>
              </w:rPr>
              <w:t>具备 ，可循环/单幅播放，可拷贝视频</w:t>
            </w:r>
          </w:p>
        </w:tc>
      </w:tr>
      <w:tr w14:paraId="1D086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769A7A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9</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4B98872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显示深度</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2E0CA28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28～60mm</w:t>
            </w:r>
          </w:p>
        </w:tc>
      </w:tr>
      <w:tr w14:paraId="0C9A3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00C1E7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3A839A6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A型超声</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1870A54E">
            <w:pPr>
              <w:keepNext w:val="0"/>
              <w:keepLines w:val="0"/>
              <w:suppressLineNumbers w:val="0"/>
              <w:spacing w:before="0" w:beforeAutospacing="0" w:after="0" w:afterAutospacing="0"/>
              <w:ind w:left="0" w:right="0"/>
              <w:jc w:val="left"/>
              <w:rPr>
                <w:rFonts w:hint="eastAsia" w:ascii="宋体" w:hAnsi="宋体" w:eastAsia="宋体" w:cs="宋体"/>
                <w:i w:val="0"/>
                <w:iCs w:val="0"/>
                <w:color w:val="auto"/>
                <w:sz w:val="24"/>
                <w:szCs w:val="24"/>
                <w:highlight w:val="none"/>
                <w:u w:val="none"/>
              </w:rPr>
            </w:pPr>
          </w:p>
        </w:tc>
      </w:tr>
      <w:tr w14:paraId="06A15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71D202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11</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079DA14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测量模式</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381BA76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包括正常眼、无晶体眼、人工晶体眼等</w:t>
            </w:r>
          </w:p>
        </w:tc>
      </w:tr>
      <w:tr w14:paraId="77FCE9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577BA9F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53E0FA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人工晶体计算</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72BF55D5">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SRK-T、SRK-II、BINK-II、HOLLADAY、HOFFER-Q、HAIGIS</w:t>
            </w:r>
          </w:p>
        </w:tc>
      </w:tr>
      <w:tr w14:paraId="4755D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2DC2C63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13</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7B7B80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测量参数</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75A4973D">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包括测量参数：前房深度、晶体厚度、玻璃体长度、眼轴长度等</w:t>
            </w:r>
          </w:p>
        </w:tc>
      </w:tr>
      <w:tr w14:paraId="25B42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2573724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14</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27A8B94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眼轴长度测量范围</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75986AA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15～38mm</w:t>
            </w:r>
          </w:p>
        </w:tc>
      </w:tr>
      <w:tr w14:paraId="0E2F1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627249B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15</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1738A7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前房深度测量范围</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36CC9F1B">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2～6mm</w:t>
            </w:r>
          </w:p>
        </w:tc>
      </w:tr>
      <w:tr w14:paraId="06756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189F007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16</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04A41CF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晶体厚度测量范围</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7E380E82">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2～6mm</w:t>
            </w:r>
          </w:p>
        </w:tc>
      </w:tr>
      <w:tr w14:paraId="05F497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39B6C0E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17</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1759253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玻璃体厚度测量范围</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0EE3A323">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12～30mm</w:t>
            </w:r>
          </w:p>
        </w:tc>
      </w:tr>
      <w:tr w14:paraId="7034A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3D9C9A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18</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2DDB84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屈光术后计算公式</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169BEFBC">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 xml:space="preserve">具备 </w:t>
            </w:r>
          </w:p>
        </w:tc>
      </w:tr>
      <w:tr w14:paraId="52F97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49A5518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19</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33BD19A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显示模式</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3528A711">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A、B、B+B、B+A</w:t>
            </w:r>
          </w:p>
        </w:tc>
      </w:tr>
      <w:tr w14:paraId="21BC3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50BE6D1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20</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70C83CC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扫描角度</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2DA43A4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≥53°</w:t>
            </w:r>
          </w:p>
        </w:tc>
      </w:tr>
      <w:tr w14:paraId="52944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5F6D65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21</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59AA5B6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灰阶等级</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7C77473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≥256</w:t>
            </w:r>
          </w:p>
        </w:tc>
      </w:tr>
      <w:tr w14:paraId="5C765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6669D8E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22</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0287EB9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内存</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35554570">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≥512M</w:t>
            </w:r>
          </w:p>
        </w:tc>
      </w:tr>
      <w:tr w14:paraId="211C7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85" w:type="pct"/>
            <w:tcBorders>
              <w:top w:val="single" w:color="000000" w:sz="4" w:space="0"/>
              <w:left w:val="single" w:color="000000" w:sz="4" w:space="0"/>
              <w:bottom w:val="single" w:color="000000" w:sz="4" w:space="0"/>
              <w:right w:val="single" w:color="000000" w:sz="4" w:space="0"/>
            </w:tcBorders>
            <w:noWrap w:val="0"/>
            <w:vAlign w:val="center"/>
          </w:tcPr>
          <w:p w14:paraId="0BC5A6D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23</w:t>
            </w:r>
          </w:p>
        </w:tc>
        <w:tc>
          <w:tcPr>
            <w:tcW w:w="1765" w:type="pct"/>
            <w:tcBorders>
              <w:top w:val="single" w:color="000000" w:sz="4" w:space="0"/>
              <w:left w:val="single" w:color="000000" w:sz="4" w:space="0"/>
              <w:bottom w:val="single" w:color="000000" w:sz="4" w:space="0"/>
              <w:right w:val="single" w:color="000000" w:sz="4" w:space="0"/>
            </w:tcBorders>
            <w:noWrap w:val="0"/>
            <w:vAlign w:val="center"/>
          </w:tcPr>
          <w:p w14:paraId="081154C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激光打印机</w:t>
            </w:r>
          </w:p>
        </w:tc>
        <w:tc>
          <w:tcPr>
            <w:tcW w:w="2648" w:type="pct"/>
            <w:tcBorders>
              <w:top w:val="single" w:color="000000" w:sz="4" w:space="0"/>
              <w:left w:val="single" w:color="000000" w:sz="4" w:space="0"/>
              <w:bottom w:val="single" w:color="000000" w:sz="4" w:space="0"/>
              <w:right w:val="single" w:color="000000" w:sz="4" w:space="0"/>
            </w:tcBorders>
            <w:noWrap w:val="0"/>
            <w:vAlign w:val="center"/>
          </w:tcPr>
          <w:p w14:paraId="0239F596">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配置</w:t>
            </w:r>
          </w:p>
        </w:tc>
      </w:tr>
    </w:tbl>
    <w:p w14:paraId="189F3E5A">
      <w:pPr>
        <w:pStyle w:val="11"/>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highlight w:val="none"/>
        </w:rPr>
      </w:pPr>
    </w:p>
    <w:p w14:paraId="13214858">
      <w:pPr>
        <w:pStyle w:val="11"/>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p>
    <w:p w14:paraId="401CE665">
      <w:pPr>
        <w:pStyle w:val="4"/>
        <w:keepNext w:val="0"/>
        <w:keepLines w:val="0"/>
        <w:pageBreakBefore w:val="0"/>
        <w:widowControl/>
        <w:kinsoku/>
        <w:wordWrap/>
        <w:overflowPunct/>
        <w:topLinePunct w:val="0"/>
        <w:autoSpaceDE/>
        <w:autoSpaceDN/>
        <w:bidi w:val="0"/>
        <w:adjustRightInd/>
        <w:snapToGrid w:val="0"/>
        <w:spacing w:before="200" w:line="360" w:lineRule="auto"/>
        <w:ind w:firstLine="482" w:firstLineChars="200"/>
        <w:textAlignment w:val="auto"/>
        <w:outlineLvl w:val="2"/>
        <w:rPr>
          <w:rFonts w:hint="eastAsia" w:hAnsi="宋体" w:eastAsia="仿宋"/>
          <w:b/>
          <w:bCs/>
          <w:color w:val="auto"/>
          <w:sz w:val="24"/>
          <w:szCs w:val="24"/>
          <w:highlight w:val="none"/>
        </w:rPr>
      </w:pPr>
      <w:r>
        <w:rPr>
          <w:rFonts w:hint="eastAsia" w:hAnsi="宋体" w:eastAsia="仿宋"/>
          <w:b/>
          <w:bCs/>
          <w:color w:val="auto"/>
          <w:sz w:val="24"/>
          <w:szCs w:val="24"/>
          <w:highlight w:val="none"/>
        </w:rPr>
        <w:t>4.3 须单独报价配件（或附件）一览表</w:t>
      </w:r>
    </w:p>
    <w:p w14:paraId="3154A004">
      <w:pPr>
        <w:pStyle w:val="4"/>
        <w:widowControl/>
        <w:snapToGrid w:val="0"/>
        <w:spacing w:line="360" w:lineRule="auto"/>
        <w:ind w:firstLine="480" w:firstLineChars="200"/>
        <w:outlineLvl w:val="2"/>
        <w:rPr>
          <w:rFonts w:hint="eastAsia" w:hAnsi="宋体" w:eastAsia="仿宋"/>
          <w:b/>
          <w:bCs/>
          <w:color w:val="auto"/>
          <w:sz w:val="24"/>
          <w:szCs w:val="24"/>
          <w:highlight w:val="none"/>
        </w:rPr>
      </w:pPr>
      <w:r>
        <w:rPr>
          <w:rFonts w:hint="eastAsia" w:hAnsi="宋体" w:eastAsia="仿宋"/>
          <w:b w:val="0"/>
          <w:bCs w:val="0"/>
          <w:color w:val="auto"/>
          <w:sz w:val="24"/>
          <w:szCs w:val="24"/>
          <w:highlight w:val="none"/>
        </w:rPr>
        <w:t>说明:以下配件（或附件）计入本次投标总价的数量均为单台(套)设备需求数量。</w:t>
      </w:r>
    </w:p>
    <w:p w14:paraId="2B0276E0">
      <w:pPr>
        <w:pStyle w:val="4"/>
        <w:widowControl/>
        <w:snapToGrid w:val="0"/>
        <w:spacing w:line="360" w:lineRule="auto"/>
        <w:ind w:firstLine="482" w:firstLineChars="200"/>
        <w:outlineLvl w:val="2"/>
        <w:rPr>
          <w:rFonts w:hint="default" w:hAnsi="宋体" w:eastAsia="仿宋"/>
          <w:b/>
          <w:bCs/>
          <w:color w:val="auto"/>
          <w:sz w:val="24"/>
          <w:szCs w:val="24"/>
          <w:highlight w:val="none"/>
          <w:lang w:val="en-US" w:eastAsia="zh-CN"/>
        </w:rPr>
      </w:pPr>
      <w:r>
        <w:rPr>
          <w:rFonts w:hint="eastAsia" w:hAnsi="宋体" w:eastAsia="仿宋"/>
          <w:b/>
          <w:bCs/>
          <w:color w:val="auto"/>
          <w:sz w:val="24"/>
          <w:szCs w:val="24"/>
          <w:highlight w:val="none"/>
          <w:lang w:val="en-US" w:eastAsia="zh-CN"/>
        </w:rPr>
        <w:t>第1包：眼科AB超</w:t>
      </w:r>
    </w:p>
    <w:tbl>
      <w:tblPr>
        <w:tblStyle w:val="5"/>
        <w:tblW w:w="4848"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79"/>
        <w:gridCol w:w="2438"/>
        <w:gridCol w:w="757"/>
        <w:gridCol w:w="2369"/>
        <w:gridCol w:w="2120"/>
      </w:tblGrid>
      <w:tr w14:paraId="1B84B1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350" w:type="pct"/>
            <w:noWrap w:val="0"/>
            <w:vAlign w:val="center"/>
          </w:tcPr>
          <w:p w14:paraId="73E0B977">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序号</w:t>
            </w:r>
          </w:p>
        </w:tc>
        <w:tc>
          <w:tcPr>
            <w:tcW w:w="1475" w:type="pct"/>
            <w:noWrap w:val="0"/>
            <w:vAlign w:val="center"/>
          </w:tcPr>
          <w:p w14:paraId="656449F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配件（或附件）名称</w:t>
            </w:r>
          </w:p>
        </w:tc>
        <w:tc>
          <w:tcPr>
            <w:tcW w:w="458" w:type="pct"/>
            <w:noWrap w:val="0"/>
            <w:vAlign w:val="center"/>
          </w:tcPr>
          <w:p w14:paraId="1BA199F7">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单位</w:t>
            </w:r>
          </w:p>
        </w:tc>
        <w:tc>
          <w:tcPr>
            <w:tcW w:w="1433" w:type="pct"/>
            <w:noWrap w:val="0"/>
            <w:vAlign w:val="center"/>
          </w:tcPr>
          <w:p w14:paraId="231A80D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是否需要计入本次投标总价</w:t>
            </w:r>
          </w:p>
        </w:tc>
        <w:tc>
          <w:tcPr>
            <w:tcW w:w="1282" w:type="pct"/>
            <w:noWrap w:val="0"/>
            <w:vAlign w:val="center"/>
          </w:tcPr>
          <w:p w14:paraId="620739DA">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计入本次投标总价的数量（数量为0则不计入不次投标总价）</w:t>
            </w:r>
          </w:p>
        </w:tc>
      </w:tr>
      <w:tr w14:paraId="224314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50" w:type="pct"/>
            <w:noWrap w:val="0"/>
            <w:vAlign w:val="center"/>
          </w:tcPr>
          <w:p w14:paraId="01154274">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c>
          <w:tcPr>
            <w:tcW w:w="1475" w:type="pct"/>
            <w:noWrap w:val="0"/>
            <w:vAlign w:val="center"/>
          </w:tcPr>
          <w:p w14:paraId="4144BA45">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A超探头</w:t>
            </w:r>
          </w:p>
        </w:tc>
        <w:tc>
          <w:tcPr>
            <w:tcW w:w="458" w:type="pct"/>
            <w:noWrap w:val="0"/>
            <w:vAlign w:val="center"/>
          </w:tcPr>
          <w:p w14:paraId="5E341566">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68E5FD01">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1282" w:type="pct"/>
            <w:noWrap w:val="0"/>
            <w:vAlign w:val="center"/>
          </w:tcPr>
          <w:p w14:paraId="41D0B1DE">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7F39C3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0" w:type="pct"/>
            <w:noWrap w:val="0"/>
            <w:vAlign w:val="center"/>
          </w:tcPr>
          <w:p w14:paraId="6DBEFBD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2</w:t>
            </w:r>
          </w:p>
        </w:tc>
        <w:tc>
          <w:tcPr>
            <w:tcW w:w="1475" w:type="pct"/>
            <w:noWrap w:val="0"/>
            <w:vAlign w:val="center"/>
          </w:tcPr>
          <w:p w14:paraId="2957B8D2">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B超探头</w:t>
            </w:r>
          </w:p>
        </w:tc>
        <w:tc>
          <w:tcPr>
            <w:tcW w:w="458" w:type="pct"/>
            <w:noWrap w:val="0"/>
            <w:vAlign w:val="center"/>
          </w:tcPr>
          <w:p w14:paraId="746C4166">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03FF9C85">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1282" w:type="pct"/>
            <w:noWrap w:val="0"/>
            <w:vAlign w:val="center"/>
          </w:tcPr>
          <w:p w14:paraId="524F905B">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bl>
    <w:p w14:paraId="67F33037">
      <w:pPr>
        <w:pStyle w:val="4"/>
        <w:keepNext w:val="0"/>
        <w:keepLines w:val="0"/>
        <w:pageBreakBefore w:val="0"/>
        <w:widowControl/>
        <w:kinsoku/>
        <w:wordWrap/>
        <w:overflowPunct/>
        <w:topLinePunct w:val="0"/>
        <w:autoSpaceDE/>
        <w:autoSpaceDN/>
        <w:bidi w:val="0"/>
        <w:adjustRightInd/>
        <w:snapToGrid w:val="0"/>
        <w:spacing w:before="400" w:line="360" w:lineRule="auto"/>
        <w:ind w:firstLine="482" w:firstLineChars="200"/>
        <w:textAlignment w:val="auto"/>
        <w:outlineLvl w:val="2"/>
        <w:rPr>
          <w:rFonts w:hAnsi="宋体" w:eastAsia="仿宋"/>
          <w:b/>
          <w:bCs/>
          <w:color w:val="auto"/>
          <w:sz w:val="24"/>
          <w:szCs w:val="24"/>
          <w:highlight w:val="none"/>
        </w:rPr>
      </w:pPr>
      <w:r>
        <w:rPr>
          <w:rFonts w:hint="eastAsia" w:hAnsi="宋体" w:eastAsia="仿宋"/>
          <w:b/>
          <w:bCs/>
          <w:color w:val="auto"/>
          <w:sz w:val="24"/>
          <w:szCs w:val="24"/>
          <w:highlight w:val="none"/>
        </w:rPr>
        <w:t>4.4 试验检测</w:t>
      </w:r>
      <w:bookmarkEnd w:id="14"/>
      <w:bookmarkEnd w:id="15"/>
      <w:bookmarkEnd w:id="16"/>
      <w:bookmarkEnd w:id="17"/>
      <w:bookmarkEnd w:id="18"/>
      <w:bookmarkEnd w:id="19"/>
      <w:bookmarkEnd w:id="20"/>
      <w:bookmarkEnd w:id="21"/>
      <w:bookmarkEnd w:id="22"/>
      <w:r>
        <w:rPr>
          <w:rFonts w:hint="eastAsia" w:hAnsi="宋体" w:eastAsia="仿宋"/>
          <w:b/>
          <w:bCs/>
          <w:color w:val="auto"/>
          <w:sz w:val="24"/>
          <w:szCs w:val="24"/>
          <w:highlight w:val="none"/>
        </w:rPr>
        <w:t>要求</w:t>
      </w:r>
    </w:p>
    <w:p w14:paraId="55737399">
      <w:pPr>
        <w:adjustRightInd w:val="0"/>
        <w:snapToGrid w:val="0"/>
        <w:spacing w:before="120" w:after="120" w:line="360" w:lineRule="auto"/>
        <w:ind w:firstLine="480" w:firstLineChars="200"/>
        <w:rPr>
          <w:rFonts w:eastAsia="仿宋"/>
          <w:color w:val="auto"/>
          <w:sz w:val="24"/>
          <w:highlight w:val="none"/>
        </w:rPr>
      </w:pPr>
      <w:r>
        <w:rPr>
          <w:rFonts w:hint="eastAsia" w:eastAsia="仿宋"/>
          <w:color w:val="auto"/>
          <w:sz w:val="24"/>
          <w:highlight w:val="none"/>
        </w:rPr>
        <w:t>无</w:t>
      </w:r>
    </w:p>
    <w:p w14:paraId="3C2354A6">
      <w:pPr>
        <w:pStyle w:val="4"/>
        <w:widowControl/>
        <w:snapToGrid w:val="0"/>
        <w:spacing w:line="360" w:lineRule="auto"/>
        <w:ind w:firstLine="482" w:firstLineChars="200"/>
        <w:outlineLvl w:val="2"/>
        <w:rPr>
          <w:rFonts w:hint="eastAsia" w:hAnsi="宋体" w:eastAsia="仿宋"/>
          <w:b/>
          <w:bCs/>
          <w:color w:val="auto"/>
          <w:sz w:val="24"/>
          <w:szCs w:val="24"/>
          <w:highlight w:val="none"/>
        </w:rPr>
      </w:pPr>
      <w:bookmarkStart w:id="23" w:name="_Toc493440975"/>
      <w:bookmarkStart w:id="24" w:name="_Toc493440807"/>
      <w:bookmarkStart w:id="25" w:name="_Toc493432670"/>
      <w:bookmarkStart w:id="26" w:name="_Toc525819967"/>
      <w:bookmarkStart w:id="27" w:name="_Toc512611689"/>
      <w:bookmarkStart w:id="28" w:name="_Toc526265691"/>
      <w:bookmarkStart w:id="29" w:name="_Toc512544434"/>
      <w:bookmarkStart w:id="30" w:name="_Toc517011814"/>
      <w:bookmarkStart w:id="31" w:name="_Toc515539872"/>
      <w:r>
        <w:rPr>
          <w:rFonts w:hint="eastAsia" w:hAnsi="宋体" w:eastAsia="仿宋"/>
          <w:b/>
          <w:bCs/>
          <w:color w:val="auto"/>
          <w:sz w:val="24"/>
          <w:szCs w:val="24"/>
          <w:highlight w:val="none"/>
        </w:rPr>
        <w:t>4.5 质量要求与验收标准</w:t>
      </w:r>
      <w:bookmarkEnd w:id="23"/>
      <w:bookmarkEnd w:id="24"/>
      <w:bookmarkEnd w:id="25"/>
      <w:bookmarkEnd w:id="26"/>
      <w:bookmarkEnd w:id="27"/>
      <w:bookmarkEnd w:id="28"/>
      <w:bookmarkEnd w:id="29"/>
      <w:bookmarkEnd w:id="30"/>
      <w:bookmarkEnd w:id="31"/>
    </w:p>
    <w:p w14:paraId="6D137173">
      <w:pPr>
        <w:adjustRightInd w:val="0"/>
        <w:snapToGrid w:val="0"/>
        <w:spacing w:before="120" w:after="120" w:line="360" w:lineRule="auto"/>
        <w:ind w:firstLine="480" w:firstLineChars="200"/>
        <w:rPr>
          <w:rFonts w:eastAsia="仿宋"/>
          <w:color w:val="auto"/>
          <w:sz w:val="24"/>
          <w:highlight w:val="none"/>
        </w:rPr>
      </w:pPr>
      <w:r>
        <w:rPr>
          <w:rFonts w:hint="eastAsia" w:eastAsia="仿宋"/>
          <w:color w:val="auto"/>
          <w:sz w:val="24"/>
          <w:highlight w:val="none"/>
        </w:rPr>
        <w:t>符合国家、省、市法律法规及行业标准。</w:t>
      </w:r>
    </w:p>
    <w:p w14:paraId="5EFE41D7">
      <w:pPr>
        <w:pStyle w:val="4"/>
        <w:widowControl/>
        <w:snapToGrid w:val="0"/>
        <w:spacing w:line="360" w:lineRule="auto"/>
        <w:ind w:firstLine="482" w:firstLineChars="200"/>
        <w:outlineLvl w:val="2"/>
        <w:rPr>
          <w:rFonts w:hint="eastAsia" w:hAnsi="宋体" w:eastAsia="仿宋"/>
          <w:b/>
          <w:bCs/>
          <w:color w:val="auto"/>
          <w:sz w:val="24"/>
          <w:szCs w:val="24"/>
          <w:highlight w:val="none"/>
        </w:rPr>
      </w:pPr>
      <w:bookmarkStart w:id="32" w:name="_Toc525819968"/>
      <w:bookmarkStart w:id="33" w:name="_Toc512544435"/>
      <w:bookmarkStart w:id="34" w:name="_Toc493440808"/>
      <w:bookmarkStart w:id="35" w:name="_Toc493440976"/>
      <w:bookmarkStart w:id="36" w:name="_Toc526265692"/>
      <w:bookmarkStart w:id="37" w:name="_Toc517011815"/>
      <w:bookmarkStart w:id="38" w:name="_Toc493432671"/>
      <w:bookmarkStart w:id="39" w:name="_Toc512611690"/>
      <w:bookmarkStart w:id="40" w:name="_Toc515539873"/>
      <w:r>
        <w:rPr>
          <w:rFonts w:hint="eastAsia" w:hAnsi="宋体" w:eastAsia="仿宋"/>
          <w:b/>
          <w:bCs/>
          <w:color w:val="auto"/>
          <w:sz w:val="24"/>
          <w:szCs w:val="24"/>
          <w:highlight w:val="none"/>
        </w:rPr>
        <w:t>4.</w:t>
      </w:r>
      <w:bookmarkEnd w:id="32"/>
      <w:bookmarkEnd w:id="33"/>
      <w:bookmarkEnd w:id="34"/>
      <w:bookmarkEnd w:id="35"/>
      <w:bookmarkEnd w:id="36"/>
      <w:bookmarkEnd w:id="37"/>
      <w:bookmarkEnd w:id="38"/>
      <w:bookmarkEnd w:id="39"/>
      <w:bookmarkEnd w:id="40"/>
      <w:bookmarkStart w:id="41" w:name="_Toc517011816"/>
      <w:bookmarkStart w:id="42" w:name="_Toc525819969"/>
      <w:bookmarkStart w:id="43" w:name="_Toc493432672"/>
      <w:bookmarkStart w:id="44" w:name="_Toc493440977"/>
      <w:bookmarkStart w:id="45" w:name="_Toc526265693"/>
      <w:bookmarkStart w:id="46" w:name="_Toc515539874"/>
      <w:bookmarkStart w:id="47" w:name="_Toc512544436"/>
      <w:bookmarkStart w:id="48" w:name="_Toc493440809"/>
      <w:bookmarkStart w:id="49" w:name="_Toc512611691"/>
      <w:r>
        <w:rPr>
          <w:rFonts w:hint="eastAsia" w:hAnsi="宋体" w:eastAsia="仿宋"/>
          <w:b/>
          <w:bCs/>
          <w:color w:val="auto"/>
          <w:sz w:val="24"/>
          <w:szCs w:val="24"/>
          <w:highlight w:val="none"/>
        </w:rPr>
        <w:t>6 质量保证期服务要求</w:t>
      </w:r>
      <w:bookmarkEnd w:id="41"/>
      <w:bookmarkEnd w:id="42"/>
      <w:bookmarkEnd w:id="43"/>
      <w:bookmarkEnd w:id="44"/>
      <w:bookmarkEnd w:id="45"/>
      <w:bookmarkEnd w:id="46"/>
      <w:bookmarkEnd w:id="47"/>
      <w:bookmarkEnd w:id="48"/>
      <w:bookmarkEnd w:id="49"/>
    </w:p>
    <w:p w14:paraId="77627D3A">
      <w:pPr>
        <w:adjustRightInd w:val="0"/>
        <w:snapToGrid w:val="0"/>
        <w:spacing w:line="360" w:lineRule="auto"/>
        <w:ind w:firstLine="480" w:firstLineChars="200"/>
        <w:rPr>
          <w:rFonts w:hint="eastAsia" w:ascii="Times New Roman" w:hAnsi="Times New Roman" w:eastAsia="仿宋" w:cs="Times New Roman"/>
          <w:color w:val="auto"/>
          <w:sz w:val="24"/>
          <w:highlight w:val="none"/>
          <w:lang w:val="en-US" w:eastAsia="zh-CN"/>
        </w:rPr>
      </w:pPr>
      <w:r>
        <w:rPr>
          <w:rFonts w:hint="eastAsia" w:eastAsia="仿宋"/>
          <w:color w:val="auto"/>
          <w:sz w:val="24"/>
          <w:highlight w:val="none"/>
        </w:rPr>
        <w:t>中标人</w:t>
      </w:r>
      <w:r>
        <w:rPr>
          <w:rFonts w:eastAsia="仿宋"/>
          <w:color w:val="auto"/>
          <w:sz w:val="24"/>
          <w:highlight w:val="none"/>
        </w:rPr>
        <w:t>提供的技术人员、工具、备件和联系方式，质量保证期服务响应、到达现场和解决问题的时限</w:t>
      </w:r>
      <w:r>
        <w:rPr>
          <w:rFonts w:ascii="Times New Roman" w:hAnsi="Times New Roman" w:eastAsia="仿宋" w:cs="Times New Roman"/>
          <w:color w:val="auto"/>
          <w:sz w:val="24"/>
          <w:highlight w:val="none"/>
        </w:rPr>
        <w:t>，</w:t>
      </w:r>
      <w:r>
        <w:rPr>
          <w:rFonts w:hint="eastAsia" w:ascii="Times New Roman" w:hAnsi="Times New Roman" w:eastAsia="仿宋" w:cs="Times New Roman"/>
          <w:color w:val="auto"/>
          <w:sz w:val="24"/>
          <w:highlight w:val="none"/>
        </w:rPr>
        <w:t>中标人</w:t>
      </w:r>
      <w:r>
        <w:rPr>
          <w:rFonts w:ascii="Times New Roman" w:hAnsi="Times New Roman" w:eastAsia="仿宋" w:cs="Times New Roman"/>
          <w:color w:val="auto"/>
          <w:sz w:val="24"/>
          <w:highlight w:val="none"/>
        </w:rPr>
        <w:t>技术人员的交通、食宿费用承担主体，</w:t>
      </w:r>
      <w:r>
        <w:rPr>
          <w:rFonts w:hint="eastAsia" w:ascii="Times New Roman" w:hAnsi="Times New Roman" w:eastAsia="仿宋" w:cs="Times New Roman"/>
          <w:color w:val="auto"/>
          <w:sz w:val="24"/>
          <w:highlight w:val="none"/>
        </w:rPr>
        <w:t>中标人</w:t>
      </w:r>
      <w:r>
        <w:rPr>
          <w:rFonts w:ascii="Times New Roman" w:hAnsi="Times New Roman" w:eastAsia="仿宋" w:cs="Times New Roman"/>
          <w:color w:val="auto"/>
          <w:sz w:val="24"/>
          <w:highlight w:val="none"/>
        </w:rPr>
        <w:t>技术人员撤换费用承担主体，质量保证期服务情况记录要求等。</w:t>
      </w:r>
    </w:p>
    <w:p w14:paraId="08775C9D">
      <w:pPr>
        <w:adjustRightInd w:val="0"/>
        <w:snapToGrid w:val="0"/>
        <w:spacing w:line="360" w:lineRule="auto"/>
        <w:ind w:firstLine="482" w:firstLineChars="200"/>
        <w:rPr>
          <w:rFonts w:hint="default" w:ascii="宋体" w:hAnsi="宋体" w:eastAsia="仿宋" w:cs="Times New Roman"/>
          <w:b w:val="0"/>
          <w:bCs w:val="0"/>
          <w:color w:val="auto"/>
          <w:sz w:val="24"/>
          <w:szCs w:val="24"/>
          <w:highlight w:val="none"/>
          <w:lang w:val="en-US" w:eastAsia="zh-CN"/>
        </w:rPr>
      </w:pPr>
      <w:r>
        <w:rPr>
          <w:rFonts w:hint="eastAsia" w:ascii="宋体" w:hAnsi="宋体" w:eastAsia="仿宋" w:cs="Times New Roman"/>
          <w:b/>
          <w:bCs/>
          <w:color w:val="auto"/>
          <w:sz w:val="24"/>
          <w:szCs w:val="24"/>
          <w:highlight w:val="none"/>
        </w:rPr>
        <w:t>4.</w:t>
      </w:r>
      <w:r>
        <w:rPr>
          <w:rFonts w:hint="eastAsia" w:ascii="宋体" w:hAnsi="宋体" w:eastAsia="仿宋" w:cs="Times New Roman"/>
          <w:b/>
          <w:bCs/>
          <w:color w:val="auto"/>
          <w:sz w:val="24"/>
          <w:szCs w:val="24"/>
          <w:highlight w:val="none"/>
          <w:lang w:eastAsia="zh-CN"/>
        </w:rPr>
        <w:t>7</w:t>
      </w:r>
      <w:r>
        <w:rPr>
          <w:rFonts w:hint="eastAsia" w:ascii="宋体" w:hAnsi="宋体" w:eastAsia="仿宋" w:cs="Times New Roman"/>
          <w:b/>
          <w:bCs/>
          <w:color w:val="auto"/>
          <w:sz w:val="24"/>
          <w:szCs w:val="24"/>
          <w:highlight w:val="none"/>
        </w:rPr>
        <w:t xml:space="preserve"> </w:t>
      </w:r>
      <w:r>
        <w:rPr>
          <w:rFonts w:hint="eastAsia" w:ascii="宋体" w:hAnsi="宋体" w:eastAsia="仿宋" w:cs="Times New Roman"/>
          <w:b/>
          <w:bCs/>
          <w:color w:val="auto"/>
          <w:sz w:val="24"/>
          <w:szCs w:val="24"/>
          <w:highlight w:val="none"/>
          <w:lang w:val="en-US" w:eastAsia="zh-CN"/>
        </w:rPr>
        <w:t>技术培训</w:t>
      </w:r>
      <w:r>
        <w:rPr>
          <w:rFonts w:hint="eastAsia" w:ascii="宋体" w:hAnsi="宋体" w:eastAsia="仿宋" w:cs="Times New Roman"/>
          <w:b/>
          <w:bCs/>
          <w:color w:val="auto"/>
          <w:sz w:val="24"/>
          <w:szCs w:val="24"/>
          <w:highlight w:val="none"/>
        </w:rPr>
        <w:t>要求</w:t>
      </w:r>
    </w:p>
    <w:p w14:paraId="180EFF45">
      <w:pPr>
        <w:adjustRightInd w:val="0"/>
        <w:snapToGrid w:val="0"/>
        <w:spacing w:line="360" w:lineRule="auto"/>
        <w:ind w:firstLine="480" w:firstLineChars="200"/>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中标人应提供现场技术培训，及远程技术支持等，为使用人员提供技术指导，保证使用人员正常操作设备各种功能。</w:t>
      </w:r>
    </w:p>
    <w:p w14:paraId="63C34B1D">
      <w:pPr>
        <w:pStyle w:val="3"/>
        <w:spacing w:line="360" w:lineRule="auto"/>
        <w:rPr>
          <w:rFonts w:hint="eastAsia" w:ascii="Times New Roman" w:hAnsi="Times New Roman" w:eastAsia="仿宋"/>
          <w:color w:val="auto"/>
          <w:sz w:val="24"/>
          <w:szCs w:val="24"/>
          <w:highlight w:val="none"/>
        </w:rPr>
      </w:pPr>
      <w:bookmarkStart w:id="50" w:name="_Toc493432674"/>
      <w:bookmarkStart w:id="51" w:name="_Toc517011817"/>
      <w:bookmarkStart w:id="52" w:name="_Toc493440811"/>
      <w:bookmarkStart w:id="53" w:name="_Toc493440979"/>
      <w:bookmarkStart w:id="54" w:name="_Toc515539875"/>
      <w:bookmarkStart w:id="55" w:name="_Toc525819970"/>
      <w:bookmarkStart w:id="56" w:name="_Toc512544437"/>
      <w:bookmarkStart w:id="57" w:name="_Toc512611692"/>
      <w:bookmarkStart w:id="58" w:name="_Toc526265694"/>
      <w:r>
        <w:rPr>
          <w:rStyle w:val="7"/>
          <w:rFonts w:hint="eastAsia" w:ascii="宋体" w:hAnsi="宋体" w:eastAsia="仿宋"/>
          <w:b/>
          <w:bCs/>
          <w:color w:val="auto"/>
          <w:sz w:val="24"/>
          <w:szCs w:val="24"/>
          <w:highlight w:val="none"/>
        </w:rPr>
        <w:t>5. 其他</w:t>
      </w:r>
      <w:bookmarkEnd w:id="50"/>
      <w:bookmarkEnd w:id="51"/>
      <w:bookmarkEnd w:id="52"/>
      <w:bookmarkEnd w:id="53"/>
      <w:bookmarkEnd w:id="54"/>
      <w:bookmarkEnd w:id="55"/>
      <w:bookmarkEnd w:id="56"/>
      <w:bookmarkEnd w:id="57"/>
      <w:bookmarkEnd w:id="58"/>
    </w:p>
    <w:p w14:paraId="3327CC56">
      <w:pPr>
        <w:spacing w:line="360" w:lineRule="auto"/>
        <w:ind w:firstLine="482" w:firstLineChars="200"/>
        <w:jc w:val="left"/>
        <w:rPr>
          <w:rFonts w:hint="eastAsia" w:eastAsia="仿宋"/>
          <w:b/>
          <w:color w:val="auto"/>
          <w:sz w:val="24"/>
          <w:highlight w:val="none"/>
          <w:lang w:val="en-US" w:eastAsia="zh-CN"/>
        </w:rPr>
      </w:pPr>
      <w:r>
        <w:rPr>
          <w:rFonts w:hint="eastAsia" w:eastAsia="仿宋"/>
          <w:b/>
          <w:color w:val="auto"/>
          <w:sz w:val="24"/>
          <w:highlight w:val="none"/>
        </w:rPr>
        <w:t>5.1</w:t>
      </w:r>
      <w:bookmarkStart w:id="59" w:name="OLE_LINK16"/>
      <w:r>
        <w:rPr>
          <w:rFonts w:hint="eastAsia" w:eastAsia="仿宋"/>
          <w:b/>
          <w:color w:val="auto"/>
          <w:sz w:val="24"/>
          <w:highlight w:val="none"/>
        </w:rPr>
        <w:t>投标文件中须提供由投标人负责所投产品售后维保工作的质保承诺函，明确</w:t>
      </w:r>
      <w:r>
        <w:rPr>
          <w:rFonts w:hint="eastAsia" w:eastAsia="仿宋"/>
          <w:b/>
          <w:color w:val="auto"/>
          <w:sz w:val="24"/>
          <w:highlight w:val="none"/>
          <w:lang w:eastAsia="zh-CN"/>
        </w:rPr>
        <w:t>质量保证期</w:t>
      </w:r>
      <w:r>
        <w:rPr>
          <w:rFonts w:hint="eastAsia" w:eastAsia="仿宋"/>
          <w:b/>
          <w:color w:val="auto"/>
          <w:sz w:val="24"/>
          <w:highlight w:val="none"/>
        </w:rPr>
        <w:t>时长</w:t>
      </w:r>
      <w:r>
        <w:rPr>
          <w:rFonts w:hint="eastAsia" w:eastAsia="仿宋"/>
          <w:b/>
          <w:color w:val="auto"/>
          <w:sz w:val="24"/>
          <w:highlight w:val="none"/>
          <w:lang w:eastAsia="zh-CN"/>
        </w:rPr>
        <w:t>。</w:t>
      </w:r>
      <w:r>
        <w:rPr>
          <w:rFonts w:hint="eastAsia" w:eastAsia="仿宋"/>
          <w:b/>
          <w:color w:val="auto"/>
          <w:sz w:val="24"/>
          <w:highlight w:val="none"/>
          <w:lang w:val="en-US" w:eastAsia="zh-CN"/>
        </w:rPr>
        <w:t>投标人在投标文件中提供</w:t>
      </w:r>
      <w:bookmarkEnd w:id="59"/>
      <w:r>
        <w:rPr>
          <w:rFonts w:hint="eastAsia" w:eastAsia="仿宋"/>
          <w:b/>
          <w:color w:val="auto"/>
          <w:sz w:val="24"/>
          <w:highlight w:val="none"/>
          <w:lang w:eastAsia="zh-CN"/>
        </w:rPr>
        <w:t>质保期外备件及易损件</w:t>
      </w:r>
      <w:r>
        <w:rPr>
          <w:rFonts w:hint="eastAsia" w:eastAsia="仿宋"/>
          <w:b/>
          <w:color w:val="auto"/>
          <w:sz w:val="24"/>
          <w:highlight w:val="none"/>
          <w:lang w:val="en-US" w:eastAsia="zh-CN"/>
        </w:rPr>
        <w:t>报价清单，并对</w:t>
      </w:r>
      <w:r>
        <w:rPr>
          <w:rFonts w:hint="eastAsia" w:eastAsia="仿宋"/>
          <w:b/>
          <w:color w:val="auto"/>
          <w:sz w:val="24"/>
          <w:highlight w:val="none"/>
          <w:lang w:eastAsia="zh-CN"/>
        </w:rPr>
        <w:t>质保期满后每年的维保服务费用</w:t>
      </w:r>
      <w:r>
        <w:rPr>
          <w:rFonts w:hint="eastAsia" w:eastAsia="仿宋"/>
          <w:b/>
          <w:color w:val="auto"/>
          <w:sz w:val="24"/>
          <w:highlight w:val="none"/>
          <w:lang w:val="en-US" w:eastAsia="zh-CN"/>
        </w:rPr>
        <w:t>进行报价，明确维保服务内容。</w:t>
      </w:r>
    </w:p>
    <w:p w14:paraId="6BB58CD3">
      <w:pPr>
        <w:spacing w:line="360" w:lineRule="auto"/>
        <w:ind w:firstLine="480" w:firstLineChars="200"/>
        <w:jc w:val="left"/>
        <w:rPr>
          <w:rFonts w:eastAsia="仿宋"/>
          <w:color w:val="auto"/>
          <w:sz w:val="24"/>
          <w:highlight w:val="none"/>
        </w:rPr>
      </w:pPr>
      <w:r>
        <w:rPr>
          <w:rFonts w:hint="eastAsia" w:eastAsia="仿宋"/>
          <w:color w:val="auto"/>
          <w:sz w:val="24"/>
          <w:highlight w:val="none"/>
        </w:rPr>
        <w:t>5.2 本项目如涉及与使用单位在用信息系统（包含但不限于：HIS系统、PACS系统、电子病例系统、远程影像平台、外联平台等，相关接口信息可现场踏勘获悉）与本项目设备接入需求产生的系统改造、第三方系统对接所需等费用均已包含在本项目投标报价中，由中标人与相关第三方协商，采购人和使用单位不再为此支付任何费用。</w:t>
      </w:r>
    </w:p>
    <w:p w14:paraId="4A63F7C6">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rPr>
        <w:t>5.3 履约验收方式</w:t>
      </w:r>
    </w:p>
    <w:p w14:paraId="71FD135A">
      <w:pPr>
        <w:spacing w:line="360" w:lineRule="auto"/>
        <w:ind w:firstLine="480" w:firstLineChars="200"/>
        <w:jc w:val="left"/>
        <w:rPr>
          <w:rFonts w:eastAsia="仿宋"/>
          <w:color w:val="auto"/>
          <w:sz w:val="24"/>
          <w:highlight w:val="none"/>
        </w:rPr>
      </w:pPr>
      <w:r>
        <w:rPr>
          <w:rFonts w:hint="eastAsia" w:eastAsia="仿宋"/>
          <w:color w:val="auto"/>
          <w:sz w:val="24"/>
          <w:highlight w:val="none"/>
        </w:rPr>
        <w:t>5.3.1</w:t>
      </w:r>
      <w:r>
        <w:rPr>
          <w:rFonts w:eastAsia="仿宋"/>
          <w:color w:val="auto"/>
          <w:sz w:val="24"/>
          <w:highlight w:val="none"/>
        </w:rPr>
        <w:t>履约验收主体：设备使用</w:t>
      </w:r>
      <w:r>
        <w:rPr>
          <w:rFonts w:hint="eastAsia" w:eastAsia="仿宋"/>
          <w:color w:val="auto"/>
          <w:sz w:val="24"/>
          <w:highlight w:val="none"/>
        </w:rPr>
        <w:t>单位</w:t>
      </w:r>
      <w:r>
        <w:rPr>
          <w:rFonts w:eastAsia="仿宋"/>
          <w:color w:val="auto"/>
          <w:sz w:val="24"/>
          <w:highlight w:val="none"/>
        </w:rPr>
        <w:t>、中标人。同时使用</w:t>
      </w:r>
      <w:r>
        <w:rPr>
          <w:rFonts w:hint="eastAsia" w:eastAsia="仿宋"/>
          <w:color w:val="auto"/>
          <w:sz w:val="24"/>
          <w:highlight w:val="none"/>
        </w:rPr>
        <w:t>单位</w:t>
      </w:r>
      <w:r>
        <w:rPr>
          <w:rFonts w:eastAsia="仿宋"/>
          <w:color w:val="auto"/>
          <w:sz w:val="24"/>
          <w:highlight w:val="none"/>
        </w:rPr>
        <w:t>可以视情况邀请参加本项目的其他投标人或者第三方专业机构及专家参与验收，相关验收意见作为验收的参考资料。</w:t>
      </w:r>
    </w:p>
    <w:p w14:paraId="5339F868">
      <w:pPr>
        <w:spacing w:line="360" w:lineRule="auto"/>
        <w:ind w:firstLine="480" w:firstLineChars="200"/>
        <w:jc w:val="left"/>
        <w:rPr>
          <w:rFonts w:eastAsia="仿宋"/>
          <w:color w:val="auto"/>
          <w:sz w:val="24"/>
          <w:highlight w:val="none"/>
        </w:rPr>
      </w:pPr>
      <w:r>
        <w:rPr>
          <w:rFonts w:hint="eastAsia" w:eastAsia="仿宋"/>
          <w:color w:val="auto"/>
          <w:sz w:val="24"/>
          <w:highlight w:val="none"/>
        </w:rPr>
        <w:t>5.3.2</w:t>
      </w:r>
      <w:r>
        <w:rPr>
          <w:rFonts w:eastAsia="仿宋"/>
          <w:color w:val="auto"/>
          <w:sz w:val="24"/>
          <w:highlight w:val="none"/>
        </w:rPr>
        <w:t>履约验收时间及程序：</w:t>
      </w:r>
    </w:p>
    <w:p w14:paraId="06A5E817">
      <w:pPr>
        <w:spacing w:line="360" w:lineRule="auto"/>
        <w:ind w:firstLine="480" w:firstLineChars="200"/>
        <w:jc w:val="left"/>
        <w:rPr>
          <w:rFonts w:eastAsia="仿宋"/>
          <w:color w:val="auto"/>
          <w:sz w:val="24"/>
          <w:highlight w:val="none"/>
        </w:rPr>
      </w:pPr>
      <w:r>
        <w:rPr>
          <w:rFonts w:eastAsia="仿宋"/>
          <w:color w:val="auto"/>
          <w:sz w:val="24"/>
          <w:highlight w:val="none"/>
        </w:rPr>
        <w:t>（1）到货检验：货物运抵使用</w:t>
      </w:r>
      <w:r>
        <w:rPr>
          <w:rFonts w:hint="eastAsia" w:eastAsia="仿宋"/>
          <w:color w:val="auto"/>
          <w:sz w:val="24"/>
          <w:highlight w:val="none"/>
        </w:rPr>
        <w:t>单位所在地点或使用单位指定地点</w:t>
      </w:r>
      <w:r>
        <w:rPr>
          <w:rFonts w:eastAsia="仿宋"/>
          <w:color w:val="auto"/>
          <w:sz w:val="24"/>
          <w:highlight w:val="none"/>
        </w:rPr>
        <w:t>后，由使用</w:t>
      </w:r>
      <w:r>
        <w:rPr>
          <w:rFonts w:hint="eastAsia" w:eastAsia="仿宋"/>
          <w:color w:val="auto"/>
          <w:sz w:val="24"/>
          <w:highlight w:val="none"/>
        </w:rPr>
        <w:t>单位</w:t>
      </w:r>
      <w:r>
        <w:rPr>
          <w:rFonts w:eastAsia="仿宋"/>
          <w:color w:val="auto"/>
          <w:sz w:val="24"/>
          <w:highlight w:val="none"/>
        </w:rPr>
        <w:t>及中标人共同开箱对照采购清单进行到货验收。</w:t>
      </w:r>
    </w:p>
    <w:p w14:paraId="2B08246C">
      <w:pPr>
        <w:spacing w:line="360" w:lineRule="auto"/>
        <w:ind w:firstLine="480" w:firstLineChars="200"/>
        <w:jc w:val="left"/>
        <w:rPr>
          <w:rFonts w:eastAsia="仿宋"/>
          <w:color w:val="auto"/>
          <w:sz w:val="24"/>
          <w:highlight w:val="none"/>
        </w:rPr>
      </w:pPr>
      <w:r>
        <w:rPr>
          <w:rFonts w:eastAsia="仿宋"/>
          <w:color w:val="auto"/>
          <w:sz w:val="24"/>
          <w:highlight w:val="none"/>
        </w:rPr>
        <w:t>（2）安装调试检验：中标人将设备安装、调试完成后，由使用</w:t>
      </w:r>
      <w:r>
        <w:rPr>
          <w:rFonts w:hint="eastAsia" w:eastAsia="仿宋"/>
          <w:color w:val="auto"/>
          <w:sz w:val="24"/>
          <w:highlight w:val="none"/>
        </w:rPr>
        <w:t>单位</w:t>
      </w:r>
      <w:r>
        <w:rPr>
          <w:rFonts w:eastAsia="仿宋"/>
          <w:color w:val="auto"/>
          <w:sz w:val="24"/>
          <w:highlight w:val="none"/>
        </w:rPr>
        <w:t>组织验收人员对安装调试情况进行验收。</w:t>
      </w:r>
    </w:p>
    <w:p w14:paraId="4AC66DE8">
      <w:pPr>
        <w:spacing w:line="360" w:lineRule="auto"/>
        <w:ind w:firstLine="480" w:firstLineChars="200"/>
        <w:jc w:val="left"/>
        <w:rPr>
          <w:rFonts w:eastAsia="仿宋"/>
          <w:color w:val="auto"/>
          <w:sz w:val="24"/>
          <w:highlight w:val="none"/>
        </w:rPr>
      </w:pPr>
      <w:r>
        <w:rPr>
          <w:rFonts w:eastAsia="仿宋"/>
          <w:color w:val="auto"/>
          <w:sz w:val="24"/>
          <w:highlight w:val="none"/>
        </w:rPr>
        <w:t>（3）最终验收：由使用</w:t>
      </w:r>
      <w:r>
        <w:rPr>
          <w:rFonts w:hint="eastAsia" w:eastAsia="仿宋"/>
          <w:color w:val="auto"/>
          <w:sz w:val="24"/>
          <w:highlight w:val="none"/>
        </w:rPr>
        <w:t>单位</w:t>
      </w:r>
      <w:r>
        <w:rPr>
          <w:rFonts w:eastAsia="仿宋"/>
          <w:color w:val="auto"/>
          <w:sz w:val="24"/>
          <w:highlight w:val="none"/>
        </w:rPr>
        <w:t>组织验收人员进行最终验收。</w:t>
      </w:r>
    </w:p>
    <w:p w14:paraId="723C40FA">
      <w:pPr>
        <w:spacing w:line="360" w:lineRule="auto"/>
        <w:ind w:firstLine="480" w:firstLineChars="200"/>
        <w:jc w:val="left"/>
        <w:rPr>
          <w:rFonts w:eastAsia="仿宋"/>
          <w:color w:val="auto"/>
          <w:sz w:val="24"/>
          <w:highlight w:val="none"/>
        </w:rPr>
      </w:pPr>
      <w:r>
        <w:rPr>
          <w:rFonts w:hint="eastAsia" w:eastAsia="仿宋"/>
          <w:color w:val="auto"/>
          <w:sz w:val="24"/>
          <w:highlight w:val="none"/>
        </w:rPr>
        <w:t>5.3.3</w:t>
      </w:r>
      <w:r>
        <w:rPr>
          <w:rFonts w:eastAsia="仿宋"/>
          <w:color w:val="auto"/>
          <w:sz w:val="24"/>
          <w:highlight w:val="none"/>
        </w:rPr>
        <w:t>履约验收内容</w:t>
      </w:r>
    </w:p>
    <w:p w14:paraId="64A8EB5F">
      <w:pPr>
        <w:spacing w:line="360" w:lineRule="auto"/>
        <w:ind w:firstLine="480" w:firstLineChars="200"/>
        <w:jc w:val="left"/>
        <w:rPr>
          <w:rFonts w:eastAsia="仿宋"/>
          <w:color w:val="auto"/>
          <w:sz w:val="24"/>
          <w:highlight w:val="none"/>
        </w:rPr>
      </w:pPr>
      <w:r>
        <w:rPr>
          <w:rFonts w:eastAsia="仿宋"/>
          <w:color w:val="auto"/>
          <w:sz w:val="24"/>
          <w:highlight w:val="none"/>
        </w:rPr>
        <w:t>验收内容包括招标文件中的每一项技术和商务要求的履约情况。</w:t>
      </w:r>
    </w:p>
    <w:p w14:paraId="12D80622">
      <w:pPr>
        <w:spacing w:line="360" w:lineRule="auto"/>
        <w:ind w:firstLine="480" w:firstLineChars="200"/>
        <w:jc w:val="left"/>
        <w:rPr>
          <w:rFonts w:eastAsia="仿宋"/>
          <w:color w:val="auto"/>
          <w:sz w:val="24"/>
          <w:highlight w:val="none"/>
        </w:rPr>
      </w:pPr>
      <w:r>
        <w:rPr>
          <w:rFonts w:hint="eastAsia" w:eastAsia="仿宋"/>
          <w:color w:val="auto"/>
          <w:sz w:val="24"/>
          <w:highlight w:val="none"/>
        </w:rPr>
        <w:t>5.3.4</w:t>
      </w:r>
      <w:r>
        <w:rPr>
          <w:rFonts w:eastAsia="仿宋"/>
          <w:color w:val="auto"/>
          <w:sz w:val="24"/>
          <w:highlight w:val="none"/>
        </w:rPr>
        <w:t>履约验收验收标准</w:t>
      </w:r>
    </w:p>
    <w:p w14:paraId="445C0256">
      <w:pPr>
        <w:spacing w:line="360" w:lineRule="auto"/>
        <w:ind w:firstLine="480" w:firstLineChars="200"/>
        <w:jc w:val="left"/>
        <w:rPr>
          <w:rFonts w:hint="eastAsia" w:eastAsia="仿宋"/>
          <w:color w:val="auto"/>
          <w:sz w:val="24"/>
          <w:highlight w:val="none"/>
        </w:rPr>
      </w:pPr>
      <w:r>
        <w:rPr>
          <w:rFonts w:eastAsia="仿宋"/>
          <w:color w:val="auto"/>
          <w:sz w:val="24"/>
          <w:highlight w:val="none"/>
        </w:rPr>
        <w:t>招标文件、中标人的投标文件、合同及国家有关的质量标准规定，均为验收标准及依据</w:t>
      </w:r>
      <w:r>
        <w:rPr>
          <w:rFonts w:hint="eastAsia" w:eastAsia="仿宋"/>
          <w:color w:val="auto"/>
          <w:sz w:val="24"/>
          <w:highlight w:val="none"/>
        </w:rPr>
        <w:t>。</w:t>
      </w:r>
    </w:p>
    <w:p w14:paraId="53EDADE3">
      <w:pPr>
        <w:spacing w:line="360" w:lineRule="auto"/>
        <w:ind w:firstLine="480" w:firstLineChars="200"/>
        <w:jc w:val="left"/>
        <w:rPr>
          <w:rFonts w:eastAsia="仿宋"/>
          <w:color w:val="auto"/>
          <w:sz w:val="24"/>
          <w:highlight w:val="none"/>
        </w:rPr>
      </w:pPr>
      <w:r>
        <w:rPr>
          <w:rFonts w:hint="eastAsia" w:eastAsia="仿宋"/>
          <w:color w:val="auto"/>
          <w:sz w:val="24"/>
          <w:highlight w:val="none"/>
        </w:rPr>
        <w:t xml:space="preserve">5.4 </w:t>
      </w:r>
      <w:r>
        <w:rPr>
          <w:rFonts w:eastAsia="仿宋"/>
          <w:color w:val="auto"/>
          <w:sz w:val="24"/>
          <w:highlight w:val="none"/>
        </w:rPr>
        <w:t>投标人需按招标文件要求，对要求单独报价的配件</w:t>
      </w:r>
      <w:r>
        <w:rPr>
          <w:rFonts w:hint="eastAsia" w:eastAsia="仿宋"/>
          <w:color w:val="auto"/>
          <w:sz w:val="24"/>
          <w:highlight w:val="none"/>
        </w:rPr>
        <w:t>（或附件）</w:t>
      </w:r>
      <w:r>
        <w:rPr>
          <w:rFonts w:eastAsia="仿宋"/>
          <w:color w:val="auto"/>
          <w:sz w:val="24"/>
          <w:highlight w:val="none"/>
        </w:rPr>
        <w:t>进行单独报价，计入投标</w:t>
      </w:r>
      <w:r>
        <w:rPr>
          <w:rFonts w:hint="eastAsia" w:eastAsia="仿宋"/>
          <w:color w:val="auto"/>
          <w:sz w:val="24"/>
          <w:highlight w:val="none"/>
        </w:rPr>
        <w:t>报</w:t>
      </w:r>
      <w:r>
        <w:rPr>
          <w:rFonts w:eastAsia="仿宋"/>
          <w:color w:val="auto"/>
          <w:sz w:val="24"/>
          <w:highlight w:val="none"/>
        </w:rPr>
        <w:t>价或不计入投标</w:t>
      </w:r>
      <w:r>
        <w:rPr>
          <w:rFonts w:hint="eastAsia" w:eastAsia="仿宋"/>
          <w:color w:val="auto"/>
          <w:sz w:val="24"/>
          <w:highlight w:val="none"/>
        </w:rPr>
        <w:t>报</w:t>
      </w:r>
      <w:r>
        <w:rPr>
          <w:rFonts w:eastAsia="仿宋"/>
          <w:color w:val="auto"/>
          <w:sz w:val="24"/>
          <w:highlight w:val="none"/>
        </w:rPr>
        <w:t>价（详见第六章投标文件格式表3-2《单独报价配件</w:t>
      </w:r>
      <w:r>
        <w:rPr>
          <w:rFonts w:hint="eastAsia" w:eastAsia="仿宋"/>
          <w:color w:val="auto"/>
          <w:sz w:val="24"/>
          <w:highlight w:val="none"/>
        </w:rPr>
        <w:t>（或附件）</w:t>
      </w:r>
      <w:r>
        <w:rPr>
          <w:rFonts w:eastAsia="仿宋"/>
          <w:color w:val="auto"/>
          <w:sz w:val="24"/>
          <w:highlight w:val="none"/>
        </w:rPr>
        <w:t>一览表》）。</w:t>
      </w:r>
    </w:p>
    <w:p w14:paraId="5E55D66C">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rPr>
        <w:t>在签订分合同时，各使用单位可根据临床适用需求决定选择性采购招标文件中列明须单独报价的配件（或附件），实际合同价格为相应标准配置设备中标价格与未选择采购配件（或附件）价格的相应价格之差</w:t>
      </w:r>
      <w:r>
        <w:rPr>
          <w:rFonts w:hint="eastAsia" w:eastAsia="仿宋"/>
          <w:color w:val="auto"/>
          <w:sz w:val="24"/>
          <w:highlight w:val="none"/>
          <w:lang w:eastAsia="zh-CN"/>
        </w:rPr>
        <w:t>。</w:t>
      </w:r>
      <w:r>
        <w:rPr>
          <w:rFonts w:hint="eastAsia" w:eastAsia="仿宋"/>
          <w:color w:val="auto"/>
          <w:sz w:val="24"/>
          <w:highlight w:val="none"/>
        </w:rPr>
        <w:t>选择采购内容的执行价格不得高于投标文件中承诺的价格。投标人不得以货物的实际供货数量有变化为理由要求对各种货物的单价进行变更或拒签合同。</w:t>
      </w:r>
    </w:p>
    <w:p w14:paraId="2F5FCDD2">
      <w:pPr>
        <w:spacing w:line="360" w:lineRule="auto"/>
        <w:ind w:firstLine="480" w:firstLineChars="200"/>
        <w:jc w:val="left"/>
        <w:rPr>
          <w:rFonts w:hint="default" w:eastAsia="仿宋"/>
          <w:color w:val="auto"/>
          <w:sz w:val="24"/>
          <w:highlight w:val="none"/>
          <w:lang w:val="en-US" w:eastAsia="zh-CN"/>
        </w:rPr>
      </w:pPr>
      <w:r>
        <w:rPr>
          <w:rFonts w:hint="eastAsia" w:eastAsia="仿宋"/>
          <w:color w:val="auto"/>
          <w:sz w:val="24"/>
          <w:highlight w:val="none"/>
        </w:rPr>
        <w:t>5.5</w:t>
      </w:r>
      <w:r>
        <w:rPr>
          <w:rFonts w:hint="eastAsia" w:eastAsia="仿宋"/>
          <w:color w:val="auto"/>
          <w:sz w:val="24"/>
          <w:highlight w:val="none"/>
          <w:lang w:val="en-US" w:eastAsia="zh-CN"/>
        </w:rPr>
        <w:t>应急服务要求：中标人</w:t>
      </w:r>
      <w:r>
        <w:rPr>
          <w:rFonts w:hint="eastAsia" w:eastAsia="仿宋"/>
          <w:color w:val="auto"/>
          <w:sz w:val="24"/>
          <w:highlight w:val="none"/>
        </w:rPr>
        <w:t>应在中国境内方便的地点设置备件库，存入必须的备件，保证10年</w:t>
      </w:r>
      <w:r>
        <w:rPr>
          <w:rFonts w:hint="eastAsia" w:eastAsia="仿宋"/>
          <w:color w:val="auto"/>
          <w:sz w:val="24"/>
          <w:highlight w:val="none"/>
          <w:lang w:val="en-US" w:eastAsia="zh-CN"/>
        </w:rPr>
        <w:t>以上</w:t>
      </w:r>
      <w:r>
        <w:rPr>
          <w:rFonts w:hint="eastAsia" w:eastAsia="仿宋"/>
          <w:color w:val="auto"/>
          <w:sz w:val="24"/>
          <w:highlight w:val="none"/>
        </w:rPr>
        <w:t>零部件供应期</w:t>
      </w:r>
      <w:r>
        <w:rPr>
          <w:rFonts w:hint="eastAsia" w:eastAsia="仿宋"/>
          <w:color w:val="auto"/>
          <w:sz w:val="24"/>
          <w:highlight w:val="none"/>
          <w:lang w:eastAsia="zh-CN"/>
        </w:rPr>
        <w:t>，</w:t>
      </w:r>
      <w:r>
        <w:rPr>
          <w:rFonts w:hint="eastAsia" w:eastAsia="仿宋"/>
          <w:color w:val="auto"/>
          <w:sz w:val="24"/>
          <w:highlight w:val="none"/>
          <w:lang w:val="en-US" w:eastAsia="zh-CN"/>
        </w:rPr>
        <w:t>中标人应对设备故障等突发状况及时响应。</w:t>
      </w:r>
      <w:r>
        <w:rPr>
          <w:rFonts w:hint="eastAsia" w:ascii="Times New Roman" w:hAnsi="Times New Roman" w:eastAsia="仿宋" w:cs="Times New Roman"/>
          <w:color w:val="auto"/>
          <w:sz w:val="24"/>
          <w:highlight w:val="none"/>
        </w:rPr>
        <w:t>若24小时内未修复设备故障，提供备用设备</w:t>
      </w:r>
      <w:r>
        <w:rPr>
          <w:rFonts w:hint="eastAsia" w:ascii="Times New Roman" w:hAnsi="Times New Roman" w:eastAsia="仿宋" w:cs="Times New Roman"/>
          <w:color w:val="auto"/>
          <w:sz w:val="24"/>
          <w:highlight w:val="none"/>
          <w:lang w:val="en-US" w:eastAsia="zh-CN"/>
        </w:rPr>
        <w:t>供院方使用。</w:t>
      </w:r>
    </w:p>
    <w:p w14:paraId="05DEDCE1">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val="en-US" w:eastAsia="zh-CN"/>
        </w:rPr>
        <w:t xml:space="preserve">5.6 </w:t>
      </w:r>
      <w:r>
        <w:rPr>
          <w:rFonts w:hint="eastAsia" w:eastAsia="仿宋"/>
          <w:color w:val="auto"/>
          <w:sz w:val="24"/>
          <w:highlight w:val="none"/>
        </w:rPr>
        <w:t>安装调试、验收试验及质量保证</w:t>
      </w:r>
    </w:p>
    <w:p w14:paraId="4FC49302">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.6.1</w:t>
      </w:r>
      <w:r>
        <w:rPr>
          <w:rFonts w:hint="eastAsia" w:eastAsia="仿宋"/>
          <w:color w:val="auto"/>
          <w:sz w:val="24"/>
          <w:highlight w:val="none"/>
        </w:rPr>
        <w:t>中标人在设备安装地点负责安装、调试。</w:t>
      </w:r>
    </w:p>
    <w:p w14:paraId="1FC01F45">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.6.2</w:t>
      </w:r>
      <w:r>
        <w:rPr>
          <w:rFonts w:hint="eastAsia" w:eastAsia="仿宋"/>
          <w:color w:val="auto"/>
          <w:sz w:val="24"/>
          <w:highlight w:val="none"/>
        </w:rPr>
        <w:t>具体设备验收标准和程序按采购人要求执行，下列验收程序可参照执行：</w:t>
      </w:r>
    </w:p>
    <w:p w14:paraId="0B0315D6">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1）</w:t>
      </w:r>
      <w:r>
        <w:rPr>
          <w:rFonts w:hint="eastAsia" w:eastAsia="仿宋"/>
          <w:color w:val="auto"/>
          <w:sz w:val="24"/>
          <w:highlight w:val="none"/>
        </w:rPr>
        <w:t>采购人和相关部门按照招标文件和投标文件承诺进行验收。招标文件没有规定和投标文件没有相应承诺的，按照下列原则进行验收：有国家标准的按照国家标准验收，没有国家标准的按行业标准验收，无行业标准的按地方或企业标准验收，中标人予以配合。涉及需要由质检或行业主管部门验收的项目，采购人须约请相关部门和专家参加项目验收。所有需要质检部门进行检测才能使用的设备，投标报价中必须包含首次检测费用。</w:t>
      </w:r>
    </w:p>
    <w:p w14:paraId="3F118405">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2）</w:t>
      </w:r>
      <w:r>
        <w:rPr>
          <w:rFonts w:hint="eastAsia" w:eastAsia="仿宋"/>
          <w:color w:val="auto"/>
          <w:sz w:val="24"/>
          <w:highlight w:val="none"/>
        </w:rPr>
        <w:t>货物在验收时，中标人应提供发票、制造厂家出具的产品合格证书、装箱清单等,涉及进口的部件须提供中国海关进口货物报关单、完税证明及商检证明等材料；提供有关货物的保养修理所需的各种随机工具及全部有关技术文件（外文应提供中文翻译资料，下同）、操作使用说明书、质保书、保修证明、维护手册及技术性指导资料以及根据中国相关法律规定制造、销售报价货物（包括主要部件和材料）所必备的各种证书 (如产品质量检验报告、国家相关检测机构出具的检验报告等）等文件汇集成册交付采购人和应由中标人提供的必要文件。</w:t>
      </w:r>
    </w:p>
    <w:p w14:paraId="7ACED93F">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3）</w:t>
      </w:r>
      <w:r>
        <w:rPr>
          <w:rFonts w:hint="eastAsia" w:eastAsia="仿宋"/>
          <w:color w:val="auto"/>
          <w:sz w:val="24"/>
          <w:highlight w:val="none"/>
        </w:rPr>
        <w:t>中标人应根据采购人使用单位的技术要求提供相应的产品。由中标人所提供的设备部件间的连线和插接件均应视为设备内部器件，包含在相应的设备之中。</w:t>
      </w:r>
    </w:p>
    <w:p w14:paraId="16296500">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4）</w:t>
      </w:r>
      <w:r>
        <w:rPr>
          <w:rFonts w:hint="eastAsia" w:eastAsia="仿宋"/>
          <w:color w:val="auto"/>
          <w:sz w:val="24"/>
          <w:highlight w:val="none"/>
        </w:rPr>
        <w:t>运行测试及最终验收。在系统安装、调试结束后，采购人对其进行全面的测试，对测试中暴露出来的问题，中标人应及时进行整改，系统最终测试完毕经验收合格后，采购人应向中标人签发最终验收证明。</w:t>
      </w:r>
    </w:p>
    <w:p w14:paraId="4B05D932">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5）</w:t>
      </w:r>
      <w:r>
        <w:rPr>
          <w:rFonts w:hint="eastAsia" w:eastAsia="仿宋"/>
          <w:color w:val="auto"/>
          <w:sz w:val="24"/>
          <w:highlight w:val="none"/>
        </w:rPr>
        <w:t>中标人应向采购人提供安装调试过程中的各种文档资料,以便采购人今后能掌握操作和维护方法。依据合同与合同有关条件、本招标文件的技术规范、系统配置要求、设备技术文件和系统说明书，以及国家和省部级等要求进行验收。</w:t>
      </w:r>
    </w:p>
    <w:p w14:paraId="01A1BF7B">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.6.3</w:t>
      </w:r>
      <w:r>
        <w:rPr>
          <w:rFonts w:hint="eastAsia" w:eastAsia="仿宋"/>
          <w:color w:val="auto"/>
          <w:sz w:val="24"/>
          <w:highlight w:val="none"/>
        </w:rPr>
        <w:t>如设备在验收时有一个或多个指标未能达到要求而属于中标人责任时，则中标人自费采取有效措施，在规定时间内使之达到保证指标。如在规定的时间内仍达不到合格标准时，则中标人应向采购人赔偿。</w:t>
      </w:r>
    </w:p>
    <w:p w14:paraId="586685D5">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 xml:space="preserve">.7 </w:t>
      </w:r>
      <w:r>
        <w:rPr>
          <w:rFonts w:hint="eastAsia" w:eastAsia="仿宋"/>
          <w:color w:val="auto"/>
          <w:sz w:val="24"/>
          <w:highlight w:val="none"/>
        </w:rPr>
        <w:t>包装运输</w:t>
      </w:r>
    </w:p>
    <w:p w14:paraId="61425052">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1）</w:t>
      </w:r>
      <w:r>
        <w:rPr>
          <w:rFonts w:hint="eastAsia" w:eastAsia="仿宋"/>
          <w:color w:val="auto"/>
          <w:sz w:val="24"/>
          <w:highlight w:val="none"/>
        </w:rPr>
        <w:t>中标人负责设备包装、办理运输和保险，将设备安全运抵交货地点。</w:t>
      </w:r>
    </w:p>
    <w:p w14:paraId="0AF3740E">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2）</w:t>
      </w:r>
      <w:r>
        <w:rPr>
          <w:rFonts w:hint="eastAsia" w:eastAsia="仿宋"/>
          <w:color w:val="auto"/>
          <w:sz w:val="24"/>
          <w:highlight w:val="none"/>
        </w:rPr>
        <w:t>设备制造完成并通过试验后应及时包装，否则应得到切实的保护，确保其不受污损。</w:t>
      </w:r>
    </w:p>
    <w:p w14:paraId="56275B7B">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3）</w:t>
      </w:r>
      <w:r>
        <w:rPr>
          <w:rFonts w:hint="eastAsia" w:eastAsia="仿宋"/>
          <w:color w:val="auto"/>
          <w:sz w:val="24"/>
          <w:highlight w:val="none"/>
        </w:rPr>
        <w:t>在包装箱外应标明采购人的订货号、发货号。</w:t>
      </w:r>
    </w:p>
    <w:p w14:paraId="06624817">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4）</w:t>
      </w:r>
      <w:r>
        <w:rPr>
          <w:rFonts w:hint="eastAsia" w:eastAsia="仿宋"/>
          <w:color w:val="auto"/>
          <w:sz w:val="24"/>
          <w:highlight w:val="none"/>
        </w:rPr>
        <w:t>各种包装应能确保各零部件在运输过程中不致遭到损坏、丢失、变形、受潮和腐蚀。</w:t>
      </w:r>
    </w:p>
    <w:p w14:paraId="1F6033D0">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5）</w:t>
      </w:r>
      <w:r>
        <w:rPr>
          <w:rFonts w:hint="eastAsia" w:eastAsia="仿宋"/>
          <w:color w:val="auto"/>
          <w:sz w:val="24"/>
          <w:highlight w:val="none"/>
        </w:rPr>
        <w:t>包装箱上应有明显的包装储运图示标志。</w:t>
      </w:r>
    </w:p>
    <w:p w14:paraId="4637653F">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6）</w:t>
      </w:r>
      <w:r>
        <w:rPr>
          <w:rFonts w:hint="eastAsia" w:eastAsia="仿宋"/>
          <w:color w:val="auto"/>
          <w:sz w:val="24"/>
          <w:highlight w:val="none"/>
        </w:rPr>
        <w:t>整体产品或分别运输的部件都要适应运输和装载的要求。</w:t>
      </w:r>
    </w:p>
    <w:p w14:paraId="02F59C59">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7）</w:t>
      </w:r>
      <w:r>
        <w:rPr>
          <w:rFonts w:hint="eastAsia" w:eastAsia="仿宋"/>
          <w:color w:val="auto"/>
          <w:sz w:val="24"/>
          <w:highlight w:val="none"/>
        </w:rPr>
        <w:t>随产品提供的技术资料应完整无缺。</w:t>
      </w:r>
    </w:p>
    <w:p w14:paraId="55F2C82F">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val="en-US" w:eastAsia="zh-CN"/>
        </w:rPr>
        <w:t>5.8 投标人所投产品应为性能稳定、安全的成熟设备，故障率低、维修便利，并在投标文件中针对所投产品技术先进性、设备性能、配置情况、设计等方面进行阐述说明，提供相应证明材料。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860984"/>
    <w:multiLevelType w:val="singleLevel"/>
    <w:tmpl w:val="4C86098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832942"/>
    <w:rsid w:val="1C3B7FDD"/>
    <w:rsid w:val="2FA07530"/>
    <w:rsid w:val="678329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after="330" w:afterLines="0" w:line="578" w:lineRule="auto"/>
      <w:outlineLvl w:val="0"/>
    </w:pPr>
    <w:rPr>
      <w:b/>
      <w:bCs/>
      <w:kern w:val="44"/>
      <w:sz w:val="44"/>
      <w:szCs w:val="44"/>
    </w:rPr>
  </w:style>
  <w:style w:type="paragraph" w:styleId="3">
    <w:name w:val="heading 2"/>
    <w:basedOn w:val="1"/>
    <w:next w:val="1"/>
    <w:qFormat/>
    <w:uiPriority w:val="9"/>
    <w:pPr>
      <w:keepNext/>
      <w:keepLines/>
      <w:spacing w:before="260" w:beforeLines="0" w:after="260" w:afterLines="0" w:line="416" w:lineRule="auto"/>
      <w:outlineLvl w:val="1"/>
    </w:pPr>
    <w:rPr>
      <w:rFonts w:ascii="Cambria" w:hAnsi="Cambria"/>
      <w:b/>
      <w:bCs/>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szCs w:val="21"/>
    </w:rPr>
  </w:style>
  <w:style w:type="character" w:customStyle="1" w:styleId="7">
    <w:name w:val="标题 2 Char Char"/>
    <w:qFormat/>
    <w:uiPriority w:val="0"/>
    <w:rPr>
      <w:rFonts w:ascii="Arial" w:hAnsi="Arial" w:eastAsia="黑体" w:cs="Times New Roman"/>
      <w:b/>
      <w:bCs/>
      <w:kern w:val="2"/>
      <w:sz w:val="32"/>
      <w:szCs w:val="32"/>
      <w:lang w:val="en-US" w:eastAsia="zh-CN" w:bidi="ar-SA"/>
    </w:rPr>
  </w:style>
  <w:style w:type="paragraph" w:customStyle="1" w:styleId="8">
    <w:name w:val="列出段落1"/>
    <w:basedOn w:val="1"/>
    <w:qFormat/>
    <w:uiPriority w:val="0"/>
    <w:pPr>
      <w:ind w:firstLine="420" w:firstLineChars="200"/>
    </w:pPr>
  </w:style>
  <w:style w:type="character" w:customStyle="1" w:styleId="9">
    <w:name w:val="font01"/>
    <w:basedOn w:val="6"/>
    <w:qFormat/>
    <w:uiPriority w:val="0"/>
    <w:rPr>
      <w:rFonts w:hint="eastAsia" w:ascii="宋体" w:hAnsi="宋体" w:eastAsia="宋体" w:cs="宋体"/>
      <w:color w:val="000000"/>
      <w:sz w:val="22"/>
      <w:szCs w:val="22"/>
      <w:u w:val="none"/>
    </w:rPr>
  </w:style>
  <w:style w:type="character" w:customStyle="1" w:styleId="10">
    <w:name w:val="font21"/>
    <w:basedOn w:val="6"/>
    <w:qFormat/>
    <w:uiPriority w:val="0"/>
    <w:rPr>
      <w:rFonts w:hint="eastAsia" w:ascii="宋体" w:hAnsi="宋体" w:eastAsia="宋体" w:cs="宋体"/>
      <w:color w:val="000000"/>
      <w:sz w:val="24"/>
      <w:szCs w:val="24"/>
      <w:u w:val="none"/>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2025-08-12T08:25:00Z</dcterms:created>
  <dc:creator>政采四部</dc:creator>
  <cp:lastModifiedBy>政采四部</cp:lastModifiedBy>
  <dcterms:modified xsi:type="dcterms:W3CDTF">2025-08-12T08:33:28Z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951C4FC3FD964E64A5CFEB49E6DC90E2_13</vt:lpwstr>
  </property>
  <property fmtid="{D5CDD505-2E9C-101B-9397-08002B2CF9AE}" pid="4" name="KSOTemplateDocerSaveRecord">
    <vt:lpwstr>eyJoZGlkIjoiYmM0M2IyMmIxNGQ5NTM1NTI3NmNlYTI3NTQyNDYwNTMiLCJ1c2VySWQiOiI0NTY1MjU3ODkifQ==</vt:lpwstr>
  </property>
</Properties>
</file>