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7A2C5A">
      <w:pPr>
        <w:spacing w:line="360" w:lineRule="auto"/>
        <w:jc w:val="center"/>
        <w:outlineLvl w:val="0"/>
        <w:rPr>
          <w:rFonts w:ascii="宋体" w:hAnsi="宋体" w:eastAsia="宋体"/>
          <w:b/>
          <w:color w:val="auto"/>
          <w:sz w:val="28"/>
        </w:rPr>
      </w:pPr>
      <w:bookmarkStart w:id="0" w:name="_Toc178465409"/>
      <w:r>
        <w:rPr>
          <w:rFonts w:hint="eastAsia" w:ascii="宋体" w:hAnsi="宋体" w:eastAsia="宋体"/>
          <w:b/>
          <w:color w:val="auto"/>
          <w:sz w:val="28"/>
        </w:rPr>
        <w:t>第三章  采购需求</w:t>
      </w:r>
      <w:bookmarkEnd w:id="0"/>
    </w:p>
    <w:p w14:paraId="353003D2">
      <w:pPr>
        <w:adjustRightInd w:val="0"/>
        <w:snapToGrid w:val="0"/>
        <w:spacing w:line="360" w:lineRule="auto"/>
        <w:ind w:firstLine="422"/>
        <w:rPr>
          <w:rFonts w:ascii="宋体" w:hAnsi="宋体" w:eastAsia="宋体"/>
          <w:b/>
          <w:color w:val="auto"/>
          <w:szCs w:val="21"/>
        </w:rPr>
      </w:pPr>
      <w:r>
        <w:rPr>
          <w:rFonts w:hint="eastAsia" w:ascii="宋体" w:hAnsi="宋体" w:eastAsia="宋体"/>
          <w:b/>
          <w:color w:val="auto"/>
          <w:szCs w:val="21"/>
        </w:rPr>
        <w:t>前注：</w:t>
      </w:r>
    </w:p>
    <w:p w14:paraId="00318D6D">
      <w:pPr>
        <w:adjustRightInd w:val="0"/>
        <w:snapToGrid w:val="0"/>
        <w:spacing w:line="360" w:lineRule="auto"/>
        <w:ind w:firstLine="420"/>
        <w:rPr>
          <w:rFonts w:ascii="宋体" w:hAnsi="宋体" w:eastAsia="宋体"/>
          <w:color w:val="auto"/>
          <w:szCs w:val="21"/>
        </w:rPr>
      </w:pPr>
      <w:r>
        <w:rPr>
          <w:rFonts w:hint="eastAsia" w:ascii="宋体" w:hAnsi="宋体" w:eastAsia="宋体"/>
          <w:color w:val="auto"/>
          <w:szCs w:val="21"/>
        </w:rPr>
        <w:t>1.</w:t>
      </w:r>
      <w:r>
        <w:rPr>
          <w:rFonts w:ascii="宋体" w:hAnsi="宋体" w:eastAsia="宋体"/>
          <w:color w:val="auto"/>
          <w:szCs w:val="21"/>
        </w:rPr>
        <w:t>根据《</w:t>
      </w:r>
      <w:r>
        <w:rPr>
          <w:rFonts w:hint="eastAsia" w:ascii="宋体" w:hAnsi="宋体" w:eastAsia="宋体"/>
          <w:color w:val="auto"/>
          <w:szCs w:val="21"/>
        </w:rPr>
        <w:t>政府采购进口产品管理办法</w:t>
      </w:r>
      <w:r>
        <w:rPr>
          <w:rFonts w:ascii="宋体" w:hAnsi="宋体" w:eastAsia="宋体"/>
          <w:color w:val="auto"/>
          <w:szCs w:val="21"/>
        </w:rPr>
        <w:t>》及政府采购管理部门的相关规定，下列采购需求中</w:t>
      </w:r>
      <w:r>
        <w:rPr>
          <w:rFonts w:hint="eastAsia" w:ascii="宋体" w:hAnsi="宋体" w:eastAsia="宋体"/>
          <w:color w:val="auto"/>
          <w:szCs w:val="21"/>
        </w:rPr>
        <w:t>标注进口产品的货物均</w:t>
      </w:r>
      <w:r>
        <w:rPr>
          <w:rFonts w:ascii="宋体" w:hAnsi="宋体" w:eastAsia="宋体"/>
          <w:color w:val="auto"/>
          <w:szCs w:val="21"/>
        </w:rPr>
        <w:t>已履行相关论证手续，经核准采购进口</w:t>
      </w:r>
      <w:r>
        <w:rPr>
          <w:rFonts w:hint="eastAsia" w:ascii="宋体" w:hAnsi="宋体" w:eastAsia="宋体"/>
          <w:color w:val="auto"/>
          <w:szCs w:val="21"/>
        </w:rPr>
        <w:t>产品</w:t>
      </w:r>
      <w:r>
        <w:rPr>
          <w:rFonts w:ascii="宋体" w:hAnsi="宋体" w:eastAsia="宋体"/>
          <w:color w:val="auto"/>
          <w:szCs w:val="21"/>
        </w:rPr>
        <w:t>，但不限制满足招标文件要求的国内产品参与竞争</w:t>
      </w:r>
      <w:r>
        <w:rPr>
          <w:rFonts w:hint="eastAsia" w:ascii="宋体" w:hAnsi="宋体" w:eastAsia="宋体"/>
          <w:color w:val="auto"/>
          <w:szCs w:val="21"/>
        </w:rPr>
        <w:t>。未标注进口产品的货物均</w:t>
      </w:r>
      <w:r>
        <w:rPr>
          <w:rFonts w:ascii="宋体" w:hAnsi="宋体" w:eastAsia="宋体"/>
          <w:color w:val="auto"/>
          <w:szCs w:val="21"/>
        </w:rPr>
        <w:t>为拒绝采购进口产品</w:t>
      </w:r>
      <w:r>
        <w:rPr>
          <w:rFonts w:hint="eastAsia" w:ascii="宋体" w:hAnsi="宋体" w:eastAsia="宋体"/>
          <w:color w:val="auto"/>
          <w:szCs w:val="21"/>
        </w:rPr>
        <w:t>。</w:t>
      </w:r>
    </w:p>
    <w:p w14:paraId="35E8D8EE">
      <w:pPr>
        <w:adjustRightInd w:val="0"/>
        <w:snapToGrid w:val="0"/>
        <w:spacing w:line="360" w:lineRule="auto"/>
        <w:ind w:firstLine="420"/>
        <w:rPr>
          <w:rFonts w:ascii="宋体" w:hAnsi="宋体" w:eastAsia="宋体"/>
          <w:color w:val="auto"/>
          <w:szCs w:val="21"/>
        </w:rPr>
      </w:pPr>
      <w:r>
        <w:rPr>
          <w:rFonts w:hint="eastAsia" w:ascii="宋体" w:hAnsi="宋体" w:eastAsia="宋体"/>
          <w:color w:val="auto"/>
          <w:szCs w:val="21"/>
        </w:rPr>
        <w:t>2.</w:t>
      </w:r>
      <w:r>
        <w:rPr>
          <w:rFonts w:ascii="宋体" w:hAnsi="宋体" w:eastAsia="宋体" w:cs="宋体"/>
          <w:color w:val="auto"/>
          <w:szCs w:val="21"/>
        </w:rPr>
        <w:t>政府采购政策（包括但不限于下列具体政策要求</w:t>
      </w:r>
      <w:r>
        <w:rPr>
          <w:rFonts w:hint="eastAsia" w:ascii="宋体" w:hAnsi="宋体" w:eastAsia="宋体" w:cs="宋体"/>
          <w:color w:val="auto"/>
          <w:szCs w:val="21"/>
        </w:rPr>
        <w:t>）</w:t>
      </w:r>
      <w:r>
        <w:rPr>
          <w:rFonts w:hint="eastAsia" w:ascii="宋体" w:hAnsi="宋体" w:eastAsia="宋体"/>
          <w:color w:val="auto"/>
          <w:szCs w:val="21"/>
        </w:rPr>
        <w:t>：</w:t>
      </w:r>
    </w:p>
    <w:p w14:paraId="0F98A99D">
      <w:pPr>
        <w:adjustRightInd w:val="0"/>
        <w:snapToGrid w:val="0"/>
        <w:spacing w:line="360" w:lineRule="auto"/>
        <w:ind w:firstLine="420"/>
        <w:rPr>
          <w:rFonts w:ascii="宋体" w:hAnsi="宋体" w:eastAsia="宋体" w:cs="宋体"/>
          <w:color w:val="auto"/>
          <w:szCs w:val="21"/>
        </w:rPr>
      </w:pPr>
      <w:r>
        <w:rPr>
          <w:rFonts w:hint="eastAsia" w:ascii="宋体" w:hAnsi="宋体" w:eastAsia="宋体" w:cs="宋体"/>
          <w:color w:val="auto"/>
          <w:szCs w:val="21"/>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35265436">
      <w:pPr>
        <w:adjustRightInd w:val="0"/>
        <w:snapToGrid w:val="0"/>
        <w:spacing w:line="360" w:lineRule="auto"/>
        <w:ind w:firstLine="420"/>
        <w:rPr>
          <w:rFonts w:ascii="宋体" w:hAnsi="宋体" w:eastAsia="宋体" w:cs="宋体"/>
          <w:color w:val="auto"/>
          <w:szCs w:val="21"/>
        </w:rPr>
      </w:pPr>
      <w:r>
        <w:rPr>
          <w:rFonts w:hint="eastAsia" w:ascii="宋体" w:hAnsi="宋体" w:eastAsia="宋体" w:cs="宋体"/>
          <w:color w:val="auto"/>
          <w:szCs w:val="21"/>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1E51654A">
      <w:pPr>
        <w:adjustRightInd w:val="0"/>
        <w:snapToGrid w:val="0"/>
        <w:spacing w:line="360" w:lineRule="auto"/>
        <w:ind w:firstLine="420"/>
        <w:rPr>
          <w:rFonts w:ascii="宋体" w:hAnsi="宋体" w:eastAsia="宋体" w:cs="宋体"/>
          <w:color w:val="auto"/>
          <w:szCs w:val="21"/>
        </w:rPr>
      </w:pPr>
      <w:r>
        <w:rPr>
          <w:rFonts w:hint="eastAsia" w:ascii="宋体" w:hAnsi="宋体" w:eastAsia="宋体" w:cs="宋体"/>
          <w:color w:val="auto"/>
          <w:szCs w:val="21"/>
        </w:rPr>
        <w:t>3.</w:t>
      </w:r>
      <w:r>
        <w:rPr>
          <w:rFonts w:hint="eastAsia" w:ascii="宋体" w:hAnsi="宋体" w:eastAsia="宋体"/>
          <w:color w:val="auto"/>
          <w:szCs w:val="21"/>
        </w:rPr>
        <w:t>如采购人允许采用分包方式履行合同的，应当明确可以分包履行的相关内容</w:t>
      </w:r>
      <w:r>
        <w:rPr>
          <w:rFonts w:hint="eastAsia" w:ascii="宋体" w:hAnsi="宋体" w:eastAsia="宋体" w:cs="宋体"/>
          <w:color w:val="auto"/>
          <w:szCs w:val="21"/>
        </w:rPr>
        <w:t>。</w:t>
      </w:r>
    </w:p>
    <w:p w14:paraId="010AC021">
      <w:pPr>
        <w:adjustRightInd w:val="0"/>
        <w:snapToGrid w:val="0"/>
        <w:spacing w:line="360" w:lineRule="auto"/>
        <w:ind w:firstLine="420"/>
        <w:rPr>
          <w:color w:val="auto"/>
          <w:szCs w:val="21"/>
        </w:rPr>
      </w:pPr>
      <w:r>
        <w:rPr>
          <w:rFonts w:hint="eastAsia" w:ascii="宋体" w:hAnsi="宋体" w:eastAsia="宋体" w:cs="宋体"/>
          <w:color w:val="auto"/>
          <w:szCs w:val="21"/>
        </w:rPr>
        <w:t>4.下列采购需求中：标注▲的产品（核心产品），投标人在投标文件《主要中标标的承诺函》中填写名称、品牌、规格、型号、数量、单价等信息。</w:t>
      </w:r>
    </w:p>
    <w:p w14:paraId="0F64F660">
      <w:pPr>
        <w:adjustRightInd w:val="0"/>
        <w:snapToGrid w:val="0"/>
        <w:spacing w:line="360" w:lineRule="auto"/>
        <w:ind w:firstLine="482"/>
        <w:outlineLvl w:val="1"/>
        <w:rPr>
          <w:rFonts w:hint="eastAsia" w:ascii="宋体" w:hAnsi="宋体" w:eastAsia="宋体"/>
          <w:b/>
          <w:color w:val="auto"/>
          <w:szCs w:val="21"/>
        </w:rPr>
      </w:pPr>
      <w:bookmarkStart w:id="1" w:name="_Toc178465410"/>
      <w:bookmarkStart w:id="2" w:name="_Toc2554"/>
      <w:bookmarkStart w:id="3" w:name="_Toc32151"/>
    </w:p>
    <w:p w14:paraId="53B67A26">
      <w:pPr>
        <w:adjustRightInd w:val="0"/>
        <w:snapToGrid w:val="0"/>
        <w:spacing w:line="360" w:lineRule="auto"/>
        <w:ind w:firstLine="482"/>
        <w:outlineLvl w:val="1"/>
        <w:rPr>
          <w:rFonts w:ascii="宋体" w:hAnsi="宋体" w:eastAsia="宋体"/>
          <w:b/>
          <w:color w:val="auto"/>
          <w:szCs w:val="21"/>
        </w:rPr>
      </w:pPr>
      <w:r>
        <w:rPr>
          <w:rFonts w:hint="eastAsia" w:ascii="宋体" w:hAnsi="宋体" w:eastAsia="宋体"/>
          <w:b/>
          <w:color w:val="auto"/>
          <w:szCs w:val="21"/>
        </w:rPr>
        <w:t>一、采购需求前附表</w:t>
      </w:r>
      <w:bookmarkEnd w:id="1"/>
      <w:bookmarkEnd w:id="2"/>
      <w:bookmarkEnd w:id="3"/>
    </w:p>
    <w:tbl>
      <w:tblPr>
        <w:tblStyle w:val="8"/>
        <w:tblW w:w="100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1842"/>
        <w:gridCol w:w="7200"/>
      </w:tblGrid>
      <w:tr w14:paraId="63E0C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1F132983">
            <w:pPr>
              <w:pStyle w:val="10"/>
              <w:adjustRightInd w:val="0"/>
              <w:snapToGrid w:val="0"/>
              <w:spacing w:line="300" w:lineRule="auto"/>
              <w:rPr>
                <w:b/>
                <w:color w:val="auto"/>
                <w:sz w:val="21"/>
                <w:szCs w:val="21"/>
              </w:rPr>
            </w:pPr>
            <w:r>
              <w:rPr>
                <w:rFonts w:hint="eastAsia"/>
                <w:b/>
                <w:color w:val="auto"/>
                <w:sz w:val="21"/>
                <w:szCs w:val="21"/>
              </w:rPr>
              <w:t>序号</w:t>
            </w:r>
          </w:p>
        </w:tc>
        <w:tc>
          <w:tcPr>
            <w:tcW w:w="1842" w:type="dxa"/>
            <w:noWrap w:val="0"/>
            <w:vAlign w:val="center"/>
          </w:tcPr>
          <w:p w14:paraId="03247337">
            <w:pPr>
              <w:pStyle w:val="11"/>
              <w:jc w:val="center"/>
              <w:rPr>
                <w:b/>
                <w:color w:val="auto"/>
              </w:rPr>
            </w:pPr>
            <w:r>
              <w:rPr>
                <w:rFonts w:hint="eastAsia"/>
                <w:b/>
                <w:color w:val="auto"/>
              </w:rPr>
              <w:t>条款名称</w:t>
            </w:r>
          </w:p>
        </w:tc>
        <w:tc>
          <w:tcPr>
            <w:tcW w:w="7200" w:type="dxa"/>
            <w:noWrap w:val="0"/>
            <w:vAlign w:val="center"/>
          </w:tcPr>
          <w:p w14:paraId="190430D2">
            <w:pPr>
              <w:pStyle w:val="11"/>
              <w:jc w:val="center"/>
              <w:rPr>
                <w:b/>
                <w:color w:val="auto"/>
              </w:rPr>
            </w:pPr>
            <w:r>
              <w:rPr>
                <w:rFonts w:hint="eastAsia"/>
                <w:b/>
                <w:color w:val="auto"/>
              </w:rPr>
              <w:t>内容、说明与要求</w:t>
            </w:r>
          </w:p>
        </w:tc>
      </w:tr>
      <w:tr w14:paraId="10EB1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5EB25209">
            <w:pPr>
              <w:pStyle w:val="10"/>
              <w:adjustRightInd w:val="0"/>
              <w:snapToGrid w:val="0"/>
              <w:spacing w:line="300" w:lineRule="auto"/>
              <w:rPr>
                <w:color w:val="auto"/>
                <w:sz w:val="21"/>
                <w:szCs w:val="21"/>
              </w:rPr>
            </w:pPr>
            <w:r>
              <w:rPr>
                <w:rFonts w:hint="eastAsia"/>
                <w:color w:val="auto"/>
                <w:sz w:val="21"/>
                <w:szCs w:val="21"/>
              </w:rPr>
              <w:t>1</w:t>
            </w:r>
          </w:p>
        </w:tc>
        <w:tc>
          <w:tcPr>
            <w:tcW w:w="1842" w:type="dxa"/>
            <w:noWrap w:val="0"/>
            <w:vAlign w:val="center"/>
          </w:tcPr>
          <w:p w14:paraId="6EA5B236">
            <w:pPr>
              <w:pStyle w:val="11"/>
              <w:rPr>
                <w:b/>
                <w:color w:val="auto"/>
              </w:rPr>
            </w:pPr>
            <w:r>
              <w:rPr>
                <w:rFonts w:hint="eastAsia"/>
                <w:color w:val="auto"/>
              </w:rPr>
              <w:t>付款方式</w:t>
            </w:r>
          </w:p>
        </w:tc>
        <w:tc>
          <w:tcPr>
            <w:tcW w:w="7200" w:type="dxa"/>
            <w:noWrap w:val="0"/>
            <w:vAlign w:val="center"/>
          </w:tcPr>
          <w:p w14:paraId="575F9415">
            <w:pPr>
              <w:pStyle w:val="11"/>
              <w:rPr>
                <w:rFonts w:hint="eastAsia"/>
                <w:color w:val="auto"/>
              </w:rPr>
            </w:pPr>
            <w:r>
              <w:rPr>
                <w:rFonts w:hint="eastAsia"/>
                <w:color w:val="auto"/>
              </w:rPr>
              <w:t>合同生效后，采购人向中标人支付合同价款的50%；项目经验收合格且相关资料齐备己移交后，一次性付清合同余款。</w:t>
            </w:r>
          </w:p>
          <w:p w14:paraId="76AF58C9">
            <w:pPr>
              <w:pStyle w:val="11"/>
              <w:rPr>
                <w:rFonts w:hint="eastAsia"/>
                <w:color w:val="auto"/>
              </w:rPr>
            </w:pPr>
            <w:r>
              <w:rPr>
                <w:rFonts w:hint="eastAsia"/>
                <w:b/>
                <w:bCs w:val="0"/>
                <w:color w:val="auto"/>
              </w:rPr>
              <w:t>注:采购人每次付款前，中标人须向采购人开具发票。</w:t>
            </w:r>
          </w:p>
        </w:tc>
      </w:tr>
      <w:tr w14:paraId="0CAF4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46008B84">
            <w:pPr>
              <w:pStyle w:val="10"/>
              <w:adjustRightInd w:val="0"/>
              <w:snapToGrid w:val="0"/>
              <w:spacing w:line="300" w:lineRule="auto"/>
              <w:rPr>
                <w:color w:val="auto"/>
                <w:sz w:val="21"/>
                <w:szCs w:val="21"/>
              </w:rPr>
            </w:pPr>
            <w:r>
              <w:rPr>
                <w:rFonts w:hint="eastAsia"/>
                <w:color w:val="auto"/>
                <w:sz w:val="21"/>
                <w:szCs w:val="21"/>
              </w:rPr>
              <w:t>2</w:t>
            </w:r>
          </w:p>
        </w:tc>
        <w:tc>
          <w:tcPr>
            <w:tcW w:w="1842" w:type="dxa"/>
            <w:noWrap w:val="0"/>
            <w:vAlign w:val="center"/>
          </w:tcPr>
          <w:p w14:paraId="23AC4F36">
            <w:pPr>
              <w:pStyle w:val="11"/>
              <w:rPr>
                <w:b/>
                <w:color w:val="auto"/>
              </w:rPr>
            </w:pPr>
            <w:r>
              <w:rPr>
                <w:rFonts w:hint="eastAsia"/>
                <w:color w:val="auto"/>
              </w:rPr>
              <w:t>供货及安装地点</w:t>
            </w:r>
          </w:p>
        </w:tc>
        <w:tc>
          <w:tcPr>
            <w:tcW w:w="7200" w:type="dxa"/>
            <w:noWrap w:val="0"/>
            <w:vAlign w:val="center"/>
          </w:tcPr>
          <w:p w14:paraId="4EC74E21">
            <w:pPr>
              <w:pStyle w:val="11"/>
              <w:rPr>
                <w:color w:val="auto"/>
              </w:rPr>
            </w:pPr>
            <w:r>
              <w:rPr>
                <w:rFonts w:hint="eastAsia"/>
                <w:color w:val="auto"/>
              </w:rPr>
              <w:t>安徽省食品药品检验研究院，具体按采购人要求。</w:t>
            </w:r>
          </w:p>
        </w:tc>
      </w:tr>
      <w:tr w14:paraId="091C5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0F737615">
            <w:pPr>
              <w:pStyle w:val="10"/>
              <w:adjustRightInd w:val="0"/>
              <w:snapToGrid w:val="0"/>
              <w:spacing w:line="300" w:lineRule="auto"/>
              <w:rPr>
                <w:color w:val="auto"/>
                <w:sz w:val="21"/>
                <w:szCs w:val="21"/>
              </w:rPr>
            </w:pPr>
            <w:r>
              <w:rPr>
                <w:rFonts w:hint="eastAsia"/>
                <w:color w:val="auto"/>
                <w:sz w:val="21"/>
                <w:szCs w:val="21"/>
              </w:rPr>
              <w:t>3</w:t>
            </w:r>
          </w:p>
        </w:tc>
        <w:tc>
          <w:tcPr>
            <w:tcW w:w="1842" w:type="dxa"/>
            <w:noWrap w:val="0"/>
            <w:vAlign w:val="center"/>
          </w:tcPr>
          <w:p w14:paraId="10FCFB84">
            <w:pPr>
              <w:pStyle w:val="11"/>
              <w:rPr>
                <w:b/>
                <w:color w:val="auto"/>
              </w:rPr>
            </w:pPr>
            <w:r>
              <w:rPr>
                <w:rFonts w:hint="eastAsia"/>
                <w:color w:val="auto"/>
              </w:rPr>
              <w:t>供货及安装期限</w:t>
            </w:r>
          </w:p>
        </w:tc>
        <w:tc>
          <w:tcPr>
            <w:tcW w:w="7200" w:type="dxa"/>
            <w:noWrap w:val="0"/>
            <w:vAlign w:val="center"/>
          </w:tcPr>
          <w:p w14:paraId="18C21B08">
            <w:pPr>
              <w:pStyle w:val="11"/>
              <w:rPr>
                <w:rFonts w:hint="eastAsia"/>
                <w:color w:val="auto"/>
              </w:rPr>
            </w:pPr>
            <w:r>
              <w:rPr>
                <w:rFonts w:hint="eastAsia" w:cs="Times New Roman"/>
                <w:iCs/>
                <w:color w:val="auto"/>
              </w:rPr>
              <w:t>合同生效之日起，2个月内完成供货、安装、调试、培训等所有工作内容</w:t>
            </w:r>
          </w:p>
        </w:tc>
      </w:tr>
      <w:tr w14:paraId="1DF8D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30C0C3CA">
            <w:pPr>
              <w:pStyle w:val="10"/>
              <w:adjustRightInd w:val="0"/>
              <w:snapToGrid w:val="0"/>
              <w:spacing w:line="300" w:lineRule="auto"/>
              <w:rPr>
                <w:color w:val="auto"/>
                <w:sz w:val="21"/>
                <w:szCs w:val="21"/>
              </w:rPr>
            </w:pPr>
            <w:r>
              <w:rPr>
                <w:rFonts w:hint="eastAsia"/>
                <w:color w:val="auto"/>
                <w:sz w:val="21"/>
                <w:szCs w:val="21"/>
              </w:rPr>
              <w:t>4</w:t>
            </w:r>
          </w:p>
        </w:tc>
        <w:tc>
          <w:tcPr>
            <w:tcW w:w="1842" w:type="dxa"/>
            <w:noWrap w:val="0"/>
            <w:vAlign w:val="center"/>
          </w:tcPr>
          <w:p w14:paraId="7E6A8F3A">
            <w:pPr>
              <w:pStyle w:val="11"/>
              <w:rPr>
                <w:b/>
                <w:color w:val="auto"/>
              </w:rPr>
            </w:pPr>
            <w:r>
              <w:rPr>
                <w:rFonts w:hint="eastAsia"/>
                <w:color w:val="auto"/>
              </w:rPr>
              <w:t>免费质保期</w:t>
            </w:r>
          </w:p>
        </w:tc>
        <w:tc>
          <w:tcPr>
            <w:tcW w:w="7200" w:type="dxa"/>
            <w:noWrap w:val="0"/>
            <w:vAlign w:val="center"/>
          </w:tcPr>
          <w:p w14:paraId="243FF342">
            <w:pPr>
              <w:pStyle w:val="11"/>
              <w:rPr>
                <w:rFonts w:hint="eastAsia"/>
                <w:color w:val="auto"/>
              </w:rPr>
            </w:pPr>
            <w:r>
              <w:rPr>
                <w:rFonts w:hint="eastAsia"/>
                <w:color w:val="auto"/>
              </w:rPr>
              <w:t>自验收合格之日起</w:t>
            </w:r>
            <w:r>
              <w:rPr>
                <w:rFonts w:hint="eastAsia"/>
                <w:color w:val="auto"/>
                <w:u w:val="single"/>
              </w:rPr>
              <w:t>1</w:t>
            </w:r>
            <w:r>
              <w:rPr>
                <w:rFonts w:hint="eastAsia"/>
                <w:color w:val="auto"/>
              </w:rPr>
              <w:t>年。货物需求清单另有规定的，以货物需求清单为准。更换后的零部件质保期从更换之日起计算。</w:t>
            </w:r>
          </w:p>
        </w:tc>
      </w:tr>
    </w:tbl>
    <w:p w14:paraId="2DFF8D1C">
      <w:pPr>
        <w:pStyle w:val="2"/>
        <w:spacing w:before="0" w:after="0" w:line="360" w:lineRule="auto"/>
        <w:rPr>
          <w:rFonts w:hint="eastAsia" w:ascii="宋体" w:hAnsi="宋体" w:eastAsia="宋体" w:cs="宋体"/>
          <w:color w:val="auto"/>
          <w:sz w:val="21"/>
          <w:szCs w:val="21"/>
        </w:rPr>
      </w:pPr>
      <w:bookmarkStart w:id="4" w:name="_Toc1715351726"/>
      <w:bookmarkStart w:id="5" w:name="_Toc302804901"/>
      <w:bookmarkStart w:id="6" w:name="_Toc369119811"/>
      <w:bookmarkStart w:id="7" w:name="_Toc626387511"/>
      <w:bookmarkStart w:id="8" w:name="_Toc1693477008"/>
      <w:bookmarkStart w:id="9" w:name="_Toc717369146"/>
      <w:bookmarkStart w:id="10" w:name="_Toc1191965283_WPSOffice_Level2"/>
      <w:bookmarkStart w:id="11" w:name="_Toc58935147"/>
    </w:p>
    <w:p w14:paraId="2688594F">
      <w:pPr>
        <w:pStyle w:val="2"/>
        <w:adjustRightInd w:val="0"/>
        <w:snapToGrid w:val="0"/>
        <w:spacing w:before="0" w:after="0" w:line="360" w:lineRule="auto"/>
        <w:rPr>
          <w:rFonts w:hint="eastAsia" w:ascii="宋体" w:hAnsi="宋体" w:eastAsia="宋体" w:cs="宋体"/>
          <w:bCs w:val="0"/>
          <w:color w:val="auto"/>
          <w:sz w:val="21"/>
          <w:szCs w:val="21"/>
        </w:rPr>
      </w:pPr>
      <w:r>
        <w:rPr>
          <w:rFonts w:hint="eastAsia" w:ascii="宋体" w:hAnsi="宋体" w:eastAsia="宋体" w:cs="宋体"/>
          <w:bCs w:val="0"/>
          <w:color w:val="auto"/>
          <w:sz w:val="21"/>
          <w:szCs w:val="21"/>
        </w:rPr>
        <w:t>二、货物需求</w:t>
      </w:r>
      <w:bookmarkEnd w:id="4"/>
      <w:bookmarkEnd w:id="5"/>
      <w:bookmarkEnd w:id="6"/>
      <w:bookmarkEnd w:id="7"/>
      <w:bookmarkEnd w:id="8"/>
      <w:bookmarkEnd w:id="9"/>
      <w:bookmarkEnd w:id="10"/>
      <w:bookmarkEnd w:id="11"/>
    </w:p>
    <w:p w14:paraId="56E44413">
      <w:pPr>
        <w:pStyle w:val="2"/>
        <w:adjustRightInd w:val="0"/>
        <w:snapToGrid w:val="0"/>
        <w:spacing w:before="0" w:after="0" w:line="360" w:lineRule="auto"/>
        <w:rPr>
          <w:rFonts w:hint="eastAsia" w:ascii="宋体" w:hAnsi="宋体" w:eastAsia="宋体" w:cs="宋体"/>
          <w:bCs w:val="0"/>
          <w:color w:val="auto"/>
          <w:sz w:val="21"/>
          <w:szCs w:val="21"/>
        </w:rPr>
      </w:pPr>
      <w:r>
        <w:rPr>
          <w:rFonts w:hint="eastAsia" w:ascii="宋体" w:hAnsi="宋体" w:eastAsia="宋体" w:cs="宋体"/>
          <w:bCs w:val="0"/>
          <w:color w:val="auto"/>
          <w:sz w:val="21"/>
          <w:szCs w:val="21"/>
        </w:rPr>
        <w:t>（一）货物需求说明</w:t>
      </w:r>
    </w:p>
    <w:tbl>
      <w:tblPr>
        <w:tblStyle w:val="8"/>
        <w:tblW w:w="9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1"/>
        <w:gridCol w:w="1098"/>
        <w:gridCol w:w="5687"/>
      </w:tblGrid>
      <w:tr w14:paraId="3213D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41D27356">
            <w:pPr>
              <w:pStyle w:val="7"/>
              <w:adjustRightInd w:val="0"/>
              <w:snapToGrid w:val="0"/>
              <w:spacing w:after="0" w:line="300" w:lineRule="auto"/>
              <w:ind w:left="0" w:leftChars="0" w:firstLine="0" w:firstLineChars="0"/>
              <w:jc w:val="center"/>
              <w:rPr>
                <w:rFonts w:hint="eastAsia" w:ascii="宋体" w:hAnsi="宋体" w:eastAsia="宋体" w:cs="宋体"/>
                <w:b/>
                <w:color w:val="auto"/>
                <w:szCs w:val="21"/>
              </w:rPr>
            </w:pPr>
            <w:r>
              <w:rPr>
                <w:rFonts w:hint="eastAsia" w:ascii="宋体" w:hAnsi="宋体" w:eastAsia="宋体" w:cs="宋体"/>
                <w:b/>
                <w:color w:val="auto"/>
                <w:szCs w:val="21"/>
              </w:rPr>
              <w:t>标识</w:t>
            </w:r>
            <w:r>
              <w:rPr>
                <w:rFonts w:ascii="宋体" w:hAnsi="宋体" w:eastAsia="宋体" w:cs="宋体"/>
                <w:b/>
                <w:color w:val="auto"/>
                <w:szCs w:val="21"/>
              </w:rPr>
              <w:t>类型</w:t>
            </w:r>
          </w:p>
        </w:tc>
        <w:tc>
          <w:tcPr>
            <w:tcW w:w="1098" w:type="dxa"/>
            <w:noWrap w:val="0"/>
            <w:vAlign w:val="center"/>
          </w:tcPr>
          <w:p w14:paraId="568B64D9">
            <w:pPr>
              <w:pStyle w:val="7"/>
              <w:adjustRightInd w:val="0"/>
              <w:snapToGrid w:val="0"/>
              <w:spacing w:after="0" w:line="300" w:lineRule="auto"/>
              <w:ind w:left="0" w:leftChars="0" w:firstLine="0" w:firstLineChars="0"/>
              <w:jc w:val="center"/>
              <w:rPr>
                <w:rFonts w:hint="eastAsia" w:ascii="宋体" w:hAnsi="宋体" w:eastAsia="宋体" w:cs="宋体"/>
                <w:b/>
                <w:color w:val="auto"/>
                <w:szCs w:val="21"/>
              </w:rPr>
            </w:pPr>
            <w:r>
              <w:rPr>
                <w:rFonts w:hint="eastAsia" w:ascii="宋体" w:hAnsi="宋体" w:eastAsia="宋体" w:cs="宋体"/>
                <w:b/>
                <w:color w:val="auto"/>
                <w:szCs w:val="21"/>
              </w:rPr>
              <w:t>标识符号</w:t>
            </w:r>
          </w:p>
        </w:tc>
        <w:tc>
          <w:tcPr>
            <w:tcW w:w="5687" w:type="dxa"/>
            <w:noWrap w:val="0"/>
            <w:vAlign w:val="center"/>
          </w:tcPr>
          <w:p w14:paraId="7F47BCCC">
            <w:pPr>
              <w:pStyle w:val="7"/>
              <w:adjustRightInd w:val="0"/>
              <w:snapToGrid w:val="0"/>
              <w:spacing w:after="0" w:line="300" w:lineRule="auto"/>
              <w:ind w:left="0" w:leftChars="0" w:firstLine="0" w:firstLineChars="0"/>
              <w:jc w:val="center"/>
              <w:rPr>
                <w:rFonts w:hint="eastAsia" w:ascii="宋体" w:hAnsi="宋体" w:eastAsia="宋体" w:cs="宋体"/>
                <w:b/>
                <w:color w:val="auto"/>
                <w:szCs w:val="21"/>
              </w:rPr>
            </w:pPr>
            <w:r>
              <w:rPr>
                <w:rFonts w:ascii="宋体" w:hAnsi="宋体" w:eastAsia="宋体" w:cs="宋体"/>
                <w:b/>
                <w:color w:val="auto"/>
                <w:szCs w:val="21"/>
              </w:rPr>
              <w:t>标识符号含义</w:t>
            </w:r>
          </w:p>
        </w:tc>
      </w:tr>
      <w:tr w14:paraId="72330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5F71D9C8">
            <w:pPr>
              <w:pStyle w:val="7"/>
              <w:adjustRightInd w:val="0"/>
              <w:snapToGrid w:val="0"/>
              <w:spacing w:after="0" w:line="300" w:lineRule="auto"/>
              <w:ind w:left="0" w:leftChars="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重要指标项</w:t>
            </w:r>
          </w:p>
        </w:tc>
        <w:tc>
          <w:tcPr>
            <w:tcW w:w="1098" w:type="dxa"/>
            <w:noWrap w:val="0"/>
            <w:vAlign w:val="center"/>
          </w:tcPr>
          <w:p w14:paraId="47639590">
            <w:pPr>
              <w:pStyle w:val="7"/>
              <w:adjustRightInd w:val="0"/>
              <w:snapToGrid w:val="0"/>
              <w:spacing w:after="0" w:line="300" w:lineRule="auto"/>
              <w:ind w:left="0" w:leftChars="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w:t>
            </w:r>
          </w:p>
        </w:tc>
        <w:tc>
          <w:tcPr>
            <w:tcW w:w="5687" w:type="dxa"/>
            <w:noWrap w:val="0"/>
            <w:vAlign w:val="center"/>
          </w:tcPr>
          <w:p w14:paraId="6A64EC83">
            <w:pPr>
              <w:pStyle w:val="7"/>
              <w:adjustRightInd w:val="0"/>
              <w:snapToGrid w:val="0"/>
              <w:spacing w:after="0" w:line="300" w:lineRule="auto"/>
              <w:ind w:left="0" w:leftChars="0" w:firstLine="0" w:firstLineChars="0"/>
              <w:jc w:val="center"/>
              <w:rPr>
                <w:rFonts w:ascii="宋体" w:hAnsi="宋体" w:eastAsia="宋体" w:cs="宋体"/>
                <w:color w:val="auto"/>
                <w:szCs w:val="21"/>
              </w:rPr>
            </w:pPr>
            <w:r>
              <w:rPr>
                <w:rFonts w:hint="eastAsia" w:ascii="宋体" w:hAnsi="宋体" w:eastAsia="宋体" w:cs="宋体"/>
                <w:color w:val="auto"/>
                <w:szCs w:val="21"/>
              </w:rPr>
              <w:t>评分项，详见评分标准</w:t>
            </w:r>
          </w:p>
        </w:tc>
      </w:tr>
      <w:tr w14:paraId="25794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5B82A110">
            <w:pPr>
              <w:pStyle w:val="7"/>
              <w:adjustRightInd w:val="0"/>
              <w:snapToGrid w:val="0"/>
              <w:spacing w:after="0" w:line="300" w:lineRule="auto"/>
              <w:ind w:left="0" w:leftChars="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无标识项</w:t>
            </w:r>
          </w:p>
        </w:tc>
        <w:tc>
          <w:tcPr>
            <w:tcW w:w="1098" w:type="dxa"/>
            <w:noWrap w:val="0"/>
            <w:vAlign w:val="center"/>
          </w:tcPr>
          <w:p w14:paraId="5F7A14BC">
            <w:pPr>
              <w:pStyle w:val="7"/>
              <w:adjustRightInd w:val="0"/>
              <w:snapToGrid w:val="0"/>
              <w:spacing w:after="0" w:line="300" w:lineRule="auto"/>
              <w:ind w:firstLine="0" w:firstLineChars="0"/>
              <w:jc w:val="center"/>
              <w:rPr>
                <w:rFonts w:hint="eastAsia" w:ascii="宋体" w:hAnsi="宋体" w:eastAsia="宋体" w:cs="宋体"/>
                <w:color w:val="auto"/>
                <w:szCs w:val="21"/>
              </w:rPr>
            </w:pPr>
          </w:p>
        </w:tc>
        <w:tc>
          <w:tcPr>
            <w:tcW w:w="5687" w:type="dxa"/>
            <w:noWrap w:val="0"/>
            <w:vAlign w:val="center"/>
          </w:tcPr>
          <w:p w14:paraId="012169DC">
            <w:pPr>
              <w:pStyle w:val="7"/>
              <w:adjustRightInd w:val="0"/>
              <w:snapToGrid w:val="0"/>
              <w:spacing w:after="0" w:line="300" w:lineRule="auto"/>
              <w:ind w:left="0" w:leftChars="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5项（不含）以上负偏离或未响应的，投标无效</w:t>
            </w:r>
          </w:p>
        </w:tc>
      </w:tr>
      <w:tr w14:paraId="53B43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76" w:type="dxa"/>
            <w:gridSpan w:val="3"/>
            <w:noWrap w:val="0"/>
            <w:vAlign w:val="center"/>
          </w:tcPr>
          <w:p w14:paraId="12059E8C">
            <w:pPr>
              <w:spacing w:line="300" w:lineRule="auto"/>
              <w:rPr>
                <w:rFonts w:hint="eastAsia" w:ascii="宋体" w:hAnsi="宋体" w:eastAsia="宋体" w:cs="宋体"/>
                <w:color w:val="auto"/>
                <w:szCs w:val="21"/>
              </w:rPr>
            </w:pPr>
            <w:r>
              <w:rPr>
                <w:rFonts w:hint="eastAsia" w:ascii="宋体" w:hAnsi="宋体" w:eastAsia="宋体" w:cs="宋体"/>
                <w:color w:val="auto"/>
                <w:szCs w:val="21"/>
              </w:rPr>
              <w:t>注：</w:t>
            </w:r>
          </w:p>
          <w:p w14:paraId="717B9793">
            <w:pPr>
              <w:spacing w:line="300" w:lineRule="auto"/>
              <w:rPr>
                <w:rFonts w:hint="eastAsia" w:ascii="宋体" w:hAnsi="宋体" w:eastAsia="宋体" w:cs="宋体"/>
                <w:color w:val="auto"/>
                <w:szCs w:val="21"/>
              </w:rPr>
            </w:pPr>
            <w:r>
              <w:rPr>
                <w:rFonts w:hint="eastAsia" w:ascii="宋体" w:hAnsi="宋体" w:eastAsia="宋体" w:cs="宋体"/>
                <w:color w:val="auto"/>
                <w:szCs w:val="21"/>
              </w:rPr>
              <w:t>1.如某项标识中包含多条技术参数或要求，则该项标识所含内容均需满足或优于招标文件要求，否则不予认可。</w:t>
            </w:r>
          </w:p>
          <w:p w14:paraId="63AD4AE1">
            <w:pPr>
              <w:spacing w:line="300" w:lineRule="auto"/>
              <w:rPr>
                <w:rFonts w:hint="eastAsia" w:ascii="宋体" w:hAnsi="宋体" w:eastAsia="宋体" w:cs="宋体"/>
                <w:color w:val="auto"/>
                <w:szCs w:val="21"/>
              </w:rPr>
            </w:pPr>
            <w:r>
              <w:rPr>
                <w:rFonts w:hint="eastAsia" w:ascii="宋体" w:hAnsi="宋体" w:eastAsia="宋体" w:cs="宋体"/>
                <w:color w:val="auto"/>
                <w:szCs w:val="21"/>
              </w:rPr>
              <w:t>2.“所属行业”栏标注为“/”的项为所投产品配套的工程或服务，无需在《中小企业声明函》中列明。</w:t>
            </w:r>
          </w:p>
          <w:p w14:paraId="721EC774">
            <w:pPr>
              <w:spacing w:line="300" w:lineRule="auto"/>
              <w:rPr>
                <w:rFonts w:hint="eastAsia" w:ascii="宋体" w:hAnsi="宋体" w:eastAsia="宋体" w:cs="宋体"/>
                <w:color w:val="auto"/>
                <w:szCs w:val="21"/>
              </w:rPr>
            </w:pPr>
            <w:r>
              <w:rPr>
                <w:rFonts w:hint="eastAsia" w:ascii="宋体" w:hAnsi="宋体" w:eastAsia="宋体" w:cs="宋体"/>
                <w:color w:val="auto"/>
                <w:szCs w:val="21"/>
              </w:rPr>
              <w:t>3.货物需求中，涉及具体物理尺寸的已明确偏离范围的按要求执行，未明确偏离范围的允许±5%偏离。</w:t>
            </w:r>
          </w:p>
          <w:p w14:paraId="70F9D5D2">
            <w:pPr>
              <w:pStyle w:val="7"/>
              <w:adjustRightInd w:val="0"/>
              <w:snapToGrid w:val="0"/>
              <w:spacing w:after="0" w:line="300" w:lineRule="auto"/>
              <w:ind w:left="0" w:leftChars="0" w:firstLine="0" w:firstLineChars="0"/>
              <w:jc w:val="left"/>
              <w:rPr>
                <w:color w:val="auto"/>
              </w:rPr>
            </w:pPr>
            <w:r>
              <w:rPr>
                <w:rFonts w:hint="eastAsia" w:ascii="宋体" w:hAnsi="宋体" w:eastAsia="宋体" w:cs="宋体"/>
                <w:b/>
                <w:bCs/>
                <w:color w:val="auto"/>
                <w:szCs w:val="21"/>
              </w:rPr>
              <w:t>4.针对下表货物需求清单中要求在投标文件中提供证明材料的参数，货物需求清单中明确证明材料类型的，按货物需求清单中的要求提供；货物需求清单中未明确证明材料类型的，证明材料包括产品技术白皮书、产品技术说明书、产品彩页（产品功能截图）、厂家（制造商）官网截图、第三方机构出具的带有CMA标识的检测报告，提供其中之一即可。未按以上要求提供证明材料的视为负偏离或未响应（为便于评审，建议投标人对证明材料中的关键参数进行标注）。</w:t>
            </w:r>
          </w:p>
        </w:tc>
      </w:tr>
    </w:tbl>
    <w:p w14:paraId="287D4DBE">
      <w:pPr>
        <w:pStyle w:val="2"/>
        <w:spacing w:before="0" w:after="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（二）货物需求清单</w:t>
      </w:r>
    </w:p>
    <w:tbl>
      <w:tblPr>
        <w:tblStyle w:val="8"/>
        <w:tblpPr w:leftFromText="180" w:rightFromText="180" w:vertAnchor="text" w:horzAnchor="margin" w:tblpXSpec="center" w:tblpY="218"/>
        <w:tblW w:w="9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07"/>
        <w:gridCol w:w="5297"/>
        <w:gridCol w:w="559"/>
        <w:gridCol w:w="518"/>
        <w:gridCol w:w="668"/>
        <w:gridCol w:w="496"/>
      </w:tblGrid>
      <w:tr w14:paraId="3E42A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CB7F792">
            <w:pPr>
              <w:widowControl/>
              <w:adjustRightInd w:val="0"/>
              <w:snapToGrid w:val="0"/>
              <w:spacing w:line="300" w:lineRule="auto"/>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序号</w:t>
            </w:r>
          </w:p>
        </w:tc>
        <w:tc>
          <w:tcPr>
            <w:tcW w:w="1107" w:type="dxa"/>
            <w:noWrap w:val="0"/>
            <w:vAlign w:val="center"/>
          </w:tcPr>
          <w:p w14:paraId="77655F90">
            <w:pPr>
              <w:widowControl/>
              <w:adjustRightInd w:val="0"/>
              <w:snapToGrid w:val="0"/>
              <w:spacing w:line="300" w:lineRule="auto"/>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货物名称</w:t>
            </w:r>
          </w:p>
        </w:tc>
        <w:tc>
          <w:tcPr>
            <w:tcW w:w="5297" w:type="dxa"/>
            <w:noWrap w:val="0"/>
            <w:vAlign w:val="center"/>
          </w:tcPr>
          <w:p w14:paraId="66C2A988">
            <w:pPr>
              <w:widowControl/>
              <w:adjustRightInd w:val="0"/>
              <w:snapToGrid w:val="0"/>
              <w:spacing w:line="300" w:lineRule="auto"/>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技术参数及要求</w:t>
            </w:r>
          </w:p>
        </w:tc>
        <w:tc>
          <w:tcPr>
            <w:tcW w:w="559" w:type="dxa"/>
            <w:noWrap w:val="0"/>
            <w:vAlign w:val="center"/>
          </w:tcPr>
          <w:p w14:paraId="431FA818">
            <w:pPr>
              <w:keepLines/>
              <w:topLinePunct/>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b/>
                <w:bCs/>
                <w:color w:val="auto"/>
                <w:szCs w:val="21"/>
              </w:rPr>
              <w:t>数量</w:t>
            </w:r>
          </w:p>
        </w:tc>
        <w:tc>
          <w:tcPr>
            <w:tcW w:w="518" w:type="dxa"/>
            <w:noWrap w:val="0"/>
            <w:vAlign w:val="center"/>
          </w:tcPr>
          <w:p w14:paraId="007C4521">
            <w:pPr>
              <w:keepLines/>
              <w:topLinePunct/>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b/>
                <w:bCs/>
                <w:color w:val="auto"/>
                <w:szCs w:val="21"/>
              </w:rPr>
              <w:t>单位</w:t>
            </w:r>
          </w:p>
        </w:tc>
        <w:tc>
          <w:tcPr>
            <w:tcW w:w="668" w:type="dxa"/>
            <w:noWrap w:val="0"/>
            <w:vAlign w:val="center"/>
          </w:tcPr>
          <w:p w14:paraId="6E93342C">
            <w:pPr>
              <w:keepLines/>
              <w:topLinePunct/>
              <w:autoSpaceDE w:val="0"/>
              <w:autoSpaceDN w:val="0"/>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b/>
                <w:bCs/>
                <w:color w:val="auto"/>
                <w:szCs w:val="21"/>
              </w:rPr>
              <w:t>所属行业</w:t>
            </w:r>
          </w:p>
        </w:tc>
        <w:tc>
          <w:tcPr>
            <w:tcW w:w="496" w:type="dxa"/>
            <w:noWrap w:val="0"/>
            <w:vAlign w:val="center"/>
          </w:tcPr>
          <w:p w14:paraId="0DCEC322">
            <w:pPr>
              <w:keepLines/>
              <w:topLinePunct/>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b/>
                <w:bCs/>
                <w:color w:val="auto"/>
                <w:szCs w:val="21"/>
              </w:rPr>
              <w:t>备注</w:t>
            </w:r>
          </w:p>
        </w:tc>
      </w:tr>
      <w:tr w14:paraId="579FC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5" w:type="dxa"/>
            <w:noWrap w:val="0"/>
            <w:vAlign w:val="center"/>
          </w:tcPr>
          <w:p w14:paraId="00529445">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1107" w:type="dxa"/>
            <w:noWrap w:val="0"/>
            <w:vAlign w:val="center"/>
          </w:tcPr>
          <w:p w14:paraId="5FA536E9">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超级微波消解仪</w:t>
            </w:r>
          </w:p>
        </w:tc>
        <w:tc>
          <w:tcPr>
            <w:tcW w:w="5297" w:type="dxa"/>
            <w:noWrap w:val="0"/>
            <w:vAlign w:val="center"/>
          </w:tcPr>
          <w:p w14:paraId="434259A2">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一、功能：</w:t>
            </w:r>
          </w:p>
          <w:p w14:paraId="1EAC717B">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用于实验室中各种类型样品的消解制备前处理，为AAS，AFS，ICP，ICP-MS等分析仪器制备样品；</w:t>
            </w:r>
          </w:p>
          <w:p w14:paraId="67FDCE03">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二、工作环境条件</w:t>
            </w:r>
          </w:p>
          <w:p w14:paraId="1D045D5D">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1.工作电压：220V。</w:t>
            </w:r>
          </w:p>
          <w:p w14:paraId="4197D233">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2.温度：0-35℃。</w:t>
            </w:r>
          </w:p>
          <w:p w14:paraId="6DA08CD4">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3.湿度：20-80%。</w:t>
            </w:r>
          </w:p>
          <w:p w14:paraId="127E4798">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三、技术指标</w:t>
            </w:r>
          </w:p>
          <w:p w14:paraId="536708DA">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1.硬件部分</w:t>
            </w:r>
          </w:p>
          <w:p w14:paraId="43F72B3F">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1)单反应腔预加压式超级微波系统，所有样品内插于同一个单反应室内，单罐单次最大样品处理数量≥26个，微波功率≤1500W。</w:t>
            </w:r>
          </w:p>
          <w:p w14:paraId="69E068D5">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2)最大工作压力：≥200Bar（3000PSI）；最大操作温度：≥300℃。</w:t>
            </w:r>
          </w:p>
          <w:p w14:paraId="57E2EA2F">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3)最大单个样品消解罐体积≥950mL；反应腔体积≥1L。</w:t>
            </w:r>
          </w:p>
          <w:p w14:paraId="6731273B">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★4)定轨自动升降定位系统：反应支架固定于盖子顶部，随着盖子的关闭自动导入单反应室；电子位置感应控制工作台自动升降，升降行程≥20cm，试管支架升降过程中电子马达精确控制定位，可在任意位置固定。</w:t>
            </w:r>
            <w:r>
              <w:rPr>
                <w:rFonts w:hint="eastAsia" w:ascii="宋体" w:hAnsi="宋体" w:eastAsia="宋体" w:cs="宋体"/>
                <w:b/>
                <w:bCs/>
                <w:color w:val="auto"/>
                <w:kern w:val="0"/>
                <w:szCs w:val="21"/>
              </w:rPr>
              <w:t>（投标文件中提供具备定轨自动升降定位系统的证明材料）</w:t>
            </w:r>
          </w:p>
          <w:p w14:paraId="1E17C376">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5)具有多重定位传感器，如果高压部件没有达到预定位置软件自动提示，保障安全。</w:t>
            </w:r>
          </w:p>
          <w:p w14:paraId="36F91A86">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6)微波消解前可自动预先冲入高压氮气，使反应腔达到40-100bar；反应结束冷却到设定温度后，仪器自动缓慢释放掉压力，泄压速率0.1bar～10bar/min可调。反应釜加气和泄压使用2个独立的通道，避免污染。</w:t>
            </w:r>
          </w:p>
          <w:p w14:paraId="00F754F7">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7)独立的压缩机冷却系统，须与微波主机分体设计，制冷功率≥1000W，反应过程中在高温下实时冷却保护反应罐，反应结束后快速冷却降温，提高反应效率。智能PID控温；冷却水流量≥6.4L/min@4bar；冷却水箱容积≥3.5L。</w:t>
            </w:r>
          </w:p>
          <w:p w14:paraId="3946FE36">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8)配置独立循环水冷却器，触摸屏控制器，带数字压力，流量显示和报警功能。</w:t>
            </w:r>
          </w:p>
          <w:p w14:paraId="372296F7">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9)内置通风系统可与样品支架同步自动垂直升降并可实现马达精确定位，排气圆孔置于不锈钢单反应腔开口处，排气孔数≥2个，单孔孔径≥4cm。</w:t>
            </w:r>
          </w:p>
          <w:p w14:paraId="4B06C580">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color w:val="auto"/>
                <w:kern w:val="0"/>
                <w:szCs w:val="21"/>
              </w:rPr>
              <w:t>★10)仪器主机具有≥2英寸的颜色指示灯，具有≥5种颜色指示灯分别代表不同的操作状态。</w:t>
            </w:r>
            <w:r>
              <w:rPr>
                <w:rFonts w:hint="eastAsia" w:ascii="宋体" w:hAnsi="宋体" w:eastAsia="宋体" w:cs="宋体"/>
                <w:b/>
                <w:bCs/>
                <w:color w:val="auto"/>
                <w:kern w:val="0"/>
                <w:szCs w:val="21"/>
              </w:rPr>
              <w:t>（投标文件中提供证明材料）</w:t>
            </w:r>
          </w:p>
          <w:p w14:paraId="73666BE7">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11)有高压气体过滤阀防止气体杂质污染，双单向阀系统防止反应压力大于钢瓶压力而产生压力倒流现象。</w:t>
            </w:r>
          </w:p>
          <w:p w14:paraId="2AB03CD0">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2.温度和压力控制系统</w:t>
            </w:r>
          </w:p>
          <w:p w14:paraId="4115AC0D">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★1)温度控制系统：温度传感器固定在定轨升降系统上，直接插入接触测量反应罐内溶液温度（非工作腔外壁温度），控温范围：0-500℃。</w:t>
            </w:r>
            <w:r>
              <w:rPr>
                <w:rFonts w:hint="eastAsia" w:ascii="宋体" w:hAnsi="宋体" w:eastAsia="宋体" w:cs="宋体"/>
                <w:b/>
                <w:bCs/>
                <w:color w:val="auto"/>
                <w:kern w:val="0"/>
                <w:szCs w:val="21"/>
              </w:rPr>
              <w:t>（投标文件中提供证明材料）</w:t>
            </w:r>
          </w:p>
          <w:p w14:paraId="6FDB5D81">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★2)每个单反应室罐体具有≥4个温度传感器，实时监控磁控管温度，微波发射天线温度、单反应室腔体温度和反应溶液温度，4个温度均可在控制终端软件主界面上同时数字显示。</w:t>
            </w:r>
            <w:r>
              <w:rPr>
                <w:rFonts w:hint="eastAsia" w:ascii="宋体" w:hAnsi="宋体" w:eastAsia="宋体" w:cs="宋体"/>
                <w:b/>
                <w:bCs/>
                <w:color w:val="auto"/>
                <w:kern w:val="0"/>
                <w:szCs w:val="21"/>
              </w:rPr>
              <w:t>（投标文件中提供证明材料）</w:t>
            </w:r>
          </w:p>
          <w:p w14:paraId="501016E2">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3)压力控制系统：可精确显示消解压力和消解过程压力曲线，软件控制自动充氮气至预设压力，消解完成后自动泄压，无需手动操作。</w:t>
            </w:r>
          </w:p>
          <w:p w14:paraId="51C1A19B">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3.控制终端</w:t>
            </w:r>
          </w:p>
          <w:p w14:paraId="6D62748D">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1)分体触摸式智能控制终端，清晰彩色显示，实验人员可远距离安全控制微波消解系统的所有操作，避免由于控制终端固定在仪器正前方时需要操作人员紧挨仪器操作所带来的风险。</w:t>
            </w:r>
          </w:p>
          <w:p w14:paraId="17FB1FAA">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2)具有智能程序升温、梯度升温功能，实时精确显示反应罐内的温度、压力，可在线控制和修改所有的反应参数，反应过程中实时修改并识别更新，无需暂停方法。</w:t>
            </w:r>
          </w:p>
          <w:p w14:paraId="115CF7C5">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3)主机配备接口，≥5个USB接口，≥1个LAN接口，≥1个COM接口，≥2个视频接口。可通过U盘等导入导出应用方法，升级系统软件;可以直接连接计算机，打印机，U盘和称样天平。</w:t>
            </w:r>
          </w:p>
          <w:p w14:paraId="028AF5CD">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4)无线网络连接功能，可以与任何电脑、平板电脑或智能手机等终端实现在无线网络连接，需通过网络连接非现场信号传输。通过终端可监控仪器的运行情况及方法状态过程。</w:t>
            </w:r>
          </w:p>
          <w:p w14:paraId="59BFBAB3">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5)具有在线客户服务工作站，可支持提供24小时的技术支持服务，安全操作，操作手册、分析数据库、视频等，所有相关信息均可时刻显示，适合所有样品消解。</w:t>
            </w:r>
          </w:p>
          <w:p w14:paraId="0D371A8B">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6)包含≥11种的多语言操作界面，含中文操作界面。</w:t>
            </w:r>
          </w:p>
          <w:p w14:paraId="7BFF46B9">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4.消解罐及支架</w:t>
            </w:r>
          </w:p>
          <w:p w14:paraId="2E9FAA8E">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1)单个TFM材质支架可选4～30等各种位数，消解罐材质：玻璃，石英，聚四氟乙烯等。</w:t>
            </w:r>
          </w:p>
          <w:p w14:paraId="0C53FCFA">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2)样品支架悬挂固定于反应腔盖子上，不与TFM反应腔内衬底部直接接触。样品支架软件控制自动升降，且可在升降过程中任意位置定位。</w:t>
            </w:r>
          </w:p>
          <w:p w14:paraId="1CE0B8CD">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3)无最少加酸量限制，普通样品仅需使用1-3mL硝酸即可；无需赶酸。</w:t>
            </w:r>
          </w:p>
          <w:p w14:paraId="52E82461">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4)配备专用定位盘，带编号。</w:t>
            </w:r>
          </w:p>
          <w:p w14:paraId="735F793E">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四、仪器配置</w:t>
            </w:r>
          </w:p>
          <w:p w14:paraId="2B01B00F">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1.超纯水机：1套。</w:t>
            </w:r>
          </w:p>
          <w:p w14:paraId="290C44CE">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2.预加压单反应室超级微波消解主机：1台。</w:t>
            </w:r>
          </w:p>
          <w:p w14:paraId="713044AB">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3.主机软件控制全自动升降通风系统：1套。</w:t>
            </w:r>
          </w:p>
          <w:p w14:paraId="05AC60F1">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4.十五位消解支架1个，称量工具1个，定位盘1个，玻璃材质消解管250支，聚四氟乙烯材质消解管盖子30个。</w:t>
            </w:r>
          </w:p>
          <w:p w14:paraId="3800C283">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5.分体式彩色触摸屏控制终端：1套。</w:t>
            </w:r>
          </w:p>
          <w:p w14:paraId="4B8F4C35">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6.与定轨自动升降系统配套使用的热电偶插入式控温系统：1套。</w:t>
            </w:r>
          </w:p>
          <w:p w14:paraId="74E33472">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7.辅助控温系统：3套。</w:t>
            </w:r>
          </w:p>
          <w:p w14:paraId="4B840EBB">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8.自动压力控制系统：1套。</w:t>
            </w:r>
          </w:p>
          <w:p w14:paraId="0466D8AE">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9.原厂循环水冷却系统：1台。</w:t>
            </w:r>
          </w:p>
          <w:p w14:paraId="3F3D5D5A">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10.备件及消耗件：1套。</w:t>
            </w:r>
          </w:p>
          <w:p w14:paraId="252854CC">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11.高压蓝管套件：1套。</w:t>
            </w:r>
          </w:p>
          <w:p w14:paraId="6C9E5120">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12.高压红管套件：1套。</w:t>
            </w:r>
          </w:p>
          <w:p w14:paraId="1FFA61AD">
            <w:pPr>
              <w:widowControl/>
              <w:spacing w:line="300" w:lineRule="auto"/>
              <w:jc w:val="left"/>
              <w:rPr>
                <w:rFonts w:hint="eastAsia" w:ascii="宋体" w:hAnsi="宋体" w:eastAsia="宋体" w:cs="宋体"/>
                <w:color w:val="auto"/>
                <w:kern w:val="0"/>
                <w:szCs w:val="21"/>
              </w:rPr>
            </w:pPr>
            <w:r>
              <w:rPr>
                <w:rFonts w:hint="eastAsia" w:ascii="宋体" w:hAnsi="宋体" w:eastAsia="宋体" w:cs="宋体"/>
                <w:color w:val="auto"/>
                <w:kern w:val="0"/>
                <w:szCs w:val="21"/>
              </w:rPr>
              <w:t>13.爆破膜199+1-5%Bar：1套。</w:t>
            </w:r>
          </w:p>
          <w:p w14:paraId="243564C5">
            <w:pPr>
              <w:widowControl/>
              <w:spacing w:line="300" w:lineRule="auto"/>
              <w:jc w:val="left"/>
              <w:rPr>
                <w:rFonts w:ascii="宋体" w:hAnsi="宋体" w:eastAsia="宋体" w:cs="宋体"/>
                <w:color w:val="auto"/>
                <w:kern w:val="0"/>
                <w:szCs w:val="21"/>
              </w:rPr>
            </w:pPr>
            <w:r>
              <w:rPr>
                <w:rFonts w:hint="eastAsia" w:ascii="宋体" w:hAnsi="宋体" w:eastAsia="宋体" w:cs="宋体"/>
                <w:color w:val="auto"/>
                <w:kern w:val="0"/>
                <w:szCs w:val="21"/>
              </w:rPr>
              <w:t>14.离心配件：1套。</w:t>
            </w:r>
          </w:p>
          <w:p w14:paraId="0D7ED9F1">
            <w:pPr>
              <w:widowControl/>
              <w:spacing w:line="300" w:lineRule="auto"/>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五、质保要求</w:t>
            </w:r>
          </w:p>
          <w:p w14:paraId="63F4B7D0">
            <w:pPr>
              <w:widowControl/>
              <w:spacing w:line="300" w:lineRule="auto"/>
              <w:jc w:val="left"/>
              <w:rPr>
                <w:rFonts w:hint="eastAsia"/>
                <w:color w:val="auto"/>
              </w:rPr>
            </w:pPr>
            <w:r>
              <w:rPr>
                <w:rFonts w:hint="eastAsia" w:ascii="宋体" w:hAnsi="宋体" w:eastAsia="宋体" w:cs="宋体"/>
                <w:color w:val="auto"/>
                <w:kern w:val="0"/>
                <w:szCs w:val="21"/>
              </w:rPr>
              <w:t>质保期：2年，自设备验收合格之日起计算。保修期内由生产厂家提供免费保修（耗材除外）。</w:t>
            </w:r>
          </w:p>
        </w:tc>
        <w:tc>
          <w:tcPr>
            <w:tcW w:w="559" w:type="dxa"/>
            <w:noWrap w:val="0"/>
            <w:vAlign w:val="center"/>
          </w:tcPr>
          <w:p w14:paraId="65867563">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518" w:type="dxa"/>
            <w:noWrap w:val="0"/>
            <w:vAlign w:val="center"/>
          </w:tcPr>
          <w:p w14:paraId="00EE12E5">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套</w:t>
            </w:r>
          </w:p>
        </w:tc>
        <w:tc>
          <w:tcPr>
            <w:tcW w:w="668" w:type="dxa"/>
            <w:noWrap w:val="0"/>
            <w:vAlign w:val="center"/>
          </w:tcPr>
          <w:p w14:paraId="3C3483BF">
            <w:pPr>
              <w:widowControl/>
              <w:adjustRightInd w:val="0"/>
              <w:snapToGrid w:val="0"/>
              <w:spacing w:line="300" w:lineRule="auto"/>
              <w:jc w:val="center"/>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工业</w:t>
            </w:r>
          </w:p>
        </w:tc>
        <w:tc>
          <w:tcPr>
            <w:tcW w:w="496" w:type="dxa"/>
            <w:noWrap w:val="0"/>
            <w:vAlign w:val="center"/>
          </w:tcPr>
          <w:p w14:paraId="168A2CCA">
            <w:pPr>
              <w:widowControl/>
              <w:adjustRightInd w:val="0"/>
              <w:snapToGrid w:val="0"/>
              <w:spacing w:line="300" w:lineRule="auto"/>
              <w:jc w:val="left"/>
              <w:rPr>
                <w:rFonts w:hint="eastAsia" w:ascii="宋体" w:hAnsi="宋体" w:eastAsia="宋体" w:cs="宋体"/>
                <w:color w:val="auto"/>
                <w:kern w:val="0"/>
                <w:szCs w:val="21"/>
              </w:rPr>
            </w:pPr>
          </w:p>
        </w:tc>
      </w:tr>
      <w:tr w14:paraId="5B298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5" w:type="dxa"/>
            <w:noWrap w:val="0"/>
            <w:vAlign w:val="center"/>
          </w:tcPr>
          <w:p w14:paraId="129B299B">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2</w:t>
            </w:r>
          </w:p>
        </w:tc>
        <w:tc>
          <w:tcPr>
            <w:tcW w:w="1107" w:type="dxa"/>
            <w:noWrap w:val="0"/>
            <w:vAlign w:val="center"/>
          </w:tcPr>
          <w:p w14:paraId="0A124A61">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▲液相</w:t>
            </w:r>
          </w:p>
          <w:p w14:paraId="7B91D797">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色谱仪</w:t>
            </w:r>
          </w:p>
        </w:tc>
        <w:tc>
          <w:tcPr>
            <w:tcW w:w="5297" w:type="dxa"/>
            <w:noWrap w:val="0"/>
            <w:vAlign w:val="center"/>
          </w:tcPr>
          <w:p w14:paraId="3DC2831B">
            <w:pPr>
              <w:widowControl/>
              <w:spacing w:line="300" w:lineRule="auto"/>
              <w:jc w:val="left"/>
              <w:rPr>
                <w:rFonts w:hint="eastAsia" w:ascii="宋体" w:hAnsi="宋体" w:eastAsia="宋体" w:cs="宋体"/>
                <w:color w:val="auto"/>
              </w:rPr>
            </w:pPr>
            <w:r>
              <w:rPr>
                <w:rFonts w:hint="eastAsia" w:ascii="宋体" w:hAnsi="宋体" w:eastAsia="宋体" w:cs="宋体"/>
                <w:color w:val="auto"/>
              </w:rPr>
              <w:t>一、功能</w:t>
            </w:r>
          </w:p>
          <w:p w14:paraId="2F49219D">
            <w:pPr>
              <w:widowControl/>
              <w:spacing w:line="300" w:lineRule="auto"/>
              <w:jc w:val="left"/>
              <w:rPr>
                <w:rFonts w:hint="eastAsia" w:ascii="宋体" w:hAnsi="宋体" w:eastAsia="宋体" w:cs="宋体"/>
                <w:color w:val="auto"/>
              </w:rPr>
            </w:pPr>
            <w:r>
              <w:rPr>
                <w:rFonts w:hint="eastAsia" w:ascii="宋体" w:hAnsi="宋体" w:eastAsia="宋体" w:cs="宋体"/>
                <w:color w:val="auto"/>
              </w:rPr>
              <w:t>通过与试样预处理技术相配合，能够分离复杂相体中的微量成分，进行定量和定性分析，不受样品挥发性的限制。</w:t>
            </w:r>
          </w:p>
          <w:p w14:paraId="14926C8B">
            <w:pPr>
              <w:widowControl/>
              <w:spacing w:line="300" w:lineRule="auto"/>
              <w:jc w:val="left"/>
              <w:rPr>
                <w:rFonts w:hint="eastAsia" w:ascii="宋体" w:hAnsi="宋体" w:eastAsia="宋体" w:cs="宋体"/>
                <w:color w:val="auto"/>
              </w:rPr>
            </w:pPr>
            <w:r>
              <w:rPr>
                <w:rFonts w:hint="eastAsia" w:ascii="宋体" w:hAnsi="宋体" w:eastAsia="宋体" w:cs="宋体"/>
                <w:color w:val="auto"/>
              </w:rPr>
              <w:t>二、工作环境条件</w:t>
            </w:r>
          </w:p>
          <w:p w14:paraId="6C3F8121">
            <w:pPr>
              <w:widowControl/>
              <w:spacing w:line="300" w:lineRule="auto"/>
              <w:jc w:val="left"/>
              <w:rPr>
                <w:rFonts w:hint="eastAsia" w:ascii="宋体" w:hAnsi="宋体" w:eastAsia="宋体" w:cs="宋体"/>
                <w:color w:val="auto"/>
              </w:rPr>
            </w:pPr>
            <w:r>
              <w:rPr>
                <w:rFonts w:hint="eastAsia" w:ascii="宋体" w:hAnsi="宋体" w:eastAsia="宋体" w:cs="宋体"/>
                <w:color w:val="auto"/>
              </w:rPr>
              <w:t>1.工作电压：220V±10%。</w:t>
            </w:r>
          </w:p>
          <w:p w14:paraId="5AB1EED2">
            <w:pPr>
              <w:widowControl/>
              <w:spacing w:line="300" w:lineRule="auto"/>
              <w:jc w:val="left"/>
              <w:rPr>
                <w:rFonts w:hint="eastAsia" w:ascii="宋体" w:hAnsi="宋体" w:eastAsia="宋体" w:cs="宋体"/>
                <w:color w:val="auto"/>
              </w:rPr>
            </w:pPr>
            <w:r>
              <w:rPr>
                <w:rFonts w:hint="eastAsia" w:ascii="宋体" w:hAnsi="宋体" w:eastAsia="宋体" w:cs="宋体"/>
                <w:color w:val="auto"/>
              </w:rPr>
              <w:t>1.温度：18-28℃。</w:t>
            </w:r>
          </w:p>
          <w:p w14:paraId="66A83C7E">
            <w:pPr>
              <w:widowControl/>
              <w:spacing w:line="300" w:lineRule="auto"/>
              <w:jc w:val="left"/>
              <w:rPr>
                <w:rFonts w:hint="eastAsia" w:ascii="宋体" w:hAnsi="宋体" w:eastAsia="宋体" w:cs="宋体"/>
                <w:color w:val="auto"/>
              </w:rPr>
            </w:pPr>
            <w:r>
              <w:rPr>
                <w:rFonts w:hint="eastAsia" w:ascii="宋体" w:hAnsi="宋体" w:eastAsia="宋体" w:cs="宋体"/>
                <w:color w:val="auto"/>
              </w:rPr>
              <w:t>1.湿度：40-70%。</w:t>
            </w:r>
          </w:p>
          <w:p w14:paraId="7CE27A37">
            <w:pPr>
              <w:widowControl/>
              <w:spacing w:line="300" w:lineRule="auto"/>
              <w:jc w:val="left"/>
              <w:rPr>
                <w:rFonts w:hint="eastAsia" w:ascii="宋体" w:hAnsi="宋体" w:eastAsia="宋体" w:cs="宋体"/>
                <w:color w:val="auto"/>
              </w:rPr>
            </w:pPr>
            <w:r>
              <w:rPr>
                <w:rFonts w:hint="eastAsia" w:ascii="宋体" w:hAnsi="宋体" w:eastAsia="宋体" w:cs="宋体"/>
                <w:color w:val="auto"/>
              </w:rPr>
              <w:t>三、技术参数</w:t>
            </w:r>
          </w:p>
          <w:p w14:paraId="45F0B7D5">
            <w:pPr>
              <w:widowControl/>
              <w:spacing w:line="300" w:lineRule="auto"/>
              <w:jc w:val="left"/>
              <w:rPr>
                <w:rFonts w:hint="eastAsia" w:ascii="宋体" w:hAnsi="宋体" w:eastAsia="宋体" w:cs="宋体"/>
                <w:color w:val="auto"/>
              </w:rPr>
            </w:pPr>
            <w:r>
              <w:rPr>
                <w:rFonts w:hint="eastAsia" w:ascii="宋体" w:hAnsi="宋体" w:eastAsia="宋体" w:cs="宋体"/>
                <w:color w:val="auto"/>
              </w:rPr>
              <w:t>1.液体自动进样系统</w:t>
            </w:r>
          </w:p>
          <w:p w14:paraId="7FB42E13">
            <w:pPr>
              <w:widowControl/>
              <w:spacing w:line="300" w:lineRule="auto"/>
              <w:jc w:val="left"/>
              <w:rPr>
                <w:rFonts w:hint="eastAsia" w:ascii="宋体" w:hAnsi="宋体" w:eastAsia="宋体" w:cs="宋体"/>
                <w:color w:val="auto"/>
              </w:rPr>
            </w:pPr>
            <w:r>
              <w:rPr>
                <w:rFonts w:hint="eastAsia" w:ascii="宋体" w:hAnsi="宋体" w:eastAsia="宋体" w:cs="宋体"/>
                <w:color w:val="auto"/>
              </w:rPr>
              <w:t>★1）样品数量：≥105位，1.5mL样品瓶。</w:t>
            </w:r>
          </w:p>
          <w:p w14:paraId="22A8B387">
            <w:pPr>
              <w:widowControl/>
              <w:spacing w:line="300" w:lineRule="auto"/>
              <w:jc w:val="left"/>
              <w:rPr>
                <w:rFonts w:hint="eastAsia" w:ascii="宋体" w:hAnsi="宋体" w:eastAsia="宋体" w:cs="宋体"/>
                <w:color w:val="auto"/>
              </w:rPr>
            </w:pPr>
            <w:r>
              <w:rPr>
                <w:rFonts w:hint="eastAsia" w:ascii="宋体" w:hAnsi="宋体" w:eastAsia="宋体" w:cs="宋体"/>
                <w:color w:val="auto"/>
              </w:rPr>
              <w:t>2）进样范围：0.1-100µL。</w:t>
            </w:r>
            <w:r>
              <w:rPr>
                <w:rFonts w:hint="eastAsia" w:ascii="宋体" w:hAnsi="宋体" w:eastAsia="宋体" w:cs="宋体"/>
                <w:color w:val="auto"/>
              </w:rPr>
              <w:br w:type="textWrapping"/>
            </w:r>
            <w:r>
              <w:rPr>
                <w:rFonts w:hint="eastAsia" w:ascii="宋体" w:hAnsi="宋体" w:eastAsia="宋体" w:cs="宋体"/>
                <w:color w:val="auto"/>
              </w:rPr>
              <w:t>3）进样精度：≤0.3% RSD。</w:t>
            </w:r>
            <w:r>
              <w:rPr>
                <w:rFonts w:hint="eastAsia" w:ascii="宋体" w:hAnsi="宋体" w:eastAsia="宋体" w:cs="宋体"/>
                <w:color w:val="auto"/>
              </w:rPr>
              <w:br w:type="textWrapping"/>
            </w:r>
            <w:r>
              <w:rPr>
                <w:rFonts w:hint="eastAsia" w:ascii="宋体" w:hAnsi="宋体" w:eastAsia="宋体" w:cs="宋体"/>
                <w:color w:val="auto"/>
              </w:rPr>
              <w:t>4）交叉污染：＜0.1%以下。</w:t>
            </w:r>
          </w:p>
          <w:p w14:paraId="62D762C7">
            <w:pPr>
              <w:widowControl/>
              <w:spacing w:line="300" w:lineRule="auto"/>
              <w:jc w:val="left"/>
              <w:rPr>
                <w:rFonts w:hint="eastAsia" w:ascii="宋体" w:hAnsi="宋体" w:eastAsia="宋体" w:cs="宋体"/>
                <w:color w:val="auto"/>
              </w:rPr>
            </w:pPr>
            <w:r>
              <w:rPr>
                <w:rFonts w:hint="eastAsia" w:ascii="宋体" w:hAnsi="宋体" w:eastAsia="宋体" w:cs="宋体"/>
                <w:color w:val="auto"/>
              </w:rPr>
              <w:t>★5）进样速度：最快10s以下(10μL 进样时)。</w:t>
            </w:r>
          </w:p>
          <w:p w14:paraId="606FB1A2">
            <w:pPr>
              <w:widowControl/>
              <w:spacing w:line="300" w:lineRule="auto"/>
              <w:jc w:val="left"/>
              <w:rPr>
                <w:rFonts w:hint="eastAsia" w:ascii="宋体" w:hAnsi="宋体" w:eastAsia="宋体" w:cs="宋体"/>
                <w:color w:val="auto"/>
              </w:rPr>
            </w:pPr>
            <w:r>
              <w:rPr>
                <w:rFonts w:hint="eastAsia" w:ascii="宋体" w:hAnsi="宋体" w:eastAsia="宋体" w:cs="宋体"/>
                <w:color w:val="auto"/>
              </w:rPr>
              <w:t>6）安全措施：漏液传感器。</w:t>
            </w:r>
          </w:p>
          <w:p w14:paraId="188AC51D">
            <w:pPr>
              <w:widowControl/>
              <w:spacing w:line="300" w:lineRule="auto"/>
              <w:jc w:val="left"/>
              <w:rPr>
                <w:rFonts w:hint="eastAsia" w:ascii="宋体" w:hAnsi="宋体" w:eastAsia="宋体" w:cs="宋体"/>
                <w:color w:val="auto"/>
              </w:rPr>
            </w:pPr>
            <w:r>
              <w:rPr>
                <w:rFonts w:hint="eastAsia" w:ascii="宋体" w:hAnsi="宋体" w:eastAsia="宋体" w:cs="宋体"/>
                <w:color w:val="auto"/>
              </w:rPr>
              <w:t>7）PH值范围：pH 1-9。</w:t>
            </w:r>
          </w:p>
          <w:p w14:paraId="08983482">
            <w:pPr>
              <w:widowControl/>
              <w:spacing w:line="300" w:lineRule="auto"/>
              <w:jc w:val="left"/>
              <w:rPr>
                <w:rFonts w:hint="eastAsia" w:ascii="宋体" w:hAnsi="宋体" w:eastAsia="宋体" w:cs="宋体"/>
                <w:color w:val="auto"/>
              </w:rPr>
            </w:pPr>
            <w:r>
              <w:rPr>
                <w:rFonts w:hint="eastAsia" w:ascii="宋体" w:hAnsi="宋体" w:eastAsia="宋体" w:cs="宋体"/>
                <w:color w:val="auto"/>
              </w:rPr>
              <w:t>8）功能：具有样品、试剂的添加、混合、稀释等多种样品前处理功能。利用前处理指令功能，可编制前处理程序；可应用于柱前衍生化、内标物添加、样品稀释等方面；可自由设置试剂数、添加顺序、混合功能、反应时间；实现将样品、试剂转移到空瓶中进行前处理的方式。</w:t>
            </w:r>
          </w:p>
          <w:p w14:paraId="44DD18EA">
            <w:pPr>
              <w:widowControl/>
              <w:spacing w:line="300" w:lineRule="auto"/>
              <w:jc w:val="left"/>
              <w:rPr>
                <w:rFonts w:hint="eastAsia" w:ascii="宋体" w:hAnsi="宋体" w:eastAsia="宋体" w:cs="宋体"/>
                <w:color w:val="auto"/>
              </w:rPr>
            </w:pPr>
            <w:r>
              <w:rPr>
                <w:rFonts w:hint="eastAsia" w:ascii="宋体" w:hAnsi="宋体" w:eastAsia="宋体" w:cs="宋体"/>
                <w:color w:val="auto"/>
              </w:rPr>
              <w:t>2.四元泵输液系统</w:t>
            </w:r>
          </w:p>
          <w:p w14:paraId="004E573F">
            <w:pPr>
              <w:widowControl/>
              <w:wordWrap w:val="0"/>
              <w:spacing w:line="300" w:lineRule="auto"/>
              <w:jc w:val="left"/>
              <w:rPr>
                <w:rFonts w:hint="eastAsia" w:ascii="宋体" w:hAnsi="宋体" w:eastAsia="宋体" w:cs="宋体"/>
                <w:color w:val="auto"/>
              </w:rPr>
            </w:pPr>
            <w:r>
              <w:rPr>
                <w:rFonts w:hint="eastAsia" w:ascii="宋体" w:hAnsi="宋体" w:eastAsia="宋体" w:cs="宋体"/>
                <w:color w:val="auto"/>
              </w:rPr>
              <w:t>★1)流速范围：0.001-10.000mL/min，递增率0.001mL/min。</w:t>
            </w:r>
          </w:p>
          <w:p w14:paraId="1FCC9D95">
            <w:pPr>
              <w:widowControl/>
              <w:spacing w:line="300" w:lineRule="auto"/>
              <w:jc w:val="left"/>
              <w:rPr>
                <w:rFonts w:hint="eastAsia" w:ascii="宋体" w:hAnsi="宋体" w:eastAsia="宋体" w:cs="宋体"/>
                <w:color w:val="auto"/>
              </w:rPr>
            </w:pPr>
            <w:r>
              <w:rPr>
                <w:rFonts w:hint="eastAsia" w:ascii="宋体" w:hAnsi="宋体" w:eastAsia="宋体" w:cs="宋体"/>
                <w:color w:val="auto"/>
              </w:rPr>
              <w:t>2)最高耐压：≥40MPa。</w:t>
            </w:r>
            <w:r>
              <w:rPr>
                <w:rFonts w:hint="eastAsia" w:ascii="宋体" w:hAnsi="宋体" w:eastAsia="宋体" w:cs="宋体"/>
                <w:color w:val="auto"/>
              </w:rPr>
              <w:br w:type="textWrapping"/>
            </w:r>
            <w:r>
              <w:rPr>
                <w:rFonts w:hint="eastAsia" w:ascii="宋体" w:hAnsi="宋体" w:eastAsia="宋体" w:cs="宋体"/>
                <w:color w:val="auto"/>
              </w:rPr>
              <w:t>★3)流速精度：≤0.06%RSD。</w:t>
            </w:r>
            <w:r>
              <w:rPr>
                <w:rFonts w:hint="eastAsia" w:ascii="宋体" w:hAnsi="宋体" w:eastAsia="宋体" w:cs="宋体"/>
                <w:b/>
                <w:bCs/>
                <w:color w:val="auto"/>
              </w:rPr>
              <w:t>（投标文件中提供流速在0.010mL/min时10次进样的流量重现性RSD%值软件截图）</w:t>
            </w:r>
          </w:p>
          <w:p w14:paraId="6ED990F8">
            <w:pPr>
              <w:widowControl/>
              <w:spacing w:line="300" w:lineRule="auto"/>
              <w:jc w:val="left"/>
              <w:rPr>
                <w:rFonts w:hint="eastAsia" w:ascii="宋体" w:hAnsi="宋体" w:eastAsia="宋体" w:cs="宋体"/>
                <w:color w:val="auto"/>
              </w:rPr>
            </w:pPr>
            <w:r>
              <w:rPr>
                <w:rFonts w:hint="eastAsia" w:ascii="宋体" w:hAnsi="宋体" w:eastAsia="宋体" w:cs="宋体"/>
                <w:color w:val="auto"/>
              </w:rPr>
              <w:t>4)流量准确度：±1%。</w:t>
            </w:r>
          </w:p>
          <w:p w14:paraId="7280FE99">
            <w:pPr>
              <w:widowControl/>
              <w:spacing w:line="300" w:lineRule="auto"/>
              <w:jc w:val="left"/>
              <w:rPr>
                <w:rFonts w:hint="eastAsia" w:ascii="宋体" w:hAnsi="宋体" w:eastAsia="宋体" w:cs="宋体"/>
                <w:color w:val="auto"/>
              </w:rPr>
            </w:pPr>
            <w:r>
              <w:rPr>
                <w:rFonts w:hint="eastAsia" w:ascii="宋体" w:hAnsi="宋体" w:eastAsia="宋体" w:cs="宋体"/>
                <w:color w:val="auto"/>
              </w:rPr>
              <w:t>3.在线脱气机</w:t>
            </w:r>
          </w:p>
          <w:p w14:paraId="6597A76A">
            <w:pPr>
              <w:widowControl/>
              <w:spacing w:line="300" w:lineRule="auto"/>
              <w:jc w:val="left"/>
              <w:rPr>
                <w:rFonts w:hint="eastAsia" w:ascii="宋体" w:hAnsi="宋体" w:eastAsia="宋体" w:cs="宋体"/>
                <w:color w:val="auto"/>
              </w:rPr>
            </w:pPr>
            <w:r>
              <w:rPr>
                <w:rFonts w:hint="eastAsia" w:ascii="宋体" w:hAnsi="宋体" w:eastAsia="宋体" w:cs="宋体"/>
                <w:color w:val="auto"/>
              </w:rPr>
              <w:t>★1)脱气方式：5路在线真空脱气。</w:t>
            </w:r>
            <w:r>
              <w:rPr>
                <w:rFonts w:hint="eastAsia" w:ascii="宋体" w:hAnsi="宋体" w:eastAsia="宋体" w:cs="宋体"/>
                <w:b/>
                <w:bCs/>
                <w:color w:val="auto"/>
              </w:rPr>
              <w:t>（投标文件中提供仪器实物照片证明5路脱气机）</w:t>
            </w:r>
          </w:p>
          <w:p w14:paraId="26429727">
            <w:pPr>
              <w:widowControl/>
              <w:spacing w:line="300" w:lineRule="auto"/>
              <w:jc w:val="left"/>
              <w:rPr>
                <w:rFonts w:hint="eastAsia" w:ascii="宋体" w:hAnsi="宋体" w:eastAsia="宋体" w:cs="宋体"/>
                <w:color w:val="auto"/>
              </w:rPr>
            </w:pPr>
            <w:r>
              <w:rPr>
                <w:rFonts w:hint="eastAsia" w:ascii="宋体" w:hAnsi="宋体" w:eastAsia="宋体" w:cs="宋体"/>
                <w:color w:val="auto"/>
              </w:rPr>
              <w:t>2)脱气流路容量：≥400μL。</w:t>
            </w:r>
          </w:p>
          <w:p w14:paraId="27731E3C">
            <w:pPr>
              <w:widowControl/>
              <w:spacing w:line="300" w:lineRule="auto"/>
              <w:jc w:val="left"/>
              <w:rPr>
                <w:rFonts w:hint="eastAsia" w:ascii="宋体" w:hAnsi="宋体" w:eastAsia="宋体" w:cs="宋体"/>
                <w:color w:val="auto"/>
              </w:rPr>
            </w:pPr>
            <w:r>
              <w:rPr>
                <w:rFonts w:hint="eastAsia" w:ascii="宋体" w:hAnsi="宋体" w:eastAsia="宋体" w:cs="宋体"/>
                <w:color w:val="auto"/>
              </w:rPr>
              <w:t>3)脱气效率：＞20mL/min。</w:t>
            </w:r>
          </w:p>
          <w:p w14:paraId="38A81141">
            <w:pPr>
              <w:widowControl/>
              <w:spacing w:line="300" w:lineRule="auto"/>
              <w:jc w:val="left"/>
              <w:rPr>
                <w:rFonts w:hint="eastAsia" w:ascii="宋体" w:hAnsi="宋体" w:eastAsia="宋体" w:cs="宋体"/>
                <w:color w:val="auto"/>
              </w:rPr>
            </w:pPr>
            <w:r>
              <w:rPr>
                <w:rFonts w:hint="eastAsia" w:ascii="宋体" w:hAnsi="宋体" w:eastAsia="宋体" w:cs="宋体"/>
                <w:color w:val="auto"/>
              </w:rPr>
              <w:t>4.柱温箱</w:t>
            </w:r>
          </w:p>
          <w:p w14:paraId="2B6333BB">
            <w:pPr>
              <w:widowControl/>
              <w:spacing w:line="300" w:lineRule="auto"/>
              <w:jc w:val="left"/>
              <w:rPr>
                <w:rFonts w:hint="eastAsia" w:ascii="宋体" w:hAnsi="宋体" w:eastAsia="宋体" w:cs="宋体"/>
                <w:color w:val="auto"/>
              </w:rPr>
            </w:pPr>
            <w:r>
              <w:rPr>
                <w:rFonts w:hint="eastAsia" w:ascii="宋体" w:hAnsi="宋体" w:eastAsia="宋体" w:cs="宋体"/>
                <w:color w:val="auto"/>
              </w:rPr>
              <w:t>★1)控温范围：室温+5℃～85℃。</w:t>
            </w:r>
          </w:p>
          <w:p w14:paraId="7FE129AC">
            <w:pPr>
              <w:widowControl/>
              <w:spacing w:line="300" w:lineRule="auto"/>
              <w:jc w:val="left"/>
              <w:rPr>
                <w:rFonts w:hint="eastAsia" w:ascii="宋体" w:hAnsi="宋体" w:eastAsia="宋体" w:cs="宋体"/>
                <w:color w:val="auto"/>
              </w:rPr>
            </w:pPr>
            <w:r>
              <w:rPr>
                <w:rFonts w:hint="eastAsia" w:ascii="宋体" w:hAnsi="宋体" w:eastAsia="宋体" w:cs="宋体"/>
                <w:color w:val="auto"/>
              </w:rPr>
              <w:t>2)控温精度：≤0.1℃。</w:t>
            </w:r>
          </w:p>
          <w:p w14:paraId="1EBDA479">
            <w:pPr>
              <w:widowControl/>
              <w:spacing w:line="300" w:lineRule="auto"/>
              <w:jc w:val="left"/>
              <w:rPr>
                <w:rFonts w:hint="eastAsia" w:ascii="宋体" w:hAnsi="宋体" w:eastAsia="宋体" w:cs="宋体"/>
                <w:color w:val="auto"/>
              </w:rPr>
            </w:pPr>
            <w:r>
              <w:rPr>
                <w:rFonts w:hint="eastAsia" w:ascii="宋体" w:hAnsi="宋体" w:eastAsia="宋体" w:cs="宋体"/>
                <w:color w:val="auto"/>
              </w:rPr>
              <w:t>3)温度控制方式：模块加热方式。</w:t>
            </w:r>
          </w:p>
          <w:p w14:paraId="28507FF6">
            <w:pPr>
              <w:widowControl/>
              <w:spacing w:line="300" w:lineRule="auto"/>
              <w:jc w:val="left"/>
              <w:rPr>
                <w:rFonts w:hint="eastAsia" w:ascii="宋体" w:hAnsi="宋体" w:eastAsia="宋体" w:cs="宋体"/>
                <w:color w:val="auto"/>
              </w:rPr>
            </w:pPr>
            <w:r>
              <w:rPr>
                <w:rFonts w:hint="eastAsia" w:ascii="宋体" w:hAnsi="宋体" w:eastAsia="宋体" w:cs="宋体"/>
                <w:color w:val="auto"/>
              </w:rPr>
              <w:t>5.二极管阵列检测器</w:t>
            </w:r>
          </w:p>
          <w:p w14:paraId="7F085D00">
            <w:pPr>
              <w:widowControl/>
              <w:spacing w:line="300" w:lineRule="auto"/>
              <w:jc w:val="left"/>
              <w:rPr>
                <w:rFonts w:hint="eastAsia" w:ascii="宋体" w:hAnsi="宋体" w:eastAsia="宋体" w:cs="宋体"/>
                <w:color w:val="auto"/>
              </w:rPr>
            </w:pPr>
            <w:r>
              <w:rPr>
                <w:rFonts w:hint="eastAsia" w:ascii="宋体" w:hAnsi="宋体" w:eastAsia="宋体" w:cs="宋体"/>
                <w:color w:val="auto"/>
              </w:rPr>
              <w:t>1)光源：氘灯和钨灯。</w:t>
            </w:r>
          </w:p>
          <w:p w14:paraId="743CCD16">
            <w:pPr>
              <w:widowControl/>
              <w:spacing w:line="300" w:lineRule="auto"/>
              <w:jc w:val="left"/>
              <w:rPr>
                <w:rFonts w:hint="eastAsia" w:ascii="宋体" w:hAnsi="宋体" w:eastAsia="宋体" w:cs="宋体"/>
                <w:color w:val="auto"/>
              </w:rPr>
            </w:pPr>
            <w:r>
              <w:rPr>
                <w:rFonts w:hint="eastAsia" w:ascii="宋体" w:hAnsi="宋体" w:eastAsia="宋体" w:cs="宋体"/>
                <w:color w:val="auto"/>
              </w:rPr>
              <w:t>2)二极管数量：≥1024。</w:t>
            </w:r>
          </w:p>
          <w:p w14:paraId="5B55DEC4">
            <w:pPr>
              <w:widowControl/>
              <w:spacing w:line="300" w:lineRule="auto"/>
              <w:jc w:val="left"/>
              <w:rPr>
                <w:rFonts w:hint="eastAsia" w:ascii="宋体" w:hAnsi="宋体" w:eastAsia="宋体" w:cs="宋体"/>
                <w:color w:val="auto"/>
              </w:rPr>
            </w:pPr>
            <w:r>
              <w:rPr>
                <w:rFonts w:hint="eastAsia" w:ascii="宋体" w:hAnsi="宋体" w:eastAsia="宋体" w:cs="宋体"/>
                <w:color w:val="auto"/>
              </w:rPr>
              <w:t>3)波长范围：190～800nm。</w:t>
            </w:r>
          </w:p>
          <w:p w14:paraId="0B17682A">
            <w:pPr>
              <w:widowControl/>
              <w:spacing w:line="300" w:lineRule="auto"/>
              <w:jc w:val="left"/>
              <w:rPr>
                <w:rFonts w:hint="eastAsia" w:ascii="宋体" w:hAnsi="宋体" w:eastAsia="宋体" w:cs="宋体"/>
                <w:color w:val="auto"/>
              </w:rPr>
            </w:pPr>
            <w:r>
              <w:rPr>
                <w:rFonts w:hint="eastAsia" w:ascii="宋体" w:hAnsi="宋体" w:eastAsia="宋体" w:cs="宋体"/>
                <w:color w:val="auto"/>
              </w:rPr>
              <w:t>4)漂移：＜0.4×10-3AU/h。</w:t>
            </w:r>
          </w:p>
          <w:p w14:paraId="14BEB230">
            <w:pPr>
              <w:widowControl/>
              <w:spacing w:line="300" w:lineRule="auto"/>
              <w:jc w:val="left"/>
              <w:rPr>
                <w:rFonts w:hint="eastAsia" w:ascii="宋体" w:hAnsi="宋体" w:eastAsia="宋体" w:cs="宋体"/>
                <w:color w:val="auto"/>
              </w:rPr>
            </w:pPr>
            <w:r>
              <w:rPr>
                <w:rFonts w:hint="eastAsia" w:ascii="宋体" w:hAnsi="宋体" w:eastAsia="宋体" w:cs="宋体"/>
                <w:color w:val="auto"/>
              </w:rPr>
              <w:t>5)噪音：＜4.5×10-6AU。</w:t>
            </w:r>
          </w:p>
          <w:p w14:paraId="385C227C">
            <w:pPr>
              <w:widowControl/>
              <w:spacing w:line="300" w:lineRule="auto"/>
              <w:jc w:val="left"/>
              <w:rPr>
                <w:rFonts w:hint="eastAsia" w:ascii="宋体" w:hAnsi="宋体" w:eastAsia="宋体" w:cs="宋体"/>
                <w:color w:val="auto"/>
              </w:rPr>
            </w:pPr>
            <w:r>
              <w:rPr>
                <w:rFonts w:hint="eastAsia" w:ascii="宋体" w:hAnsi="宋体" w:eastAsia="宋体" w:cs="宋体"/>
                <w:color w:val="auto"/>
              </w:rPr>
              <w:t>6)线性：＞2.4AU。</w:t>
            </w:r>
          </w:p>
          <w:p w14:paraId="14B7F2F4">
            <w:pPr>
              <w:widowControl/>
              <w:spacing w:line="300" w:lineRule="auto"/>
              <w:jc w:val="left"/>
              <w:rPr>
                <w:rFonts w:hint="eastAsia" w:ascii="宋体" w:hAnsi="宋体" w:eastAsia="宋体" w:cs="宋体"/>
                <w:color w:val="auto"/>
              </w:rPr>
            </w:pPr>
            <w:r>
              <w:rPr>
                <w:rFonts w:hint="eastAsia" w:ascii="宋体" w:hAnsi="宋体" w:eastAsia="宋体" w:cs="宋体"/>
                <w:color w:val="auto"/>
              </w:rPr>
              <w:t>7)温度系数：＜0.3×10-3AU/℃。</w:t>
            </w:r>
          </w:p>
          <w:p w14:paraId="638C904D">
            <w:pPr>
              <w:widowControl/>
              <w:spacing w:line="300" w:lineRule="auto"/>
              <w:jc w:val="left"/>
              <w:rPr>
                <w:rFonts w:hint="eastAsia" w:ascii="宋体" w:hAnsi="宋体" w:eastAsia="宋体" w:cs="宋体"/>
                <w:color w:val="auto"/>
              </w:rPr>
            </w:pPr>
            <w:r>
              <w:rPr>
                <w:rFonts w:hint="eastAsia" w:ascii="宋体" w:hAnsi="宋体" w:eastAsia="宋体" w:cs="宋体"/>
                <w:color w:val="auto"/>
              </w:rPr>
              <w:t>8)标准池：光程：≥10mm、池体积：≥12μL、耐压：≥12MPa。</w:t>
            </w:r>
          </w:p>
          <w:p w14:paraId="591B1032">
            <w:pPr>
              <w:widowControl/>
              <w:spacing w:line="300" w:lineRule="auto"/>
              <w:jc w:val="left"/>
              <w:rPr>
                <w:rFonts w:hint="eastAsia" w:ascii="宋体" w:hAnsi="宋体" w:eastAsia="宋体" w:cs="宋体"/>
                <w:color w:val="auto"/>
              </w:rPr>
            </w:pPr>
            <w:r>
              <w:rPr>
                <w:rFonts w:hint="eastAsia" w:ascii="宋体" w:hAnsi="宋体" w:eastAsia="宋体" w:cs="宋体"/>
                <w:color w:val="auto"/>
              </w:rPr>
              <w:t>★9)控温单元：光源，光路系统，流通池(部分选配流通池除外)。</w:t>
            </w:r>
          </w:p>
          <w:p w14:paraId="30211294">
            <w:pPr>
              <w:widowControl/>
              <w:spacing w:line="300" w:lineRule="auto"/>
              <w:jc w:val="left"/>
              <w:rPr>
                <w:rFonts w:hint="eastAsia" w:ascii="宋体" w:hAnsi="宋体" w:eastAsia="宋体" w:cs="宋体"/>
                <w:color w:val="auto"/>
              </w:rPr>
            </w:pPr>
            <w:r>
              <w:rPr>
                <w:rFonts w:hint="eastAsia" w:ascii="宋体" w:hAnsi="宋体" w:eastAsia="宋体" w:cs="宋体"/>
                <w:color w:val="auto"/>
              </w:rPr>
              <w:t>10)流通池温控：19～50℃、1℃步进。</w:t>
            </w:r>
          </w:p>
          <w:p w14:paraId="2CFFA72C">
            <w:pPr>
              <w:widowControl/>
              <w:spacing w:line="300" w:lineRule="auto"/>
              <w:jc w:val="left"/>
              <w:rPr>
                <w:rFonts w:hint="eastAsia" w:ascii="宋体" w:hAnsi="宋体" w:eastAsia="宋体" w:cs="宋体"/>
                <w:color w:val="auto"/>
              </w:rPr>
            </w:pPr>
            <w:r>
              <w:rPr>
                <w:rFonts w:hint="eastAsia" w:ascii="宋体" w:hAnsi="宋体" w:eastAsia="宋体" w:cs="宋体"/>
                <w:color w:val="auto"/>
              </w:rPr>
              <w:t>6.荧光检测器</w:t>
            </w:r>
            <w:r>
              <w:rPr>
                <w:rFonts w:hint="eastAsia" w:ascii="宋体" w:hAnsi="宋体" w:eastAsia="宋体" w:cs="宋体"/>
                <w:color w:val="auto"/>
              </w:rPr>
              <w:br w:type="textWrapping"/>
            </w:r>
            <w:r>
              <w:rPr>
                <w:rFonts w:hint="eastAsia" w:ascii="宋体" w:hAnsi="宋体" w:eastAsia="宋体" w:cs="宋体"/>
                <w:color w:val="auto"/>
              </w:rPr>
              <w:t>1)光源：氙灯。</w:t>
            </w:r>
          </w:p>
          <w:p w14:paraId="5498CCFE">
            <w:pPr>
              <w:widowControl/>
              <w:spacing w:line="300" w:lineRule="auto"/>
              <w:jc w:val="left"/>
              <w:rPr>
                <w:rFonts w:hint="eastAsia" w:ascii="宋体" w:hAnsi="宋体" w:eastAsia="宋体" w:cs="宋体"/>
                <w:color w:val="auto"/>
              </w:rPr>
            </w:pPr>
            <w:r>
              <w:rPr>
                <w:rFonts w:hint="eastAsia" w:ascii="宋体" w:hAnsi="宋体" w:eastAsia="宋体" w:cs="宋体"/>
                <w:color w:val="auto"/>
              </w:rPr>
              <w:t>2)波长范围：200～650nm。</w:t>
            </w:r>
          </w:p>
          <w:p w14:paraId="71C9B700">
            <w:pPr>
              <w:widowControl/>
              <w:spacing w:line="300" w:lineRule="auto"/>
              <w:jc w:val="left"/>
              <w:rPr>
                <w:rFonts w:hint="eastAsia" w:ascii="宋体" w:hAnsi="宋体" w:eastAsia="宋体" w:cs="宋体"/>
                <w:color w:val="auto"/>
              </w:rPr>
            </w:pPr>
            <w:r>
              <w:rPr>
                <w:rFonts w:hint="eastAsia" w:ascii="宋体" w:hAnsi="宋体" w:eastAsia="宋体" w:cs="宋体"/>
                <w:color w:val="auto"/>
              </w:rPr>
              <w:t>3)光谱带宽：20nm。</w:t>
            </w:r>
          </w:p>
          <w:p w14:paraId="53B4FF30">
            <w:pPr>
              <w:widowControl/>
              <w:spacing w:line="300" w:lineRule="auto"/>
              <w:jc w:val="left"/>
              <w:rPr>
                <w:rFonts w:hint="eastAsia" w:ascii="宋体" w:hAnsi="宋体" w:eastAsia="宋体" w:cs="宋体"/>
                <w:color w:val="auto"/>
              </w:rPr>
            </w:pPr>
            <w:r>
              <w:rPr>
                <w:rFonts w:hint="eastAsia" w:ascii="宋体" w:hAnsi="宋体" w:eastAsia="宋体" w:cs="宋体"/>
                <w:color w:val="auto"/>
              </w:rPr>
              <w:t>4)波长准确度：±2nm。</w:t>
            </w:r>
          </w:p>
          <w:p w14:paraId="6D31AB29">
            <w:pPr>
              <w:widowControl/>
              <w:spacing w:line="300" w:lineRule="auto"/>
              <w:jc w:val="left"/>
              <w:rPr>
                <w:rFonts w:hint="eastAsia" w:ascii="宋体" w:hAnsi="宋体" w:eastAsia="宋体" w:cs="宋体"/>
                <w:color w:val="auto"/>
              </w:rPr>
            </w:pPr>
            <w:r>
              <w:rPr>
                <w:rFonts w:hint="eastAsia" w:ascii="宋体" w:hAnsi="宋体" w:eastAsia="宋体" w:cs="宋体"/>
                <w:color w:val="auto"/>
              </w:rPr>
              <w:t>5)波长精度：±0.2nm。</w:t>
            </w:r>
          </w:p>
          <w:p w14:paraId="54E85128">
            <w:pPr>
              <w:widowControl/>
              <w:spacing w:line="300" w:lineRule="auto"/>
              <w:jc w:val="left"/>
              <w:rPr>
                <w:rFonts w:hint="eastAsia" w:ascii="宋体" w:hAnsi="宋体" w:eastAsia="宋体" w:cs="宋体"/>
                <w:color w:val="auto"/>
              </w:rPr>
            </w:pPr>
            <w:r>
              <w:rPr>
                <w:rFonts w:hint="eastAsia" w:ascii="宋体" w:hAnsi="宋体" w:eastAsia="宋体" w:cs="宋体"/>
                <w:color w:val="auto"/>
              </w:rPr>
              <w:t>6)S/N：水的拉曼峰＞S/N1200，暗背景下＞S/N8000。</w:t>
            </w:r>
          </w:p>
          <w:p w14:paraId="2257F4F0">
            <w:pPr>
              <w:widowControl/>
              <w:spacing w:line="300" w:lineRule="auto"/>
              <w:jc w:val="left"/>
              <w:rPr>
                <w:rFonts w:hint="eastAsia" w:ascii="宋体" w:hAnsi="宋体" w:eastAsia="宋体" w:cs="宋体"/>
                <w:color w:val="auto"/>
              </w:rPr>
            </w:pPr>
            <w:r>
              <w:rPr>
                <w:rFonts w:hint="eastAsia" w:ascii="宋体" w:hAnsi="宋体" w:eastAsia="宋体" w:cs="宋体"/>
                <w:color w:val="auto"/>
              </w:rPr>
              <w:t>7)检测池：体积≥12μL，最大耐压≥2Mpa。</w:t>
            </w:r>
          </w:p>
          <w:p w14:paraId="47F967B2">
            <w:pPr>
              <w:widowControl/>
              <w:spacing w:line="300" w:lineRule="auto"/>
              <w:jc w:val="left"/>
              <w:rPr>
                <w:rFonts w:hint="eastAsia" w:ascii="宋体" w:hAnsi="宋体" w:eastAsia="宋体" w:cs="宋体"/>
                <w:color w:val="auto"/>
              </w:rPr>
            </w:pPr>
            <w:r>
              <w:rPr>
                <w:rFonts w:hint="eastAsia" w:ascii="宋体" w:hAnsi="宋体" w:eastAsia="宋体" w:cs="宋体"/>
                <w:color w:val="auto"/>
              </w:rPr>
              <w:t>8)操作温度范围：4～35℃。</w:t>
            </w:r>
          </w:p>
          <w:p w14:paraId="029637D6">
            <w:pPr>
              <w:widowControl/>
              <w:spacing w:line="300" w:lineRule="auto"/>
              <w:jc w:val="left"/>
              <w:rPr>
                <w:rFonts w:hint="eastAsia" w:ascii="宋体" w:hAnsi="宋体" w:eastAsia="宋体" w:cs="宋体"/>
                <w:color w:val="auto"/>
              </w:rPr>
            </w:pPr>
            <w:r>
              <w:rPr>
                <w:rFonts w:hint="eastAsia" w:ascii="宋体" w:hAnsi="宋体" w:eastAsia="宋体" w:cs="宋体"/>
                <w:color w:val="auto"/>
              </w:rPr>
              <w:t>7.工作站软件</w:t>
            </w:r>
          </w:p>
          <w:p w14:paraId="277995F4">
            <w:pPr>
              <w:spacing w:line="300" w:lineRule="auto"/>
              <w:rPr>
                <w:rFonts w:hint="eastAsia" w:ascii="宋体" w:hAnsi="宋体" w:eastAsia="宋体" w:cs="宋体"/>
                <w:color w:val="auto"/>
              </w:rPr>
            </w:pPr>
            <w:r>
              <w:rPr>
                <w:rFonts w:hint="eastAsia" w:ascii="宋体" w:hAnsi="宋体" w:eastAsia="宋体" w:cs="宋体"/>
                <w:color w:val="auto"/>
              </w:rPr>
              <w:t>1)中文工作站:集仪器控制、数据采集与数据再解析为一体的工作站。采用图形化导引模块功能。</w:t>
            </w:r>
          </w:p>
          <w:p w14:paraId="15BAD320">
            <w:pPr>
              <w:spacing w:line="300" w:lineRule="auto"/>
              <w:rPr>
                <w:rFonts w:hint="eastAsia" w:ascii="宋体" w:hAnsi="宋体" w:eastAsia="宋体" w:cs="宋体"/>
                <w:color w:val="auto"/>
              </w:rPr>
            </w:pPr>
            <w:r>
              <w:rPr>
                <w:rFonts w:hint="eastAsia" w:ascii="宋体" w:hAnsi="宋体" w:eastAsia="宋体" w:cs="宋体"/>
                <w:color w:val="auto"/>
              </w:rPr>
              <w:t>2)GLP/GMP 法规要求:具有用户账号管理功能及监督追踪（审计追踪）的功能，可利用QA/QC 和系统稳定性计算结果阈值参数控制动作的功能，可以根据校准曲线的自动判断、稳定性试验、样品分析结果设定分析暂停或停止、再进样等动作，实现智能化分析。</w:t>
            </w:r>
          </w:p>
          <w:p w14:paraId="6A7699E9">
            <w:pPr>
              <w:spacing w:line="300" w:lineRule="auto"/>
              <w:rPr>
                <w:rFonts w:hint="eastAsia" w:ascii="宋体" w:hAnsi="宋体" w:eastAsia="宋体" w:cs="宋体"/>
                <w:color w:val="auto"/>
              </w:rPr>
            </w:pPr>
            <w:r>
              <w:rPr>
                <w:rFonts w:hint="eastAsia" w:ascii="宋体" w:hAnsi="宋体" w:eastAsia="宋体" w:cs="宋体"/>
                <w:color w:val="auto"/>
              </w:rPr>
              <w:t>3)远程通讯功能：可以在智能手机、平板电脑等用户界面上实现仪器状态的显示和控制。使用者可以不用特地到仪器前面，在实验室以外的地点，用智能手机或平板电脑也可以确认和控制系统状态。还能同时管理多个系统。</w:t>
            </w:r>
          </w:p>
          <w:p w14:paraId="5D4641FF">
            <w:pPr>
              <w:spacing w:line="300" w:lineRule="auto"/>
              <w:rPr>
                <w:rFonts w:hint="eastAsia" w:ascii="宋体" w:hAnsi="宋体" w:eastAsia="宋体" w:cs="宋体"/>
                <w:color w:val="auto"/>
              </w:rPr>
            </w:pPr>
            <w:r>
              <w:rPr>
                <w:rFonts w:hint="eastAsia" w:ascii="宋体" w:hAnsi="宋体" w:eastAsia="宋体" w:cs="宋体"/>
                <w:color w:val="auto"/>
              </w:rPr>
              <w:t>4)仪器自动化功能：实现全自动分析流程，可实现仪器自动唤醒、自动流路清洗、自动批处理分析、自动报告打印、自动停机和分析情况通过电邮自动提醒功能。</w:t>
            </w:r>
          </w:p>
          <w:p w14:paraId="48B8BDD7">
            <w:pPr>
              <w:widowControl/>
              <w:spacing w:line="300" w:lineRule="auto"/>
              <w:jc w:val="left"/>
              <w:rPr>
                <w:rFonts w:hint="eastAsia" w:ascii="宋体" w:hAnsi="宋体" w:eastAsia="宋体" w:cs="宋体"/>
                <w:color w:val="auto"/>
              </w:rPr>
            </w:pPr>
            <w:r>
              <w:rPr>
                <w:rFonts w:hint="eastAsia" w:ascii="宋体" w:hAnsi="宋体" w:eastAsia="宋体" w:cs="宋体"/>
                <w:color w:val="auto"/>
              </w:rPr>
              <w:t>三、配置基本要求</w:t>
            </w:r>
          </w:p>
          <w:p w14:paraId="04DA45E1">
            <w:pPr>
              <w:widowControl/>
              <w:spacing w:line="300" w:lineRule="auto"/>
              <w:jc w:val="left"/>
              <w:rPr>
                <w:rFonts w:hint="eastAsia" w:ascii="宋体" w:hAnsi="宋体" w:eastAsia="宋体" w:cs="宋体"/>
                <w:color w:val="auto"/>
              </w:rPr>
            </w:pPr>
            <w:r>
              <w:rPr>
                <w:rFonts w:hint="eastAsia" w:ascii="宋体" w:hAnsi="宋体" w:eastAsia="宋体" w:cs="宋体"/>
                <w:color w:val="auto"/>
              </w:rPr>
              <w:t>1.四元梯度泵1套。</w:t>
            </w:r>
          </w:p>
          <w:p w14:paraId="5A91131F">
            <w:pPr>
              <w:widowControl/>
              <w:spacing w:line="300" w:lineRule="auto"/>
              <w:jc w:val="left"/>
              <w:rPr>
                <w:rFonts w:hint="eastAsia" w:ascii="宋体" w:hAnsi="宋体" w:eastAsia="宋体" w:cs="宋体"/>
                <w:color w:val="auto"/>
              </w:rPr>
            </w:pPr>
            <w:r>
              <w:rPr>
                <w:rFonts w:hint="eastAsia" w:ascii="宋体" w:hAnsi="宋体" w:eastAsia="宋体" w:cs="宋体"/>
                <w:color w:val="auto"/>
              </w:rPr>
              <w:t>2.在线脱气机1套。</w:t>
            </w:r>
          </w:p>
          <w:p w14:paraId="7BE31461">
            <w:pPr>
              <w:widowControl/>
              <w:spacing w:line="300" w:lineRule="auto"/>
              <w:jc w:val="left"/>
              <w:rPr>
                <w:rFonts w:hint="eastAsia" w:ascii="宋体" w:hAnsi="宋体" w:eastAsia="宋体" w:cs="宋体"/>
                <w:color w:val="auto"/>
              </w:rPr>
            </w:pPr>
            <w:r>
              <w:rPr>
                <w:rFonts w:hint="eastAsia" w:ascii="宋体" w:hAnsi="宋体" w:eastAsia="宋体" w:cs="宋体"/>
                <w:color w:val="auto"/>
              </w:rPr>
              <w:t>3.自动进样器1套。</w:t>
            </w:r>
          </w:p>
          <w:p w14:paraId="2CAC1067">
            <w:pPr>
              <w:widowControl/>
              <w:spacing w:line="300" w:lineRule="auto"/>
              <w:jc w:val="left"/>
              <w:rPr>
                <w:rFonts w:hint="eastAsia" w:ascii="宋体" w:hAnsi="宋体" w:eastAsia="宋体" w:cs="宋体"/>
                <w:color w:val="auto"/>
              </w:rPr>
            </w:pPr>
            <w:r>
              <w:rPr>
                <w:rFonts w:hint="eastAsia" w:ascii="宋体" w:hAnsi="宋体" w:eastAsia="宋体" w:cs="宋体"/>
                <w:color w:val="auto"/>
              </w:rPr>
              <w:t>4.柱温箱1套。</w:t>
            </w:r>
          </w:p>
          <w:p w14:paraId="03AAA43E">
            <w:pPr>
              <w:widowControl/>
              <w:spacing w:line="300" w:lineRule="auto"/>
              <w:jc w:val="left"/>
              <w:rPr>
                <w:rFonts w:hint="eastAsia" w:ascii="宋体" w:hAnsi="宋体" w:eastAsia="宋体" w:cs="宋体"/>
                <w:color w:val="auto"/>
              </w:rPr>
            </w:pPr>
            <w:r>
              <w:rPr>
                <w:rFonts w:hint="eastAsia" w:ascii="宋体" w:hAnsi="宋体" w:eastAsia="宋体" w:cs="宋体"/>
                <w:color w:val="auto"/>
              </w:rPr>
              <w:t>5.二极管阵列检测器1套。</w:t>
            </w:r>
          </w:p>
          <w:p w14:paraId="54CD0B09">
            <w:pPr>
              <w:widowControl/>
              <w:spacing w:line="300" w:lineRule="auto"/>
              <w:jc w:val="left"/>
              <w:rPr>
                <w:rFonts w:hint="eastAsia" w:ascii="宋体" w:hAnsi="宋体" w:eastAsia="宋体" w:cs="宋体"/>
                <w:color w:val="auto"/>
              </w:rPr>
            </w:pPr>
            <w:r>
              <w:rPr>
                <w:rFonts w:hint="eastAsia" w:ascii="宋体" w:hAnsi="宋体" w:eastAsia="宋体" w:cs="宋体"/>
                <w:color w:val="auto"/>
              </w:rPr>
              <w:t>6.荧光检测器1套。</w:t>
            </w:r>
          </w:p>
          <w:p w14:paraId="0C27C93C">
            <w:pPr>
              <w:widowControl/>
              <w:spacing w:line="300" w:lineRule="auto"/>
              <w:ind w:left="420" w:hanging="420" w:hangingChars="200"/>
              <w:jc w:val="left"/>
              <w:rPr>
                <w:rFonts w:hint="eastAsia" w:ascii="宋体" w:hAnsi="宋体" w:eastAsia="宋体" w:cs="宋体"/>
                <w:color w:val="auto"/>
              </w:rPr>
            </w:pPr>
            <w:r>
              <w:rPr>
                <w:rFonts w:hint="eastAsia" w:ascii="宋体" w:hAnsi="宋体" w:eastAsia="宋体" w:cs="宋体"/>
                <w:color w:val="auto"/>
              </w:rPr>
              <w:t>7.色谱柱C18一根（250mm）。</w:t>
            </w:r>
          </w:p>
          <w:p w14:paraId="74CFBA34">
            <w:pPr>
              <w:widowControl/>
              <w:spacing w:line="300" w:lineRule="auto"/>
              <w:jc w:val="left"/>
              <w:rPr>
                <w:rFonts w:hint="eastAsia" w:ascii="宋体" w:hAnsi="宋体" w:eastAsia="宋体" w:cs="宋体"/>
                <w:color w:val="auto"/>
              </w:rPr>
            </w:pPr>
            <w:r>
              <w:rPr>
                <w:rFonts w:hint="eastAsia" w:ascii="宋体" w:hAnsi="宋体" w:eastAsia="宋体" w:cs="宋体"/>
                <w:color w:val="auto"/>
              </w:rPr>
              <w:t>8.原厂液相中文工作站软件一套。</w:t>
            </w:r>
          </w:p>
          <w:p w14:paraId="77AD3149">
            <w:pPr>
              <w:widowControl/>
              <w:spacing w:line="300" w:lineRule="auto"/>
              <w:jc w:val="left"/>
              <w:rPr>
                <w:rFonts w:hint="eastAsia" w:ascii="宋体" w:hAnsi="宋体" w:eastAsia="宋体" w:cs="宋体"/>
                <w:color w:val="auto"/>
              </w:rPr>
            </w:pPr>
            <w:r>
              <w:rPr>
                <w:rFonts w:hint="eastAsia" w:ascii="宋体" w:hAnsi="宋体" w:eastAsia="宋体" w:cs="宋体"/>
                <w:color w:val="auto"/>
              </w:rPr>
              <w:t>9.溶剂瓶5个（1L）。</w:t>
            </w:r>
          </w:p>
          <w:p w14:paraId="1423096E">
            <w:pPr>
              <w:widowControl/>
              <w:spacing w:line="300" w:lineRule="auto"/>
              <w:jc w:val="left"/>
              <w:rPr>
                <w:rFonts w:hint="eastAsia" w:ascii="宋体" w:hAnsi="宋体" w:eastAsia="宋体" w:cs="宋体"/>
                <w:color w:val="auto"/>
              </w:rPr>
            </w:pPr>
            <w:r>
              <w:rPr>
                <w:rFonts w:hint="eastAsia" w:ascii="宋体" w:hAnsi="宋体" w:eastAsia="宋体" w:cs="宋体"/>
                <w:color w:val="auto"/>
              </w:rPr>
              <w:t>10.液相进样样品瓶100个。</w:t>
            </w:r>
          </w:p>
          <w:p w14:paraId="7D9726B5">
            <w:pPr>
              <w:adjustRightInd w:val="0"/>
              <w:snapToGrid w:val="0"/>
              <w:spacing w:line="300" w:lineRule="auto"/>
              <w:rPr>
                <w:rFonts w:hint="eastAsia" w:ascii="宋体" w:hAnsi="宋体" w:eastAsia="宋体" w:cs="宋体"/>
                <w:color w:val="auto"/>
              </w:rPr>
            </w:pPr>
            <w:r>
              <w:rPr>
                <w:rFonts w:hint="eastAsia" w:ascii="宋体" w:hAnsi="宋体" w:eastAsia="宋体" w:cs="宋体"/>
                <w:color w:val="auto"/>
              </w:rPr>
              <w:t>11.配备仪器工作站及报告图谱输出设备。</w:t>
            </w:r>
          </w:p>
          <w:p w14:paraId="4331BA96">
            <w:pPr>
              <w:widowControl/>
              <w:spacing w:line="300" w:lineRule="auto"/>
              <w:jc w:val="left"/>
              <w:rPr>
                <w:rFonts w:hint="eastAsia" w:ascii="宋体" w:hAnsi="宋体" w:eastAsia="宋体" w:cs="宋体"/>
                <w:color w:val="auto"/>
              </w:rPr>
            </w:pPr>
            <w:r>
              <w:rPr>
                <w:rFonts w:hint="eastAsia" w:ascii="宋体" w:hAnsi="宋体" w:eastAsia="宋体" w:cs="宋体"/>
                <w:color w:val="auto"/>
              </w:rPr>
              <w:t>四、质保要求</w:t>
            </w:r>
          </w:p>
          <w:p w14:paraId="47236774">
            <w:pPr>
              <w:rPr>
                <w:rFonts w:hint="eastAsia"/>
                <w:color w:val="auto"/>
              </w:rPr>
            </w:pPr>
            <w:r>
              <w:rPr>
                <w:rFonts w:hint="eastAsia" w:ascii="宋体" w:hAnsi="宋体" w:eastAsia="宋体" w:cs="宋体"/>
                <w:color w:val="auto"/>
              </w:rPr>
              <w:t>1.质保期：1年，自设备验收合格之日起计算。</w:t>
            </w:r>
          </w:p>
        </w:tc>
        <w:tc>
          <w:tcPr>
            <w:tcW w:w="559" w:type="dxa"/>
            <w:noWrap w:val="0"/>
            <w:vAlign w:val="center"/>
          </w:tcPr>
          <w:p w14:paraId="7B5709CD">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518" w:type="dxa"/>
            <w:noWrap w:val="0"/>
            <w:vAlign w:val="center"/>
          </w:tcPr>
          <w:p w14:paraId="2B401288">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套</w:t>
            </w:r>
          </w:p>
        </w:tc>
        <w:tc>
          <w:tcPr>
            <w:tcW w:w="668" w:type="dxa"/>
            <w:noWrap w:val="0"/>
            <w:vAlign w:val="center"/>
          </w:tcPr>
          <w:p w14:paraId="63A752DE">
            <w:pPr>
              <w:widowControl/>
              <w:adjustRightInd w:val="0"/>
              <w:snapToGrid w:val="0"/>
              <w:spacing w:line="300" w:lineRule="auto"/>
              <w:jc w:val="center"/>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工业</w:t>
            </w:r>
          </w:p>
        </w:tc>
        <w:tc>
          <w:tcPr>
            <w:tcW w:w="496" w:type="dxa"/>
            <w:noWrap w:val="0"/>
            <w:vAlign w:val="center"/>
          </w:tcPr>
          <w:p w14:paraId="15E4EB52">
            <w:pPr>
              <w:widowControl/>
              <w:adjustRightInd w:val="0"/>
              <w:snapToGrid w:val="0"/>
              <w:spacing w:line="300" w:lineRule="auto"/>
              <w:jc w:val="left"/>
              <w:rPr>
                <w:rFonts w:hint="eastAsia" w:ascii="宋体" w:hAnsi="宋体" w:eastAsia="宋体" w:cs="宋体"/>
                <w:color w:val="auto"/>
                <w:kern w:val="0"/>
                <w:szCs w:val="21"/>
              </w:rPr>
            </w:pPr>
          </w:p>
        </w:tc>
      </w:tr>
      <w:tr w14:paraId="3684B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C425EA8">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3</w:t>
            </w:r>
          </w:p>
        </w:tc>
        <w:tc>
          <w:tcPr>
            <w:tcW w:w="1107" w:type="dxa"/>
            <w:noWrap w:val="0"/>
            <w:vAlign w:val="center"/>
          </w:tcPr>
          <w:p w14:paraId="0337BF69">
            <w:pPr>
              <w:adjustRightInd w:val="0"/>
              <w:snapToGrid w:val="0"/>
              <w:spacing w:line="300" w:lineRule="auto"/>
              <w:rPr>
                <w:rFonts w:hint="eastAsia" w:ascii="宋体" w:hAnsi="宋体" w:eastAsia="宋体" w:cs="宋体"/>
                <w:color w:val="auto"/>
                <w:kern w:val="0"/>
                <w:szCs w:val="21"/>
              </w:rPr>
            </w:pPr>
            <w:r>
              <w:rPr>
                <w:rFonts w:hint="eastAsia" w:ascii="宋体" w:hAnsi="宋体" w:eastAsia="宋体" w:cs="宋体"/>
                <w:color w:val="auto"/>
                <w:kern w:val="0"/>
                <w:szCs w:val="21"/>
              </w:rPr>
              <w:t>二氧化硫测定仪</w:t>
            </w:r>
          </w:p>
        </w:tc>
        <w:tc>
          <w:tcPr>
            <w:tcW w:w="5297" w:type="dxa"/>
            <w:noWrap w:val="0"/>
            <w:vAlign w:val="center"/>
          </w:tcPr>
          <w:p w14:paraId="414794CB">
            <w:pPr>
              <w:spacing w:line="300" w:lineRule="auto"/>
              <w:rPr>
                <w:rFonts w:hint="eastAsia" w:ascii="宋体" w:hAnsi="宋体" w:eastAsia="宋体" w:cs="宋体"/>
                <w:color w:val="auto"/>
              </w:rPr>
            </w:pPr>
            <w:r>
              <w:rPr>
                <w:rFonts w:hint="eastAsia" w:ascii="宋体" w:hAnsi="宋体" w:eastAsia="宋体" w:cs="宋体"/>
                <w:color w:val="auto"/>
              </w:rPr>
              <w:t>一、功能：用于食品及中药二氧化硫残留量的测定。</w:t>
            </w:r>
          </w:p>
          <w:p w14:paraId="350D8A31">
            <w:pPr>
              <w:rPr>
                <w:rFonts w:hint="eastAsia" w:ascii="宋体" w:hAnsi="宋体" w:eastAsia="宋体" w:cs="宋体"/>
                <w:color w:val="auto"/>
              </w:rPr>
            </w:pPr>
            <w:r>
              <w:rPr>
                <w:rFonts w:hint="eastAsia" w:ascii="宋体" w:hAnsi="宋体" w:eastAsia="宋体" w:cs="宋体"/>
                <w:color w:val="auto"/>
              </w:rPr>
              <w:t>二、标准</w:t>
            </w:r>
          </w:p>
          <w:p w14:paraId="65C0D408">
            <w:pPr>
              <w:spacing w:line="300" w:lineRule="auto"/>
              <w:rPr>
                <w:rFonts w:hint="eastAsia" w:ascii="宋体" w:hAnsi="宋体" w:eastAsia="宋体" w:cs="宋体"/>
                <w:color w:val="auto"/>
              </w:rPr>
            </w:pPr>
            <w:r>
              <w:rPr>
                <w:rFonts w:hint="eastAsia" w:ascii="宋体" w:hAnsi="宋体" w:eastAsia="宋体" w:cs="宋体"/>
                <w:color w:val="auto"/>
              </w:rPr>
              <w:t>1.仪器需符合《GB5009.34-2022 食品中二氧化硫的测定》；并同时满足《中国药典》中二氧化硫的测定要求。</w:t>
            </w:r>
          </w:p>
          <w:p w14:paraId="03BC82BF">
            <w:pPr>
              <w:rPr>
                <w:rFonts w:hint="eastAsia" w:ascii="宋体" w:hAnsi="宋体" w:eastAsia="宋体" w:cs="宋体"/>
                <w:color w:val="auto"/>
              </w:rPr>
            </w:pPr>
            <w:r>
              <w:rPr>
                <w:rFonts w:hint="eastAsia" w:ascii="宋体" w:hAnsi="宋体" w:eastAsia="宋体" w:cs="宋体"/>
                <w:color w:val="auto"/>
              </w:rPr>
              <w:t>三、技术要求</w:t>
            </w:r>
          </w:p>
          <w:p w14:paraId="39764712">
            <w:pPr>
              <w:rPr>
                <w:rFonts w:hint="eastAsia" w:ascii="宋体" w:hAnsi="宋体" w:eastAsia="宋体" w:cs="宋体"/>
                <w:color w:val="auto"/>
              </w:rPr>
            </w:pPr>
            <w:r>
              <w:rPr>
                <w:rFonts w:hint="eastAsia" w:ascii="宋体" w:hAnsi="宋体" w:eastAsia="宋体" w:cs="宋体"/>
                <w:color w:val="auto"/>
              </w:rPr>
              <w:t>1.食药二氧化硫测定仪包括以下部分：主机、冷凝管部分、远红外加热部分、氮吹及自动加盐酸、冷却水装置（外置）部分。</w:t>
            </w:r>
          </w:p>
          <w:p w14:paraId="4E6B3BB2">
            <w:pPr>
              <w:spacing w:line="300" w:lineRule="auto"/>
              <w:rPr>
                <w:rFonts w:hint="eastAsia" w:ascii="宋体" w:hAnsi="宋体" w:eastAsia="宋体" w:cs="宋体"/>
                <w:color w:val="auto"/>
              </w:rPr>
            </w:pPr>
            <w:r>
              <w:rPr>
                <w:rFonts w:hint="eastAsia" w:ascii="宋体" w:hAnsi="宋体" w:eastAsia="宋体" w:cs="宋体"/>
                <w:color w:val="auto"/>
              </w:rPr>
              <w:t>1.1加热单元：（不少于7路加热单元）</w:t>
            </w:r>
          </w:p>
          <w:p w14:paraId="2D88CBA1">
            <w:pPr>
              <w:spacing w:line="300" w:lineRule="auto"/>
              <w:rPr>
                <w:rFonts w:hint="eastAsia" w:ascii="宋体" w:hAnsi="宋体" w:eastAsia="宋体" w:cs="宋体"/>
                <w:color w:val="auto"/>
              </w:rPr>
            </w:pPr>
            <w:r>
              <w:rPr>
                <w:rFonts w:hint="eastAsia" w:ascii="宋体" w:hAnsi="宋体" w:eastAsia="宋体" w:cs="宋体"/>
                <w:color w:val="auto"/>
              </w:rPr>
              <w:t>（1）加热装置可单孔单控；</w:t>
            </w:r>
          </w:p>
          <w:p w14:paraId="2AEF0B98">
            <w:pPr>
              <w:spacing w:line="300" w:lineRule="auto"/>
              <w:rPr>
                <w:rFonts w:hint="eastAsia" w:ascii="宋体" w:hAnsi="宋体" w:eastAsia="宋体" w:cs="宋体"/>
                <w:color w:val="auto"/>
              </w:rPr>
            </w:pPr>
            <w:r>
              <w:rPr>
                <w:rFonts w:hint="eastAsia" w:ascii="宋体" w:hAnsi="宋体" w:eastAsia="宋体" w:cs="宋体"/>
                <w:color w:val="auto"/>
              </w:rPr>
              <w:t>（2）加热腔需经过耐酸碱腐蚀材料处理，可盛放≥1000mL的圆底烧瓶；</w:t>
            </w:r>
          </w:p>
          <w:p w14:paraId="5D9D39E3">
            <w:pPr>
              <w:spacing w:line="300" w:lineRule="auto"/>
              <w:rPr>
                <w:rFonts w:hint="eastAsia" w:ascii="宋体" w:hAnsi="宋体" w:eastAsia="宋体" w:cs="宋体"/>
                <w:color w:val="auto"/>
              </w:rPr>
            </w:pPr>
            <w:r>
              <w:rPr>
                <w:rFonts w:hint="eastAsia" w:ascii="宋体" w:hAnsi="宋体" w:eastAsia="宋体" w:cs="宋体"/>
                <w:color w:val="auto"/>
              </w:rPr>
              <w:t>1.2控制单元：</w:t>
            </w:r>
          </w:p>
          <w:p w14:paraId="2FBD4710">
            <w:pPr>
              <w:spacing w:line="300" w:lineRule="auto"/>
              <w:rPr>
                <w:rFonts w:hint="eastAsia" w:ascii="宋体" w:hAnsi="宋体" w:eastAsia="宋体" w:cs="宋体"/>
                <w:color w:val="auto"/>
              </w:rPr>
            </w:pPr>
            <w:r>
              <w:rPr>
                <w:rFonts w:hint="eastAsia" w:ascii="宋体" w:hAnsi="宋体" w:eastAsia="宋体" w:cs="宋体"/>
                <w:color w:val="auto"/>
              </w:rPr>
              <w:t>★（1）仪器需便于放入通风橱内，操作平台应采用液晶触摸屏设计，且位置不得高于加热区。</w:t>
            </w:r>
            <w:r>
              <w:rPr>
                <w:rFonts w:hint="eastAsia" w:ascii="宋体" w:hAnsi="宋体" w:eastAsia="宋体" w:cs="宋体"/>
                <w:b/>
                <w:bCs/>
                <w:color w:val="auto"/>
              </w:rPr>
              <w:t>（投标文件中需提供仪器实物图片）</w:t>
            </w:r>
          </w:p>
          <w:p w14:paraId="247CE056">
            <w:pPr>
              <w:spacing w:line="300" w:lineRule="auto"/>
              <w:rPr>
                <w:rFonts w:hint="eastAsia" w:ascii="宋体" w:hAnsi="宋体" w:eastAsia="宋体" w:cs="宋体"/>
                <w:color w:val="auto"/>
              </w:rPr>
            </w:pPr>
            <w:r>
              <w:rPr>
                <w:rFonts w:hint="eastAsia" w:ascii="宋体" w:hAnsi="宋体" w:eastAsia="宋体" w:cs="宋体"/>
                <w:color w:val="auto"/>
              </w:rPr>
              <w:t>（2）操作平台系统内需设有微沸和全沸控制模式，并需提供加酸设置界面和加酸标定等内容。</w:t>
            </w:r>
          </w:p>
          <w:p w14:paraId="4DC897A6">
            <w:pPr>
              <w:spacing w:line="300" w:lineRule="auto"/>
              <w:rPr>
                <w:rFonts w:hint="eastAsia" w:ascii="宋体" w:hAnsi="宋体" w:eastAsia="宋体" w:cs="宋体"/>
                <w:color w:val="auto"/>
              </w:rPr>
            </w:pPr>
            <w:r>
              <w:rPr>
                <w:rFonts w:hint="eastAsia" w:ascii="宋体" w:hAnsi="宋体" w:eastAsia="宋体" w:cs="宋体"/>
                <w:color w:val="auto"/>
              </w:rPr>
              <w:t>（3）触摸屏可设定各路加热单元的功率0-500W及设定工作时间倒计时0-200min，加热时间到设定时间仪器可自动停止加热。</w:t>
            </w:r>
          </w:p>
          <w:p w14:paraId="2DD7628C">
            <w:pPr>
              <w:spacing w:line="300" w:lineRule="auto"/>
              <w:rPr>
                <w:rFonts w:hint="eastAsia" w:ascii="宋体" w:hAnsi="宋体" w:eastAsia="宋体" w:cs="宋体"/>
                <w:color w:val="auto"/>
              </w:rPr>
            </w:pPr>
            <w:r>
              <w:rPr>
                <w:rFonts w:hint="eastAsia" w:ascii="宋体" w:hAnsi="宋体" w:eastAsia="宋体" w:cs="宋体"/>
                <w:color w:val="auto"/>
              </w:rPr>
              <w:t>1.3冷凝管单元：</w:t>
            </w:r>
          </w:p>
          <w:p w14:paraId="765356D1">
            <w:pPr>
              <w:spacing w:line="300" w:lineRule="auto"/>
              <w:rPr>
                <w:rFonts w:hint="eastAsia" w:ascii="宋体" w:hAnsi="宋体" w:eastAsia="宋体" w:cs="宋体"/>
                <w:color w:val="auto"/>
              </w:rPr>
            </w:pPr>
            <w:r>
              <w:rPr>
                <w:rFonts w:hint="eastAsia" w:ascii="宋体" w:hAnsi="宋体" w:eastAsia="宋体" w:cs="宋体"/>
                <w:color w:val="auto"/>
              </w:rPr>
              <w:t>（1）仪器需设计有≥7路的回流冷凝管；</w:t>
            </w:r>
          </w:p>
          <w:p w14:paraId="01B975CC">
            <w:pPr>
              <w:spacing w:line="300" w:lineRule="auto"/>
              <w:rPr>
                <w:rFonts w:hint="eastAsia" w:ascii="宋体" w:hAnsi="宋体" w:eastAsia="宋体" w:cs="宋体"/>
                <w:color w:val="auto"/>
              </w:rPr>
            </w:pPr>
            <w:r>
              <w:rPr>
                <w:rFonts w:hint="eastAsia" w:ascii="宋体" w:hAnsi="宋体" w:eastAsia="宋体" w:cs="宋体"/>
                <w:color w:val="auto"/>
              </w:rPr>
              <w:t>（2）冷凝管的连接需为串联设计，为便于冷凝管的上下活动需设计有对应的回流冷凝管卡槽，不接受各种夹具或卡箍式设计；</w:t>
            </w:r>
          </w:p>
          <w:p w14:paraId="02B51A9B">
            <w:pPr>
              <w:spacing w:line="300" w:lineRule="auto"/>
              <w:rPr>
                <w:rFonts w:hint="eastAsia" w:ascii="宋体" w:hAnsi="宋体" w:eastAsia="宋体" w:cs="宋体"/>
                <w:color w:val="auto"/>
              </w:rPr>
            </w:pPr>
            <w:r>
              <w:rPr>
                <w:rFonts w:hint="eastAsia" w:ascii="宋体" w:hAnsi="宋体" w:eastAsia="宋体" w:cs="宋体"/>
                <w:color w:val="auto"/>
              </w:rPr>
              <w:t>★（3）仪器应设计有自动加酸功能。实验开始只需要一键启动加热功能，即可自动完成盐酸自动添加、自动启动加热，无需人工操作加酸过程；</w:t>
            </w:r>
            <w:r>
              <w:rPr>
                <w:rFonts w:hint="eastAsia" w:ascii="宋体" w:hAnsi="宋体" w:eastAsia="宋体" w:cs="宋体"/>
                <w:b/>
                <w:bCs/>
                <w:color w:val="auto"/>
              </w:rPr>
              <w:t>（投标文件中提供证明材料）</w:t>
            </w:r>
          </w:p>
          <w:p w14:paraId="38FD05ED">
            <w:pPr>
              <w:spacing w:line="300" w:lineRule="auto"/>
              <w:rPr>
                <w:rFonts w:hint="eastAsia" w:ascii="宋体" w:hAnsi="宋体" w:eastAsia="宋体" w:cs="宋体"/>
                <w:color w:val="auto"/>
              </w:rPr>
            </w:pPr>
            <w:r>
              <w:rPr>
                <w:rFonts w:hint="eastAsia" w:ascii="宋体" w:hAnsi="宋体" w:eastAsia="宋体" w:cs="宋体"/>
                <w:color w:val="auto"/>
              </w:rPr>
              <w:t>1.4氮气控制单元：</w:t>
            </w:r>
          </w:p>
          <w:p w14:paraId="69C3D6D3">
            <w:pPr>
              <w:spacing w:line="300" w:lineRule="auto"/>
              <w:rPr>
                <w:rFonts w:hint="eastAsia" w:ascii="宋体" w:hAnsi="宋体" w:eastAsia="宋体" w:cs="宋体"/>
                <w:color w:val="auto"/>
              </w:rPr>
            </w:pPr>
            <w:r>
              <w:rPr>
                <w:rFonts w:hint="eastAsia" w:ascii="宋体" w:hAnsi="宋体" w:eastAsia="宋体" w:cs="宋体"/>
                <w:color w:val="auto"/>
              </w:rPr>
              <w:t>★（1）主机应设计有≥7路的氮气控制单元，氮气的流速控制范围为：100-2000mL/min。</w:t>
            </w:r>
          </w:p>
          <w:p w14:paraId="466C50AA">
            <w:pPr>
              <w:spacing w:line="300" w:lineRule="auto"/>
              <w:rPr>
                <w:rFonts w:hint="eastAsia" w:ascii="宋体" w:hAnsi="宋体" w:eastAsia="宋体" w:cs="宋体"/>
                <w:color w:val="auto"/>
              </w:rPr>
            </w:pPr>
            <w:r>
              <w:rPr>
                <w:rFonts w:hint="eastAsia" w:ascii="宋体" w:hAnsi="宋体" w:eastAsia="宋体" w:cs="宋体"/>
                <w:color w:val="auto"/>
              </w:rPr>
              <w:t>（2）主机需设有总的氮气接口，以方便外接氮气源，内部设有氮气压力保护装置，防止过压过载造成管路漏泄。</w:t>
            </w:r>
          </w:p>
          <w:p w14:paraId="3076F9EF">
            <w:pPr>
              <w:spacing w:line="300" w:lineRule="auto"/>
              <w:rPr>
                <w:rFonts w:hint="eastAsia" w:ascii="宋体" w:hAnsi="宋体" w:eastAsia="宋体" w:cs="宋体"/>
                <w:color w:val="auto"/>
              </w:rPr>
            </w:pPr>
            <w:r>
              <w:rPr>
                <w:rFonts w:hint="eastAsia" w:ascii="宋体" w:hAnsi="宋体" w:eastAsia="宋体" w:cs="宋体"/>
                <w:color w:val="auto"/>
              </w:rPr>
              <w:t>★（3）气密性检测：</w:t>
            </w:r>
          </w:p>
          <w:p w14:paraId="03A80597">
            <w:pPr>
              <w:spacing w:line="300" w:lineRule="auto"/>
              <w:rPr>
                <w:rFonts w:hint="eastAsia" w:ascii="宋体" w:hAnsi="宋体" w:eastAsia="宋体" w:cs="宋体"/>
                <w:color w:val="auto"/>
              </w:rPr>
            </w:pPr>
            <w:r>
              <w:rPr>
                <w:rFonts w:hint="eastAsia" w:ascii="宋体" w:hAnsi="宋体" w:eastAsia="宋体" w:cs="宋体"/>
                <w:color w:val="auto"/>
              </w:rPr>
              <w:t>仪器需设有气密性检测功能，实验前可以检测连接口是否漏气，具有气密性检测指示灯用于提醒。</w:t>
            </w:r>
            <w:r>
              <w:rPr>
                <w:rFonts w:hint="eastAsia" w:ascii="宋体" w:hAnsi="宋体" w:eastAsia="宋体" w:cs="宋体"/>
                <w:b/>
                <w:bCs/>
                <w:color w:val="auto"/>
              </w:rPr>
              <w:t>（投标文件中提供证明材料）</w:t>
            </w:r>
          </w:p>
          <w:p w14:paraId="4D430CE6">
            <w:pPr>
              <w:spacing w:line="300" w:lineRule="auto"/>
              <w:rPr>
                <w:rFonts w:hint="eastAsia" w:ascii="宋体" w:hAnsi="宋体" w:eastAsia="宋体" w:cs="宋体"/>
                <w:color w:val="auto"/>
              </w:rPr>
            </w:pPr>
            <w:r>
              <w:rPr>
                <w:rFonts w:hint="eastAsia" w:ascii="宋体" w:hAnsi="宋体" w:eastAsia="宋体" w:cs="宋体"/>
                <w:color w:val="auto"/>
              </w:rPr>
              <w:t>1.5主机应设有≥1组的磁力搅拌装置及配套蝴蝶夹供滴定使用。</w:t>
            </w:r>
          </w:p>
          <w:p w14:paraId="03322B12">
            <w:pPr>
              <w:spacing w:line="300" w:lineRule="auto"/>
              <w:rPr>
                <w:rFonts w:hint="eastAsia" w:ascii="宋体" w:hAnsi="宋体" w:eastAsia="宋体" w:cs="宋体"/>
                <w:color w:val="auto"/>
              </w:rPr>
            </w:pPr>
            <w:r>
              <w:rPr>
                <w:rFonts w:hint="eastAsia" w:ascii="宋体" w:hAnsi="宋体" w:eastAsia="宋体" w:cs="宋体"/>
                <w:color w:val="auto"/>
              </w:rPr>
              <w:t>1.6仪器需配置一台外置式冷水机，加热前需预先启动冷水机，使冷却水温度达到工作要求，工作结束后冷水机可与主机联动，自动关闭冷水机功能。</w:t>
            </w:r>
          </w:p>
          <w:p w14:paraId="03178C31">
            <w:pPr>
              <w:spacing w:line="300" w:lineRule="auto"/>
              <w:rPr>
                <w:rFonts w:hint="eastAsia" w:ascii="宋体" w:hAnsi="宋体" w:eastAsia="宋体" w:cs="宋体"/>
                <w:color w:val="auto"/>
              </w:rPr>
            </w:pPr>
            <w:r>
              <w:rPr>
                <w:rFonts w:hint="eastAsia" w:ascii="宋体" w:hAnsi="宋体" w:eastAsia="宋体" w:cs="宋体"/>
                <w:color w:val="auto"/>
              </w:rPr>
              <w:t>外置式冷水机参数：</w:t>
            </w:r>
          </w:p>
          <w:p w14:paraId="671641B7">
            <w:pPr>
              <w:spacing w:line="300" w:lineRule="auto"/>
              <w:rPr>
                <w:rFonts w:hint="eastAsia" w:ascii="宋体" w:hAnsi="宋体" w:eastAsia="宋体" w:cs="宋体"/>
                <w:color w:val="auto"/>
              </w:rPr>
            </w:pPr>
            <w:r>
              <w:rPr>
                <w:rFonts w:hint="eastAsia" w:ascii="宋体" w:hAnsi="宋体" w:eastAsia="宋体" w:cs="宋体"/>
                <w:color w:val="auto"/>
              </w:rPr>
              <w:t>（1）控温方式：启停。</w:t>
            </w:r>
          </w:p>
          <w:p w14:paraId="3B3FC952">
            <w:pPr>
              <w:spacing w:line="300" w:lineRule="auto"/>
              <w:rPr>
                <w:rFonts w:hint="eastAsia" w:ascii="宋体" w:hAnsi="宋体" w:eastAsia="宋体" w:cs="宋体"/>
                <w:color w:val="auto"/>
              </w:rPr>
            </w:pPr>
            <w:r>
              <w:rPr>
                <w:rFonts w:hint="eastAsia" w:ascii="宋体" w:hAnsi="宋体" w:eastAsia="宋体" w:cs="宋体"/>
                <w:color w:val="auto"/>
              </w:rPr>
              <w:t>（2）冷却方式：压缩机制冷。</w:t>
            </w:r>
          </w:p>
          <w:p w14:paraId="5EEE750D">
            <w:pPr>
              <w:spacing w:line="300" w:lineRule="auto"/>
              <w:rPr>
                <w:rFonts w:hint="eastAsia" w:ascii="宋体" w:hAnsi="宋体" w:eastAsia="宋体" w:cs="宋体"/>
                <w:color w:val="auto"/>
              </w:rPr>
            </w:pPr>
            <w:r>
              <w:rPr>
                <w:rFonts w:hint="eastAsia" w:ascii="宋体" w:hAnsi="宋体" w:eastAsia="宋体" w:cs="宋体"/>
                <w:color w:val="auto"/>
              </w:rPr>
              <w:t>（3）控温精度：±2℃。</w:t>
            </w:r>
          </w:p>
          <w:p w14:paraId="3172807E">
            <w:pPr>
              <w:spacing w:line="300" w:lineRule="auto"/>
              <w:rPr>
                <w:rFonts w:hint="eastAsia" w:ascii="宋体" w:hAnsi="宋体" w:eastAsia="宋体" w:cs="宋体"/>
                <w:color w:val="auto"/>
              </w:rPr>
            </w:pPr>
            <w:r>
              <w:rPr>
                <w:rFonts w:hint="eastAsia" w:ascii="宋体" w:hAnsi="宋体" w:eastAsia="宋体" w:cs="宋体"/>
                <w:color w:val="auto"/>
              </w:rPr>
              <w:t>（4）控温范围：5-35℃。</w:t>
            </w:r>
          </w:p>
          <w:p w14:paraId="5F4E4C19">
            <w:pPr>
              <w:spacing w:line="300" w:lineRule="auto"/>
              <w:rPr>
                <w:rFonts w:hint="eastAsia" w:ascii="宋体" w:hAnsi="宋体" w:eastAsia="宋体" w:cs="宋体"/>
                <w:color w:val="auto"/>
              </w:rPr>
            </w:pPr>
            <w:r>
              <w:rPr>
                <w:rFonts w:hint="eastAsia" w:ascii="宋体" w:hAnsi="宋体" w:eastAsia="宋体" w:cs="宋体"/>
                <w:color w:val="auto"/>
              </w:rPr>
              <w:t>（5）水泵流量：10-25L。</w:t>
            </w:r>
          </w:p>
          <w:p w14:paraId="30A97E22">
            <w:pPr>
              <w:spacing w:line="300" w:lineRule="auto"/>
              <w:rPr>
                <w:rFonts w:hint="eastAsia" w:ascii="宋体" w:hAnsi="宋体" w:eastAsia="宋体" w:cs="宋体"/>
                <w:color w:val="auto"/>
              </w:rPr>
            </w:pPr>
            <w:r>
              <w:rPr>
                <w:rFonts w:hint="eastAsia" w:ascii="宋体" w:hAnsi="宋体" w:eastAsia="宋体" w:cs="宋体"/>
                <w:color w:val="auto"/>
              </w:rPr>
              <w:t>（6）水泵压力：0.05-0.20Mpa。</w:t>
            </w:r>
          </w:p>
          <w:p w14:paraId="0BA52E9A">
            <w:pPr>
              <w:spacing w:line="300" w:lineRule="auto"/>
              <w:rPr>
                <w:rFonts w:hint="eastAsia" w:ascii="宋体" w:hAnsi="宋体" w:eastAsia="宋体" w:cs="宋体"/>
                <w:color w:val="auto"/>
              </w:rPr>
            </w:pPr>
            <w:r>
              <w:rPr>
                <w:rFonts w:hint="eastAsia" w:ascii="宋体" w:hAnsi="宋体" w:eastAsia="宋体" w:cs="宋体"/>
                <w:color w:val="auto"/>
              </w:rPr>
              <w:t>（7）水箱容积：≥18L。</w:t>
            </w:r>
          </w:p>
          <w:p w14:paraId="2EC46E2B">
            <w:pPr>
              <w:spacing w:line="300" w:lineRule="auto"/>
              <w:rPr>
                <w:rFonts w:hint="eastAsia" w:ascii="宋体" w:hAnsi="宋体" w:eastAsia="宋体" w:cs="宋体"/>
                <w:color w:val="auto"/>
              </w:rPr>
            </w:pPr>
            <w:r>
              <w:rPr>
                <w:rFonts w:hint="eastAsia" w:ascii="宋体" w:hAnsi="宋体" w:eastAsia="宋体" w:cs="宋体"/>
                <w:color w:val="auto"/>
              </w:rPr>
              <w:t>（8）制冷剂：R22。</w:t>
            </w:r>
          </w:p>
          <w:p w14:paraId="48FD9A30">
            <w:pPr>
              <w:spacing w:line="300" w:lineRule="auto"/>
              <w:rPr>
                <w:rFonts w:hint="eastAsia" w:ascii="宋体" w:hAnsi="宋体" w:eastAsia="宋体" w:cs="宋体"/>
                <w:color w:val="auto"/>
              </w:rPr>
            </w:pPr>
            <w:r>
              <w:rPr>
                <w:rFonts w:hint="eastAsia" w:ascii="宋体" w:hAnsi="宋体" w:eastAsia="宋体" w:cs="宋体"/>
                <w:color w:val="auto"/>
              </w:rPr>
              <w:t>（9）电源要求：220V，50Hz。</w:t>
            </w:r>
          </w:p>
          <w:p w14:paraId="58A71A92">
            <w:pPr>
              <w:spacing w:line="300" w:lineRule="auto"/>
              <w:rPr>
                <w:rFonts w:hint="eastAsia" w:ascii="宋体" w:hAnsi="宋体" w:eastAsia="宋体" w:cs="宋体"/>
                <w:color w:val="auto"/>
              </w:rPr>
            </w:pPr>
            <w:r>
              <w:rPr>
                <w:rFonts w:hint="eastAsia" w:ascii="宋体" w:hAnsi="宋体" w:eastAsia="宋体" w:cs="宋体"/>
                <w:color w:val="auto"/>
              </w:rPr>
              <w:t>四、工作条件</w:t>
            </w:r>
          </w:p>
          <w:p w14:paraId="5E538D0F">
            <w:pPr>
              <w:spacing w:line="300" w:lineRule="auto"/>
              <w:rPr>
                <w:rFonts w:hint="eastAsia" w:ascii="宋体" w:hAnsi="宋体" w:eastAsia="宋体" w:cs="宋体"/>
                <w:color w:val="auto"/>
              </w:rPr>
            </w:pPr>
            <w:r>
              <w:rPr>
                <w:rFonts w:hint="eastAsia" w:ascii="宋体" w:hAnsi="宋体" w:eastAsia="宋体" w:cs="宋体"/>
                <w:color w:val="auto"/>
              </w:rPr>
              <w:t>1.电源：AC 220V，50Hz。</w:t>
            </w:r>
          </w:p>
          <w:p w14:paraId="5B409243">
            <w:pPr>
              <w:spacing w:line="300" w:lineRule="auto"/>
              <w:rPr>
                <w:rFonts w:hint="eastAsia" w:ascii="宋体" w:hAnsi="宋体" w:eastAsia="宋体" w:cs="宋体"/>
                <w:color w:val="auto"/>
              </w:rPr>
            </w:pPr>
            <w:r>
              <w:rPr>
                <w:rFonts w:hint="eastAsia" w:ascii="宋体" w:hAnsi="宋体" w:eastAsia="宋体" w:cs="宋体"/>
                <w:color w:val="auto"/>
              </w:rPr>
              <w:t>2.环境温度：10-35℃。</w:t>
            </w:r>
          </w:p>
          <w:p w14:paraId="5CCBFBB1">
            <w:pPr>
              <w:spacing w:line="300" w:lineRule="auto"/>
              <w:rPr>
                <w:rFonts w:hint="eastAsia" w:ascii="宋体" w:hAnsi="宋体" w:eastAsia="宋体" w:cs="宋体"/>
                <w:color w:val="auto"/>
              </w:rPr>
            </w:pPr>
            <w:r>
              <w:rPr>
                <w:rFonts w:hint="eastAsia" w:ascii="宋体" w:hAnsi="宋体" w:eastAsia="宋体" w:cs="宋体"/>
                <w:color w:val="auto"/>
              </w:rPr>
              <w:t>3.环境湿度：＜60%。</w:t>
            </w:r>
          </w:p>
          <w:p w14:paraId="3383CF3C">
            <w:pPr>
              <w:spacing w:line="300" w:lineRule="auto"/>
              <w:rPr>
                <w:rFonts w:hint="eastAsia" w:ascii="宋体" w:hAnsi="宋体" w:eastAsia="宋体" w:cs="宋体"/>
                <w:color w:val="auto"/>
              </w:rPr>
            </w:pPr>
            <w:r>
              <w:rPr>
                <w:rFonts w:hint="eastAsia" w:ascii="宋体" w:hAnsi="宋体" w:eastAsia="宋体" w:cs="宋体"/>
                <w:color w:val="auto"/>
              </w:rPr>
              <w:t>五、产品规格</w:t>
            </w:r>
          </w:p>
          <w:p w14:paraId="773C4120">
            <w:pPr>
              <w:spacing w:line="300" w:lineRule="auto"/>
              <w:rPr>
                <w:rFonts w:hint="eastAsia" w:ascii="宋体" w:hAnsi="宋体" w:eastAsia="宋体" w:cs="宋体"/>
                <w:color w:val="auto"/>
              </w:rPr>
            </w:pPr>
            <w:r>
              <w:rPr>
                <w:rFonts w:hint="eastAsia" w:ascii="宋体" w:hAnsi="宋体" w:eastAsia="宋体" w:cs="宋体"/>
                <w:color w:val="auto"/>
              </w:rPr>
              <w:t>1.主机尺寸：约940×650×680mm。</w:t>
            </w:r>
          </w:p>
          <w:p w14:paraId="3A0179FC">
            <w:pPr>
              <w:spacing w:line="300" w:lineRule="auto"/>
              <w:rPr>
                <w:rFonts w:hint="eastAsia" w:ascii="宋体" w:hAnsi="宋体" w:eastAsia="宋体" w:cs="宋体"/>
                <w:color w:val="auto"/>
              </w:rPr>
            </w:pPr>
            <w:r>
              <w:rPr>
                <w:rFonts w:hint="eastAsia" w:ascii="宋体" w:hAnsi="宋体" w:eastAsia="宋体" w:cs="宋体"/>
                <w:color w:val="auto"/>
              </w:rPr>
              <w:t>2.样品数量：≥7组。</w:t>
            </w:r>
          </w:p>
          <w:p w14:paraId="7231DFF6">
            <w:pPr>
              <w:spacing w:line="300" w:lineRule="auto"/>
              <w:rPr>
                <w:rFonts w:hint="eastAsia" w:ascii="宋体" w:hAnsi="宋体" w:eastAsia="宋体" w:cs="宋体"/>
                <w:color w:val="auto"/>
              </w:rPr>
            </w:pPr>
            <w:r>
              <w:rPr>
                <w:rFonts w:hint="eastAsia" w:ascii="宋体" w:hAnsi="宋体" w:eastAsia="宋体" w:cs="宋体"/>
                <w:color w:val="auto"/>
              </w:rPr>
              <w:t>3.滴定位：1位。</w:t>
            </w:r>
          </w:p>
          <w:p w14:paraId="5521D0E5">
            <w:pPr>
              <w:spacing w:line="300" w:lineRule="auto"/>
              <w:rPr>
                <w:rFonts w:hint="eastAsia" w:ascii="宋体" w:hAnsi="宋体" w:eastAsia="宋体" w:cs="宋体"/>
                <w:color w:val="auto"/>
              </w:rPr>
            </w:pPr>
            <w:r>
              <w:rPr>
                <w:rFonts w:hint="eastAsia" w:ascii="宋体" w:hAnsi="宋体" w:eastAsia="宋体" w:cs="宋体"/>
                <w:color w:val="auto"/>
              </w:rPr>
              <w:t>4.流量计量程：0.1-2L/个。</w:t>
            </w:r>
          </w:p>
          <w:p w14:paraId="7559A2FC">
            <w:pPr>
              <w:spacing w:line="300" w:lineRule="auto"/>
              <w:rPr>
                <w:rFonts w:hint="eastAsia" w:ascii="宋体" w:hAnsi="宋体" w:eastAsia="宋体" w:cs="宋体"/>
                <w:color w:val="auto"/>
              </w:rPr>
            </w:pPr>
            <w:r>
              <w:rPr>
                <w:rFonts w:hint="eastAsia" w:ascii="宋体" w:hAnsi="宋体" w:eastAsia="宋体" w:cs="宋体"/>
                <w:color w:val="auto"/>
              </w:rPr>
              <w:t>六、系统配置</w:t>
            </w:r>
          </w:p>
          <w:p w14:paraId="66709308">
            <w:pPr>
              <w:spacing w:line="300" w:lineRule="auto"/>
              <w:rPr>
                <w:rFonts w:hint="eastAsia" w:ascii="宋体" w:hAnsi="宋体" w:eastAsia="宋体" w:cs="宋体"/>
                <w:color w:val="auto"/>
              </w:rPr>
            </w:pPr>
            <w:r>
              <w:rPr>
                <w:rFonts w:hint="eastAsia" w:ascii="宋体" w:hAnsi="宋体" w:eastAsia="宋体" w:cs="宋体"/>
                <w:color w:val="auto"/>
              </w:rPr>
              <w:t>主机一台、外置冷却水机一台、回流冷凝管8根、1000mL烧瓶8个、接收瓶8个、试剂瓶2个、烧瓶支架及附属配件若干。</w:t>
            </w:r>
          </w:p>
          <w:p w14:paraId="364A64E6">
            <w:pPr>
              <w:spacing w:line="300" w:lineRule="auto"/>
              <w:rPr>
                <w:rFonts w:hint="eastAsia" w:ascii="宋体" w:hAnsi="宋体" w:eastAsia="宋体" w:cs="宋体"/>
                <w:color w:val="auto"/>
              </w:rPr>
            </w:pPr>
            <w:r>
              <w:rPr>
                <w:rFonts w:hint="eastAsia" w:ascii="宋体" w:hAnsi="宋体" w:eastAsia="宋体" w:cs="宋体"/>
                <w:color w:val="auto"/>
              </w:rPr>
              <w:t>七、质保要求</w:t>
            </w:r>
          </w:p>
          <w:p w14:paraId="400BD26A">
            <w:pPr>
              <w:spacing w:line="300" w:lineRule="auto"/>
              <w:rPr>
                <w:rFonts w:hint="eastAsia"/>
                <w:color w:val="auto"/>
              </w:rPr>
            </w:pPr>
            <w:r>
              <w:rPr>
                <w:rFonts w:hint="eastAsia" w:ascii="宋体" w:hAnsi="宋体" w:eastAsia="宋体" w:cs="宋体"/>
                <w:color w:val="auto"/>
              </w:rPr>
              <w:t>1.质保期：1年，自设备验收合格之日起计算。</w:t>
            </w:r>
          </w:p>
        </w:tc>
        <w:tc>
          <w:tcPr>
            <w:tcW w:w="559" w:type="dxa"/>
            <w:noWrap w:val="0"/>
            <w:vAlign w:val="center"/>
          </w:tcPr>
          <w:p w14:paraId="179DF3C1">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518" w:type="dxa"/>
            <w:noWrap w:val="0"/>
            <w:vAlign w:val="center"/>
          </w:tcPr>
          <w:p w14:paraId="0F4E685E">
            <w:pPr>
              <w:adjustRightInd w:val="0"/>
              <w:snapToGrid w:val="0"/>
              <w:spacing w:line="300" w:lineRule="auto"/>
              <w:jc w:val="center"/>
              <w:rPr>
                <w:rFonts w:hint="eastAsia" w:ascii="宋体" w:hAnsi="宋体" w:eastAsia="宋体" w:cs="宋体"/>
                <w:color w:val="auto"/>
                <w:szCs w:val="21"/>
              </w:rPr>
            </w:pPr>
            <w:r>
              <w:rPr>
                <w:rFonts w:hint="eastAsia" w:ascii="宋体" w:hAnsi="宋体" w:eastAsia="宋体" w:cs="宋体"/>
                <w:color w:val="auto"/>
                <w:szCs w:val="21"/>
              </w:rPr>
              <w:t>套</w:t>
            </w:r>
          </w:p>
        </w:tc>
        <w:tc>
          <w:tcPr>
            <w:tcW w:w="668" w:type="dxa"/>
            <w:noWrap w:val="0"/>
            <w:vAlign w:val="center"/>
          </w:tcPr>
          <w:p w14:paraId="540D6E47">
            <w:pPr>
              <w:widowControl/>
              <w:adjustRightInd w:val="0"/>
              <w:snapToGrid w:val="0"/>
              <w:spacing w:line="300" w:lineRule="auto"/>
              <w:jc w:val="center"/>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工业</w:t>
            </w:r>
          </w:p>
        </w:tc>
        <w:tc>
          <w:tcPr>
            <w:tcW w:w="496" w:type="dxa"/>
            <w:noWrap w:val="0"/>
            <w:vAlign w:val="center"/>
          </w:tcPr>
          <w:p w14:paraId="5F785D17">
            <w:pPr>
              <w:widowControl/>
              <w:adjustRightInd w:val="0"/>
              <w:snapToGrid w:val="0"/>
              <w:spacing w:line="300" w:lineRule="auto"/>
              <w:jc w:val="left"/>
              <w:rPr>
                <w:rFonts w:hint="eastAsia" w:ascii="宋体" w:hAnsi="宋体" w:eastAsia="宋体" w:cs="宋体"/>
                <w:color w:val="auto"/>
                <w:kern w:val="0"/>
                <w:szCs w:val="21"/>
              </w:rPr>
            </w:pPr>
          </w:p>
        </w:tc>
      </w:tr>
    </w:tbl>
    <w:p w14:paraId="22DD8383">
      <w:pPr>
        <w:spacing w:line="360" w:lineRule="auto"/>
        <w:ind w:firstLine="420" w:firstLineChars="200"/>
        <w:rPr>
          <w:rFonts w:hint="eastAsia"/>
          <w:color w:val="auto"/>
        </w:rPr>
      </w:pPr>
    </w:p>
    <w:p w14:paraId="24F83DDD">
      <w:pPr>
        <w:widowControl/>
        <w:spacing w:line="360" w:lineRule="auto"/>
        <w:ind w:firstLine="422" w:firstLineChars="200"/>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三．技术服务</w:t>
      </w:r>
    </w:p>
    <w:p w14:paraId="235FFAB5">
      <w:pPr>
        <w:widowControl/>
        <w:spacing w:line="360" w:lineRule="auto"/>
        <w:ind w:firstLine="420" w:firstLineChars="200"/>
        <w:jc w:val="left"/>
        <w:rPr>
          <w:rFonts w:ascii="宋体" w:hAnsi="宋体" w:eastAsia="宋体" w:cs="宋体"/>
          <w:color w:val="auto"/>
          <w:kern w:val="0"/>
          <w:szCs w:val="21"/>
        </w:rPr>
      </w:pPr>
      <w:r>
        <w:rPr>
          <w:rFonts w:hint="eastAsia" w:ascii="宋体" w:hAnsi="宋体" w:eastAsia="宋体" w:cs="宋体"/>
          <w:color w:val="auto"/>
          <w:kern w:val="0"/>
          <w:szCs w:val="21"/>
        </w:rPr>
        <w:t>3.1</w:t>
      </w:r>
      <w:r>
        <w:rPr>
          <w:rFonts w:hint="eastAsia" w:ascii="宋体" w:hAnsi="宋体" w:eastAsia="宋体" w:cs="宋体"/>
          <w:b/>
          <w:bCs/>
          <w:color w:val="auto"/>
          <w:kern w:val="0"/>
          <w:szCs w:val="21"/>
        </w:rPr>
        <w:t>服务要求（超级微波消解仪）</w:t>
      </w:r>
    </w:p>
    <w:p w14:paraId="297B2CE0">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3.1.1提供全套、完整的技术资料，包括仪器说明书、操作手册、维护保养说明、结构图等。</w:t>
      </w:r>
    </w:p>
    <w:p w14:paraId="02AA5BF5">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3.1.2仪器安装、调试和验收：仪器到达最终采购人现场并且实验室安装条件满足后，在接到采购人通知后需安排有经验的工程技术人员到采购人现场安装、调试仪器。安装前，提供安装条件及安装方案，安装方案必须经采购人同意后方可实施。</w:t>
      </w:r>
    </w:p>
    <w:p w14:paraId="6DCAF61F">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3.1.3培训要求：安装验收后，生产厂家在采购人所在地对采购人进行仪器操作和日常维护的现场培训。包括仪器原理、使用方法和维护方法等，提供培训合格证明；</w:t>
      </w:r>
    </w:p>
    <w:p w14:paraId="0EB46FF5">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3.1.4仪器生产厂家需设有销售服务代表，配有专人对接。</w:t>
      </w:r>
    </w:p>
    <w:p w14:paraId="53D193B2">
      <w:pPr>
        <w:widowControl/>
        <w:spacing w:line="360" w:lineRule="auto"/>
        <w:ind w:firstLine="422" w:firstLineChars="200"/>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3.2.服务要求（液相色谱仪）</w:t>
      </w:r>
    </w:p>
    <w:p w14:paraId="19A77E9F">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3.2.1.中标人应具有正规注册的办事处、维修站及零备件库。中标人应有专门负责的经验丰富的维修工程师和专门的技术应用支持工程师。</w:t>
      </w:r>
    </w:p>
    <w:p w14:paraId="2B6846E9">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3.2.2.中标人应协助我单位进行安装前的准备工作，提供相关的布局图和设计要求，提供液相色谱仪实验室建设安装资料并作相应的指导。</w:t>
      </w:r>
    </w:p>
    <w:p w14:paraId="6E5ADE8C">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3.2.3到货后，中标人提供全面安装工具、并由仪器工程师安装。</w:t>
      </w:r>
    </w:p>
    <w:p w14:paraId="3357C36E">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3.2.4中标人为采购人提供1人的名额参加举办的液相色谱仪培训班（相关费用包含在本项目投标报价中）。</w:t>
      </w:r>
    </w:p>
    <w:p w14:paraId="7C94E2D6">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3.2.5仪器安装后，仪器公司工程师为采购人提供现场培训。</w:t>
      </w:r>
    </w:p>
    <w:p w14:paraId="1B1C0CD2">
      <w:pPr>
        <w:widowControl/>
        <w:spacing w:line="360" w:lineRule="auto"/>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kern w:val="0"/>
          <w:szCs w:val="21"/>
        </w:rPr>
        <w:t>3.2.6如果仪器出现故障，在接到采购人维修服务的请求后，中标人的工程师应在8小时内作出应答，进行电话指导、网上诊断协助排除故障。必要时，在48小时内到达现场。</w:t>
      </w:r>
    </w:p>
    <w:p w14:paraId="264F9762">
      <w:pPr>
        <w:widowControl/>
        <w:spacing w:line="360" w:lineRule="auto"/>
        <w:ind w:firstLine="422" w:firstLineChars="200"/>
        <w:jc w:val="left"/>
        <w:rPr>
          <w:rFonts w:hint="eastAsia" w:ascii="宋体" w:hAnsi="宋体" w:eastAsia="宋体" w:cs="宋体"/>
          <w:b/>
          <w:bCs/>
          <w:color w:val="auto"/>
          <w:kern w:val="0"/>
          <w:szCs w:val="21"/>
        </w:rPr>
      </w:pPr>
      <w:r>
        <w:rPr>
          <w:rFonts w:hint="eastAsia" w:ascii="宋体" w:hAnsi="宋体" w:eastAsia="宋体" w:cs="宋体"/>
          <w:b/>
          <w:bCs/>
          <w:color w:val="auto"/>
          <w:kern w:val="0"/>
          <w:szCs w:val="21"/>
        </w:rPr>
        <w:t>3.3.服务要求（二氧化硫测定仪）</w:t>
      </w:r>
    </w:p>
    <w:p w14:paraId="256F9991">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3.3.1.培训：设备安装调试时，提供现场培训，包括设备工作原理、操作应用和维护保养知识，保证用户掌握基本的操作技能，时间不少于1天。</w:t>
      </w:r>
      <w:r>
        <w:rPr>
          <w:rFonts w:hint="eastAsia" w:ascii="宋体" w:hAnsi="宋体" w:eastAsia="宋体" w:cs="宋体"/>
          <w:color w:val="auto"/>
          <w:kern w:val="0"/>
          <w:szCs w:val="21"/>
        </w:rPr>
        <w:t>（相关费用包含在本项目投标报价中）</w:t>
      </w:r>
    </w:p>
    <w:p w14:paraId="5EF8550D">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3.3.2维修服务：在设备整个使用期内，厂家应提供设备有偿维修服务，确保设备正常使用。设备报修或采购人有技术支持要求时，应在2小时内作出响应，必要时在48小时内派遣专业工程师到达现场维修或提供技术支持。</w:t>
      </w:r>
    </w:p>
    <w:p w14:paraId="5348870D">
      <w:pPr>
        <w:pStyle w:val="3"/>
        <w:rPr>
          <w:rFonts w:hint="eastAsia"/>
          <w:color w:val="auto"/>
        </w:rPr>
      </w:pPr>
    </w:p>
    <w:p w14:paraId="0E811955">
      <w:pPr>
        <w:pStyle w:val="2"/>
        <w:adjustRightInd w:val="0"/>
        <w:snapToGrid w:val="0"/>
        <w:spacing w:before="0" w:after="0"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四、备品备件及专用工具</w:t>
      </w:r>
    </w:p>
    <w:p w14:paraId="5E6D14E8">
      <w:pPr>
        <w:adjustRightInd w:val="0"/>
        <w:snapToGrid w:val="0"/>
        <w:spacing w:line="360" w:lineRule="auto"/>
        <w:ind w:firstLine="420" w:firstLineChars="200"/>
        <w:rPr>
          <w:rFonts w:hint="eastAsia" w:ascii="宋体" w:hAnsi="宋体" w:eastAsia="宋体" w:cs="宋体"/>
          <w:color w:val="auto"/>
          <w:kern w:val="0"/>
          <w:szCs w:val="21"/>
        </w:rPr>
      </w:pPr>
      <w:bookmarkStart w:id="12" w:name="_Toc445554752"/>
      <w:bookmarkStart w:id="13" w:name="_Toc455587093"/>
      <w:bookmarkStart w:id="14" w:name="_Toc455587277"/>
      <w:r>
        <w:rPr>
          <w:rFonts w:hint="eastAsia" w:ascii="宋体" w:hAnsi="宋体" w:eastAsia="宋体" w:cs="宋体"/>
          <w:color w:val="auto"/>
          <w:kern w:val="0"/>
          <w:szCs w:val="21"/>
        </w:rPr>
        <w:t>4.1备品备件：中标人提供能够满足质量保证期内的设备维修要求的备品备件，备品备件应是新品。</w:t>
      </w:r>
    </w:p>
    <w:p w14:paraId="15DD226A">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4.2专用工具：中标人提供设备安装、调试、验收、维修、保养所必要的专用工具、仪器、仪表等工具。</w:t>
      </w:r>
    </w:p>
    <w:bookmarkEnd w:id="12"/>
    <w:bookmarkEnd w:id="13"/>
    <w:bookmarkEnd w:id="14"/>
    <w:p w14:paraId="3E3490C8">
      <w:pPr>
        <w:pStyle w:val="2"/>
        <w:adjustRightInd w:val="0"/>
        <w:snapToGrid w:val="0"/>
        <w:spacing w:before="0" w:after="0" w:line="360" w:lineRule="auto"/>
        <w:rPr>
          <w:rStyle w:val="12"/>
          <w:rFonts w:hint="eastAsia" w:ascii="宋体" w:hAnsi="宋体" w:eastAsia="宋体" w:cs="宋体"/>
          <w:b/>
          <w:bCs/>
          <w:color w:val="auto"/>
          <w:sz w:val="21"/>
          <w:szCs w:val="21"/>
        </w:rPr>
      </w:pPr>
      <w:bookmarkStart w:id="15" w:name="_Toc532199625"/>
      <w:bookmarkStart w:id="16" w:name="_Toc455587278"/>
      <w:bookmarkStart w:id="17" w:name="_Toc445554753"/>
      <w:bookmarkStart w:id="18" w:name="_Toc455587094"/>
      <w:r>
        <w:rPr>
          <w:rStyle w:val="12"/>
          <w:rFonts w:hint="eastAsia" w:ascii="宋体" w:hAnsi="宋体" w:eastAsia="宋体" w:cs="宋体"/>
          <w:b/>
          <w:bCs/>
          <w:color w:val="auto"/>
          <w:sz w:val="21"/>
          <w:szCs w:val="21"/>
        </w:rPr>
        <w:t>五、安装调试、验收试验及质量保证</w:t>
      </w:r>
      <w:bookmarkEnd w:id="15"/>
    </w:p>
    <w:p w14:paraId="7F4A32F5">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5.1中标人在设备安装地点负责安装、调试。</w:t>
      </w:r>
    </w:p>
    <w:p w14:paraId="3D8410B5">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5.2具体设备验收标准和程序按采购人要求执行，</w:t>
      </w:r>
      <w:r>
        <w:rPr>
          <w:rFonts w:hint="eastAsia" w:ascii="宋体" w:hAnsi="宋体" w:eastAsia="宋体" w:cs="宋体"/>
          <w:b/>
          <w:color w:val="auto"/>
          <w:kern w:val="0"/>
          <w:szCs w:val="21"/>
        </w:rPr>
        <w:t>下列验收程序可参照执行：</w:t>
      </w:r>
    </w:p>
    <w:p w14:paraId="0321F069">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5.2.1 采购人和相关部门按照招标文件和投标文件承诺进行验收。招标文件没有规定和投标文件没有相应承诺的，按照下列原则进行验收：有国家标准的按照国家标准验收，没有国家标准的按行业标准验收，无行业标准的按地方或企业标准验收，中标人予以配合。涉及需要由质检或行业主管部门验收的项目，采购人须约请相关部门和专家参加项目验收。所有需要质检部门进行检测才能使用的设备，投标报价中必须包含首次检测费用。</w:t>
      </w:r>
    </w:p>
    <w:p w14:paraId="099A25FC">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5.2.2货物在验收时，中标人应提供发票、制造厂家出具的产品合格证书、装箱清单等,涉及进口的部件须提供中国海关进口货物报关单、完税证明及商检证明等材料；提供有关货物的保养修理所需的各种随机工具及全部有关技术文件（外文应提供中文翻译资料，下同）、操作使用说明书、质保书、保修证明、维护手册及技术性指导资料以及根据中国相关法律规定制造、销售报价货物（包括主要部件和材料）所必备的各种证书 (如产品质量检验报告、国家相关检测机构出具的检验报告等）等文件汇集成册交付采购人和应由中标人提供的必要文件。</w:t>
      </w:r>
    </w:p>
    <w:p w14:paraId="716C7692">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5.2.3 中标人应根据采购人使用单位的技术要求提供相应的产品。由中标人所提供的设备部件间的连线和插接件均应视为设备内部器件，包含在相应的设备之中。</w:t>
      </w:r>
    </w:p>
    <w:p w14:paraId="4ACE91CC">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5.2.4 运行测试及最终验收。在系统安装、调试结束后，采购人对其进行全面的测试，对测试中暴露出来的问题，中标人应及时进行整改，系统最终测试完毕经验收合格后，采购人应向中标人签发最终验收证明。</w:t>
      </w:r>
    </w:p>
    <w:p w14:paraId="66F25EC3">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5.2.5 中标人应向采购人提供安装调试过程中的各种文档资料,以便采购人今后能掌握操作和维护方法。依据合同与合同有关条件、本招标文件的技术规范、系统配置要求、设备技术文件和系统说明书，以及国家和省部级等要求进行验收，验收分为预验收和竣工验收。</w:t>
      </w:r>
    </w:p>
    <w:p w14:paraId="456DAA00">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5.3如设备在验收时有一个或多个指标未能达到要求而属于中标人责任时，则中标人自费采取有效措施，在规定时间内使之达到保证指标。如在规定的时间内仍达不到合格标准时，则中标人应向采购人赔偿。</w:t>
      </w:r>
    </w:p>
    <w:p w14:paraId="5E2D0C48">
      <w:pPr>
        <w:pStyle w:val="2"/>
        <w:adjustRightInd w:val="0"/>
        <w:snapToGrid w:val="0"/>
        <w:spacing w:before="0" w:after="0" w:line="360" w:lineRule="auto"/>
        <w:rPr>
          <w:rStyle w:val="12"/>
          <w:rFonts w:hint="eastAsia" w:ascii="宋体" w:hAnsi="宋体" w:eastAsia="宋体" w:cs="宋体"/>
          <w:b/>
          <w:bCs/>
          <w:color w:val="auto"/>
          <w:sz w:val="21"/>
          <w:szCs w:val="21"/>
        </w:rPr>
      </w:pPr>
      <w:bookmarkStart w:id="19" w:name="_Toc532199626"/>
      <w:r>
        <w:rPr>
          <w:rStyle w:val="12"/>
          <w:rFonts w:hint="eastAsia" w:ascii="宋体" w:hAnsi="宋体" w:eastAsia="宋体" w:cs="宋体"/>
          <w:b/>
          <w:bCs/>
          <w:color w:val="auto"/>
          <w:sz w:val="21"/>
          <w:szCs w:val="21"/>
        </w:rPr>
        <w:t>六、包装运输</w:t>
      </w:r>
      <w:bookmarkEnd w:id="16"/>
      <w:bookmarkEnd w:id="17"/>
      <w:bookmarkEnd w:id="18"/>
      <w:bookmarkEnd w:id="19"/>
    </w:p>
    <w:p w14:paraId="169CAEFB">
      <w:pPr>
        <w:adjustRightInd w:val="0"/>
        <w:snapToGrid w:val="0"/>
        <w:spacing w:line="360" w:lineRule="auto"/>
        <w:ind w:firstLine="420" w:firstLineChars="200"/>
        <w:rPr>
          <w:rFonts w:hint="eastAsia" w:ascii="宋体" w:hAnsi="宋体" w:eastAsia="宋体" w:cs="宋体"/>
          <w:color w:val="auto"/>
          <w:kern w:val="0"/>
          <w:szCs w:val="21"/>
        </w:rPr>
      </w:pPr>
      <w:bookmarkStart w:id="20" w:name="_Toc455587095"/>
      <w:bookmarkStart w:id="21" w:name="_Toc455587279"/>
      <w:bookmarkStart w:id="22" w:name="_Toc445554754"/>
      <w:r>
        <w:rPr>
          <w:rFonts w:hint="eastAsia" w:ascii="宋体" w:hAnsi="宋体" w:eastAsia="宋体" w:cs="宋体"/>
          <w:color w:val="auto"/>
          <w:kern w:val="0"/>
          <w:szCs w:val="21"/>
        </w:rPr>
        <w:t>6.1中标人负责设备包装、办理运输和保险，将设备安全运抵交货地点。</w:t>
      </w:r>
    </w:p>
    <w:p w14:paraId="5F4F7B4A">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6.2设备制造完成并通过试验后应及时包装，否则应得到切实的保护，确保其不受污损。</w:t>
      </w:r>
    </w:p>
    <w:p w14:paraId="45FCBA11">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6.3在包装箱外应标明采购人的订货号、发货号。</w:t>
      </w:r>
    </w:p>
    <w:p w14:paraId="0DADFF6F">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6.4各种包装应能确保各零部件在运输过程中不致遭到损坏、丢失、变形、受潮和腐蚀。</w:t>
      </w:r>
    </w:p>
    <w:p w14:paraId="6F3B2F84">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6.5包装箱上应有明显的包装储运图示标志。</w:t>
      </w:r>
    </w:p>
    <w:p w14:paraId="0A532CEE">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6.6整体产品或分别运输的部件都要适应运输和装载的要求。</w:t>
      </w:r>
    </w:p>
    <w:p w14:paraId="5071883E">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6.7随产品提供的技术资料应完整无缺。</w:t>
      </w:r>
    </w:p>
    <w:p w14:paraId="303DF663">
      <w:pPr>
        <w:pStyle w:val="2"/>
        <w:adjustRightInd w:val="0"/>
        <w:snapToGrid w:val="0"/>
        <w:spacing w:before="0" w:after="0" w:line="360" w:lineRule="auto"/>
        <w:rPr>
          <w:rStyle w:val="12"/>
          <w:rFonts w:hint="eastAsia" w:ascii="宋体" w:hAnsi="宋体" w:eastAsia="宋体" w:cs="宋体"/>
          <w:b/>
          <w:bCs/>
          <w:color w:val="auto"/>
          <w:sz w:val="21"/>
          <w:szCs w:val="21"/>
        </w:rPr>
      </w:pPr>
      <w:bookmarkStart w:id="23" w:name="_Toc532199627"/>
      <w:r>
        <w:rPr>
          <w:rStyle w:val="12"/>
          <w:rFonts w:hint="eastAsia" w:ascii="宋体" w:hAnsi="宋体" w:eastAsia="宋体" w:cs="宋体"/>
          <w:b/>
          <w:bCs/>
          <w:color w:val="auto"/>
          <w:sz w:val="21"/>
          <w:szCs w:val="21"/>
        </w:rPr>
        <w:t>七、技术培训</w:t>
      </w:r>
      <w:bookmarkEnd w:id="20"/>
      <w:bookmarkEnd w:id="21"/>
      <w:bookmarkEnd w:id="22"/>
      <w:bookmarkEnd w:id="23"/>
    </w:p>
    <w:p w14:paraId="45FBEB90">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7.1为使合同设备能正常安装和运行，由中标人提供相应的技术培训，并免收采购人培训费用。培训内容应与工程进度相一致。</w:t>
      </w:r>
    </w:p>
    <w:p w14:paraId="141B5BA0">
      <w:pPr>
        <w:adjustRightInd w:val="0"/>
        <w:snapToGrid w:val="0"/>
        <w:spacing w:line="360" w:lineRule="auto"/>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7.2培训的时间、人数、地点等具体内容由买卖双方商定，内容至少包括：设备原理、使用、维护、运行操作、常见故障处理等。</w:t>
      </w:r>
    </w:p>
    <w:p w14:paraId="494227C7">
      <w:pPr>
        <w:adjustRightInd w:val="0"/>
        <w:snapToGrid w:val="0"/>
        <w:spacing w:line="360" w:lineRule="auto"/>
        <w:ind w:firstLine="422" w:firstLineChars="200"/>
        <w:rPr>
          <w:rFonts w:hint="eastAsia" w:ascii="宋体" w:hAnsi="宋体" w:eastAsia="宋体" w:cs="宋体"/>
          <w:color w:val="auto"/>
          <w:szCs w:val="21"/>
        </w:rPr>
      </w:pPr>
      <w:r>
        <w:rPr>
          <w:rFonts w:hint="eastAsia" w:ascii="宋体" w:hAnsi="宋体" w:eastAsia="宋体" w:cs="宋体"/>
          <w:b/>
          <w:bCs/>
          <w:color w:val="auto"/>
          <w:kern w:val="0"/>
          <w:szCs w:val="21"/>
        </w:rPr>
        <w:t>7.3采购需求里有特别规定的，以采购需求中的需求为准。</w:t>
      </w:r>
    </w:p>
    <w:p w14:paraId="1150BBAA">
      <w:pPr>
        <w:pStyle w:val="2"/>
        <w:adjustRightInd w:val="0"/>
        <w:snapToGrid w:val="0"/>
        <w:spacing w:before="0" w:after="0" w:line="360" w:lineRule="auto"/>
        <w:rPr>
          <w:rStyle w:val="12"/>
          <w:rFonts w:hint="eastAsia" w:ascii="宋体" w:hAnsi="宋体" w:eastAsia="宋体" w:cs="宋体"/>
          <w:b/>
          <w:bCs/>
          <w:color w:val="auto"/>
          <w:sz w:val="21"/>
          <w:szCs w:val="21"/>
        </w:rPr>
      </w:pPr>
      <w:bookmarkStart w:id="24" w:name="_Toc532199628"/>
      <w:r>
        <w:rPr>
          <w:rStyle w:val="12"/>
          <w:rFonts w:hint="eastAsia" w:ascii="宋体" w:hAnsi="宋体" w:eastAsia="宋体" w:cs="宋体"/>
          <w:b/>
          <w:bCs/>
          <w:color w:val="auto"/>
          <w:sz w:val="21"/>
          <w:szCs w:val="21"/>
        </w:rPr>
        <w:t>八、质保及售后服务</w:t>
      </w:r>
    </w:p>
    <w:p w14:paraId="60A20B7C">
      <w:pPr>
        <w:adjustRightInd w:val="0"/>
        <w:snapToGrid w:val="0"/>
        <w:spacing w:line="360" w:lineRule="auto"/>
        <w:ind w:firstLine="420" w:firstLineChars="200"/>
        <w:rPr>
          <w:rFonts w:hint="eastAsia" w:ascii="宋体" w:hAnsi="宋体" w:eastAsia="宋体" w:cs="宋体"/>
          <w:color w:val="auto"/>
          <w:kern w:val="28"/>
          <w:szCs w:val="21"/>
        </w:rPr>
      </w:pPr>
      <w:r>
        <w:rPr>
          <w:rFonts w:hint="eastAsia" w:ascii="宋体" w:hAnsi="宋体" w:eastAsia="宋体" w:cs="宋体"/>
          <w:color w:val="auto"/>
          <w:kern w:val="28"/>
          <w:szCs w:val="21"/>
        </w:rPr>
        <w:t>8.1自双方签订《验收报告》起进入免费质保期。</w:t>
      </w:r>
    </w:p>
    <w:p w14:paraId="3588E45B">
      <w:pPr>
        <w:adjustRightInd w:val="0"/>
        <w:snapToGrid w:val="0"/>
        <w:spacing w:line="360" w:lineRule="auto"/>
        <w:ind w:firstLine="420" w:firstLineChars="200"/>
      </w:pPr>
      <w:r>
        <w:rPr>
          <w:rFonts w:hint="eastAsia" w:ascii="宋体" w:hAnsi="宋体" w:eastAsia="宋体" w:cs="宋体"/>
          <w:color w:val="auto"/>
          <w:kern w:val="28"/>
          <w:szCs w:val="21"/>
        </w:rPr>
        <w:t>8.2在质保期间内，非采购人过失和故意并且在正常使用的情况下发现商品有缺陷，中标人将免费修理或替换该设备；在质保期间内，非采购人过失和故意并且在正常使用的情况下设备发生故障，中标人应及时提供免费服务。</w:t>
      </w:r>
      <w:bookmarkEnd w:id="24"/>
      <w:bookmarkStart w:id="25" w:name="_GoBack"/>
      <w:bookmarkEnd w:id="25"/>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41651B"/>
    <w:rsid w:val="214165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仿宋_GB2312"/>
      <w:kern w:val="2"/>
      <w:sz w:val="21"/>
      <w:lang w:val="en-US" w:eastAsia="zh-CN" w:bidi="ar-SA"/>
    </w:rPr>
  </w:style>
  <w:style w:type="paragraph" w:styleId="2">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toa heading"/>
    <w:basedOn w:val="1"/>
    <w:next w:val="1"/>
    <w:qFormat/>
    <w:uiPriority w:val="99"/>
    <w:pPr>
      <w:widowControl w:val="0"/>
      <w:autoSpaceDE w:val="0"/>
      <w:autoSpaceDN w:val="0"/>
      <w:adjustRightInd w:val="0"/>
      <w:spacing w:before="120"/>
    </w:pPr>
    <w:rPr>
      <w:rFonts w:ascii="Arial" w:hAnsi="Arial"/>
      <w:sz w:val="24"/>
      <w:lang w:val="en-US" w:eastAsia="zh-CN" w:bidi="ar-SA"/>
    </w:rPr>
  </w:style>
  <w:style w:type="paragraph" w:styleId="4">
    <w:name w:val="Body Text Indent"/>
    <w:basedOn w:val="1"/>
    <w:next w:val="5"/>
    <w:qFormat/>
    <w:uiPriority w:val="0"/>
    <w:pPr>
      <w:spacing w:after="120"/>
      <w:ind w:left="420" w:leftChars="200"/>
    </w:pPr>
  </w:style>
  <w:style w:type="paragraph" w:styleId="5">
    <w:name w:val="envelope return"/>
    <w:basedOn w:val="1"/>
    <w:qFormat/>
    <w:uiPriority w:val="99"/>
    <w:pPr>
      <w:snapToGrid w:val="0"/>
    </w:pPr>
    <w:rPr>
      <w:rFonts w:ascii="Arial" w:hAnsi="Arial" w:cs="Arial"/>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4"/>
    <w:next w:val="1"/>
    <w:unhideWhenUsed/>
    <w:qFormat/>
    <w:uiPriority w:val="99"/>
    <w:pPr>
      <w:ind w:left="420" w:firstLine="420" w:firstLineChars="200"/>
    </w:pPr>
    <w:rPr>
      <w:rFonts w:ascii="Times New Roman" w:cs="Times New Roman"/>
    </w:rPr>
  </w:style>
  <w:style w:type="paragraph" w:customStyle="1" w:styleId="10">
    <w:name w:val="D&amp;L"/>
    <w:basedOn w:val="6"/>
    <w:qFormat/>
    <w:uiPriority w:val="0"/>
    <w:pPr>
      <w:pBdr>
        <w:bottom w:val="none" w:color="auto" w:sz="0" w:space="0"/>
      </w:pBdr>
      <w:snapToGrid/>
    </w:pPr>
    <w:rPr>
      <w:rFonts w:ascii="宋体" w:hAnsi="宋体" w:eastAsia="宋体"/>
      <w:bCs/>
      <w:sz w:val="24"/>
      <w:szCs w:val="20"/>
    </w:rPr>
  </w:style>
  <w:style w:type="paragraph" w:customStyle="1" w:styleId="11">
    <w:name w:val="xl31"/>
    <w:basedOn w:val="1"/>
    <w:qFormat/>
    <w:uiPriority w:val="0"/>
    <w:pPr>
      <w:adjustRightInd w:val="0"/>
      <w:snapToGrid w:val="0"/>
      <w:spacing w:line="300" w:lineRule="auto"/>
    </w:pPr>
    <w:rPr>
      <w:rFonts w:ascii="宋体" w:hAnsi="宋体" w:eastAsia="宋体"/>
      <w:bCs/>
      <w:color w:val="FF0000"/>
      <w:kern w:val="0"/>
      <w:szCs w:val="21"/>
    </w:rPr>
  </w:style>
  <w:style w:type="character" w:customStyle="1" w:styleId="12">
    <w:name w:val="标题 2 Char Char"/>
    <w:uiPriority w:val="0"/>
    <w:rPr>
      <w:rFonts w:ascii="Arial" w:hAnsi="Arial" w:eastAsia="黑体" w:cs="Times New Roman"/>
      <w:b/>
      <w:bCs/>
      <w:kern w:val="2"/>
      <w:sz w:val="32"/>
      <w:szCs w:val="3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2025-04-03T09:01:00Z</dcterms:created>
  <dc:creator>初审-李真</dc:creator>
  <cp:lastModifiedBy>初审-李真</cp:lastModifiedBy>
  <dcterms:modified xsi:type="dcterms:W3CDTF">2025-04-03T09:02:03Z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38E16765DF9E433E92571586CDB6C2C6_11</vt:lpwstr>
  </property>
  <property fmtid="{D5CDD505-2E9C-101B-9397-08002B2CF9AE}" pid="4" name="KSOTemplateDocerSaveRecord">
    <vt:lpwstr>eyJoZGlkIjoiNjA3NGE3NTExNDc2ZGM0YWE4MThmNDY0MGZhYTI3NzgiLCJ1c2VySWQiOiIzMjQ4MTEwODkifQ==</vt:lpwstr>
  </property>
</Properties>
</file>